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86" w:right="376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海联金汇科技股份有限公司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公司负责人刘国平、主管会计工作负责人洪晓明及会计机构负责人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姜春梅声明：保证年度报告中财务报告的真实、准确、完整。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本年度报告中涉及的未来发展战略、业绩规划等前瞻性内容是公司自己提</w:t>
      </w:r>
      <w:r>
        <w:rPr>
          <w:rFonts w:ascii="宋体" w:hAnsi="宋体" w:cs="宋体" w:eastAsia="宋体" w:hint="default"/>
          <w:spacing w:val="3"/>
          <w:sz w:val="28"/>
          <w:szCs w:val="28"/>
        </w:rPr>
      </w:r>
    </w:p>
    <w:p>
      <w:pPr>
        <w:spacing w:line="408" w:lineRule="auto" w:before="0"/>
        <w:ind w:left="15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出的目标，属于计划性事项，能否实现取决于市场状况变化等多种因素，存在</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不确定性，并不代表公司对未来年度的盈利预测，也不构成公司对投资者及相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关人士的实质性承诺。投资者及相关人士均应对此保持足够的风险认识，并且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应当理解计划、预测与承诺之间的差异。敬请投资者注意投资风险！</w:t>
      </w:r>
      <w:r>
        <w:rPr>
          <w:rFonts w:ascii="宋体" w:hAnsi="宋体" w:cs="宋体" w:eastAsia="宋体" w:hint="default"/>
          <w:sz w:val="28"/>
          <w:szCs w:val="28"/>
        </w:rPr>
      </w:r>
    </w:p>
    <w:p>
      <w:pPr>
        <w:spacing w:line="386" w:lineRule="auto" w:before="161"/>
        <w:ind w:left="153"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中公司未来发展面临的展望部</w:t>
      </w:r>
      <w:r>
        <w:rPr>
          <w:rFonts w:ascii="宋体" w:hAnsi="宋体" w:cs="宋体" w:eastAsia="宋体" w:hint="default"/>
          <w:b/>
          <w:bCs/>
          <w:w w:val="99"/>
          <w:sz w:val="28"/>
          <w:szCs w:val="28"/>
        </w:rPr>
        <w:t> 分描述了公司未来发展面临的主要风险因素以及</w:t>
      </w:r>
      <w:r>
        <w:rPr>
          <w:rFonts w:ascii="宋体" w:hAnsi="宋体" w:cs="宋体" w:eastAsia="宋体" w:hint="default"/>
          <w:b/>
          <w:bCs/>
          <w:spacing w:val="17"/>
          <w:w w:val="99"/>
          <w:sz w:val="28"/>
          <w:szCs w:val="28"/>
        </w:rPr>
        <w:t> </w:t>
      </w:r>
      <w:r>
        <w:rPr>
          <w:rFonts w:ascii="Times New Roman" w:hAnsi="Times New Roman" w:cs="Times New Roman" w:eastAsia="Times New Roman" w:hint="default"/>
          <w:b/>
          <w:bCs/>
          <w:w w:val="99"/>
          <w:sz w:val="28"/>
          <w:szCs w:val="28"/>
        </w:rPr>
        <w:t>2018</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12"/>
          <w:w w:val="99"/>
          <w:sz w:val="28"/>
          <w:szCs w:val="28"/>
        </w:rPr>
        <w:t>年重点经营计划，敬请广</w:t>
      </w:r>
      <w:r>
        <w:rPr>
          <w:rFonts w:ascii="宋体" w:hAnsi="宋体" w:cs="宋体" w:eastAsia="宋体" w:hint="default"/>
          <w:b/>
          <w:bCs/>
          <w:spacing w:val="-139"/>
          <w:w w:val="99"/>
          <w:sz w:val="28"/>
          <w:szCs w:val="28"/>
        </w:rPr>
        <w:t> </w:t>
      </w:r>
      <w:r>
        <w:rPr>
          <w:rFonts w:ascii="宋体" w:hAnsi="宋体" w:cs="宋体" w:eastAsia="宋体" w:hint="default"/>
          <w:b/>
          <w:bCs/>
          <w:spacing w:val="-139"/>
          <w:w w:val="99"/>
          <w:sz w:val="28"/>
          <w:szCs w:val="28"/>
        </w:rPr>
      </w:r>
      <w:r>
        <w:rPr>
          <w:rFonts w:ascii="宋体" w:hAnsi="宋体" w:cs="宋体" w:eastAsia="宋体" w:hint="default"/>
          <w:b/>
          <w:bCs/>
          <w:sz w:val="28"/>
          <w:szCs w:val="28"/>
        </w:rPr>
        <w:t>大投资者注意查阅。</w:t>
      </w:r>
      <w:r>
        <w:rPr>
          <w:rFonts w:ascii="宋体" w:hAnsi="宋体" w:cs="宋体" w:eastAsia="宋体" w:hint="default"/>
          <w:sz w:val="28"/>
          <w:szCs w:val="28"/>
        </w:rPr>
      </w:r>
    </w:p>
    <w:p>
      <w:pPr>
        <w:spacing w:before="185"/>
        <w:ind w:left="715"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1,247</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170,395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w w:val="99"/>
          <w:sz w:val="28"/>
          <w:szCs w:val="28"/>
        </w:rPr>
        <w:t>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6"/>
        <w:ind w:left="153" w:right="1136" w:firstLine="0"/>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14"/>
              </w:rPr>
              <w:t>111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116</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117</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224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中国证券监督管理委员会青岛监管局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本年、本年度、本期、报告期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上年、上年度、上期、上年同期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海联金汇科技股份有限公司前身青岛海立美达股份有限公司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控股公司青岛海立控股有限公司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股东中国移动通信集团有限公司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股东银联商务股份有限公司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股东北京博升优势科技发展有限公司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海立钢制品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青岛海立控股有限公司前身青岛海立钢制品有限公司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天晨投资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全资子公司联动优势科技有限公司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全资子公司青岛海立美达电机有限公司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全资子公司青岛海立达冲压件有限公司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海立美达精密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全资子公司青岛海立美达精密机械制造有限公司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全资子公司湖南海立美达钢板加工配送有限公司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全资子公司烟台海立美达精密钢制品有限公司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全资子公司青岛海立美达电商有限公司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全资子公司海立美达香港有限公司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海立美达模具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全资子公司青岛海立美达模具有限公司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全资子公司宁波泰鸿机电有限公司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控股子公司湖北海立田汽车部件有限公司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全资子公司上海海众实业发展有限公司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海立美达汽车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控股子公司湖北海立美达汽车有限公司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湖北福田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控股子公司湖北海立美达汽车有限公司前身湖北福田专用汽车有限 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上海墨哈汽车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控股子公司上海墨哈汽车销售有限公司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联动商务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三级子公司联动优势电子商务有限公司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三级子公司安派国际控股有限公司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万金通达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三级子公司青岛万金通达经济信息服务有限公司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宁波冲压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三级子公司宁波泰鸿冲压件有限公司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三级子公司湖北海立美达电动车有限公司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宝鸡泰鸿机电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三级子公司宝鸡泰鸿机电有限公司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舟山陆泰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三级子公司舟山陆泰石油化工有限公司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海美房地产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三级子公司枣阳市海美房地产开发有限公司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安派美国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四级子公司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Umpire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International</w:t>
            </w:r>
            <w:r>
              <w:rPr>
                <w:rFonts w:ascii="宋体" w:hAnsi="宋体" w:cs="宋体" w:eastAsia="宋体" w:hint="default"/>
                <w:sz w:val="18"/>
                <w:szCs w:val="18"/>
              </w:rPr>
              <w:t>（</w:t>
            </w:r>
            <w:r>
              <w:rPr>
                <w:rFonts w:ascii="Times New Roman" w:hAnsi="Times New Roman" w:cs="Times New Roman" w:eastAsia="Times New Roman" w:hint="default"/>
                <w:sz w:val="18"/>
                <w:szCs w:val="18"/>
              </w:rPr>
              <w:t>U.S.</w:t>
            </w:r>
            <w:r>
              <w:rPr>
                <w:rFonts w:ascii="宋体" w:hAnsi="宋体" w:cs="宋体" w:eastAsia="宋体" w:hint="default"/>
                <w:sz w:val="18"/>
                <w:szCs w:val="18"/>
              </w:rPr>
              <w:t>）</w:t>
            </w:r>
            <w:r>
              <w:rPr>
                <w:rFonts w:ascii="Times New Roman" w:hAnsi="Times New Roman" w:cs="Times New Roman" w:eastAsia="Times New Roman" w:hint="default"/>
                <w:sz w:val="18"/>
                <w:szCs w:val="18"/>
              </w:rPr>
              <w:t>LLC.</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安派加拿大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四级子公司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Union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Financial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(Canada)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Corporation</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博苑地产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海基置业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美辰信息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青岛美辰信息技术有限公司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青岛海立源房地产开发有限公司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原控股子公司日照兴业汽车配件有限公司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原控股子公司日照兴发汽车零部件制造有限公司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92.879974pt;width:361.5pt;height:19.6pt;mso-position-horizontal-relative:page;mso-position-vertical-relative:page;z-index:-1394944"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海联金汇</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002537</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海联金汇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HyUnion Holding</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HyUnion</w:t>
            </w:r>
            <w:r>
              <w:rPr>
                <w:rFonts w:ascii="Times New Roman"/>
                <w:spacing w:val="-3"/>
                <w:sz w:val="18"/>
              </w:rPr>
              <w:t> </w:t>
            </w:r>
            <w:r>
              <w:rPr>
                <w:rFonts w:ascii="Times New Roman"/>
                <w:sz w:val="18"/>
              </w:rPr>
              <w:t>Holding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刘国平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青岛即墨区青威路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266200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青岛即墨区青威路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266200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www.haili.com.cn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hlmo@haili.com.cn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zhoujianfu@haili.com.cn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qixiumei@haili.com.cn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号公司证券投资部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91370200766733419J</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pacing w:val="-5"/>
                <w:sz w:val="18"/>
                <w:szCs w:val="18"/>
              </w:rPr>
              <w:t>）无变更</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227.059998pt;margin-top:-52.654346pt;width:306.7pt;height:20.8pt;mso-position-horizontal-relative:page;mso-position-vertical-relative:paragraph;z-index:-1394920" coordorigin="4541,-1053" coordsize="6134,416">
            <v:group style="position:absolute;left:4553;top:-1042;width:2;height:393" coordorigin="4553,-1042" coordsize="2,393">
              <v:shape style="position:absolute;left:4553;top:-1042;width:2;height:393" coordorigin="4553,-1042" coordsize="0,393" path="m4553,-1042l4553,-649e" filled="false" stroked="true" strokeweight="1.140pt" strokecolor="#ffffff">
                <v:path arrowok="t"/>
              </v:shape>
            </v:group>
            <v:group style="position:absolute;left:4564;top:-1042;width:6112;height:393" coordorigin="4564,-1042" coordsize="6112,393">
              <v:shape style="position:absolute;left:4564;top:-1042;width:6112;height:393" coordorigin="4564,-1042" coordsize="6112,393" path="m4564,-649l10675,-649,10675,-1042,4564,-1042,4564,-649xe" filled="true" fillcolor="#ffffff" stroked="false">
                <v:path arrowok="t"/>
                <v:fill type="solid"/>
              </v:shape>
            </v:group>
            <w10:wrap type="none"/>
          </v:group>
        </w:pict>
      </w: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路清、刘玉显</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曲圣宁、胡嘉志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60"/>
        <w:gridCol w:w="1376"/>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3,996,047,149.80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2,634,295,194.85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2,065,079,329.95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413,945,815.86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232,922,577.80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73,177,703.67</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385,608,392.87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211,704,671.38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6,020,079.54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-157,936,811.60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433,617,738.27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-136.42%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498,370,936.53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18,960,797,539.17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14,245,477,771.78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2,766,741,875.90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6,967,479,622.61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6,584,367,006.64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1,473,000,210.98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1288"/>
        <w:gridCol w:w="1416"/>
        <w:gridCol w:w="1277"/>
        <w:gridCol w:w="1346"/>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8"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808,045,767.32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881,177,289.27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896,729,345.32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1,410,094,747.89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93,599,423.63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84,285,805.68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105,949,543.88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130,111,042.67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90,287,255.13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62,507,410.08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104,575,078.95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128,238,648.71</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-247,255,576.42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-87,436,833.07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52,436,849.09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124,318,748.80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1145"/>
        <w:gridCol w:w="1134"/>
        <w:gridCol w:w="1134"/>
        <w:gridCol w:w="779"/>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7" w:right="0"/>
              <w:jc w:val="center"/>
              <w:rPr>
                <w:rFonts w:ascii="Times New Roman" w:hAnsi="Times New Roman" w:cs="Times New Roman" w:eastAsia="Times New Roman" w:hint="default"/>
                <w:sz w:val="18"/>
                <w:szCs w:val="18"/>
              </w:rPr>
            </w:pPr>
            <w:r>
              <w:rPr>
                <w:rFonts w:ascii="Times New Roman"/>
                <w:sz w:val="18"/>
              </w:rPr>
              <w:t>-278,779.86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-3,493,905.65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-8,359,868.45</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定额或定量享受的政府补助除外）</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35,686,989.31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56,507,934.67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88,176,045.88</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3,525,021.78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-8,733,013.02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15,051,395.52</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8,146,513.92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10,889,040.47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3,969,737.35</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2,449,294.32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12,174,069.11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23,740,211.47</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28,337,422.99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21,217,906.42</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67,157,624.13</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项目界定为经常性损益的项目的情形。</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357" w:lineRule="auto" w:before="26"/>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（一）报告期内公司从事的主要业务经营情况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报告期内，公司金融科技板块主要从事第三方支付服务、大数据服务、移动信息服务、跨境电商服务及运营商计费结算</w:t>
      </w:r>
    </w:p>
    <w:p>
      <w:pPr>
        <w:pStyle w:val="BodyText"/>
        <w:spacing w:line="360" w:lineRule="auto"/>
        <w:ind w:left="154" w:right="0"/>
        <w:jc w:val="left"/>
      </w:pPr>
      <w:r>
        <w:rPr>
          <w:spacing w:val="-4"/>
        </w:rPr>
        <w:t>服务业务；智能制造板块主要从事汽车及配件、家电配件等产品的生产与销售业务。报告期内，公司主要业务经营情况如下：</w:t>
      </w:r>
      <w:r>
        <w:rPr>
          <w:spacing w:val="-46"/>
        </w:rPr>
        <w:t> </w:t>
      </w:r>
      <w:r>
        <w:rPr>
          <w:spacing w:val="-46"/>
        </w:rPr>
      </w:r>
      <w:r>
        <w:rPr/>
        <w:t>金融科技板块介绍：</w:t>
      </w:r>
    </w:p>
    <w:p>
      <w:pPr>
        <w:pStyle w:val="BodyText"/>
        <w:spacing w:line="338" w:lineRule="auto" w:before="26"/>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、第三方支付服务</w:t>
      </w:r>
      <w:r>
        <w:rPr>
          <w:rFonts w:ascii="宋体" w:hAnsi="宋体" w:cs="宋体" w:eastAsia="宋体" w:hint="default"/>
          <w:b/>
          <w:bCs/>
          <w:w w:val="99"/>
        </w:rPr>
        <w:t> </w:t>
      </w:r>
      <w:r>
        <w:rPr>
          <w:spacing w:val="-2"/>
        </w:rPr>
        <w:t>中国正处在一个移动支付无所不在的时代，联动优势多样化的移动支付服务将为用户和商家带来前所未有的便捷，据艾</w:t>
      </w:r>
    </w:p>
    <w:p>
      <w:pPr>
        <w:pStyle w:val="BodyText"/>
        <w:spacing w:line="300" w:lineRule="auto" w:before="2"/>
        <w:ind w:right="1033"/>
        <w:jc w:val="left"/>
      </w:pPr>
      <w:r>
        <w:rPr>
          <w:spacing w:val="-3"/>
        </w:rPr>
        <w:t>瑞和易观统计数据显示，联动优势在</w:t>
      </w:r>
      <w:r>
        <w:rPr>
          <w:spacing w:val="-45"/>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Q3 </w:t>
      </w:r>
      <w:r>
        <w:rPr>
          <w:spacing w:val="-3"/>
        </w:rPr>
        <w:t>移动支付领域排名全国第四，公司不仅为</w:t>
      </w:r>
      <w:r>
        <w:rPr>
          <w:spacing w:val="-45"/>
        </w:rPr>
        <w:t> </w:t>
      </w:r>
      <w:r>
        <w:rPr>
          <w:rFonts w:ascii="Times New Roman" w:hAnsi="Times New Roman" w:cs="Times New Roman" w:eastAsia="Times New Roman" w:hint="default"/>
        </w:rPr>
        <w:t>B2B </w:t>
      </w:r>
      <w:r>
        <w:rPr/>
        <w:t>领域的大中型企业以及零售、 电商、物流、快消品等众多行业客户提供</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的定制化综合解决方案，同时通过</w:t>
      </w:r>
      <w:r>
        <w:rPr>
          <w:rFonts w:ascii="Times New Roman" w:hAnsi="Times New Roman" w:cs="Times New Roman" w:eastAsia="Times New Roman" w:hint="default"/>
        </w:rPr>
        <w:t>“</w:t>
      </w:r>
      <w:r>
        <w:rPr/>
        <w:t>联动支付管家</w:t>
      </w:r>
      <w:r>
        <w:rPr>
          <w:rFonts w:ascii="Times New Roman" w:hAnsi="Times New Roman" w:cs="Times New Roman" w:eastAsia="Times New Roman" w:hint="default"/>
        </w:rPr>
        <w:t>”</w:t>
      </w:r>
      <w:r>
        <w:rPr/>
        <w:t>帮助</w:t>
      </w:r>
      <w:r>
        <w:rPr>
          <w:rFonts w:ascii="Times New Roman" w:hAnsi="Times New Roman" w:cs="Times New Roman" w:eastAsia="Times New Roman" w:hint="default"/>
        </w:rPr>
        <w:t>“</w:t>
      </w:r>
      <w:r>
        <w:rPr/>
        <w:t>中小微企业客 户</w:t>
      </w:r>
      <w:r>
        <w:rPr>
          <w:rFonts w:ascii="Times New Roman" w:hAnsi="Times New Roman" w:cs="Times New Roman" w:eastAsia="Times New Roman" w:hint="default"/>
        </w:rPr>
        <w:t>”</w:t>
      </w:r>
      <w:r>
        <w:rPr/>
        <w:t>全面提升用户业务运营水平，推动交易管理以及资金管理的智能化、高效化发展。</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年度，公司第三方支付业务的交 易规模实现超</w:t>
      </w:r>
      <w:r>
        <w:rPr>
          <w:spacing w:val="-48"/>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3"/>
        </w:rPr>
        <w:t> </w:t>
      </w:r>
      <w:r>
        <w:rPr/>
        <w:t>亿元的突破性发展，较</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年度增长幅度达</w:t>
      </w:r>
      <w:r>
        <w:rPr>
          <w:spacing w:val="-48"/>
        </w:rPr>
        <w:t> </w:t>
      </w:r>
      <w:r>
        <w:rPr>
          <w:rFonts w:ascii="Times New Roman" w:hAnsi="Times New Roman" w:cs="Times New Roman" w:eastAsia="Times New Roman" w:hint="default"/>
        </w:rPr>
        <w:t>66.67%</w:t>
      </w:r>
      <w:r>
        <w:rPr/>
        <w:t>，公司第三方支付业务交易规模再创新高。同时，</w:t>
      </w:r>
    </w:p>
    <w:p>
      <w:pPr>
        <w:pStyle w:val="BodyText"/>
        <w:spacing w:line="312" w:lineRule="auto" w:before="13"/>
        <w:ind w:right="1132"/>
        <w:jc w:val="both"/>
      </w:pPr>
      <w:r>
        <w:rPr/>
        <w:t>联动优势在</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4"/>
        </w:rPr>
        <w:t>年度取得了中国人民银行正式颁发的续展后的《支付业务许可证》，公司业务范畴涵盖全国范围的互联网支</w:t>
      </w:r>
      <w:r>
        <w:rPr/>
        <w:t> </w:t>
      </w:r>
      <w:r>
        <w:rPr>
          <w:spacing w:val="-2"/>
        </w:rPr>
        <w:t>付、移动电话支付、银行卡收单，在此基础上，联动优势还对外提供基金支付、跨境外汇支付、跨境人民币支付、供应链管</w:t>
      </w:r>
      <w:r>
        <w:rPr>
          <w:spacing w:val="-72"/>
        </w:rPr>
        <w:t> </w:t>
      </w:r>
      <w:r>
        <w:rPr>
          <w:spacing w:val="-72"/>
        </w:rPr>
      </w:r>
      <w:r>
        <w:rPr>
          <w:spacing w:val="-2"/>
        </w:rPr>
        <w:t>理解决方案等综合金融科技服务。另外，联动优势在报告期内还完成了以高铁移动支付为代表的行业标杆项目，目前正在推</w:t>
      </w:r>
      <w:r>
        <w:rPr>
          <w:spacing w:val="-66"/>
        </w:rPr>
        <w:t> </w:t>
      </w:r>
      <w:r>
        <w:rPr>
          <w:spacing w:val="-66"/>
        </w:rPr>
      </w:r>
      <w:r>
        <w:rPr/>
        <w:t>广中。</w:t>
      </w:r>
    </w:p>
    <w:p>
      <w:pPr>
        <w:pStyle w:val="BodyText"/>
        <w:spacing w:line="338" w:lineRule="auto" w:before="63"/>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、大数据服务</w:t>
      </w:r>
      <w:r>
        <w:rPr>
          <w:rFonts w:ascii="宋体" w:hAnsi="宋体" w:cs="宋体" w:eastAsia="宋体" w:hint="default"/>
          <w:b/>
          <w:bCs/>
          <w:w w:val="99"/>
        </w:rPr>
        <w:t> </w:t>
      </w:r>
      <w:r>
        <w:rPr>
          <w:spacing w:val="-2"/>
        </w:rPr>
        <w:t>从外部环境看，近年来，随着科学技术的发展进步，人们对数据的认知不断提升，</w:t>
      </w:r>
      <w:hyperlink r:id="rId13">
        <w:r>
          <w:rPr>
            <w:spacing w:val="-2"/>
          </w:rPr>
          <w:t>大数据</w:t>
        </w:r>
      </w:hyperlink>
      <w:r>
        <w:rPr>
          <w:spacing w:val="-2"/>
        </w:rPr>
        <w:t>从科学前沿逐渐深入到各行各</w:t>
      </w:r>
    </w:p>
    <w:p>
      <w:pPr>
        <w:pStyle w:val="BodyText"/>
        <w:spacing w:line="312" w:lineRule="auto" w:before="2"/>
        <w:ind w:right="1033"/>
        <w:jc w:val="left"/>
      </w:pPr>
      <w:r>
        <w:rPr>
          <w:spacing w:val="-2"/>
        </w:rPr>
        <w:t>业，与此同时，随着大数据、人工智能、机器学习、深度学习等技术的快速发展，促进了商业智能和数据分析产品的新一轮</w:t>
      </w:r>
      <w:r>
        <w:rPr>
          <w:spacing w:val="-67"/>
        </w:rPr>
        <w:t> </w:t>
      </w:r>
      <w:r>
        <w:rPr>
          <w:spacing w:val="-67"/>
        </w:rPr>
      </w:r>
      <w:r>
        <w:rPr>
          <w:spacing w:val="-2"/>
        </w:rPr>
        <w:t>进化，大数据技术已经被视为未来经济生活中的基础设施，这意味着几乎全部行业均能在大数据分析技术之上获得相应经济</w:t>
      </w:r>
      <w:r>
        <w:rPr>
          <w:spacing w:val="-63"/>
        </w:rPr>
        <w:t> </w:t>
      </w:r>
      <w:r>
        <w:rPr>
          <w:spacing w:val="-63"/>
        </w:rPr>
      </w:r>
      <w:r>
        <w:rPr>
          <w:spacing w:val="-2"/>
        </w:rPr>
        <w:t>效率的提升；从企业自身驱动方面看，当前经济竞争日益严峻，企业的竞争压力空前巨大，企业盈利的压力和难度骤增，愈</w:t>
      </w:r>
      <w:r>
        <w:rPr>
          <w:spacing w:val="-66"/>
        </w:rPr>
        <w:t> </w:t>
      </w:r>
      <w:r>
        <w:rPr>
          <w:spacing w:val="-66"/>
        </w:rPr>
      </w:r>
      <w:r>
        <w:rPr/>
        <w:t>来愈多的企业尤其是一、二线稍具规模的企业，其经营管理层均希望通过精细化运营提升企业竞争力，降低企业运营成本， 该需求将在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年陆续爆发，这将带动大数据行业的跨越式发展。公司在报告期内重视技术创新，在大数据分布 式存储和计算、数据挖掘等方面持续投入，同时在可操作性和功能丰富度、平台安全性、数据管理能力、分析的共享能力、 数据挖掘能力、大数据处理能力六大功能模块做了大量工作，全年申请大数据发明专利</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spacing w:val="-3"/>
        </w:rPr>
        <w:t>项。报告期内，公司数据业务收入</w:t>
      </w:r>
      <w:r>
        <w:rPr/>
        <w:t> 较</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年度增长</w:t>
      </w:r>
      <w:r>
        <w:rPr>
          <w:spacing w:val="-46"/>
        </w:rPr>
        <w:t> </w:t>
      </w:r>
      <w:r>
        <w:rPr>
          <w:rFonts w:ascii="Times New Roman" w:hAnsi="Times New Roman" w:cs="Times New Roman" w:eastAsia="Times New Roman" w:hint="default"/>
        </w:rPr>
        <w:t>127.61%</w:t>
      </w:r>
      <w:r>
        <w:rPr/>
        <w:t>。</w:t>
      </w:r>
    </w:p>
    <w:p>
      <w:pPr>
        <w:pStyle w:val="BodyText"/>
        <w:spacing w:line="338" w:lineRule="auto" w:before="42"/>
        <w:ind w:left="514" w:right="0"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rFonts w:ascii="宋体" w:hAnsi="宋体" w:cs="宋体" w:eastAsia="宋体" w:hint="default"/>
          <w:b/>
          <w:bCs/>
        </w:rPr>
        <w:t>、移动信息服务</w:t>
      </w:r>
      <w:r>
        <w:rPr>
          <w:rFonts w:ascii="宋体" w:hAnsi="宋体" w:cs="宋体" w:eastAsia="宋体" w:hint="default"/>
          <w:b/>
          <w:bCs/>
          <w:w w:val="99"/>
        </w:rPr>
        <w:t> </w:t>
      </w:r>
      <w:r>
        <w:rPr>
          <w:spacing w:val="-3"/>
          <w:w w:val="99"/>
        </w:rPr>
        <w:t>公司全资子公司联动优势是中国移动银信通业务运营支撑单位、集团业务集成商（</w:t>
      </w:r>
      <w:r>
        <w:rPr>
          <w:rFonts w:ascii="Times New Roman" w:hAnsi="Times New Roman" w:cs="Times New Roman" w:eastAsia="Times New Roman" w:hint="default"/>
          <w:spacing w:val="-3"/>
          <w:w w:val="99"/>
        </w:rPr>
        <w:t>SI</w:t>
      </w:r>
      <w:r>
        <w:rPr>
          <w:spacing w:val="-3"/>
          <w:w w:val="99"/>
        </w:rPr>
        <w:t>），是目前国内最大、面向</w:t>
      </w:r>
      <w:r>
        <w:rPr>
          <w:rFonts w:ascii="Times New Roman" w:hAnsi="Times New Roman" w:cs="Times New Roman" w:eastAsia="Times New Roman" w:hint="default"/>
          <w:spacing w:val="-3"/>
          <w:w w:val="99"/>
        </w:rPr>
        <w:t>“955xx”</w:t>
      </w:r>
    </w:p>
    <w:p>
      <w:pPr>
        <w:pStyle w:val="BodyText"/>
        <w:spacing w:line="217" w:lineRule="exact"/>
        <w:ind w:right="0"/>
        <w:jc w:val="left"/>
      </w:pPr>
      <w:r>
        <w:rPr>
          <w:spacing w:val="-4"/>
        </w:rPr>
        <w:t>号段银行总行客户短彩信发送系统提供专业化运营和维护的提供商，公司移动信息服务业务是基于移动、电信、联通（三网）</w:t>
      </w:r>
    </w:p>
    <w:p>
      <w:pPr>
        <w:pStyle w:val="BodyText"/>
        <w:spacing w:line="309" w:lineRule="auto" w:before="76"/>
        <w:ind w:right="1124"/>
        <w:jc w:val="both"/>
      </w:pPr>
      <w:r>
        <w:rPr>
          <w:spacing w:val="-2"/>
        </w:rPr>
        <w:t>等资源，利用自身拥有的服务能力，为个人和企业提供安全便捷的金融信息服务综合解决方案，主要包括银信通、联信通等</w:t>
      </w:r>
      <w:r>
        <w:rPr>
          <w:spacing w:val="-66"/>
        </w:rPr>
        <w:t> </w:t>
      </w:r>
      <w:r>
        <w:rPr>
          <w:spacing w:val="-66"/>
        </w:rPr>
      </w:r>
      <w:r>
        <w:rPr/>
        <w:t>业务：</w:t>
      </w:r>
      <w:r>
        <w:rPr>
          <w:rFonts w:ascii="Times New Roman" w:hAnsi="Times New Roman" w:cs="Times New Roman" w:eastAsia="Times New Roman" w:hint="default"/>
        </w:rPr>
        <w:t>1</w:t>
      </w:r>
      <w:r>
        <w:rPr/>
        <w:t>）银信通业务基于</w:t>
      </w:r>
      <w:r>
        <w:rPr>
          <w:spacing w:val="-47"/>
        </w:rPr>
        <w:t> </w:t>
      </w:r>
      <w:r>
        <w:rPr>
          <w:rFonts w:ascii="Times New Roman" w:hAnsi="Times New Roman" w:cs="Times New Roman" w:eastAsia="Times New Roman" w:hint="default"/>
        </w:rPr>
        <w:t>MAS(</w:t>
      </w:r>
      <w:r>
        <w:rPr/>
        <w:t>移动代理服务器</w:t>
      </w:r>
      <w:r>
        <w:rPr>
          <w:rFonts w:ascii="Times New Roman" w:hAnsi="Times New Roman" w:cs="Times New Roman" w:eastAsia="Times New Roman" w:hint="default"/>
        </w:rPr>
        <w:t>)</w:t>
      </w:r>
      <w:r>
        <w:rPr/>
        <w:t>、移动网络、移动终端等资源和服务能力，让银行及银行客户随时随身、</w:t>
      </w:r>
      <w:r>
        <w:rPr>
          <w:w w:val="99"/>
        </w:rPr>
        <w:t> </w:t>
      </w:r>
      <w:r>
        <w:rPr/>
        <w:t>经济快捷地享受金融信息服务。</w:t>
      </w:r>
      <w:r>
        <w:rPr>
          <w:rFonts w:ascii="Times New Roman" w:hAnsi="Times New Roman" w:cs="Times New Roman" w:eastAsia="Times New Roman" w:hint="default"/>
        </w:rPr>
        <w:t>2</w:t>
      </w:r>
      <w:r>
        <w:rPr/>
        <w:t>）联信通业务是联动优势面向行业客户推出的无线应用服务，主要为银行及中小企业提供</w:t>
      </w:r>
      <w:r>
        <w:rPr>
          <w:w w:val="99"/>
        </w:rPr>
        <w:t> </w:t>
      </w:r>
      <w:r>
        <w:rPr>
          <w:spacing w:val="-2"/>
        </w:rPr>
        <w:t>安全可靠、一点式接入的高品质电信级通信服务，通过联信通为客户提供基于移动、电信、联通（三网）的信息类服务。报</w:t>
      </w:r>
      <w:r>
        <w:rPr>
          <w:spacing w:val="-73"/>
        </w:rPr>
        <w:t> </w:t>
      </w:r>
      <w:r>
        <w:rPr>
          <w:spacing w:val="-73"/>
        </w:rPr>
      </w:r>
      <w:r>
        <w:rPr/>
        <w:t>告期内，公司移动信息服务获得平稳发展。</w:t>
      </w:r>
    </w:p>
    <w:p>
      <w:pPr>
        <w:pStyle w:val="Heading6"/>
        <w:spacing w:line="240" w:lineRule="auto" w:before="65"/>
        <w:ind w:right="0"/>
        <w:jc w:val="left"/>
        <w:rPr>
          <w:b w:val="0"/>
          <w:bCs w:val="0"/>
        </w:rPr>
      </w:pPr>
      <w:r>
        <w:rPr>
          <w:rFonts w:ascii="Times New Roman" w:hAnsi="Times New Roman" w:cs="Times New Roman" w:eastAsia="Times New Roman" w:hint="default"/>
        </w:rPr>
        <w:t>4</w:t>
      </w:r>
      <w:r>
        <w:rPr/>
        <w:t>、跨境电商服务</w:t>
      </w:r>
      <w:r>
        <w:rPr>
          <w:b w:val="0"/>
          <w:bCs w:val="0"/>
        </w:rPr>
      </w:r>
    </w:p>
    <w:p>
      <w:pPr>
        <w:pStyle w:val="BodyText"/>
        <w:spacing w:line="240" w:lineRule="auto" w:before="102"/>
        <w:ind w:left="424" w:right="0"/>
        <w:jc w:val="left"/>
      </w:pPr>
      <w:r>
        <w:rPr/>
        <w:t>（</w:t>
      </w:r>
      <w:r>
        <w:rPr>
          <w:rFonts w:ascii="Times New Roman" w:hAnsi="Times New Roman" w:cs="Times New Roman" w:eastAsia="Times New Roman" w:hint="default"/>
        </w:rPr>
        <w:t>1</w:t>
      </w:r>
      <w:r>
        <w:rPr/>
        <w:t>）跨境支付业务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3" w:firstLine="360"/>
        <w:jc w:val="left"/>
      </w:pPr>
      <w:r>
        <w:rPr/>
        <w:t>联动商务于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年底分别取得北京市外汇管理局及广州市人民银行颁发的跨境外币业务试点资质以及跨境人民币业务 资质。</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年开始，公司跨境支付业务实现了出口、进口业务的双向运行体系，满足包括货物贸易、留学、机票、酒店、 旅游、国际会议、物流、软件服务、通信服务九个行业范围的本外币跨境结算，提供包括美元、欧元、港币、日元、英镑、 澳大利亚元等在内的至少</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个可结算币种，服务覆盖全球</w:t>
      </w:r>
      <w:r>
        <w:rPr>
          <w:spacing w:val="-52"/>
        </w:rPr>
        <w:t> </w:t>
      </w:r>
      <w:r>
        <w:rPr>
          <w:rFonts w:ascii="Times New Roman" w:hAnsi="Times New Roman" w:cs="Times New Roman" w:eastAsia="Times New Roman" w:hint="default"/>
        </w:rPr>
        <w:t>239</w:t>
      </w:r>
      <w:r>
        <w:rPr>
          <w:rFonts w:ascii="Times New Roman" w:hAnsi="Times New Roman" w:cs="Times New Roman" w:eastAsia="Times New Roman" w:hint="default"/>
          <w:spacing w:val="-7"/>
        </w:rPr>
        <w:t> </w:t>
      </w:r>
      <w:r>
        <w:rPr/>
        <w:t>个国家和地区。</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年度，公司跨境电商服务业务在跨境支 </w:t>
      </w:r>
      <w:r>
        <w:rPr>
          <w:spacing w:val="-2"/>
        </w:rPr>
        <w:t>付领域开展了大量的拓展工作，主要集中在为各类开展电子商务的境内外商户和境内外电子商务平台提供外币和人民币支付</w:t>
      </w:r>
      <w:r>
        <w:rPr>
          <w:spacing w:val="-64"/>
        </w:rPr>
        <w:t> </w:t>
      </w:r>
      <w:r>
        <w:rPr>
          <w:spacing w:val="-64"/>
        </w:rPr>
      </w:r>
      <w:r>
        <w:rPr/>
        <w:t>及结算的整体解决方案。报告期内，公司跨境支付业务新增外汇合作银行通道，降低业务成本，全年实现交易额约</w:t>
      </w:r>
      <w:r>
        <w:rPr>
          <w:spacing w:val="-45"/>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亿元</w:t>
      </w:r>
    </w:p>
    <w:p>
      <w:pPr>
        <w:pStyle w:val="BodyText"/>
        <w:spacing w:line="240" w:lineRule="auto" w:before="7"/>
        <w:ind w:left="154" w:right="0"/>
        <w:jc w:val="both"/>
      </w:pPr>
      <w:r>
        <w:rPr/>
        <w:t>人民币，合作商户</w:t>
      </w:r>
      <w:r>
        <w:rPr>
          <w:spacing w:val="-46"/>
        </w:rPr>
        <w:t> </w:t>
      </w:r>
      <w:r>
        <w:rPr>
          <w:rFonts w:ascii="Times New Roman" w:hAnsi="Times New Roman" w:cs="Times New Roman" w:eastAsia="Times New Roman" w:hint="default"/>
        </w:rPr>
        <w:t>120</w:t>
      </w:r>
      <w:r>
        <w:rPr>
          <w:rFonts w:ascii="Times New Roman" w:hAnsi="Times New Roman" w:cs="Times New Roman" w:eastAsia="Times New Roman" w:hint="default"/>
          <w:spacing w:val="-1"/>
        </w:rPr>
        <w:t> </w:t>
      </w:r>
      <w:r>
        <w:rPr/>
        <w:t>余家，结算地区涉及香港、美国、澳大利亚、日本、瑞典、加拿大等</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个国家和地区，交易规模增</w:t>
      </w:r>
    </w:p>
    <w:p>
      <w:pPr>
        <w:pStyle w:val="BodyText"/>
        <w:spacing w:line="240" w:lineRule="auto" w:before="64"/>
        <w:ind w:right="0"/>
        <w:jc w:val="both"/>
      </w:pPr>
      <w:r>
        <w:rPr/>
        <w:t>长幅度高达</w:t>
      </w:r>
      <w:r>
        <w:rPr>
          <w:spacing w:val="-46"/>
        </w:rPr>
        <w:t> </w:t>
      </w:r>
      <w:r>
        <w:rPr>
          <w:rFonts w:ascii="Times New Roman" w:hAnsi="Times New Roman" w:cs="Times New Roman" w:eastAsia="Times New Roman" w:hint="default"/>
        </w:rPr>
        <w:t>3 </w:t>
      </w:r>
      <w:r>
        <w:rPr/>
        <w:t>倍。</w:t>
      </w:r>
    </w:p>
    <w:p>
      <w:pPr>
        <w:pStyle w:val="BodyText"/>
        <w:spacing w:line="338" w:lineRule="auto" w:before="102"/>
        <w:ind w:left="514" w:right="0"/>
        <w:jc w:val="left"/>
      </w:pPr>
      <w:r>
        <w:rPr/>
        <w:t>（</w:t>
      </w:r>
      <w:r>
        <w:rPr>
          <w:rFonts w:ascii="Times New Roman" w:hAnsi="Times New Roman" w:cs="Times New Roman" w:eastAsia="Times New Roman" w:hint="default"/>
        </w:rPr>
        <w:t>2</w:t>
      </w:r>
      <w:r>
        <w:rPr/>
        <w:t>）跨境综合服务平台建设 </w:t>
      </w:r>
      <w:r>
        <w:rPr>
          <w:spacing w:val="-2"/>
        </w:rPr>
        <w:t>根据公司跨境电商综合服务平台的中长期发展战略，公司在报告期内积极推进并完成了该平台的建设，促进了公司跨境</w:t>
      </w:r>
    </w:p>
    <w:p>
      <w:pPr>
        <w:pStyle w:val="BodyText"/>
        <w:spacing w:line="314" w:lineRule="auto" w:before="2"/>
        <w:ind w:right="1043"/>
        <w:jc w:val="both"/>
      </w:pPr>
      <w:r>
        <w:rPr>
          <w:spacing w:val="-2"/>
        </w:rPr>
        <w:t>支付业务的快速发展。与此同时，联动优势联合保理类业务在报告期内成功落地了基于跨境支付为平台商家提供定制化金融</w:t>
      </w:r>
      <w:r>
        <w:rPr>
          <w:spacing w:val="-64"/>
        </w:rPr>
        <w:t> </w:t>
      </w:r>
      <w:r>
        <w:rPr>
          <w:spacing w:val="-64"/>
        </w:rPr>
      </w:r>
      <w:r>
        <w:rPr>
          <w:spacing w:val="-2"/>
        </w:rPr>
        <w:t>服务的项目，实现了该业务的突破性发展。报告期内，公司对联动商务跨境平台技术应用能力实现国际化升级改造，全部采</w:t>
      </w:r>
      <w:r>
        <w:rPr>
          <w:spacing w:val="-66"/>
        </w:rPr>
        <w:t> </w:t>
      </w:r>
      <w:r>
        <w:rPr>
          <w:spacing w:val="-66"/>
        </w:rPr>
      </w:r>
      <w:r>
        <w:rPr/>
        <w:t>用</w:t>
      </w:r>
      <w:r>
        <w:rPr>
          <w:spacing w:val="-47"/>
        </w:rPr>
        <w:t> </w:t>
      </w:r>
      <w:r>
        <w:rPr>
          <w:rFonts w:ascii="Times New Roman" w:hAnsi="Times New Roman" w:cs="Times New Roman" w:eastAsia="Times New Roman" w:hint="default"/>
        </w:rPr>
        <w:t>RESTFUL </w:t>
      </w:r>
      <w:r>
        <w:rPr/>
        <w:t>接口，并将区块链技术成功应用于供应链金融业务，为外部企业的保理业务提供了跨境应收款质押授信服务， </w:t>
      </w:r>
      <w:r>
        <w:rPr>
          <w:spacing w:val="-4"/>
        </w:rPr>
        <w:t>同时，通过区块链技术跟踪供应商的订单、应收款回款额、融资情况等信息，向客户提供授信服务，有效降低保理公司风险，</w:t>
      </w:r>
      <w:r>
        <w:rPr>
          <w:spacing w:val="-44"/>
        </w:rPr>
        <w:t> </w:t>
      </w:r>
      <w:r>
        <w:rPr>
          <w:spacing w:val="-44"/>
        </w:rPr>
      </w:r>
      <w:r>
        <w:rPr/>
        <w:t>大大提升了公司跨境业务的综合竞争力。</w:t>
      </w:r>
    </w:p>
    <w:p>
      <w:pPr>
        <w:spacing w:line="338" w:lineRule="auto" w:before="60"/>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、运营商话费计费结算服务</w:t>
      </w:r>
      <w:r>
        <w:rPr>
          <w:rFonts w:ascii="宋体" w:hAnsi="宋体" w:cs="宋体" w:eastAsia="宋体" w:hint="default"/>
          <w:b/>
          <w:bCs/>
          <w:w w:val="99"/>
          <w:sz w:val="18"/>
          <w:szCs w:val="18"/>
        </w:rPr>
        <w:t> </w:t>
      </w:r>
      <w:r>
        <w:rPr>
          <w:rFonts w:ascii="宋体" w:hAnsi="宋体" w:cs="宋体" w:eastAsia="宋体" w:hint="default"/>
          <w:spacing w:val="-2"/>
          <w:sz w:val="18"/>
          <w:szCs w:val="18"/>
        </w:rPr>
        <w:t>运营商话费计费结算与营销服务以电信运营商为主要计费和营销渠道，向互联网行业提供三网融合计费结算服务，并向</w:t>
      </w:r>
    </w:p>
    <w:p>
      <w:pPr>
        <w:pStyle w:val="BodyText"/>
        <w:spacing w:line="340" w:lineRule="auto" w:before="4"/>
        <w:ind w:left="515" w:right="1305" w:hanging="362"/>
        <w:jc w:val="left"/>
        <w:rPr>
          <w:rFonts w:ascii="宋体" w:hAnsi="宋体" w:cs="宋体" w:eastAsia="宋体" w:hint="default"/>
        </w:rPr>
      </w:pPr>
      <w:r>
        <w:rPr/>
        <w:t>线上线下行业提供营销服务。</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年度，公司运营商计费结算与营销服务实现营业收入</w:t>
      </w:r>
      <w:r>
        <w:rPr>
          <w:spacing w:val="-46"/>
        </w:rPr>
        <w:t> </w:t>
      </w:r>
      <w:r>
        <w:rPr>
          <w:rFonts w:ascii="Times New Roman" w:hAnsi="Times New Roman" w:cs="Times New Roman" w:eastAsia="Times New Roman" w:hint="default"/>
        </w:rPr>
        <w:t>1.21 </w:t>
      </w:r>
      <w:r>
        <w:rPr/>
        <w:t>亿元，业务保持平稳发展。 </w:t>
      </w:r>
      <w:r>
        <w:rPr>
          <w:rFonts w:ascii="宋体" w:hAnsi="宋体" w:cs="宋体" w:eastAsia="宋体" w:hint="default"/>
          <w:b/>
          <w:bCs/>
        </w:rPr>
        <w:t>智能制造板块介绍：</w:t>
      </w:r>
      <w:r>
        <w:rPr>
          <w:rFonts w:ascii="宋体" w:hAnsi="宋体" w:cs="宋体" w:eastAsia="宋体" w:hint="default"/>
        </w:rPr>
      </w:r>
    </w:p>
    <w:p>
      <w:pPr>
        <w:pStyle w:val="Heading6"/>
        <w:spacing w:line="240" w:lineRule="auto" w:before="40"/>
        <w:ind w:right="0"/>
        <w:jc w:val="left"/>
        <w:rPr>
          <w:b w:val="0"/>
          <w:bCs w:val="0"/>
        </w:rPr>
      </w:pPr>
      <w:r>
        <w:rPr>
          <w:rFonts w:ascii="Times New Roman" w:hAnsi="Times New Roman" w:cs="Times New Roman" w:eastAsia="Times New Roman" w:hint="default"/>
        </w:rPr>
        <w:t>1</w:t>
      </w:r>
      <w:r>
        <w:rPr/>
        <w:t>、汽车及配件业务</w:t>
      </w:r>
      <w:r>
        <w:rPr>
          <w:b w:val="0"/>
          <w:bCs w:val="0"/>
        </w:rPr>
      </w:r>
    </w:p>
    <w:p>
      <w:pPr>
        <w:pStyle w:val="BodyText"/>
        <w:spacing w:line="309" w:lineRule="auto" w:before="101"/>
        <w:ind w:right="1033" w:firstLine="360"/>
        <w:jc w:val="left"/>
      </w:pPr>
      <w:r>
        <w:rPr/>
        <w:t>根据中国汽车工业协会数据显示，</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年汽车行业产销分别达</w:t>
      </w:r>
      <w:r>
        <w:rPr>
          <w:spacing w:val="-46"/>
        </w:rPr>
        <w:t> </w:t>
      </w:r>
      <w:r>
        <w:rPr>
          <w:rFonts w:ascii="Times New Roman" w:hAnsi="Times New Roman" w:cs="Times New Roman" w:eastAsia="Times New Roman" w:hint="default"/>
        </w:rPr>
        <w:t>2,901.5</w:t>
      </w:r>
      <w:r>
        <w:rPr>
          <w:rFonts w:ascii="Times New Roman" w:hAnsi="Times New Roman" w:cs="Times New Roman" w:eastAsia="Times New Roman" w:hint="default"/>
          <w:spacing w:val="-1"/>
        </w:rPr>
        <w:t> </w:t>
      </w:r>
      <w:r>
        <w:rPr/>
        <w:t>万辆和</w:t>
      </w:r>
      <w:r>
        <w:rPr>
          <w:spacing w:val="-46"/>
        </w:rPr>
        <w:t> </w:t>
      </w:r>
      <w:r>
        <w:rPr>
          <w:rFonts w:ascii="Times New Roman" w:hAnsi="Times New Roman" w:cs="Times New Roman" w:eastAsia="Times New Roman" w:hint="default"/>
        </w:rPr>
        <w:t>2,887.9 </w:t>
      </w:r>
      <w:r>
        <w:rPr/>
        <w:t>万辆，同比增速分别为</w:t>
      </w:r>
      <w:r>
        <w:rPr>
          <w:spacing w:val="-46"/>
        </w:rPr>
        <w:t> </w:t>
      </w:r>
      <w:r>
        <w:rPr>
          <w:rFonts w:ascii="Times New Roman" w:hAnsi="Times New Roman" w:cs="Times New Roman" w:eastAsia="Times New Roman" w:hint="default"/>
        </w:rPr>
        <w:t>3.19%</w:t>
      </w:r>
      <w:r>
        <w:rPr/>
        <w:t>和 </w:t>
      </w:r>
      <w:r>
        <w:rPr>
          <w:rFonts w:ascii="Times New Roman" w:hAnsi="Times New Roman" w:cs="Times New Roman" w:eastAsia="Times New Roman" w:hint="default"/>
        </w:rPr>
        <w:t>3.04%</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年末，中国汽车市场产销量连续九年蝉联全球第一，中国汽车市场仍是全球发展最蓬勃的市场。但随着 汽车购置税优惠减免政策的逐步回缩，</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年度汽车销量情况逊于预期，增速放缓，景气度下行，汽车行业增速呈现逐年 </w:t>
      </w:r>
      <w:r>
        <w:rPr>
          <w:spacing w:val="-2"/>
        </w:rPr>
        <w:t>放缓的态势。因该市场基数较大，为提升产品竞争力，抢占市场份额，各大汽车主机厂纷纷推出新车型，使市场竞争陷入白</w:t>
      </w:r>
      <w:r>
        <w:rPr>
          <w:spacing w:val="-66"/>
        </w:rPr>
        <w:t> </w:t>
      </w:r>
      <w:r>
        <w:rPr>
          <w:spacing w:val="-66"/>
        </w:rPr>
      </w:r>
      <w:r>
        <w:rPr>
          <w:spacing w:val="-2"/>
        </w:rPr>
        <w:t>热化，市场分化日益严重。为了满足用户需求，迎合社会发展，汽车行业的产品结构也在发生重大变化，新能源、智能驾驶</w:t>
      </w:r>
      <w:r>
        <w:rPr>
          <w:spacing w:val="-68"/>
        </w:rPr>
        <w:t> </w:t>
      </w:r>
      <w:r>
        <w:rPr>
          <w:spacing w:val="-68"/>
        </w:rPr>
      </w:r>
      <w:r>
        <w:rPr/>
        <w:t>将是汽车行业未来发展趋势。在上述汽车领域的经济大环境下，公司在报告期内一方面加大对乘用车配件业务的持续投入， </w:t>
      </w:r>
      <w:r>
        <w:rPr>
          <w:spacing w:val="-2"/>
        </w:rPr>
        <w:t>创新经营模式，实行轻资产运营产业链，推行</w:t>
      </w:r>
      <w:r>
        <w:rPr>
          <w:rFonts w:ascii="Times New Roman" w:hAnsi="Times New Roman" w:cs="Times New Roman" w:eastAsia="Times New Roman" w:hint="default"/>
          <w:spacing w:val="-2"/>
        </w:rPr>
        <w:t>“</w:t>
      </w:r>
      <w:r>
        <w:rPr>
          <w:spacing w:val="-2"/>
        </w:rPr>
        <w:t>以模养件</w:t>
      </w:r>
      <w:r>
        <w:rPr>
          <w:rFonts w:ascii="Times New Roman" w:hAnsi="Times New Roman" w:cs="Times New Roman" w:eastAsia="Times New Roman" w:hint="default"/>
          <w:spacing w:val="-2"/>
        </w:rPr>
        <w:t>”</w:t>
      </w:r>
      <w:r>
        <w:rPr>
          <w:spacing w:val="-2"/>
        </w:rPr>
        <w:t>，助力乘用车配件业务快速发展；另一方面聚焦商用车轻量化产品</w:t>
      </w:r>
      <w:r>
        <w:rPr>
          <w:spacing w:val="-44"/>
        </w:rPr>
        <w:t> </w:t>
      </w:r>
      <w:r>
        <w:rPr>
          <w:spacing w:val="-44"/>
        </w:rPr>
      </w:r>
      <w:r>
        <w:rPr>
          <w:spacing w:val="-2"/>
        </w:rPr>
        <w:t>的突破发展，加大研发力度，持续以优质产品及客户为导向，打造智能化</w:t>
      </w:r>
      <w:r>
        <w:rPr>
          <w:rFonts w:ascii="Times New Roman" w:hAnsi="Times New Roman" w:cs="Times New Roman" w:eastAsia="Times New Roman" w:hint="default"/>
          <w:spacing w:val="-2"/>
        </w:rPr>
        <w:t>“</w:t>
      </w:r>
      <w:r>
        <w:rPr>
          <w:spacing w:val="-2"/>
        </w:rPr>
        <w:t>精品</w:t>
      </w:r>
      <w:r>
        <w:rPr>
          <w:rFonts w:ascii="Times New Roman" w:hAnsi="Times New Roman" w:cs="Times New Roman" w:eastAsia="Times New Roman" w:hint="default"/>
          <w:spacing w:val="-2"/>
        </w:rPr>
        <w:t>”</w:t>
      </w:r>
      <w:r>
        <w:rPr>
          <w:spacing w:val="-2"/>
        </w:rPr>
        <w:t>生产工厂，加速推进自动化生产线改造升级</w:t>
      </w:r>
      <w:r>
        <w:rPr>
          <w:spacing w:val="-45"/>
        </w:rPr>
        <w:t> </w:t>
      </w:r>
      <w:r>
        <w:rPr>
          <w:spacing w:val="-45"/>
        </w:rPr>
      </w:r>
      <w:r>
        <w:rPr>
          <w:spacing w:val="-2"/>
        </w:rPr>
        <w:t>进度，提升产品核心竞争力，提高企业品牌知名度；同时，加大对汽车电机的研发力度，报告期内实现了汽车功能电机汽车</w:t>
      </w:r>
      <w:r>
        <w:rPr>
          <w:spacing w:val="-65"/>
        </w:rPr>
        <w:t> </w:t>
      </w:r>
      <w:r>
        <w:rPr>
          <w:spacing w:val="-65"/>
        </w:rPr>
      </w:r>
      <w:r>
        <w:rPr>
          <w:spacing w:val="-2"/>
        </w:rPr>
        <w:t>电空调压缩机电机和车载冰箱压缩机电机的小批量供货。通过公司经营管理层的不懈努力，报告期内，汽车及配件产业实现</w:t>
      </w:r>
      <w:r>
        <w:rPr>
          <w:spacing w:val="-66"/>
        </w:rPr>
        <w:t> </w:t>
      </w:r>
      <w:r>
        <w:rPr>
          <w:spacing w:val="-66"/>
        </w:rPr>
      </w:r>
      <w:r>
        <w:rPr/>
        <w:t>的营业收入较同期增长</w:t>
      </w:r>
      <w:r>
        <w:rPr>
          <w:spacing w:val="-46"/>
        </w:rPr>
        <w:t> </w:t>
      </w:r>
      <w:r>
        <w:rPr>
          <w:rFonts w:ascii="Times New Roman" w:hAnsi="Times New Roman" w:cs="Times New Roman" w:eastAsia="Times New Roman" w:hint="default"/>
        </w:rPr>
        <w:t>17.87%</w:t>
      </w:r>
      <w:r>
        <w:rPr/>
        <w:t>，为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年乘用车配件产业发展奠定坚实的基础。</w:t>
      </w:r>
    </w:p>
    <w:p>
      <w:pPr>
        <w:pStyle w:val="BodyText"/>
        <w:spacing w:line="338" w:lineRule="auto" w:before="46"/>
        <w:ind w:left="514" w:right="0" w:firstLine="1"/>
        <w:jc w:val="left"/>
      </w:pPr>
      <w:r>
        <w:rPr>
          <w:rFonts w:ascii="Times New Roman" w:hAnsi="Times New Roman" w:cs="Times New Roman" w:eastAsia="Times New Roman" w:hint="default"/>
          <w:b/>
          <w:bCs/>
        </w:rPr>
        <w:t>2</w:t>
      </w:r>
      <w:r>
        <w:rPr>
          <w:rFonts w:ascii="宋体" w:hAnsi="宋体" w:cs="宋体" w:eastAsia="宋体" w:hint="default"/>
          <w:b/>
          <w:bCs/>
        </w:rPr>
        <w:t>、家电配件业务</w:t>
      </w:r>
      <w:r>
        <w:rPr>
          <w:rFonts w:ascii="宋体" w:hAnsi="宋体" w:cs="宋体" w:eastAsia="宋体" w:hint="default"/>
          <w:b/>
          <w:bCs/>
          <w:w w:val="99"/>
        </w:rPr>
        <w:t> </w:t>
      </w:r>
      <w:r>
        <w:rPr>
          <w:spacing w:val="-2"/>
        </w:rPr>
        <w:t>自公司上市以来，毛利率较低的家电配件产业一直是本公司</w:t>
      </w:r>
      <w:r>
        <w:rPr>
          <w:rFonts w:ascii="Times New Roman" w:hAnsi="Times New Roman" w:cs="Times New Roman" w:eastAsia="Times New Roman" w:hint="default"/>
          <w:spacing w:val="-2"/>
        </w:rPr>
        <w:t>“</w:t>
      </w:r>
      <w:r>
        <w:rPr>
          <w:spacing w:val="-2"/>
        </w:rPr>
        <w:t>革命</w:t>
      </w:r>
      <w:r>
        <w:rPr>
          <w:rFonts w:ascii="Times New Roman" w:hAnsi="Times New Roman" w:cs="Times New Roman" w:eastAsia="Times New Roman" w:hint="default"/>
          <w:spacing w:val="-2"/>
        </w:rPr>
        <w:t>”</w:t>
      </w:r>
      <w:r>
        <w:rPr>
          <w:spacing w:val="-2"/>
        </w:rPr>
        <w:t>的对象，逐年有计划有目的的淘汰附加值低的家电配</w:t>
      </w:r>
    </w:p>
    <w:p>
      <w:pPr>
        <w:pStyle w:val="BodyText"/>
        <w:spacing w:line="218" w:lineRule="exact"/>
        <w:ind w:right="0"/>
        <w:jc w:val="both"/>
      </w:pPr>
      <w:r>
        <w:rPr/>
        <w:t>件产品，保留并深度开发毛利率较高的产品及客户，家电配件产品竞争力获得持续提升。</w:t>
      </w:r>
    </w:p>
    <w:p>
      <w:pPr>
        <w:pStyle w:val="Heading6"/>
        <w:spacing w:line="240" w:lineRule="auto" w:before="116"/>
        <w:ind w:right="0"/>
        <w:jc w:val="left"/>
        <w:rPr>
          <w:b w:val="0"/>
          <w:bCs w:val="0"/>
        </w:rPr>
      </w:pPr>
      <w:r>
        <w:rPr/>
        <w:t>（二）行业发展趋势和公司面临的竞争格局</w:t>
      </w:r>
      <w:r>
        <w:rPr>
          <w:b w:val="0"/>
          <w:bCs w:val="0"/>
        </w:rPr>
      </w:r>
    </w:p>
    <w:p>
      <w:pPr>
        <w:pStyle w:val="BodyText"/>
        <w:spacing w:line="312" w:lineRule="auto" w:before="116"/>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年是全面贯彻落实党的十九大精神的开局之年，经济社会发展具有良好支撑基础和诸多有利条件，与民生密切相 </w:t>
      </w:r>
      <w:r>
        <w:rPr>
          <w:spacing w:val="-2"/>
        </w:rPr>
        <w:t>关的就业、物价保持基本稳定，发展质量和效益有望持续提升，中国经济将在新常态下保持稳中向好发展态势。这些宏观经</w:t>
      </w:r>
      <w:r>
        <w:rPr>
          <w:spacing w:val="-66"/>
        </w:rPr>
        <w:t> </w:t>
      </w:r>
      <w:r>
        <w:rPr>
          <w:spacing w:val="-66"/>
        </w:rPr>
      </w:r>
      <w:r>
        <w:rPr>
          <w:spacing w:val="-2"/>
        </w:rPr>
        <w:t>济政策的变化将推动中国经济呈现出有别于以往的新特征，消费有望保持平稳增长，投资增速将略有回升，传统服务业将保</w:t>
      </w:r>
      <w:r>
        <w:rPr>
          <w:spacing w:val="-66"/>
        </w:rPr>
        <w:t> </w:t>
      </w:r>
      <w:r>
        <w:rPr>
          <w:spacing w:val="-66"/>
        </w:rPr>
      </w:r>
      <w:r>
        <w:rPr/>
        <w:t>持平稳增长。</w:t>
      </w:r>
    </w:p>
    <w:p>
      <w:pPr>
        <w:pStyle w:val="BodyText"/>
        <w:spacing w:line="316" w:lineRule="auto" w:before="61"/>
        <w:ind w:right="1130" w:firstLine="361"/>
        <w:jc w:val="both"/>
      </w:pPr>
      <w:r>
        <w:rPr>
          <w:rFonts w:ascii="宋体" w:hAnsi="宋体" w:cs="宋体" w:eastAsia="宋体" w:hint="default"/>
          <w:b/>
          <w:bCs/>
          <w:spacing w:val="-2"/>
        </w:rPr>
        <w:t>金融科技领域：</w:t>
      </w:r>
      <w:r>
        <w:rPr>
          <w:spacing w:val="-2"/>
        </w:rPr>
        <w:t>伴随着云计算、大数据、人工智能以及区块链在金融科技领域的持续应用和发展，金融科技被广泛的应</w:t>
      </w:r>
      <w:r>
        <w:rPr/>
        <w:t> </w:t>
      </w:r>
      <w:r>
        <w:rPr>
          <w:spacing w:val="-2"/>
        </w:rPr>
        <w:t>用到支付、信贷、财富管理、保险、证券等各个金融领域，出现纷繁复杂的技术概念，日新月异的商业模式、以及群雄逐鹿</w:t>
      </w:r>
      <w:r>
        <w:rPr>
          <w:spacing w:val="-72"/>
        </w:rPr>
        <w:t> </w:t>
      </w:r>
      <w:r>
        <w:rPr>
          <w:spacing w:val="-72"/>
        </w:rPr>
      </w:r>
      <w:r>
        <w:rPr>
          <w:spacing w:val="-2"/>
        </w:rPr>
        <w:t>的竞争格局难以避免。目前市场上参与到金融科技的竞争主体主要包括：金融机构、互联网公司、拥有某些特定场景的公司</w:t>
      </w:r>
      <w:r>
        <w:rPr>
          <w:spacing w:val="-66"/>
        </w:rPr>
        <w:t> </w:t>
      </w:r>
      <w:r>
        <w:rPr>
          <w:spacing w:val="-66"/>
        </w:rPr>
      </w:r>
      <w:r>
        <w:rPr>
          <w:spacing w:val="-2"/>
        </w:rPr>
        <w:t>及独立金融科技服务公司。各主体的商业模式主要包括：以金融科技为基础开展金融业务；依托金融科技，搭建闭环生态平</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台；输出金融科技基础服务。伴随着金融监管的深入以及监管科技手段的发展，未来各市场参与主体边界将更加明确，商业</w:t>
      </w:r>
      <w:r>
        <w:rPr>
          <w:spacing w:val="-66"/>
        </w:rPr>
        <w:t> </w:t>
      </w:r>
      <w:r>
        <w:rPr>
          <w:spacing w:val="-66"/>
        </w:rPr>
      </w:r>
      <w:r>
        <w:rPr>
          <w:spacing w:val="-2"/>
        </w:rPr>
        <w:t>模式更加清晰，从竞争大于合作，转变为合作大于竞争的新竞合模式，这将有利于金融监管深化，金融普惠健康发展，以及</w:t>
      </w:r>
      <w:r>
        <w:rPr>
          <w:spacing w:val="-66"/>
        </w:rPr>
        <w:t> </w:t>
      </w:r>
      <w:r>
        <w:rPr>
          <w:spacing w:val="-66"/>
        </w:rPr>
      </w:r>
      <w:r>
        <w:rPr>
          <w:spacing w:val="-2"/>
        </w:rPr>
        <w:t>金融科技技术的发展。未来金融科技行业主要发展趋势包括：一是出现更多的专注金融科技技术研究的公司，推动金融科技</w:t>
      </w:r>
      <w:r>
        <w:rPr>
          <w:spacing w:val="-66"/>
        </w:rPr>
        <w:t> </w:t>
      </w:r>
      <w:r>
        <w:rPr>
          <w:spacing w:val="-66"/>
        </w:rPr>
      </w:r>
      <w:r>
        <w:rPr>
          <w:spacing w:val="-2"/>
        </w:rPr>
        <w:t>技术发展；二是金融科技出海将加快市场步伐，市场边界的延伸；三是金融科技公司与金融机构及监管机构深入合作，合规</w:t>
      </w:r>
      <w:r>
        <w:rPr>
          <w:spacing w:val="-66"/>
        </w:rPr>
        <w:t> </w:t>
      </w:r>
      <w:r>
        <w:rPr>
          <w:spacing w:val="-66"/>
        </w:rPr>
      </w:r>
      <w:r>
        <w:rPr/>
        <w:t>经营将成为金融科技创新的底线；四是金融科技与传统企业加速结合，为传统企业发展赋能，帮助传统企业转型。</w:t>
      </w:r>
    </w:p>
    <w:p>
      <w:pPr>
        <w:pStyle w:val="BodyText"/>
        <w:spacing w:line="309" w:lineRule="auto" w:before="55"/>
        <w:ind w:right="1033" w:firstLine="361"/>
        <w:jc w:val="left"/>
      </w:pPr>
      <w:r>
        <w:rPr>
          <w:rFonts w:ascii="宋体" w:hAnsi="宋体" w:cs="宋体" w:eastAsia="宋体" w:hint="default"/>
          <w:b/>
          <w:bCs/>
        </w:rPr>
        <w:t>智能制造领域：</w:t>
      </w:r>
      <w:r>
        <w:rPr/>
        <w:t>在国内经济稳中向好、消费保持平稳增长、投资增速略有回升的大经济环境下，</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年中国汽车市场 </w:t>
      </w:r>
      <w:r>
        <w:rPr>
          <w:spacing w:val="-2"/>
        </w:rPr>
        <w:t>的发展将呈现持续稳定上升的新态势。中国汽车市场产销已连续九年蝉联全球首位，国内汽车消费者更趋成熟，形成了独特</w:t>
      </w:r>
      <w:r>
        <w:rPr>
          <w:spacing w:val="-66"/>
        </w:rPr>
        <w:t> </w:t>
      </w:r>
      <w:r>
        <w:rPr>
          <w:spacing w:val="-66"/>
        </w:rPr>
      </w:r>
      <w:r>
        <w:rPr/>
        <w:t>的消费理念。随着国内城镇化率进一步提升、基建进一步完善以及人均可支配收入的增加，首次购车及消费升级需求旺盛， 这将拉动汽车产业的持续增长。但全球经济不稳定、不确定性因素较多，</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年度，公司所处的以汽车及配件产业为主导 的智能制造产业风险与机遇并存。</w:t>
      </w:r>
    </w:p>
    <w:p>
      <w:pPr>
        <w:spacing w:line="240" w:lineRule="auto" w:before="1"/>
        <w:rPr>
          <w:rFonts w:ascii="宋体" w:hAnsi="宋体" w:cs="宋体" w:eastAsia="宋体" w:hint="default"/>
          <w:sz w:val="21"/>
          <w:szCs w:val="21"/>
        </w:rPr>
      </w:pPr>
    </w:p>
    <w:p>
      <w:pPr>
        <w:pStyle w:val="Heading2"/>
        <w:spacing w:line="240" w:lineRule="auto"/>
        <w:ind w:left="15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主要是报告期公司厂区、设备等转入固定资产投入使用所致。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14" w:lineRule="auto" w:before="26"/>
        <w:ind w:right="0" w:firstLine="360"/>
        <w:jc w:val="left"/>
      </w:pPr>
      <w:r>
        <w:rPr/>
        <w:t>基于</w:t>
      </w:r>
      <w:r>
        <w:rPr>
          <w:rFonts w:ascii="Times New Roman" w:hAnsi="Times New Roman" w:cs="Times New Roman" w:eastAsia="Times New Roman" w:hint="default"/>
        </w:rPr>
        <w:t>“</w:t>
      </w:r>
      <w:r>
        <w:rPr/>
        <w:t>全球视野、客户导向、创新驱动、价值多赢</w:t>
      </w:r>
      <w:r>
        <w:rPr>
          <w:rFonts w:ascii="Times New Roman" w:hAnsi="Times New Roman" w:cs="Times New Roman" w:eastAsia="Times New Roman" w:hint="default"/>
        </w:rPr>
        <w:t>”</w:t>
      </w:r>
      <w:r>
        <w:rPr/>
        <w:t>的战略目标，公司董事会战略委员会在年初制定了坚持金融科技板块 </w:t>
      </w:r>
      <w:r>
        <w:rPr>
          <w:spacing w:val="-2"/>
        </w:rPr>
        <w:t>重点发力第三方支付及数据业务、制造板块以乘用车为主力的经营方针，双主业在报告期内齐头并进。经过多年的积淀，公</w:t>
      </w:r>
      <w:r>
        <w:rPr>
          <w:spacing w:val="-66"/>
        </w:rPr>
        <w:t> </w:t>
      </w:r>
      <w:r>
        <w:rPr>
          <w:spacing w:val="-66"/>
        </w:rPr>
      </w:r>
      <w:r>
        <w:rPr>
          <w:spacing w:val="-4"/>
        </w:rPr>
        <w:t>司金融科技板块形成了以金融服务为基础平台，以融合支付、大数据、信息科技为手段的技术优势，为客户群提供包括风控、</w:t>
      </w:r>
      <w:r>
        <w:rPr>
          <w:spacing w:val="-46"/>
        </w:rPr>
        <w:t> </w:t>
      </w:r>
      <w:r>
        <w:rPr>
          <w:spacing w:val="-46"/>
        </w:rPr>
      </w:r>
      <w:r>
        <w:rPr>
          <w:spacing w:val="-2"/>
        </w:rPr>
        <w:t>精准营销、信息、清结算在内的一揽子服务，充分体现了公司的资源整合能力；公司智能制造板块将利用现有资源，创新经</w:t>
      </w:r>
      <w:r>
        <w:rPr>
          <w:spacing w:val="-66"/>
        </w:rPr>
        <w:t> </w:t>
      </w:r>
      <w:r>
        <w:rPr>
          <w:spacing w:val="-66"/>
        </w:rPr>
      </w:r>
      <w:r>
        <w:rPr>
          <w:spacing w:val="-4"/>
        </w:rPr>
        <w:t>营管理，持续提升产品质量、优化产品结构、拓展销售市场，构建企业规模优势、研发优势、品牌优势、管理及人才等优势。</w:t>
      </w:r>
    </w:p>
    <w:p>
      <w:pPr>
        <w:spacing w:line="300" w:lineRule="auto" w:before="20"/>
        <w:ind w:left="514" w:right="0" w:firstLine="1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、领先的独立第三方支付服务机构</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联动优势拥有领先的独立第三方支付品牌优势，在全国范围持牌开展互联网支付、移动电话支付、银行卡收单、基金销</w:t>
      </w:r>
    </w:p>
    <w:p>
      <w:pPr>
        <w:pStyle w:val="BodyText"/>
        <w:spacing w:line="300" w:lineRule="auto" w:before="31"/>
        <w:ind w:right="1158"/>
        <w:jc w:val="both"/>
      </w:pPr>
      <w:r>
        <w:rPr/>
        <w:t>售支付结算、跨境外汇</w:t>
      </w:r>
      <w:r>
        <w:rPr>
          <w:rFonts w:ascii="Times New Roman" w:hAnsi="Times New Roman" w:cs="Times New Roman" w:eastAsia="Times New Roman" w:hint="default"/>
        </w:rPr>
        <w:t>/</w:t>
      </w:r>
      <w:r>
        <w:rPr/>
        <w:t>人民币支付业务。通过在不同行业、不同场景、不同地域的创新产品，提供自研综合支付、信息推 送、智能营销、大数据、高速清算、智能反欺诈、反洗钱交易平台等服务。</w:t>
      </w:r>
      <w:r>
        <w:rPr>
          <w:rFonts w:ascii="Times New Roman" w:hAnsi="Times New Roman" w:cs="Times New Roman" w:eastAsia="Times New Roman" w:hint="default"/>
        </w:rPr>
        <w:t>2017</w:t>
      </w:r>
      <w:r>
        <w:rPr/>
        <w:t>年艾瑞和易观</w:t>
      </w:r>
      <w:r>
        <w:rPr>
          <w:rFonts w:ascii="Times New Roman" w:hAnsi="Times New Roman" w:cs="Times New Roman" w:eastAsia="Times New Roman" w:hint="default"/>
        </w:rPr>
        <w:t>Q3</w:t>
      </w:r>
      <w:r>
        <w:rPr/>
        <w:t>统计数据显示，联动优势 在移动支付领域排名全国第四。</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月，工信部信息中心、中国互联网协会发布</w:t>
      </w:r>
      <w:r>
        <w:rPr>
          <w:rFonts w:ascii="Times New Roman" w:hAnsi="Times New Roman" w:cs="Times New Roman" w:eastAsia="Times New Roman" w:hint="default"/>
        </w:rPr>
        <w:t>“2017</w:t>
      </w:r>
      <w:r>
        <w:rPr/>
        <w:t>年中国互联网百强企业</w:t>
      </w:r>
      <w:r>
        <w:rPr>
          <w:rFonts w:ascii="Times New Roman" w:hAnsi="Times New Roman" w:cs="Times New Roman" w:eastAsia="Times New Roman" w:hint="default"/>
        </w:rPr>
        <w:t>”</w:t>
      </w:r>
      <w:r>
        <w:rPr/>
        <w:t>榜单，联 动优势位列第</w:t>
      </w:r>
      <w:r>
        <w:rPr>
          <w:rFonts w:ascii="Times New Roman" w:hAnsi="Times New Roman" w:cs="Times New Roman" w:eastAsia="Times New Roman" w:hint="default"/>
        </w:rPr>
        <w:t>31</w:t>
      </w:r>
      <w:r>
        <w:rPr/>
        <w:t>位。</w:t>
      </w:r>
    </w:p>
    <w:p>
      <w:pPr>
        <w:pStyle w:val="Heading6"/>
        <w:spacing w:line="240" w:lineRule="auto" w:before="13"/>
        <w:ind w:left="636" w:right="0"/>
        <w:jc w:val="left"/>
        <w:rPr>
          <w:b w:val="0"/>
          <w:bCs w:val="0"/>
        </w:rPr>
      </w:pPr>
      <w:r>
        <w:rPr>
          <w:rFonts w:ascii="Times New Roman" w:hAnsi="Times New Roman" w:cs="Times New Roman" w:eastAsia="Times New Roman" w:hint="default"/>
        </w:rPr>
        <w:t>2</w:t>
      </w:r>
      <w:r>
        <w:rPr/>
        <w:t>、领先的金融科技产品、超前的技术创新能力</w:t>
      </w:r>
      <w:r>
        <w:rPr>
          <w:b w:val="0"/>
          <w:bCs w:val="0"/>
        </w:rPr>
      </w:r>
    </w:p>
    <w:p>
      <w:pPr>
        <w:pStyle w:val="BodyText"/>
        <w:spacing w:line="240" w:lineRule="auto" w:before="63"/>
        <w:ind w:left="513" w:right="0"/>
        <w:jc w:val="left"/>
      </w:pPr>
      <w:r>
        <w:rPr/>
        <w:t>（</w:t>
      </w:r>
      <w:r>
        <w:rPr>
          <w:rFonts w:ascii="Times New Roman" w:hAnsi="Times New Roman" w:cs="Times New Roman" w:eastAsia="Times New Roman" w:hint="default"/>
        </w:rPr>
        <w:t>1</w:t>
      </w:r>
      <w:r>
        <w:rPr/>
        <w:t>）区块链技术的研究与创新</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0" w:firstLine="480"/>
        <w:jc w:val="both"/>
      </w:pPr>
      <w:r>
        <w:rPr>
          <w:spacing w:val="-1"/>
        </w:rPr>
        <w:t>近年来，联动优势一直专注于金融科技服务领域相关技术研究和产品的创新，尤其在区块链技术的改进和应用上投入</w:t>
      </w:r>
      <w:r>
        <w:rPr/>
        <w:t> 了雄厚的研发力量，截止目前，公司已申请区块链相关的发明专利</w:t>
      </w:r>
      <w:r>
        <w:rPr>
          <w:rFonts w:ascii="Times New Roman" w:hAnsi="Times New Roman" w:cs="Times New Roman" w:eastAsia="Times New Roman" w:hint="default"/>
        </w:rPr>
        <w:t>12</w:t>
      </w:r>
      <w:r>
        <w:rPr/>
        <w:t>项、软件著作权</w:t>
      </w:r>
      <w:r>
        <w:rPr>
          <w:rFonts w:ascii="Times New Roman" w:hAnsi="Times New Roman" w:cs="Times New Roman" w:eastAsia="Times New Roman" w:hint="default"/>
        </w:rPr>
        <w:t>2</w:t>
      </w:r>
      <w:r>
        <w:rPr/>
        <w:t>项。基于对金融等不同行业场景提供</w:t>
      </w:r>
      <w:r>
        <w:rPr>
          <w:spacing w:val="-82"/>
        </w:rPr>
        <w:t> </w:t>
      </w:r>
      <w:r>
        <w:rPr>
          <w:spacing w:val="-82"/>
        </w:rPr>
      </w:r>
      <w:r>
        <w:rPr/>
        <w:t>生产级的技术优化和服务支持，</w:t>
      </w:r>
      <w:r>
        <w:rPr>
          <w:rFonts w:ascii="Times New Roman" w:hAnsi="Times New Roman" w:cs="Times New Roman" w:eastAsia="Times New Roman" w:hint="default"/>
        </w:rPr>
        <w:t>2017</w:t>
      </w:r>
      <w:r>
        <w:rPr/>
        <w:t>年度，公司自主研发了区块链底层平台名为优链</w:t>
      </w:r>
      <w:r>
        <w:rPr>
          <w:rFonts w:ascii="Times New Roman" w:hAnsi="Times New Roman" w:cs="Times New Roman" w:eastAsia="Times New Roman" w:hint="default"/>
        </w:rPr>
        <w:t>(</w:t>
      </w:r>
      <w:r>
        <w:rPr/>
        <w:t>英文名称：</w:t>
      </w:r>
      <w:r>
        <w:rPr>
          <w:rFonts w:ascii="Times New Roman" w:hAnsi="Times New Roman" w:cs="Times New Roman" w:eastAsia="Times New Roman" w:hint="default"/>
        </w:rPr>
        <w:t>UChains)</w:t>
      </w:r>
      <w:r>
        <w:rPr/>
        <w:t>，并通过了中国</w:t>
      </w:r>
      <w:r>
        <w:rPr>
          <w:spacing w:val="-29"/>
        </w:rPr>
        <w:t> </w:t>
      </w:r>
      <w:r>
        <w:rPr>
          <w:spacing w:val="-1"/>
        </w:rPr>
        <w:t>信息通信研究院</w:t>
      </w:r>
      <w:r>
        <w:rPr>
          <w:rFonts w:ascii="Times New Roman" w:hAnsi="Times New Roman" w:cs="Times New Roman" w:eastAsia="Times New Roman" w:hint="default"/>
          <w:spacing w:val="-1"/>
        </w:rPr>
        <w:t>(</w:t>
      </w:r>
      <w:r>
        <w:rPr>
          <w:spacing w:val="-1"/>
        </w:rPr>
        <w:t>工信部的直属科研单位</w:t>
      </w:r>
      <w:r>
        <w:rPr>
          <w:rFonts w:ascii="Times New Roman" w:hAnsi="Times New Roman" w:cs="Times New Roman" w:eastAsia="Times New Roman" w:hint="default"/>
          <w:spacing w:val="-1"/>
        </w:rPr>
        <w:t>)</w:t>
      </w:r>
      <w:r>
        <w:rPr>
          <w:spacing w:val="-1"/>
        </w:rPr>
        <w:t>的可信区块链预测试，该技术为本公司独有研发，公司将持续投入资源，不断完善</w:t>
      </w:r>
      <w:r>
        <w:rPr>
          <w:spacing w:val="-59"/>
        </w:rPr>
        <w:t> </w:t>
      </w:r>
      <w:r>
        <w:rPr>
          <w:spacing w:val="-59"/>
        </w:rPr>
      </w:r>
      <w:r>
        <w:rPr>
          <w:rFonts w:ascii="Times New Roman" w:hAnsi="Times New Roman" w:cs="Times New Roman" w:eastAsia="Times New Roman" w:hint="default"/>
          <w:spacing w:val="-2"/>
        </w:rPr>
        <w:t>UChains</w:t>
      </w:r>
      <w:r>
        <w:rPr>
          <w:spacing w:val="-2"/>
        </w:rPr>
        <w:t>平台。公司在</w:t>
      </w:r>
      <w:r>
        <w:rPr>
          <w:rFonts w:ascii="Times New Roman" w:hAnsi="Times New Roman" w:cs="Times New Roman" w:eastAsia="Times New Roman" w:hint="default"/>
          <w:spacing w:val="-2"/>
        </w:rPr>
        <w:t>2017</w:t>
      </w:r>
      <w:r>
        <w:rPr>
          <w:spacing w:val="-2"/>
        </w:rPr>
        <w:t>年度参与了</w:t>
      </w:r>
      <w:r>
        <w:rPr>
          <w:rFonts w:ascii="Times New Roman" w:hAnsi="Times New Roman" w:cs="Times New Roman" w:eastAsia="Times New Roman" w:hint="default"/>
          <w:spacing w:val="-2"/>
        </w:rPr>
        <w:t>2</w:t>
      </w:r>
      <w:r>
        <w:rPr>
          <w:spacing w:val="-2"/>
        </w:rPr>
        <w:t>项区块链标准的编写，包括工信部信通院主导的《可信区块链》标准和中国支付清算</w:t>
      </w:r>
      <w:r>
        <w:rPr>
          <w:spacing w:val="-55"/>
        </w:rPr>
        <w:t> </w:t>
      </w:r>
      <w:r>
        <w:rPr>
          <w:spacing w:val="-55"/>
        </w:rPr>
      </w:r>
      <w:r>
        <w:rPr/>
        <w:t>协会（央行的直属单位）牵头的《支付清算行业可信区块链》标准，还承担了</w:t>
      </w:r>
      <w:r>
        <w:rPr>
          <w:rFonts w:ascii="Times New Roman" w:hAnsi="Times New Roman" w:cs="Times New Roman" w:eastAsia="Times New Roman" w:hint="default"/>
        </w:rPr>
        <w:t>2</w:t>
      </w:r>
      <w:r>
        <w:rPr/>
        <w:t>个区块链相关的协会课题研究，包括中国互</w:t>
      </w:r>
      <w:r>
        <w:rPr>
          <w:spacing w:val="-82"/>
        </w:rPr>
        <w:t> </w:t>
      </w:r>
      <w:r>
        <w:rPr>
          <w:spacing w:val="-82"/>
        </w:rPr>
      </w:r>
      <w:r>
        <w:rPr>
          <w:spacing w:val="-2"/>
        </w:rPr>
        <w:t>联网金融协会</w:t>
      </w:r>
      <w:r>
        <w:rPr>
          <w:rFonts w:ascii="Times New Roman" w:hAnsi="Times New Roman" w:cs="Times New Roman" w:eastAsia="Times New Roman" w:hint="default"/>
          <w:spacing w:val="-2"/>
        </w:rPr>
        <w:t>“</w:t>
      </w:r>
      <w:r>
        <w:rPr>
          <w:spacing w:val="-2"/>
        </w:rPr>
        <w:t>区块链研究工作组</w:t>
      </w:r>
      <w:r>
        <w:rPr>
          <w:rFonts w:ascii="Times New Roman" w:hAnsi="Times New Roman" w:cs="Times New Roman" w:eastAsia="Times New Roman" w:hint="default"/>
          <w:spacing w:val="-2"/>
        </w:rPr>
        <w:t>”</w:t>
      </w:r>
      <w:r>
        <w:rPr>
          <w:spacing w:val="-2"/>
        </w:rPr>
        <w:t>的《基于区块链的电子合同登记平台研究》课题以及中国支付清算协会数字货币研究小组</w:t>
      </w:r>
      <w:r>
        <w:rPr>
          <w:spacing w:val="-44"/>
        </w:rPr>
        <w:t> </w:t>
      </w:r>
      <w:r>
        <w:rPr>
          <w:spacing w:val="-44"/>
        </w:rPr>
      </w:r>
      <w:r>
        <w:rPr>
          <w:spacing w:val="-2"/>
        </w:rPr>
        <w:t>的相关课题。同时，公司部分区块链技术在</w:t>
      </w:r>
      <w:r>
        <w:rPr>
          <w:rFonts w:ascii="Times New Roman" w:hAnsi="Times New Roman" w:cs="Times New Roman" w:eastAsia="Times New Roman" w:hint="default"/>
          <w:spacing w:val="-2"/>
        </w:rPr>
        <w:t>2017</w:t>
      </w:r>
      <w:r>
        <w:rPr>
          <w:spacing w:val="-2"/>
        </w:rPr>
        <w:t>年度落地实施，具体体现在：</w:t>
      </w:r>
      <w:r>
        <w:rPr>
          <w:rFonts w:ascii="Times New Roman" w:hAnsi="Times New Roman" w:cs="Times New Roman" w:eastAsia="Times New Roman" w:hint="default"/>
          <w:spacing w:val="-2"/>
        </w:rPr>
        <w:t>1</w:t>
      </w:r>
      <w:r>
        <w:rPr>
          <w:spacing w:val="-2"/>
        </w:rPr>
        <w:t>）与厦门银行合作的</w:t>
      </w:r>
      <w:r>
        <w:rPr>
          <w:rFonts w:ascii="Times New Roman" w:hAnsi="Times New Roman" w:cs="Times New Roman" w:eastAsia="Times New Roman" w:hint="default"/>
          <w:spacing w:val="-2"/>
        </w:rPr>
        <w:t>“</w:t>
      </w:r>
      <w:r>
        <w:rPr>
          <w:spacing w:val="-2"/>
        </w:rPr>
        <w:t>基于区块链的金融交易</w:t>
      </w:r>
      <w:r>
        <w:rPr>
          <w:spacing w:val="-51"/>
        </w:rPr>
        <w:t> </w:t>
      </w:r>
      <w:r>
        <w:rPr>
          <w:spacing w:val="-51"/>
        </w:rPr>
      </w:r>
      <w:r>
        <w:rPr/>
        <w:t>存证系统</w:t>
      </w:r>
      <w:r>
        <w:rPr>
          <w:rFonts w:ascii="Times New Roman" w:hAnsi="Times New Roman" w:cs="Times New Roman" w:eastAsia="Times New Roman" w:hint="default"/>
        </w:rPr>
        <w:t>”</w:t>
      </w:r>
      <w:r>
        <w:rPr/>
        <w:t>，通过该系统的试点，可简化各业务参与方的对账处理，提高业务处理效率，并可为监管方提供可靠的信息披露</w:t>
      </w:r>
      <w:r>
        <w:rPr>
          <w:spacing w:val="-75"/>
        </w:rPr>
        <w:t> </w:t>
      </w:r>
      <w:r>
        <w:rPr>
          <w:spacing w:val="-75"/>
        </w:rPr>
      </w:r>
      <w:r>
        <w:rPr/>
        <w:t>的数据服务。</w:t>
      </w:r>
      <w:r>
        <w:rPr>
          <w:rFonts w:ascii="Times New Roman" w:hAnsi="Times New Roman" w:cs="Times New Roman" w:eastAsia="Times New Roman" w:hint="default"/>
        </w:rPr>
        <w:t>2</w:t>
      </w:r>
      <w:r>
        <w:rPr/>
        <w:t>）针对数据服务场景，公司研发了</w:t>
      </w:r>
      <w:r>
        <w:rPr>
          <w:rFonts w:ascii="Times New Roman" w:hAnsi="Times New Roman" w:cs="Times New Roman" w:eastAsia="Times New Roman" w:hint="default"/>
        </w:rPr>
        <w:t>“</w:t>
      </w:r>
      <w:r>
        <w:rPr/>
        <w:t>数据协作平台</w:t>
      </w:r>
      <w:r>
        <w:rPr>
          <w:rFonts w:ascii="Times New Roman" w:hAnsi="Times New Roman" w:cs="Times New Roman" w:eastAsia="Times New Roman" w:hint="default"/>
        </w:rPr>
        <w:t>”</w:t>
      </w:r>
      <w:r>
        <w:rPr/>
        <w:t>原型系统，该系统在数据请求方和数据服务方之间建立了</w:t>
      </w:r>
      <w:r>
        <w:rPr>
          <w:spacing w:val="-68"/>
        </w:rPr>
        <w:t> </w:t>
      </w:r>
      <w:r>
        <w:rPr>
          <w:spacing w:val="-68"/>
        </w:rPr>
      </w:r>
      <w:r>
        <w:rPr>
          <w:spacing w:val="-2"/>
        </w:rPr>
        <w:t>一个协作平台，不会留存数据，提供更加安全可靠的数据访问服务，同时，基于分布式账本上保存的数据请求记录，可为交</w:t>
      </w:r>
      <w:r>
        <w:rPr>
          <w:spacing w:val="-66"/>
        </w:rPr>
        <w:t> </w:t>
      </w:r>
      <w:r>
        <w:rPr>
          <w:spacing w:val="-66"/>
        </w:rPr>
      </w:r>
      <w:r>
        <w:rPr/>
        <w:t>易各方提供对账、清算服务。</w:t>
      </w:r>
      <w:r>
        <w:rPr>
          <w:rFonts w:ascii="Times New Roman" w:hAnsi="Times New Roman" w:cs="Times New Roman" w:eastAsia="Times New Roman" w:hint="default"/>
        </w:rPr>
        <w:t>3</w:t>
      </w:r>
      <w:r>
        <w:rPr/>
        <w:t>）基于</w:t>
      </w:r>
      <w:r>
        <w:rPr>
          <w:rFonts w:ascii="Times New Roman" w:hAnsi="Times New Roman" w:cs="Times New Roman" w:eastAsia="Times New Roman" w:hint="default"/>
        </w:rPr>
        <w:t>“</w:t>
      </w:r>
      <w:r>
        <w:rPr/>
        <w:t>优链</w:t>
      </w:r>
      <w:r>
        <w:rPr>
          <w:rFonts w:ascii="Times New Roman" w:hAnsi="Times New Roman" w:cs="Times New Roman" w:eastAsia="Times New Roman" w:hint="default"/>
        </w:rPr>
        <w:t>”</w:t>
      </w:r>
      <w:r>
        <w:rPr/>
        <w:t>底层框架，结合公司跨境支付业务，公司利用区块链技术在报告期内成功上线</w:t>
      </w:r>
      <w:r>
        <w:rPr>
          <w:spacing w:val="-68"/>
        </w:rPr>
        <w:t> </w:t>
      </w:r>
      <w:r>
        <w:rPr>
          <w:spacing w:val="-68"/>
        </w:rPr>
      </w:r>
      <w:r>
        <w:rPr/>
        <w:t>供应链金融子系统，为外部企业的保理业务提供跨境应收款质押授信的服务。</w:t>
      </w:r>
    </w:p>
    <w:p>
      <w:pPr>
        <w:pStyle w:val="BodyText"/>
        <w:spacing w:line="309" w:lineRule="auto" w:before="29"/>
        <w:ind w:left="513" w:right="1753"/>
        <w:jc w:val="left"/>
      </w:pPr>
      <w:r>
        <w:rPr/>
        <w:t>（</w:t>
      </w:r>
      <w:r>
        <w:rPr>
          <w:rFonts w:ascii="Times New Roman" w:hAnsi="Times New Roman" w:cs="Times New Roman" w:eastAsia="Times New Roman" w:hint="default"/>
        </w:rPr>
        <w:t>2</w:t>
      </w:r>
      <w:r>
        <w:rPr/>
        <w:t>）大数据风控可支撑多层级产品服务 联动优势大数据业务倡导以技术为主驱动，紧贴客户应用场景，提供以实际价值转化为目标的精准数据服务。 </w:t>
      </w:r>
      <w:r>
        <w:rPr>
          <w:rFonts w:ascii="Times New Roman" w:hAnsi="Times New Roman" w:cs="Times New Roman" w:eastAsia="Times New Roman" w:hint="default"/>
        </w:rPr>
        <w:t>1</w:t>
      </w:r>
      <w:r>
        <w:rPr/>
        <w:t>）金融级的基础能力</w:t>
      </w:r>
    </w:p>
    <w:p>
      <w:pPr>
        <w:pStyle w:val="BodyText"/>
        <w:spacing w:line="309" w:lineRule="auto" w:before="5"/>
        <w:ind w:left="154" w:right="1130" w:firstLine="360"/>
        <w:jc w:val="both"/>
      </w:pPr>
      <w:r>
        <w:rPr/>
        <w:t>联动优势拥有</w:t>
      </w:r>
      <w:r>
        <w:rPr>
          <w:rFonts w:ascii="Times New Roman" w:hAnsi="Times New Roman" w:cs="Times New Roman" w:eastAsia="Times New Roman" w:hint="default"/>
        </w:rPr>
        <w:t>10</w:t>
      </w:r>
      <w:r>
        <w:rPr/>
        <w:t>余年金融级技术沉淀，</w:t>
      </w:r>
      <w:r>
        <w:rPr>
          <w:rFonts w:ascii="Times New Roman" w:hAnsi="Times New Roman" w:cs="Times New Roman" w:eastAsia="Times New Roman" w:hint="default"/>
        </w:rPr>
        <w:t>3</w:t>
      </w:r>
      <w:r>
        <w:rPr/>
        <w:t>个分布式机房、</w:t>
      </w:r>
      <w:r>
        <w:rPr>
          <w:rFonts w:ascii="Times New Roman" w:hAnsi="Times New Roman" w:cs="Times New Roman" w:eastAsia="Times New Roman" w:hint="default"/>
        </w:rPr>
        <w:t>50+</w:t>
      </w:r>
      <w:r>
        <w:rPr/>
        <w:t>金融级设备、</w:t>
      </w:r>
      <w:r>
        <w:rPr>
          <w:rFonts w:ascii="Times New Roman" w:hAnsi="Times New Roman" w:cs="Times New Roman" w:eastAsia="Times New Roman" w:hint="default"/>
        </w:rPr>
        <w:t>5pb+</w:t>
      </w:r>
      <w:r>
        <w:rPr>
          <w:rFonts w:ascii="Times New Roman" w:hAnsi="Times New Roman" w:cs="Times New Roman" w:eastAsia="Times New Roman" w:hint="default"/>
          <w:spacing w:val="29"/>
        </w:rPr>
        <w:t> </w:t>
      </w:r>
      <w:r>
        <w:rPr/>
        <w:t>数据存储的金融级硬件系统支撑；拥有 </w:t>
      </w:r>
      <w:r>
        <w:rPr>
          <w:spacing w:val="-2"/>
        </w:rPr>
        <w:t>统一数据定义标准、饱和度分析、极值分析、分词解析技术、多维度进行数据汇总等数据清洗、汇总与加强能力；还具备敏</w:t>
      </w:r>
      <w:r>
        <w:rPr>
          <w:spacing w:val="-68"/>
        </w:rPr>
        <w:t> </w:t>
      </w:r>
      <w:r>
        <w:rPr>
          <w:spacing w:val="-68"/>
        </w:rPr>
      </w:r>
      <w:r>
        <w:rPr/>
        <w:t>感数据模糊化处理、全方位的信息安全管理、人民银行安全检测与认证等高安全性能。</w:t>
      </w:r>
    </w:p>
    <w:p>
      <w:pPr>
        <w:pStyle w:val="BodyText"/>
        <w:spacing w:line="300" w:lineRule="auto" w:before="24"/>
        <w:ind w:left="514" w:right="1034"/>
        <w:jc w:val="left"/>
      </w:pPr>
      <w:r>
        <w:rPr>
          <w:rFonts w:ascii="Times New Roman" w:hAnsi="Times New Roman" w:cs="Times New Roman" w:eastAsia="Times New Roman" w:hint="default"/>
        </w:rPr>
        <w:t>2</w:t>
      </w:r>
      <w:r>
        <w:rPr/>
        <w:t>）准实时的大数据处理平台 </w:t>
      </w:r>
      <w:r>
        <w:rPr>
          <w:spacing w:val="-1"/>
        </w:rPr>
        <w:t>联动优势拥有</w:t>
      </w:r>
      <w:r>
        <w:rPr>
          <w:rFonts w:ascii="Times New Roman" w:hAnsi="Times New Roman" w:cs="Times New Roman" w:eastAsia="Times New Roman" w:hint="default"/>
          <w:spacing w:val="-1"/>
        </w:rPr>
        <w:t>Hadoop</w:t>
      </w:r>
      <w:r>
        <w:rPr>
          <w:spacing w:val="-1"/>
        </w:rPr>
        <w:t>分布式平台、</w:t>
      </w:r>
      <w:r>
        <w:rPr>
          <w:rFonts w:ascii="Times New Roman" w:hAnsi="Times New Roman" w:cs="Times New Roman" w:eastAsia="Times New Roman" w:hint="default"/>
          <w:spacing w:val="-1"/>
        </w:rPr>
        <w:t>hdfs+hive+hbase</w:t>
      </w:r>
      <w:r>
        <w:rPr>
          <w:spacing w:val="-1"/>
        </w:rPr>
        <w:t>、</w:t>
      </w:r>
      <w:r>
        <w:rPr>
          <w:rFonts w:ascii="Times New Roman" w:hAnsi="Times New Roman" w:cs="Times New Roman" w:eastAsia="Times New Roman" w:hint="default"/>
          <w:spacing w:val="-1"/>
        </w:rPr>
        <w:t>NOSQL</w:t>
      </w:r>
      <w:r>
        <w:rPr>
          <w:spacing w:val="-1"/>
        </w:rPr>
        <w:t>数据库等分布式存储与计算能力；拥有回归分析、决策树、</w:t>
      </w:r>
    </w:p>
    <w:p>
      <w:pPr>
        <w:pStyle w:val="BodyText"/>
        <w:spacing w:line="309" w:lineRule="auto" w:before="13"/>
        <w:ind w:left="513" w:right="0" w:hanging="360"/>
        <w:jc w:val="left"/>
      </w:pPr>
      <w:r>
        <w:rPr/>
        <w:t>神经网络、聚类分析、语义分析、关联分析、时间序列、支持向量机、模糊识别、爬虫等数据分析、建模能力。 </w:t>
      </w:r>
      <w:r>
        <w:rPr>
          <w:rFonts w:ascii="Times New Roman" w:hAnsi="Times New Roman" w:cs="Times New Roman" w:eastAsia="Times New Roman" w:hint="default"/>
        </w:rPr>
        <w:t>3</w:t>
      </w:r>
      <w:r>
        <w:rPr/>
        <w:t>）领先的标准数据产品、数据模型</w:t>
      </w:r>
      <w:r>
        <w:rPr>
          <w:rFonts w:ascii="Times New Roman" w:hAnsi="Times New Roman" w:cs="Times New Roman" w:eastAsia="Times New Roman" w:hint="default"/>
        </w:rPr>
        <w:t>+</w:t>
      </w:r>
      <w:r>
        <w:rPr/>
        <w:t>衍生资源等精细建模和服务封装能力 </w:t>
      </w:r>
      <w:r>
        <w:rPr>
          <w:spacing w:val="-2"/>
        </w:rPr>
        <w:t>联动优势大数据风控产品和服务可以从信息核查、信贷风控、反欺诈识别、风控工具组件支撑等多角度直达客户的业务</w:t>
      </w:r>
    </w:p>
    <w:p>
      <w:pPr>
        <w:pStyle w:val="BodyText"/>
        <w:spacing w:line="316" w:lineRule="auto" w:before="24"/>
        <w:ind w:left="154" w:right="0"/>
        <w:jc w:val="left"/>
      </w:pPr>
      <w:r>
        <w:rPr>
          <w:spacing w:val="-2"/>
        </w:rPr>
        <w:t>痛点，提供多层级产品服务支撑。通过大数据采集及处理、数据分析和挖掘、机器学习、智能决策等技术，提供基于海量大</w:t>
      </w:r>
      <w:r>
        <w:rPr>
          <w:spacing w:val="-68"/>
        </w:rPr>
        <w:t> </w:t>
      </w:r>
      <w:r>
        <w:rPr>
          <w:spacing w:val="-68"/>
        </w:rPr>
      </w:r>
      <w:r>
        <w:rPr/>
        <w:t>数据分析的企业经营多方位决策服务，帮助合作伙伴提高整体运营效率，降低整体运营成本，有效控制业务风险。</w:t>
      </w:r>
    </w:p>
    <w:p>
      <w:pPr>
        <w:spacing w:line="300" w:lineRule="auto" w:before="19"/>
        <w:ind w:left="513" w:right="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、丰富、稳定的核心客户群资源</w:t>
      </w:r>
      <w:r>
        <w:rPr>
          <w:rFonts w:ascii="宋体" w:hAnsi="宋体" w:cs="宋体" w:eastAsia="宋体" w:hint="default"/>
          <w:b/>
          <w:bCs/>
          <w:w w:val="99"/>
          <w:sz w:val="18"/>
          <w:szCs w:val="18"/>
        </w:rPr>
        <w:t> </w:t>
      </w:r>
      <w:r>
        <w:rPr>
          <w:rFonts w:ascii="宋体" w:hAnsi="宋体" w:cs="宋体" w:eastAsia="宋体" w:hint="default"/>
          <w:spacing w:val="-4"/>
          <w:sz w:val="18"/>
          <w:szCs w:val="18"/>
        </w:rPr>
        <w:t>得益于第三方支付、金融信息等业务的多年技术积累和稳定的市场发展，联动优势平台积累了丰富的客户资源，包括</w:t>
      </w:r>
      <w:r>
        <w:rPr>
          <w:rFonts w:ascii="Times New Roman" w:hAnsi="Times New Roman" w:cs="Times New Roman" w:eastAsia="Times New Roman" w:hint="default"/>
          <w:spacing w:val="-4"/>
          <w:sz w:val="18"/>
          <w:szCs w:val="18"/>
        </w:rPr>
        <w:t>110</w:t>
      </w:r>
    </w:p>
    <w:p>
      <w:pPr>
        <w:pStyle w:val="BodyText"/>
        <w:spacing w:line="300" w:lineRule="auto" w:before="13"/>
        <w:ind w:right="1123"/>
        <w:jc w:val="left"/>
      </w:pPr>
      <w:r>
        <w:rPr/>
        <w:t>多家传统的金融机构、</w:t>
      </w:r>
      <w:r>
        <w:rPr>
          <w:rFonts w:ascii="Times New Roman" w:hAnsi="Times New Roman" w:cs="Times New Roman" w:eastAsia="Times New Roman" w:hint="default"/>
        </w:rPr>
        <w:t>1200</w:t>
      </w:r>
      <w:r>
        <w:rPr/>
        <w:t>多家新兴的互联网金融机构，以及</w:t>
      </w:r>
      <w:r>
        <w:rPr>
          <w:rFonts w:ascii="Times New Roman" w:hAnsi="Times New Roman" w:cs="Times New Roman" w:eastAsia="Times New Roman" w:hint="default"/>
        </w:rPr>
        <w:t>3,000</w:t>
      </w:r>
      <w:r>
        <w:rPr/>
        <w:t>多家大型合作企业、</w:t>
      </w:r>
      <w:r>
        <w:rPr>
          <w:rFonts w:ascii="Times New Roman" w:hAnsi="Times New Roman" w:cs="Times New Roman" w:eastAsia="Times New Roman" w:hint="default"/>
        </w:rPr>
        <w:t>70</w:t>
      </w:r>
      <w:r>
        <w:rPr/>
        <w:t>万家中小企业和</w:t>
      </w:r>
      <w:r>
        <w:rPr>
          <w:rFonts w:ascii="Times New Roman" w:hAnsi="Times New Roman" w:cs="Times New Roman" w:eastAsia="Times New Roman" w:hint="default"/>
        </w:rPr>
        <w:t>4.5</w:t>
      </w:r>
      <w:r>
        <w:rPr/>
        <w:t>亿个人用户， 客户资源的不断储备为后续开展卡券营销、大数据风控、消费金融等增值服务打下了坚实的基础。</w:t>
      </w:r>
    </w:p>
    <w:p>
      <w:pPr>
        <w:pStyle w:val="BodyText"/>
        <w:spacing w:line="316" w:lineRule="auto" w:before="31"/>
        <w:ind w:right="1131" w:firstLine="360"/>
        <w:jc w:val="both"/>
      </w:pPr>
      <w:r>
        <w:rPr>
          <w:spacing w:val="-2"/>
        </w:rPr>
        <w:t>智能制造板块亦拥有以上汽大众、吉利、上汽通用五菱、长城汽车、五菱工业、上海大众、广汽为代表的乘用车生产领</w:t>
      </w:r>
      <w:r>
        <w:rPr/>
        <w:t> </w:t>
      </w:r>
      <w:r>
        <w:rPr>
          <w:spacing w:val="-2"/>
        </w:rPr>
        <w:t>域的知名客户，和以中国重汽、福田戴姆勒、一汽解放、陕汽为代表的商用车领域的知名客户，公司经过多年的技术储备和</w:t>
      </w:r>
      <w:r>
        <w:rPr>
          <w:spacing w:val="-65"/>
        </w:rPr>
        <w:t> </w:t>
      </w:r>
      <w:r>
        <w:rPr>
          <w:spacing w:val="-65"/>
        </w:rPr>
      </w:r>
      <w:r>
        <w:rPr>
          <w:spacing w:val="-2"/>
        </w:rPr>
        <w:t>对产品精益求精的不懈追求，现已经成为上述客户在仪表横梁总成、制动踏板总成、离合踏板总成、车门总成、车架总成等</w:t>
      </w:r>
      <w:r>
        <w:rPr>
          <w:spacing w:val="-66"/>
        </w:rPr>
        <w:t> </w:t>
      </w:r>
      <w:r>
        <w:rPr>
          <w:spacing w:val="-66"/>
        </w:rPr>
      </w:r>
      <w:r>
        <w:rPr/>
        <w:t>汽车总成件的核心供应商。</w:t>
      </w:r>
    </w:p>
    <w:p>
      <w:pPr>
        <w:spacing w:line="300" w:lineRule="auto" w:before="1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、优越的专利及非专利技术优势</w:t>
      </w:r>
      <w:r>
        <w:rPr>
          <w:rFonts w:ascii="宋体" w:hAnsi="宋体" w:cs="宋体" w:eastAsia="宋体" w:hint="default"/>
          <w:b/>
          <w:bCs/>
          <w:w w:val="99"/>
          <w:sz w:val="18"/>
          <w:szCs w:val="18"/>
        </w:rPr>
        <w:t> </w:t>
      </w:r>
      <w:r>
        <w:rPr>
          <w:rFonts w:ascii="宋体" w:hAnsi="宋体" w:cs="宋体" w:eastAsia="宋体" w:hint="default"/>
          <w:spacing w:val="-2"/>
          <w:sz w:val="18"/>
          <w:szCs w:val="18"/>
        </w:rPr>
        <w:t>经过多年的技术积累和技术创新，公司及子公司在金融科技技术方面拥有</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余项发明及实用新型专利，另有近</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项发明</w:t>
      </w:r>
    </w:p>
    <w:p>
      <w:pPr>
        <w:pStyle w:val="BodyText"/>
        <w:spacing w:line="300" w:lineRule="auto" w:before="13"/>
        <w:ind w:right="1033"/>
        <w:jc w:val="left"/>
      </w:pPr>
      <w:r>
        <w:rPr/>
        <w:t>专利处于实审阶段，拥有软著近</w:t>
      </w:r>
      <w:r>
        <w:rPr>
          <w:rFonts w:ascii="Times New Roman" w:hAnsi="Times New Roman" w:cs="Times New Roman" w:eastAsia="Times New Roman" w:hint="default"/>
        </w:rPr>
        <w:t>120</w:t>
      </w:r>
      <w:r>
        <w:rPr/>
        <w:t>件，在模具、冲压、高效变频电机等方面共拥有</w:t>
      </w:r>
      <w:r>
        <w:rPr>
          <w:rFonts w:ascii="Times New Roman" w:hAnsi="Times New Roman" w:cs="Times New Roman" w:eastAsia="Times New Roman" w:hint="default"/>
        </w:rPr>
        <w:t>25</w:t>
      </w:r>
      <w:r>
        <w:rPr/>
        <w:t>项发明专利、</w:t>
      </w:r>
      <w:r>
        <w:rPr>
          <w:rFonts w:ascii="Times New Roman" w:hAnsi="Times New Roman" w:cs="Times New Roman" w:eastAsia="Times New Roman" w:hint="default"/>
        </w:rPr>
        <w:t>104</w:t>
      </w:r>
      <w:r>
        <w:rPr/>
        <w:t>项实用新型专利及</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spacing w:val="-4"/>
        </w:rPr>
        <w:t>项外观设计等自主知识产权专利。在专用车及新能源电动车方面拥有</w:t>
      </w:r>
      <w:r>
        <w:rPr>
          <w:rFonts w:ascii="Times New Roman" w:hAnsi="Times New Roman" w:cs="Times New Roman" w:eastAsia="Times New Roman" w:hint="default"/>
          <w:spacing w:val="-4"/>
        </w:rPr>
        <w:t>16</w:t>
      </w:r>
      <w:r>
        <w:rPr>
          <w:spacing w:val="-4"/>
        </w:rPr>
        <w:t>项专利、《车辆生产企业及产品公告》目录（工信部）</w:t>
      </w:r>
      <w:r>
        <w:rPr>
          <w:spacing w:val="-40"/>
        </w:rPr>
        <w:t> </w:t>
      </w:r>
      <w:r>
        <w:rPr>
          <w:spacing w:val="-40"/>
        </w:rPr>
      </w:r>
      <w:r>
        <w:rPr/>
        <w:t>车型</w:t>
      </w:r>
      <w:r>
        <w:rPr>
          <w:rFonts w:ascii="Times New Roman" w:hAnsi="Times New Roman" w:cs="Times New Roman" w:eastAsia="Times New Roman" w:hint="default"/>
        </w:rPr>
        <w:t>88</w:t>
      </w:r>
      <w:r>
        <w:rPr/>
        <w:t>项和</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1"/>
          <w:w w:val="100"/>
        </w:rPr>
        <w:drawing>
          <wp:inline distT="0" distB="0" distL="0" distR="0">
            <wp:extent cx="123825" cy="12318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4" cstate="print"/>
                    <a:stretch>
                      <a:fillRect/>
                    </a:stretch>
                  </pic:blipFill>
                  <pic:spPr>
                    <a:xfrm>
                      <a:off x="0" y="0"/>
                      <a:ext cx="123825" cy="123189"/>
                    </a:xfrm>
                    <a:prstGeom prst="rect">
                      <a:avLst/>
                    </a:prstGeom>
                  </pic:spPr>
                </pic:pic>
              </a:graphicData>
            </a:graphic>
          </wp:inline>
        </w:drawing>
      </w:r>
      <w:r>
        <w:rPr>
          <w:rFonts w:ascii="Times New Roman" w:hAnsi="Times New Roman" w:cs="Times New Roman" w:eastAsia="Times New Roman" w:hint="default"/>
          <w:spacing w:val="-1"/>
          <w:w w:val="100"/>
        </w:rPr>
      </w:r>
      <w:r>
        <w:rPr>
          <w:rFonts w:ascii="Times New Roman" w:hAnsi="Times New Roman" w:cs="Times New Roman" w:eastAsia="Times New Roman" w:hint="default"/>
        </w:rPr>
        <w:t>”</w:t>
      </w:r>
      <w:r>
        <w:rPr/>
        <w:t>标识、</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rFonts w:ascii="Times New Roman" w:hAnsi="Times New Roman" w:cs="Times New Roman" w:eastAsia="Times New Roman" w:hint="default"/>
          <w:w w:val="100"/>
        </w:rPr>
        <w:drawing>
          <wp:inline distT="0" distB="0" distL="0" distR="0">
            <wp:extent cx="1151254" cy="13271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1151254" cy="132714"/>
                    </a:xfrm>
                    <a:prstGeom prst="rect">
                      <a:avLst/>
                    </a:prstGeom>
                  </pic:spPr>
                </pic:pic>
              </a:graphicData>
            </a:graphic>
          </wp:inline>
        </w:drawing>
      </w:r>
      <w:r>
        <w:rPr>
          <w:rFonts w:ascii="Times New Roman" w:hAnsi="Times New Roman" w:cs="Times New Roman" w:eastAsia="Times New Roman" w:hint="default"/>
          <w:w w:val="100"/>
        </w:rPr>
      </w:r>
      <w:r>
        <w:rPr>
          <w:rFonts w:ascii="Times New Roman" w:hAnsi="Times New Roman" w:cs="Times New Roman" w:eastAsia="Times New Roman" w:hint="default"/>
        </w:rPr>
        <w:t>”</w:t>
      </w:r>
      <w:r>
        <w:rPr/>
        <w:t>标识及</w:t>
      </w:r>
      <w:r>
        <w:rPr>
          <w:rFonts w:ascii="Times New Roman" w:hAnsi="Times New Roman" w:cs="Times New Roman" w:eastAsia="Times New Roman" w:hint="default"/>
        </w:rPr>
        <w:t>“</w:t>
      </w:r>
      <w:r>
        <w:rPr/>
        <w:t>湖北福田</w:t>
      </w:r>
      <w:r>
        <w:rPr>
          <w:rFonts w:ascii="Times New Roman" w:hAnsi="Times New Roman" w:cs="Times New Roman" w:eastAsia="Times New Roman" w:hint="default"/>
        </w:rPr>
        <w:t>”</w:t>
      </w:r>
      <w:r>
        <w:rPr/>
        <w:t>字号。公司子公司湖北海立美达汽车有限公司被授予</w:t>
      </w:r>
      <w:r>
        <w:rPr>
          <w:rFonts w:ascii="Times New Roman" w:hAnsi="Times New Roman" w:cs="Times New Roman" w:eastAsia="Times New Roman" w:hint="default"/>
        </w:rPr>
        <w:t>“</w:t>
      </w:r>
      <w:r>
        <w:rPr/>
        <w:t>中</w:t>
      </w:r>
      <w:r>
        <w:rPr>
          <w:spacing w:val="-58"/>
        </w:rPr>
        <w:t> </w:t>
      </w:r>
      <w:r>
        <w:rPr/>
        <w:t>国</w:t>
      </w:r>
      <w:r>
        <w:rPr>
          <w:rFonts w:ascii="Times New Roman" w:hAnsi="Times New Roman" w:cs="Times New Roman" w:eastAsia="Times New Roman" w:hint="default"/>
        </w:rPr>
        <w:t>500</w:t>
      </w:r>
      <w:r>
        <w:rPr/>
        <w:t>家最大交通运输设备制造企业</w:t>
      </w:r>
      <w:r>
        <w:rPr>
          <w:rFonts w:ascii="Times New Roman" w:hAnsi="Times New Roman" w:cs="Times New Roman" w:eastAsia="Times New Roman" w:hint="default"/>
        </w:rPr>
        <w:t>”</w:t>
      </w:r>
      <w:r>
        <w:rPr/>
        <w:t>等荣誉称号。公司及多家子公司技术中心被评为</w:t>
      </w:r>
      <w:r>
        <w:rPr>
          <w:rFonts w:ascii="Times New Roman" w:hAnsi="Times New Roman" w:cs="Times New Roman" w:eastAsia="Times New Roman" w:hint="default"/>
        </w:rPr>
        <w:t>“</w:t>
      </w:r>
      <w:r>
        <w:rPr/>
        <w:t>北京市企业技术中心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青岛市级企</w:t>
      </w:r>
      <w:r>
        <w:rPr>
          <w:spacing w:val="-48"/>
        </w:rPr>
        <w:t> </w:t>
      </w:r>
      <w:r>
        <w:rPr>
          <w:spacing w:val="-48"/>
        </w:rPr>
      </w:r>
      <w:r>
        <w:rPr/>
        <w:t>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青岛市级工程技术研究中心（重点实验室）</w:t>
      </w:r>
      <w:r>
        <w:rPr>
          <w:rFonts w:ascii="Times New Roman" w:hAnsi="Times New Roman" w:cs="Times New Roman" w:eastAsia="Times New Roman" w:hint="default"/>
        </w:rPr>
        <w:t>”</w:t>
      </w:r>
      <w:r>
        <w:rPr/>
        <w:t>。公司拥有较强的技术研发队伍，与知名高</w:t>
      </w:r>
      <w:r>
        <w:rPr>
          <w:spacing w:val="-43"/>
        </w:rPr>
        <w:t> </w:t>
      </w:r>
      <w:r>
        <w:rPr>
          <w:spacing w:val="-43"/>
        </w:rPr>
      </w:r>
      <w:r>
        <w:rPr/>
        <w:t>校建立了产学研基地，能够为客户提供完整的产品设计、开发和生产方案，具有较强的技术和研发优势。</w:t>
      </w:r>
    </w:p>
    <w:p>
      <w:pPr>
        <w:pStyle w:val="Heading6"/>
        <w:spacing w:line="240" w:lineRule="auto" w:before="31"/>
        <w:ind w:right="0"/>
        <w:jc w:val="left"/>
        <w:rPr>
          <w:b w:val="0"/>
          <w:bCs w:val="0"/>
        </w:rPr>
      </w:pPr>
      <w:r>
        <w:rPr>
          <w:rFonts w:ascii="Times New Roman" w:hAnsi="Times New Roman" w:cs="Times New Roman" w:eastAsia="Times New Roman" w:hint="default"/>
        </w:rPr>
        <w:t>5</w:t>
      </w:r>
      <w:r>
        <w:rPr/>
        <w:t>、丰富、灵活的平台服务模式</w:t>
      </w:r>
      <w:r>
        <w:rPr>
          <w:b w:val="0"/>
          <w:bCs w:val="0"/>
        </w:rPr>
      </w:r>
    </w:p>
    <w:p>
      <w:pPr>
        <w:pStyle w:val="BodyText"/>
        <w:spacing w:line="240" w:lineRule="auto" w:before="63"/>
        <w:ind w:left="513" w:right="0"/>
        <w:jc w:val="left"/>
      </w:pPr>
      <w:r>
        <w:rPr/>
        <w:t>联动优势推出全新品牌</w:t>
      </w:r>
      <w:r>
        <w:rPr>
          <w:rFonts w:ascii="Times New Roman" w:hAnsi="Times New Roman" w:cs="Times New Roman" w:eastAsia="Times New Roman" w:hint="default"/>
        </w:rPr>
        <w:t>UMF-Union Mobile Financial </w:t>
      </w:r>
      <w:r>
        <w:rPr>
          <w:rFonts w:ascii="Times New Roman" w:hAnsi="Times New Roman" w:cs="Times New Roman" w:eastAsia="Times New Roman" w:hint="default"/>
          <w:spacing w:val="18"/>
        </w:rPr>
        <w:t> </w:t>
      </w:r>
      <w:r>
        <w:rPr>
          <w:rFonts w:ascii="Times New Roman" w:hAnsi="Times New Roman" w:cs="Times New Roman" w:eastAsia="Times New Roman" w:hint="default"/>
        </w:rPr>
        <w:t>Technology</w:t>
      </w:r>
      <w:r>
        <w:rPr/>
        <w:t>，进一步打造以支付环境、信息服务、营销能力、安全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spacing w:val="-2"/>
        </w:rPr>
        <w:t>控制、金融科技等基础设施为主的平台环境。不断加强和升级客户收付款、客户理财、资金管理、资金托管、营销获客、身</w:t>
      </w:r>
      <w:r>
        <w:rPr>
          <w:spacing w:val="-71"/>
        </w:rPr>
        <w:t> </w:t>
      </w:r>
      <w:r>
        <w:rPr>
          <w:spacing w:val="-71"/>
        </w:rPr>
      </w:r>
      <w:r>
        <w:rPr>
          <w:spacing w:val="-4"/>
        </w:rPr>
        <w:t>份安全验证、交易反欺诈、清分结算、账户服务、信息服务、商户运营交互服务、信息推送等基础服务。针对不同行业特点，</w:t>
      </w:r>
      <w:r>
        <w:rPr>
          <w:spacing w:val="-49"/>
        </w:rPr>
        <w:t> </w:t>
      </w:r>
      <w:r>
        <w:rPr>
          <w:spacing w:val="-49"/>
        </w:rPr>
      </w:r>
      <w:r>
        <w:rPr/>
        <w:t>灵活组合产品模块向市场输出服务能力，服务不同客户的业务闭环。报告期内，第三方支付业务交易规模达到</w:t>
      </w:r>
      <w:r>
        <w:rPr>
          <w:rFonts w:ascii="Times New Roman" w:hAnsi="Times New Roman" w:cs="Times New Roman" w:eastAsia="Times New Roman" w:hint="default"/>
        </w:rPr>
        <w:t>15,000</w:t>
      </w:r>
      <w:r>
        <w:rPr/>
        <w:t>亿元， 比上一年增长超过</w:t>
      </w:r>
      <w:r>
        <w:rPr>
          <w:rFonts w:ascii="Times New Roman" w:hAnsi="Times New Roman" w:cs="Times New Roman" w:eastAsia="Times New Roman" w:hint="default"/>
        </w:rPr>
        <w:t>66.67%</w:t>
      </w:r>
      <w:r>
        <w:rPr/>
        <w:t>。</w:t>
      </w:r>
      <w:r>
        <w:rPr>
          <w:rFonts w:ascii="Times New Roman" w:hAnsi="Times New Roman" w:cs="Times New Roman" w:eastAsia="Times New Roman" w:hint="default"/>
        </w:rPr>
        <w:t>2017</w:t>
      </w:r>
      <w:r>
        <w:rPr/>
        <w:t>年艾瑞和易观</w:t>
      </w:r>
      <w:r>
        <w:rPr>
          <w:rFonts w:ascii="Times New Roman" w:hAnsi="Times New Roman" w:cs="Times New Roman" w:eastAsia="Times New Roman" w:hint="default"/>
        </w:rPr>
        <w:t>Q3</w:t>
      </w:r>
      <w:r>
        <w:rPr/>
        <w:t>统计数据显示，公司在移动支付领域排名全国第四，公司不仅为</w:t>
      </w:r>
      <w:r>
        <w:rPr>
          <w:rFonts w:ascii="Times New Roman" w:hAnsi="Times New Roman" w:cs="Times New Roman" w:eastAsia="Times New Roman" w:hint="default"/>
        </w:rPr>
        <w:t>B2B</w:t>
      </w:r>
      <w:r>
        <w:rPr/>
        <w:t>领域</w:t>
      </w:r>
      <w:r>
        <w:rPr>
          <w:spacing w:val="-26"/>
        </w:rPr>
        <w:t> </w:t>
      </w:r>
      <w:r>
        <w:rPr>
          <w:spacing w:val="-2"/>
        </w:rPr>
        <w:t>的大中型企业以及零售、电商、物流、快消品等众多行业客户提供</w:t>
      </w:r>
      <w:r>
        <w:rPr>
          <w:rFonts w:ascii="Times New Roman" w:hAnsi="Times New Roman" w:cs="Times New Roman" w:eastAsia="Times New Roman" w:hint="default"/>
          <w:spacing w:val="-2"/>
        </w:rPr>
        <w:t>“</w:t>
      </w:r>
      <w:r>
        <w:rPr>
          <w:spacing w:val="-2"/>
        </w:rPr>
        <w:t>支付</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的定制化综合解决方案，还通过</w:t>
      </w:r>
      <w:r>
        <w:rPr>
          <w:rFonts w:ascii="Times New Roman" w:hAnsi="Times New Roman" w:cs="Times New Roman" w:eastAsia="Times New Roman" w:hint="default"/>
          <w:spacing w:val="-2"/>
        </w:rPr>
        <w:t>“</w:t>
      </w:r>
      <w:r>
        <w:rPr>
          <w:spacing w:val="-2"/>
        </w:rPr>
        <w:t>联动支付管</w:t>
      </w:r>
      <w:r>
        <w:rPr>
          <w:spacing w:val="-45"/>
        </w:rPr>
        <w:t> </w:t>
      </w:r>
      <w:r>
        <w:rPr/>
        <w:t>家</w:t>
      </w:r>
      <w:r>
        <w:rPr>
          <w:rFonts w:ascii="Times New Roman" w:hAnsi="Times New Roman" w:cs="Times New Roman" w:eastAsia="Times New Roman" w:hint="default"/>
        </w:rPr>
        <w:t>”</w:t>
      </w:r>
      <w:r>
        <w:rPr/>
        <w:t>帮助</w:t>
      </w:r>
      <w:r>
        <w:rPr>
          <w:rFonts w:ascii="Times New Roman" w:hAnsi="Times New Roman" w:cs="Times New Roman" w:eastAsia="Times New Roman" w:hint="default"/>
        </w:rPr>
        <w:t>“</w:t>
      </w:r>
      <w:r>
        <w:rPr/>
        <w:t>中小微企业客户</w:t>
      </w:r>
      <w:r>
        <w:rPr>
          <w:rFonts w:ascii="Times New Roman" w:hAnsi="Times New Roman" w:cs="Times New Roman" w:eastAsia="Times New Roman" w:hint="default"/>
        </w:rPr>
        <w:t>”</w:t>
      </w:r>
      <w:r>
        <w:rPr/>
        <w:t>全面提升用户业务运营水平，提升交易管理以及资金管理的智能化、高效化能力。</w:t>
      </w:r>
    </w:p>
    <w:p>
      <w:pPr>
        <w:pStyle w:val="BodyText"/>
        <w:spacing w:line="300" w:lineRule="auto" w:before="7"/>
        <w:ind w:left="513" w:right="0" w:firstLine="1"/>
        <w:jc w:val="left"/>
      </w:pPr>
      <w:r>
        <w:rPr>
          <w:rFonts w:ascii="Times New Roman" w:hAnsi="Times New Roman" w:cs="Times New Roman" w:eastAsia="Times New Roman" w:hint="default"/>
          <w:b/>
          <w:bCs/>
        </w:rPr>
        <w:t>6</w:t>
      </w:r>
      <w:r>
        <w:rPr>
          <w:rFonts w:ascii="宋体" w:hAnsi="宋体" w:cs="宋体" w:eastAsia="宋体" w:hint="default"/>
          <w:b/>
          <w:bCs/>
        </w:rPr>
        <w:t>、卓越的管理团队优势</w:t>
      </w:r>
      <w:r>
        <w:rPr>
          <w:rFonts w:ascii="宋体" w:hAnsi="宋体" w:cs="宋体" w:eastAsia="宋体" w:hint="default"/>
          <w:b/>
          <w:bCs/>
          <w:w w:val="99"/>
        </w:rPr>
        <w:t> </w:t>
      </w:r>
      <w:r>
        <w:rPr>
          <w:spacing w:val="-2"/>
        </w:rPr>
        <w:t>多年来，公司持续建设内部人才培养机制，重视内部人才培养，逐渐呈现出良性的人才阶梯发展态势，最大限度满足企</w:t>
      </w:r>
    </w:p>
    <w:p>
      <w:pPr>
        <w:pStyle w:val="BodyText"/>
        <w:spacing w:line="316" w:lineRule="auto" w:before="31"/>
        <w:ind w:right="0"/>
        <w:jc w:val="left"/>
      </w:pPr>
      <w:r>
        <w:rPr>
          <w:spacing w:val="-4"/>
        </w:rPr>
        <w:t>业自身发展的需求，同时，公司还不断从大型优秀企业引进高端管理人才，与内部人才呈现互为补充、协同发展的良好环境，</w:t>
      </w:r>
      <w:r>
        <w:rPr>
          <w:spacing w:val="-46"/>
        </w:rPr>
        <w:t> </w:t>
      </w:r>
      <w:r>
        <w:rPr>
          <w:spacing w:val="-46"/>
        </w:rPr>
      </w:r>
      <w:r>
        <w:rPr/>
        <w:t>更好的支撑企业快速发展对管理人才的要求。</w:t>
      </w:r>
    </w:p>
    <w:p>
      <w:pPr>
        <w:pStyle w:val="BodyText"/>
        <w:spacing w:line="300" w:lineRule="auto" w:before="19"/>
        <w:ind w:left="514" w:right="1032" w:firstLine="1"/>
        <w:jc w:val="left"/>
      </w:pPr>
      <w:r>
        <w:rPr>
          <w:rFonts w:ascii="Times New Roman" w:hAnsi="Times New Roman" w:cs="Times New Roman" w:eastAsia="Times New Roman" w:hint="default"/>
          <w:b/>
          <w:bCs/>
        </w:rPr>
        <w:t>7</w:t>
      </w:r>
      <w:r>
        <w:rPr>
          <w:rFonts w:ascii="宋体" w:hAnsi="宋体" w:cs="宋体" w:eastAsia="宋体" w:hint="default"/>
          <w:b/>
          <w:bCs/>
        </w:rPr>
        <w:t>、雄厚的技术实力</w:t>
      </w:r>
      <w:r>
        <w:rPr>
          <w:rFonts w:ascii="宋体" w:hAnsi="宋体" w:cs="宋体" w:eastAsia="宋体" w:hint="default"/>
          <w:b/>
          <w:bCs/>
          <w:w w:val="99"/>
        </w:rPr>
        <w:t> </w:t>
      </w:r>
      <w:r>
        <w:rPr/>
        <w:t>随着公司转型升级战略的逐步推进，公司的产品和技术不断向高精尖领域发展。公司多家子公司被授予高新技术企业，</w:t>
      </w:r>
    </w:p>
    <w:p>
      <w:pPr>
        <w:pStyle w:val="BodyText"/>
        <w:spacing w:line="302" w:lineRule="auto" w:before="31"/>
        <w:ind w:right="1030"/>
        <w:jc w:val="left"/>
      </w:pPr>
      <w:r>
        <w:rPr>
          <w:spacing w:val="-2"/>
        </w:rPr>
        <w:t>建有多个企业技术中心及工程技术研究中心且已获得相关政府部门批准。报告期内，联动优势收到北京市发展和改革委员会</w:t>
      </w:r>
      <w:r>
        <w:rPr>
          <w:spacing w:val="-64"/>
        </w:rPr>
        <w:t> </w:t>
      </w:r>
      <w:r>
        <w:rPr>
          <w:spacing w:val="-64"/>
        </w:rPr>
      </w:r>
      <w:r>
        <w:rPr>
          <w:spacing w:val="-3"/>
        </w:rPr>
        <w:t>下发的《北京市发展和改革委员会关于</w:t>
      </w:r>
      <w:r>
        <w:rPr>
          <w:rFonts w:ascii="Times New Roman" w:hAnsi="Times New Roman" w:cs="Times New Roman" w:eastAsia="Times New Roman" w:hint="default"/>
          <w:spacing w:val="-3"/>
        </w:rPr>
        <w:t>2017</w:t>
      </w:r>
      <w:r>
        <w:rPr>
          <w:spacing w:val="-3"/>
        </w:rPr>
        <w:t>年认定北京市工程研究中心和工程实验室的批复》（京发改〔</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242</w:t>
      </w:r>
      <w:r>
        <w:rPr>
          <w:spacing w:val="-3"/>
        </w:rPr>
        <w:t>号），联</w:t>
      </w:r>
      <w:r>
        <w:rPr/>
        <w:t> 动优势</w:t>
      </w:r>
      <w:r>
        <w:rPr>
          <w:rFonts w:ascii="Times New Roman" w:hAnsi="Times New Roman" w:cs="Times New Roman" w:eastAsia="Times New Roman" w:hint="default"/>
        </w:rPr>
        <w:t>“</w:t>
      </w:r>
      <w:r>
        <w:rPr/>
        <w:t>下一代电子支付安全技术北京市工程实验室</w:t>
      </w:r>
      <w:r>
        <w:rPr>
          <w:rFonts w:ascii="Times New Roman" w:hAnsi="Times New Roman" w:cs="Times New Roman" w:eastAsia="Times New Roman" w:hint="default"/>
        </w:rPr>
        <w:t>”</w:t>
      </w:r>
      <w:r>
        <w:rPr/>
        <w:t>被认定为</w:t>
      </w:r>
      <w:r>
        <w:rPr>
          <w:rFonts w:ascii="Times New Roman" w:hAnsi="Times New Roman" w:cs="Times New Roman" w:eastAsia="Times New Roman" w:hint="default"/>
        </w:rPr>
        <w:t>2017</w:t>
      </w:r>
      <w:r>
        <w:rPr/>
        <w:t>年市级工程研究中心和工程实验室；报告期内，联动优势 </w:t>
      </w:r>
      <w:r>
        <w:rPr>
          <w:spacing w:val="-3"/>
        </w:rPr>
        <w:t>收到北京市经济和信息化委员会下发的《关于公布</w:t>
      </w:r>
      <w:r>
        <w:rPr>
          <w:rFonts w:ascii="Times New Roman" w:hAnsi="Times New Roman" w:cs="Times New Roman" w:eastAsia="Times New Roman" w:hint="default"/>
          <w:spacing w:val="-3"/>
        </w:rPr>
        <w:t>2016</w:t>
      </w:r>
      <w:r>
        <w:rPr>
          <w:spacing w:val="-3"/>
        </w:rPr>
        <w:t>年度北京市第十九批企业技术中心名单的通知》（京经信委发〔</w:t>
      </w:r>
      <w:r>
        <w:rPr>
          <w:rFonts w:ascii="Times New Roman" w:hAnsi="Times New Roman" w:cs="Times New Roman" w:eastAsia="Times New Roman" w:hint="default"/>
          <w:spacing w:val="-3"/>
        </w:rPr>
        <w:t>2017</w:t>
      </w:r>
      <w:r>
        <w:rPr>
          <w:spacing w:val="-3"/>
        </w:rPr>
        <w:t>〕</w:t>
      </w:r>
      <w:r>
        <w:rPr>
          <w:spacing w:val="-87"/>
        </w:rPr>
        <w:t> </w:t>
      </w:r>
      <w:r>
        <w:rPr>
          <w:rFonts w:ascii="Times New Roman" w:hAnsi="Times New Roman" w:cs="Times New Roman" w:eastAsia="Times New Roman" w:hint="default"/>
          <w:spacing w:val="-4"/>
        </w:rPr>
        <w:t>1</w:t>
      </w:r>
      <w:r>
        <w:rPr>
          <w:spacing w:val="-4"/>
        </w:rPr>
        <w:t>号），经专家评估，联动优势技术中心被认定为</w:t>
      </w:r>
      <w:r>
        <w:rPr>
          <w:rFonts w:ascii="Times New Roman" w:hAnsi="Times New Roman" w:cs="Times New Roman" w:eastAsia="Times New Roman" w:hint="default"/>
          <w:spacing w:val="-4"/>
        </w:rPr>
        <w:t>2016</w:t>
      </w:r>
      <w:r>
        <w:rPr>
          <w:spacing w:val="-4"/>
        </w:rPr>
        <w:t>年度北京市第十九批企业技术中心；联动优势还收到国家发展和改革委</w:t>
      </w:r>
      <w:r>
        <w:rPr>
          <w:spacing w:val="-36"/>
        </w:rPr>
        <w:t> </w:t>
      </w:r>
      <w:r>
        <w:rPr>
          <w:spacing w:val="-36"/>
        </w:rPr>
      </w:r>
      <w:r>
        <w:rPr>
          <w:spacing w:val="-3"/>
        </w:rPr>
        <w:t>员会办公厅下发的《国家发展改革委办公厅关于启动促进大数据发展重大工程的复函》（发改办高技〔</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461</w:t>
      </w:r>
      <w:r>
        <w:rPr>
          <w:rFonts w:ascii="Times New Roman" w:hAnsi="Times New Roman" w:cs="Times New Roman" w:eastAsia="Times New Roman" w:hint="default"/>
        </w:rPr>
        <w:t> </w:t>
      </w:r>
      <w:r>
        <w:rPr>
          <w:spacing w:val="-22"/>
        </w:rPr>
        <w:t>号），联动</w:t>
      </w:r>
      <w:r>
        <w:rPr>
          <w:spacing w:val="-84"/>
        </w:rPr>
        <w:t> </w:t>
      </w:r>
      <w:r>
        <w:rPr>
          <w:spacing w:val="-84"/>
        </w:rPr>
      </w:r>
      <w:r>
        <w:rPr/>
        <w:t>优势的</w:t>
      </w:r>
      <w:r>
        <w:rPr>
          <w:rFonts w:ascii="Times New Roman" w:hAnsi="Times New Roman" w:cs="Times New Roman" w:eastAsia="Times New Roman" w:hint="default"/>
        </w:rPr>
        <w:t>“</w:t>
      </w:r>
      <w:r>
        <w:rPr/>
        <w:t>金融风控大数据应用服务平台项目</w:t>
      </w:r>
      <w:r>
        <w:rPr>
          <w:rFonts w:ascii="Times New Roman" w:hAnsi="Times New Roman" w:cs="Times New Roman" w:eastAsia="Times New Roman" w:hint="default"/>
        </w:rPr>
        <w:t>”</w:t>
      </w:r>
      <w:r>
        <w:rPr/>
        <w:t>被发改委纳入</w:t>
      </w:r>
      <w:r>
        <w:rPr>
          <w:rFonts w:ascii="Times New Roman" w:hAnsi="Times New Roman" w:cs="Times New Roman" w:eastAsia="Times New Roman" w:hint="default"/>
        </w:rPr>
        <w:t>“2017</w:t>
      </w:r>
      <w:r>
        <w:rPr/>
        <w:t>年促进大数据发展重大工程项目计划</w:t>
      </w:r>
      <w:r>
        <w:rPr>
          <w:rFonts w:ascii="Times New Roman" w:hAnsi="Times New Roman" w:cs="Times New Roman" w:eastAsia="Times New Roman" w:hint="default"/>
        </w:rPr>
        <w:t>”</w:t>
      </w:r>
      <w:r>
        <w:rPr/>
        <w:t>，并获得国家相应补助 资金支持。</w:t>
      </w:r>
    </w:p>
    <w:p>
      <w:pPr>
        <w:pStyle w:val="BodyText"/>
        <w:spacing w:line="300" w:lineRule="auto" w:before="29"/>
        <w:ind w:left="513" w:right="1083" w:firstLine="1"/>
        <w:jc w:val="left"/>
      </w:pPr>
      <w:r>
        <w:rPr>
          <w:rFonts w:ascii="Times New Roman" w:hAnsi="Times New Roman" w:cs="Times New Roman" w:eastAsia="Times New Roman" w:hint="default"/>
          <w:b/>
          <w:bCs/>
        </w:rPr>
        <w:t>8</w:t>
      </w:r>
      <w:r>
        <w:rPr>
          <w:rFonts w:ascii="宋体" w:hAnsi="宋体" w:cs="宋体" w:eastAsia="宋体" w:hint="default"/>
          <w:b/>
          <w:bCs/>
        </w:rPr>
        <w:t>、严谨的质量保证体系</w:t>
      </w:r>
      <w:r>
        <w:rPr>
          <w:rFonts w:ascii="宋体" w:hAnsi="宋体" w:cs="宋体" w:eastAsia="宋体" w:hint="default"/>
          <w:b/>
          <w:bCs/>
          <w:w w:val="99"/>
        </w:rPr>
        <w:t> </w:t>
      </w:r>
      <w:r>
        <w:rPr/>
        <w:t>公司及子公司通过了</w:t>
      </w:r>
      <w:r>
        <w:rPr>
          <w:rFonts w:ascii="Times New Roman" w:hAnsi="Times New Roman" w:cs="Times New Roman" w:eastAsia="Times New Roman" w:hint="default"/>
        </w:rPr>
        <w:t>TS16949</w:t>
      </w:r>
      <w:r>
        <w:rPr/>
        <w:t>、</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CCC</w:t>
      </w:r>
      <w:r>
        <w:rPr/>
        <w:t>认证、</w:t>
      </w:r>
      <w:r>
        <w:rPr>
          <w:rFonts w:ascii="Times New Roman" w:hAnsi="Times New Roman" w:cs="Times New Roman" w:eastAsia="Times New Roman" w:hint="default"/>
        </w:rPr>
        <w:t>UL</w:t>
      </w:r>
      <w:r>
        <w:rPr/>
        <w:t>认证、</w:t>
      </w:r>
      <w:r>
        <w:rPr>
          <w:rFonts w:ascii="Times New Roman" w:hAnsi="Times New Roman" w:cs="Times New Roman" w:eastAsia="Times New Roman" w:hint="default"/>
        </w:rPr>
        <w:t>ISO14001</w:t>
      </w:r>
      <w:r>
        <w:rPr/>
        <w:t>等体系认证，坚持采用国际质量标准，</w:t>
      </w:r>
    </w:p>
    <w:p>
      <w:pPr>
        <w:pStyle w:val="BodyText"/>
        <w:spacing w:line="316" w:lineRule="auto" w:before="13"/>
        <w:ind w:right="1133"/>
        <w:jc w:val="both"/>
      </w:pPr>
      <w:r>
        <w:rPr>
          <w:spacing w:val="-2"/>
        </w:rPr>
        <w:t>从生产组织、管理流程到承接订单、原材料采购、模具设计、工艺设计、质量控制、检测工序、装箱交货、客户服务等各个</w:t>
      </w:r>
      <w:r>
        <w:rPr>
          <w:spacing w:val="-67"/>
        </w:rPr>
        <w:t> </w:t>
      </w:r>
      <w:r>
        <w:rPr>
          <w:spacing w:val="-67"/>
        </w:rPr>
      </w:r>
      <w:r>
        <w:rPr>
          <w:spacing w:val="-2"/>
        </w:rPr>
        <w:t>环节均严格执行上述体系的要求，保证产品质量符合客户的需要；通过推行六西格玛管理，极大的降低了产品质量缺陷的发</w:t>
      </w:r>
      <w:r>
        <w:rPr>
          <w:spacing w:val="-66"/>
        </w:rPr>
        <w:t> </w:t>
      </w:r>
      <w:r>
        <w:rPr>
          <w:spacing w:val="-66"/>
        </w:rPr>
      </w:r>
      <w:r>
        <w:rPr/>
        <w:t>生。</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left"/>
        <w:rPr>
          <w:b w:val="0"/>
          <w:bCs w:val="0"/>
        </w:rPr>
      </w:pPr>
      <w:r>
        <w:rPr/>
        <w:t>（一）主营业务分析</w:t>
      </w:r>
      <w:r>
        <w:rPr>
          <w:b w:val="0"/>
          <w:bCs w:val="0"/>
        </w:rPr>
      </w:r>
    </w:p>
    <w:p>
      <w:pPr>
        <w:pStyle w:val="BodyText"/>
        <w:spacing w:line="309" w:lineRule="auto" w:before="76"/>
        <w:ind w:right="1033" w:firstLine="360"/>
        <w:jc w:val="left"/>
      </w:pPr>
      <w:r>
        <w:rPr>
          <w:rFonts w:ascii="Times New Roman" w:hAnsi="Times New Roman" w:cs="Times New Roman" w:eastAsia="Times New Roman" w:hint="default"/>
          <w:spacing w:val="-2"/>
        </w:rPr>
        <w:t>2017</w:t>
      </w:r>
      <w:r>
        <w:rPr>
          <w:spacing w:val="-2"/>
        </w:rPr>
        <w:t>年，国内整体经济形势稳中向好，供给侧结构性改革取得重要进展，经济发展质量和效益稳步提高，金融科技产业</w:t>
      </w:r>
      <w:r>
        <w:rPr/>
        <w:t> 处于快速增长期，制造业仍处在转型升级阶段。在此经济背景下，公司金融科技板块坚持合法合规、科技创新、协同整合、 </w:t>
      </w:r>
      <w:r>
        <w:rPr>
          <w:spacing w:val="-2"/>
        </w:rPr>
        <w:t>深耕深作的战略思路，业务板块实现快速增长；公司智能制造板块坚持转型升级、优化提效、创新变革、精益管理的战略思</w:t>
      </w:r>
      <w:r>
        <w:rPr>
          <w:spacing w:val="-66"/>
        </w:rPr>
        <w:t> </w:t>
      </w:r>
      <w:r>
        <w:rPr>
          <w:spacing w:val="-66"/>
        </w:rPr>
      </w:r>
      <w:r>
        <w:rPr>
          <w:spacing w:val="-5"/>
        </w:rPr>
        <w:t>路，业务规模实现了大幅提升，公司整体盈利能力持续增强。</w:t>
      </w:r>
      <w:r>
        <w:rPr>
          <w:rFonts w:ascii="Times New Roman" w:hAnsi="Times New Roman" w:cs="Times New Roman" w:eastAsia="Times New Roman" w:hint="default"/>
          <w:spacing w:val="-5"/>
        </w:rPr>
        <w:t>2017</w:t>
      </w:r>
      <w:r>
        <w:rPr>
          <w:spacing w:val="-5"/>
        </w:rPr>
        <w:t>年，公司实现营业收入</w:t>
      </w:r>
      <w:r>
        <w:rPr>
          <w:rFonts w:ascii="Times New Roman" w:hAnsi="Times New Roman" w:cs="Times New Roman" w:eastAsia="Times New Roman" w:hint="default"/>
          <w:spacing w:val="-5"/>
        </w:rPr>
        <w:t>399,604.71</w:t>
      </w:r>
      <w:r>
        <w:rPr>
          <w:spacing w:val="-5"/>
        </w:rPr>
        <w:t>万元，较同期增长</w:t>
      </w:r>
      <w:r>
        <w:rPr>
          <w:rFonts w:ascii="Times New Roman" w:hAnsi="Times New Roman" w:cs="Times New Roman" w:eastAsia="Times New Roman" w:hint="default"/>
          <w:spacing w:val="-5"/>
        </w:rPr>
        <w:t>51.69%</w:t>
      </w:r>
      <w:r>
        <w:rPr>
          <w:spacing w:val="-5"/>
        </w:rPr>
        <w:t>，</w:t>
      </w:r>
      <w:r>
        <w:rPr>
          <w:spacing w:val="-45"/>
        </w:rPr>
        <w:t> </w:t>
      </w:r>
      <w:r>
        <w:rPr/>
        <w:t>归属于上市公司股东的净利润</w:t>
      </w:r>
      <w:r>
        <w:rPr>
          <w:rFonts w:ascii="Times New Roman" w:hAnsi="Times New Roman" w:cs="Times New Roman" w:eastAsia="Times New Roman" w:hint="default"/>
        </w:rPr>
        <w:t>41,394.58</w:t>
      </w:r>
      <w:r>
        <w:rPr/>
        <w:t>万元，较同期增长</w:t>
      </w:r>
      <w:r>
        <w:rPr>
          <w:rFonts w:ascii="Times New Roman" w:hAnsi="Times New Roman" w:cs="Times New Roman" w:eastAsia="Times New Roman" w:hint="default"/>
        </w:rPr>
        <w:t>77.72%</w:t>
      </w:r>
      <w:r>
        <w:rPr/>
        <w:t>，企业的获利能力得到进一步提升。</w:t>
      </w:r>
    </w:p>
    <w:p>
      <w:pPr>
        <w:pStyle w:val="Heading6"/>
        <w:spacing w:line="240" w:lineRule="auto" w:before="5"/>
        <w:ind w:right="0"/>
        <w:jc w:val="left"/>
        <w:rPr>
          <w:b w:val="0"/>
          <w:bCs w:val="0"/>
        </w:rPr>
      </w:pPr>
      <w:r>
        <w:rPr/>
        <w:t>（二）报告期内主要工作回顾及经营分析</w:t>
      </w:r>
      <w:r>
        <w:rPr>
          <w:b w:val="0"/>
          <w:bCs w:val="0"/>
        </w:rPr>
      </w:r>
    </w:p>
    <w:p>
      <w:pPr>
        <w:pStyle w:val="Heading6"/>
        <w:spacing w:line="240" w:lineRule="auto" w:before="76"/>
        <w:ind w:right="0"/>
        <w:jc w:val="left"/>
        <w:rPr>
          <w:b w:val="0"/>
          <w:bCs w:val="0"/>
        </w:rPr>
      </w:pPr>
      <w:r>
        <w:rPr>
          <w:rFonts w:ascii="Times New Roman" w:hAnsi="Times New Roman" w:cs="Times New Roman" w:eastAsia="Times New Roman" w:hint="default"/>
        </w:rPr>
        <w:t>1</w:t>
      </w:r>
      <w:r>
        <w:rPr/>
        <w:t>、金融科技板块快速增长</w:t>
      </w:r>
      <w:r>
        <w:rPr>
          <w:b w:val="0"/>
          <w:bCs w:val="0"/>
        </w:rPr>
      </w:r>
    </w:p>
    <w:p>
      <w:pPr>
        <w:pStyle w:val="BodyText"/>
        <w:spacing w:line="300" w:lineRule="auto" w:before="63"/>
        <w:ind w:left="154" w:right="0" w:firstLine="360"/>
        <w:jc w:val="left"/>
      </w:pPr>
      <w:r>
        <w:rPr>
          <w:rFonts w:ascii="Times New Roman" w:hAnsi="Times New Roman" w:cs="Times New Roman" w:eastAsia="Times New Roman" w:hint="default"/>
          <w:spacing w:val="-1"/>
        </w:rPr>
        <w:t>2017</w:t>
      </w:r>
      <w:r>
        <w:rPr>
          <w:spacing w:val="-1"/>
        </w:rPr>
        <w:t>年度，公司金融科技板块实现营业收入</w:t>
      </w:r>
      <w:r>
        <w:rPr>
          <w:rFonts w:ascii="Times New Roman" w:hAnsi="Times New Roman" w:cs="Times New Roman" w:eastAsia="Times New Roman" w:hint="default"/>
          <w:spacing w:val="-1"/>
        </w:rPr>
        <w:t>108,687.41</w:t>
      </w:r>
      <w:r>
        <w:rPr>
          <w:spacing w:val="-1"/>
        </w:rPr>
        <w:t>万元，较</w:t>
      </w:r>
      <w:r>
        <w:rPr>
          <w:rFonts w:ascii="Times New Roman" w:hAnsi="Times New Roman" w:cs="Times New Roman" w:eastAsia="Times New Roman" w:hint="default"/>
          <w:spacing w:val="-1"/>
        </w:rPr>
        <w:t>2016</w:t>
      </w:r>
      <w:r>
        <w:rPr>
          <w:spacing w:val="-1"/>
        </w:rPr>
        <w:t>年度增长</w:t>
      </w:r>
      <w:r>
        <w:rPr>
          <w:rFonts w:ascii="Times New Roman" w:hAnsi="Times New Roman" w:cs="Times New Roman" w:eastAsia="Times New Roman" w:hint="default"/>
          <w:spacing w:val="-1"/>
        </w:rPr>
        <w:t>37.10%</w:t>
      </w:r>
      <w:r>
        <w:rPr>
          <w:spacing w:val="-1"/>
        </w:rPr>
        <w:t>，实现归属于上市公司股东的净利</w:t>
      </w:r>
      <w:r>
        <w:rPr/>
        <w:t> 润</w:t>
      </w:r>
      <w:r>
        <w:rPr>
          <w:rFonts w:ascii="Times New Roman" w:hAnsi="Times New Roman" w:cs="Times New Roman" w:eastAsia="Times New Roman" w:hint="default"/>
        </w:rPr>
        <w:t>24,229.67</w:t>
      </w:r>
      <w:r>
        <w:rPr/>
        <w:t>万元，较</w:t>
      </w:r>
      <w:r>
        <w:rPr>
          <w:rFonts w:ascii="Times New Roman" w:hAnsi="Times New Roman" w:cs="Times New Roman" w:eastAsia="Times New Roman" w:hint="default"/>
        </w:rPr>
        <w:t>2016</w:t>
      </w:r>
      <w:r>
        <w:rPr/>
        <w:t>年度增长</w:t>
      </w:r>
      <w:r>
        <w:rPr>
          <w:rFonts w:ascii="Times New Roman" w:hAnsi="Times New Roman" w:cs="Times New Roman" w:eastAsia="Times New Roman" w:hint="default"/>
        </w:rPr>
        <w:t>11.14%</w:t>
      </w:r>
      <w:r>
        <w:rPr/>
        <w:t>。公司金融科技产业在报告期内的主要工作回顾及经营情况分析如下：</w:t>
      </w:r>
    </w:p>
    <w:p>
      <w:pPr>
        <w:pStyle w:val="BodyText"/>
        <w:spacing w:line="300" w:lineRule="auto" w:before="13"/>
        <w:ind w:left="514" w:right="1122"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）第三方支付</w:t>
      </w:r>
      <w:r>
        <w:rPr>
          <w:rFonts w:ascii="宋体" w:hAnsi="宋体" w:cs="宋体" w:eastAsia="宋体" w:hint="default"/>
          <w:b/>
          <w:bCs/>
          <w:w w:val="99"/>
        </w:rPr>
        <w:t> </w:t>
      </w:r>
      <w:r>
        <w:rPr>
          <w:spacing w:val="-1"/>
        </w:rPr>
        <w:t>报告期内，公司第三方支付业务的交易规模超</w:t>
      </w:r>
      <w:r>
        <w:rPr>
          <w:rFonts w:ascii="Times New Roman" w:hAnsi="Times New Roman" w:cs="Times New Roman" w:eastAsia="Times New Roman" w:hint="default"/>
          <w:spacing w:val="-1"/>
        </w:rPr>
        <w:t>15,000</w:t>
      </w:r>
      <w:r>
        <w:rPr>
          <w:spacing w:val="-1"/>
        </w:rPr>
        <w:t>亿元，较</w:t>
      </w:r>
      <w:r>
        <w:rPr>
          <w:rFonts w:ascii="Times New Roman" w:hAnsi="Times New Roman" w:cs="Times New Roman" w:eastAsia="Times New Roman" w:hint="default"/>
          <w:spacing w:val="-1"/>
        </w:rPr>
        <w:t>2016</w:t>
      </w:r>
      <w:r>
        <w:rPr>
          <w:spacing w:val="-1"/>
        </w:rPr>
        <w:t>年度增长幅度达</w:t>
      </w:r>
      <w:r>
        <w:rPr>
          <w:rFonts w:ascii="Times New Roman" w:hAnsi="Times New Roman" w:cs="Times New Roman" w:eastAsia="Times New Roman" w:hint="default"/>
          <w:spacing w:val="-1"/>
        </w:rPr>
        <w:t>66.67%</w:t>
      </w:r>
      <w:r>
        <w:rPr>
          <w:spacing w:val="-1"/>
        </w:rPr>
        <w:t>，公司第三方支付业务交易规</w:t>
      </w:r>
    </w:p>
    <w:p>
      <w:pPr>
        <w:pStyle w:val="BodyText"/>
        <w:spacing w:line="307" w:lineRule="auto" w:before="13"/>
        <w:ind w:right="0"/>
        <w:jc w:val="left"/>
      </w:pPr>
      <w:r>
        <w:rPr/>
        <w:t>模再创新高。公司在报告期内顺应国家消费升级大趋势，整合自有支付清结算</w:t>
      </w:r>
      <w:r>
        <w:rPr>
          <w:rFonts w:ascii="Times New Roman" w:hAnsi="Times New Roman" w:cs="Times New Roman" w:eastAsia="Times New Roman" w:hint="default"/>
        </w:rPr>
        <w:t>+</w:t>
      </w:r>
      <w:r>
        <w:rPr/>
        <w:t>大数据风控能力，搭建中立第三方消费金融 云服务平台，连接消费场景方和资金方，助力金融机构创新消费金融业务，为用户提供便捷的消费金融服务，为包括</w:t>
      </w:r>
      <w:r>
        <w:rPr>
          <w:rFonts w:ascii="Times New Roman" w:hAnsi="Times New Roman" w:cs="Times New Roman" w:eastAsia="Times New Roman" w:hint="default"/>
        </w:rPr>
        <w:t>110</w:t>
      </w:r>
      <w:r>
        <w:rPr/>
        <w:t>多 家传统的金融机构、</w:t>
      </w:r>
      <w:r>
        <w:rPr>
          <w:rFonts w:ascii="Times New Roman" w:hAnsi="Times New Roman" w:cs="Times New Roman" w:eastAsia="Times New Roman" w:hint="default"/>
        </w:rPr>
        <w:t>1200</w:t>
      </w:r>
      <w:r>
        <w:rPr/>
        <w:t>多家新兴的互联网金融机构、</w:t>
      </w:r>
      <w:r>
        <w:rPr>
          <w:rFonts w:ascii="Times New Roman" w:hAnsi="Times New Roman" w:cs="Times New Roman" w:eastAsia="Times New Roman" w:hint="default"/>
        </w:rPr>
        <w:t>3,000</w:t>
      </w:r>
      <w:r>
        <w:rPr/>
        <w:t>多家大型企业合作、</w:t>
      </w:r>
      <w:r>
        <w:rPr>
          <w:rFonts w:ascii="Times New Roman" w:hAnsi="Times New Roman" w:cs="Times New Roman" w:eastAsia="Times New Roman" w:hint="default"/>
        </w:rPr>
        <w:t>70</w:t>
      </w:r>
      <w:r>
        <w:rPr/>
        <w:t>多万家中小企业提供综合支付、信息推 </w:t>
      </w:r>
      <w:r>
        <w:rPr>
          <w:spacing w:val="-2"/>
        </w:rPr>
        <w:t>送、智能营销、大数据、高速清算、智能反欺诈、反洗钱交易等服务。另外，联动优势在</w:t>
      </w:r>
      <w:r>
        <w:rPr>
          <w:rFonts w:ascii="Times New Roman" w:hAnsi="Times New Roman" w:cs="Times New Roman" w:eastAsia="Times New Roman" w:hint="default"/>
          <w:spacing w:val="-2"/>
        </w:rPr>
        <w:t>2017</w:t>
      </w:r>
      <w:r>
        <w:rPr>
          <w:spacing w:val="-2"/>
        </w:rPr>
        <w:t>年度取得了中国人民银行正式</w:t>
      </w:r>
      <w:r>
        <w:rPr>
          <w:spacing w:val="-67"/>
        </w:rPr>
        <w:t> </w:t>
      </w:r>
      <w:r>
        <w:rPr>
          <w:spacing w:val="-67"/>
        </w:rPr>
      </w:r>
      <w:r>
        <w:rPr>
          <w:spacing w:val="-4"/>
        </w:rPr>
        <w:t>颁发的续展后的《支付业务许可证》，公司业务范畴涵盖全国范围的互联网支付、移动电话支付、银行卡收单，在此基础上，</w:t>
      </w:r>
      <w:r>
        <w:rPr>
          <w:spacing w:val="-44"/>
        </w:rPr>
        <w:t> </w:t>
      </w:r>
      <w:r>
        <w:rPr>
          <w:spacing w:val="-44"/>
        </w:rPr>
      </w:r>
      <w:r>
        <w:rPr>
          <w:spacing w:val="-2"/>
        </w:rPr>
        <w:t>联动优势还对外提供基金支付、跨境外汇支付、跨境人民币支付、供应链管理解决方案等综合金融科技服务。同时，联动优</w:t>
      </w:r>
      <w:r>
        <w:rPr>
          <w:spacing w:val="-65"/>
        </w:rPr>
        <w:t> </w:t>
      </w:r>
      <w:r>
        <w:rPr>
          <w:spacing w:val="-65"/>
        </w:rPr>
      </w:r>
      <w:r>
        <w:rPr/>
        <w:t>势在报告期内还完成了以高铁移动支付为代表的行业标杆项目，目前正在推广中。</w:t>
      </w:r>
    </w:p>
    <w:p>
      <w:pPr>
        <w:pStyle w:val="BodyText"/>
        <w:spacing w:line="300" w:lineRule="auto" w:before="26"/>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）大数据服务</w:t>
      </w:r>
      <w:r>
        <w:rPr>
          <w:rFonts w:ascii="宋体" w:hAnsi="宋体" w:cs="宋体" w:eastAsia="宋体" w:hint="default"/>
          <w:b/>
          <w:bCs/>
          <w:w w:val="99"/>
        </w:rPr>
        <w:t> </w:t>
      </w:r>
      <w:r>
        <w:rPr>
          <w:spacing w:val="-4"/>
        </w:rPr>
        <w:t>报告期内，公司重视技术创新，在大数据分布式存储和计算、数据挖掘等方面持续投入，同时在可操作性和功能丰富度、</w:t>
      </w:r>
    </w:p>
    <w:p>
      <w:pPr>
        <w:pStyle w:val="BodyText"/>
        <w:spacing w:line="316" w:lineRule="auto" w:before="31"/>
        <w:ind w:left="154" w:right="0"/>
        <w:jc w:val="left"/>
      </w:pPr>
      <w:r>
        <w:rPr>
          <w:spacing w:val="-2"/>
        </w:rPr>
        <w:t>平台安全性、数据管理能力、分析的共享能力、数据挖掘能力、大数据处理能力六大功能模块做了大量工作，报告期内，公</w:t>
      </w:r>
      <w:r>
        <w:rPr>
          <w:spacing w:val="-67"/>
        </w:rPr>
        <w:t> </w:t>
      </w:r>
      <w:r>
        <w:rPr>
          <w:spacing w:val="-67"/>
        </w:rPr>
      </w:r>
      <w:r>
        <w:rPr/>
        <w:t>司申请大数据发明专利</w:t>
      </w:r>
      <w:r>
        <w:rPr>
          <w:rFonts w:ascii="Times New Roman" w:hAnsi="Times New Roman" w:cs="Times New Roman" w:eastAsia="Times New Roman" w:hint="default"/>
        </w:rPr>
        <w:t>8</w:t>
      </w:r>
      <w:r>
        <w:rPr/>
        <w:t>项，大数据业务实现收入较</w:t>
      </w:r>
      <w:r>
        <w:rPr>
          <w:rFonts w:ascii="Times New Roman" w:hAnsi="Times New Roman" w:cs="Times New Roman" w:eastAsia="Times New Roman" w:hint="default"/>
        </w:rPr>
        <w:t>2016</w:t>
      </w:r>
      <w:r>
        <w:rPr/>
        <w:t>年度增长</w:t>
      </w:r>
      <w:r>
        <w:rPr>
          <w:rFonts w:ascii="Times New Roman" w:hAnsi="Times New Roman" w:cs="Times New Roman" w:eastAsia="Times New Roman" w:hint="default"/>
        </w:rPr>
        <w:t>127.61%</w:t>
      </w:r>
      <w:r>
        <w:rPr/>
        <w:t>。</w:t>
      </w:r>
    </w:p>
    <w:p>
      <w:pPr>
        <w:spacing w:line="300"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）区块链的创新研究与落地</w:t>
      </w:r>
      <w:r>
        <w:rPr>
          <w:rFonts w:ascii="宋体" w:hAnsi="宋体" w:cs="宋体" w:eastAsia="宋体" w:hint="default"/>
          <w:b/>
          <w:bCs/>
          <w:w w:val="99"/>
          <w:sz w:val="18"/>
          <w:szCs w:val="18"/>
        </w:rPr>
        <w:t> </w:t>
      </w:r>
      <w:r>
        <w:rPr>
          <w:rFonts w:ascii="宋体" w:hAnsi="宋体" w:cs="宋体" w:eastAsia="宋体" w:hint="default"/>
          <w:spacing w:val="-3"/>
          <w:w w:val="99"/>
          <w:sz w:val="18"/>
          <w:szCs w:val="18"/>
        </w:rPr>
        <w:t>报告期内，公司自主研发了区块链底层平台名为优链（英文名称：</w:t>
      </w:r>
      <w:r>
        <w:rPr>
          <w:rFonts w:ascii="Times New Roman" w:hAnsi="Times New Roman" w:cs="Times New Roman" w:eastAsia="Times New Roman" w:hint="default"/>
          <w:spacing w:val="-3"/>
          <w:w w:val="99"/>
          <w:sz w:val="18"/>
          <w:szCs w:val="18"/>
        </w:rPr>
        <w:t>Uchains</w:t>
      </w:r>
      <w:r>
        <w:rPr>
          <w:rFonts w:ascii="宋体" w:hAnsi="宋体" w:cs="宋体" w:eastAsia="宋体" w:hint="default"/>
          <w:spacing w:val="-3"/>
          <w:w w:val="99"/>
          <w:sz w:val="18"/>
          <w:szCs w:val="18"/>
        </w:rPr>
        <w:t>），并通过了中国信息通信研究院（工信部的</w:t>
      </w:r>
    </w:p>
    <w:p>
      <w:pPr>
        <w:pStyle w:val="BodyText"/>
        <w:spacing w:line="302" w:lineRule="auto" w:before="13"/>
        <w:ind w:right="0"/>
        <w:jc w:val="left"/>
      </w:pPr>
      <w:r>
        <w:rPr/>
        <w:t>直属科研单位）的可信区块链预测试，该技术为本公司独有研发，公司将持续投入资源，不断完善</w:t>
      </w:r>
      <w:r>
        <w:rPr>
          <w:rFonts w:ascii="Times New Roman" w:hAnsi="Times New Roman" w:cs="Times New Roman" w:eastAsia="Times New Roman" w:hint="default"/>
        </w:rPr>
        <w:t>UChains</w:t>
      </w:r>
      <w:r>
        <w:rPr/>
        <w:t>平台。公司在报</w:t>
      </w:r>
      <w:r>
        <w:rPr>
          <w:spacing w:val="-82"/>
        </w:rPr>
        <w:t> </w:t>
      </w:r>
      <w:r>
        <w:rPr>
          <w:spacing w:val="-2"/>
        </w:rPr>
        <w:t>告期内参与了</w:t>
      </w:r>
      <w:r>
        <w:rPr>
          <w:rFonts w:ascii="Times New Roman" w:hAnsi="Times New Roman" w:cs="Times New Roman" w:eastAsia="Times New Roman" w:hint="default"/>
          <w:spacing w:val="-2"/>
        </w:rPr>
        <w:t>2</w:t>
      </w:r>
      <w:r>
        <w:rPr>
          <w:spacing w:val="-2"/>
        </w:rPr>
        <w:t>项区块链标准的编写，包括工信部信通院主导的《可信区块链》标准和中国支付清算协会（央行的直属单位）</w:t>
      </w:r>
      <w:r>
        <w:rPr>
          <w:spacing w:val="-64"/>
        </w:rPr>
        <w:t> </w:t>
      </w:r>
      <w:r>
        <w:rPr>
          <w:spacing w:val="-64"/>
        </w:rPr>
      </w:r>
      <w:r>
        <w:rPr>
          <w:spacing w:val="-2"/>
        </w:rPr>
        <w:t>牵头的《支付清算行业可信区块链》标准，还承担了</w:t>
      </w:r>
      <w:r>
        <w:rPr>
          <w:rFonts w:ascii="Times New Roman" w:hAnsi="Times New Roman" w:cs="Times New Roman" w:eastAsia="Times New Roman" w:hint="default"/>
          <w:spacing w:val="-2"/>
        </w:rPr>
        <w:t>2</w:t>
      </w:r>
      <w:r>
        <w:rPr>
          <w:spacing w:val="-2"/>
        </w:rPr>
        <w:t>个区块链相关的协会课题研究，包括中国互联网金融协会</w:t>
      </w:r>
      <w:r>
        <w:rPr>
          <w:rFonts w:ascii="Times New Roman" w:hAnsi="Times New Roman" w:cs="Times New Roman" w:eastAsia="Times New Roman" w:hint="default"/>
          <w:spacing w:val="-2"/>
        </w:rPr>
        <w:t>“</w:t>
      </w:r>
      <w:r>
        <w:rPr>
          <w:spacing w:val="-2"/>
        </w:rPr>
        <w:t>区块链研究</w:t>
      </w:r>
      <w:r>
        <w:rPr>
          <w:spacing w:val="-52"/>
        </w:rPr>
        <w:t> </w:t>
      </w:r>
      <w:r>
        <w:rPr>
          <w:spacing w:val="-52"/>
        </w:rPr>
      </w:r>
      <w:r>
        <w:rPr/>
        <w:t>工作组</w:t>
      </w:r>
      <w:r>
        <w:rPr>
          <w:rFonts w:ascii="Times New Roman" w:hAnsi="Times New Roman" w:cs="Times New Roman" w:eastAsia="Times New Roman" w:hint="default"/>
        </w:rPr>
        <w:t>”</w:t>
      </w:r>
      <w:r>
        <w:rPr/>
        <w:t>的《基于区块链的电子合同登记平台研究》课题以及中国支付清算协会数字货币研究小组的相关课题。同时，公司</w:t>
      </w:r>
      <w:r>
        <w:rPr>
          <w:spacing w:val="-77"/>
        </w:rPr>
        <w:t> </w:t>
      </w:r>
      <w:r>
        <w:rPr>
          <w:spacing w:val="-77"/>
        </w:rPr>
      </w:r>
      <w:r>
        <w:rPr/>
        <w:t>部分区块链技术在报告期内落地实施，具体体现在：</w:t>
      </w:r>
      <w:r>
        <w:rPr>
          <w:rFonts w:ascii="Times New Roman" w:hAnsi="Times New Roman" w:cs="Times New Roman" w:eastAsia="Times New Roman" w:hint="default"/>
        </w:rPr>
        <w:t>1</w:t>
      </w:r>
      <w:r>
        <w:rPr/>
        <w:t>）与厦门银行合作的</w:t>
      </w:r>
      <w:r>
        <w:rPr>
          <w:rFonts w:ascii="Times New Roman" w:hAnsi="Times New Roman" w:cs="Times New Roman" w:eastAsia="Times New Roman" w:hint="default"/>
        </w:rPr>
        <w:t>“</w:t>
      </w:r>
      <w:r>
        <w:rPr/>
        <w:t>基于区块链的金融交易存证系统</w:t>
      </w:r>
      <w:r>
        <w:rPr>
          <w:rFonts w:ascii="Times New Roman" w:hAnsi="Times New Roman" w:cs="Times New Roman" w:eastAsia="Times New Roman" w:hint="default"/>
        </w:rPr>
        <w:t>”</w:t>
      </w:r>
      <w:r>
        <w:rPr/>
        <w:t>，通过该系统</w:t>
      </w:r>
      <w:r>
        <w:rPr>
          <w:spacing w:val="-67"/>
        </w:rPr>
        <w:t> </w:t>
      </w:r>
      <w:r>
        <w:rPr>
          <w:spacing w:val="-67"/>
        </w:rPr>
      </w:r>
      <w:r>
        <w:rPr/>
        <w:t>的试点，可简化各业务参与方的对账处理，提高业务处理效率，并可为监管方提供可靠的信息披露的数据服务。</w:t>
      </w:r>
      <w:r>
        <w:rPr>
          <w:rFonts w:ascii="Times New Roman" w:hAnsi="Times New Roman" w:cs="Times New Roman" w:eastAsia="Times New Roman" w:hint="default"/>
        </w:rPr>
        <w:t>2</w:t>
      </w:r>
      <w:r>
        <w:rPr/>
        <w:t>）针对数</w:t>
      </w:r>
      <w:r>
        <w:rPr>
          <w:spacing w:val="-83"/>
        </w:rPr>
        <w:t> </w:t>
      </w:r>
      <w:r>
        <w:rPr>
          <w:spacing w:val="-83"/>
        </w:rPr>
      </w:r>
      <w:r>
        <w:rPr/>
        <w:t>据服务场景，公司研发了</w:t>
      </w:r>
      <w:r>
        <w:rPr>
          <w:rFonts w:ascii="Times New Roman" w:hAnsi="Times New Roman" w:cs="Times New Roman" w:eastAsia="Times New Roman" w:hint="default"/>
        </w:rPr>
        <w:t>“</w:t>
      </w:r>
      <w:r>
        <w:rPr/>
        <w:t>数据协作平台</w:t>
      </w:r>
      <w:r>
        <w:rPr>
          <w:rFonts w:ascii="Times New Roman" w:hAnsi="Times New Roman" w:cs="Times New Roman" w:eastAsia="Times New Roman" w:hint="default"/>
        </w:rPr>
        <w:t>”</w:t>
      </w:r>
      <w:r>
        <w:rPr/>
        <w:t>原型系统，该系统在数据请求方和数据服务方之间建立了一个协作平台，不会留存 </w:t>
      </w:r>
      <w:r>
        <w:rPr>
          <w:spacing w:val="-2"/>
        </w:rPr>
        <w:t>数据，提供更加安全可靠的数据访问服务，同时，基于分布式账本上保存的数据请求记录，可为交易各方提供对账、清算服</w:t>
      </w:r>
      <w:r>
        <w:rPr>
          <w:spacing w:val="-66"/>
        </w:rPr>
        <w:t> </w:t>
      </w:r>
      <w:r>
        <w:rPr>
          <w:spacing w:val="-66"/>
        </w:rPr>
      </w:r>
      <w:r>
        <w:rPr/>
        <w:t>务。</w:t>
      </w:r>
      <w:r>
        <w:rPr>
          <w:rFonts w:ascii="Times New Roman" w:hAnsi="Times New Roman" w:cs="Times New Roman" w:eastAsia="Times New Roman" w:hint="default"/>
        </w:rPr>
        <w:t>3</w:t>
      </w:r>
      <w:r>
        <w:rPr/>
        <w:t>）基于</w:t>
      </w:r>
      <w:r>
        <w:rPr>
          <w:rFonts w:ascii="Times New Roman" w:hAnsi="Times New Roman" w:cs="Times New Roman" w:eastAsia="Times New Roman" w:hint="default"/>
        </w:rPr>
        <w:t>“</w:t>
      </w:r>
      <w:r>
        <w:rPr/>
        <w:t>优链</w:t>
      </w:r>
      <w:r>
        <w:rPr>
          <w:rFonts w:ascii="Times New Roman" w:hAnsi="Times New Roman" w:cs="Times New Roman" w:eastAsia="Times New Roman" w:hint="default"/>
        </w:rPr>
        <w:t>”</w:t>
      </w:r>
      <w:r>
        <w:rPr/>
        <w:t>底层框架，结合公司跨境支付业务，公司利用区块链技术在报告期内成功上线供应链金融子系统，为外</w:t>
      </w:r>
      <w:r>
        <w:rPr>
          <w:spacing w:val="-65"/>
        </w:rPr>
        <w:t> </w:t>
      </w:r>
      <w:r>
        <w:rPr>
          <w:spacing w:val="-65"/>
        </w:rPr>
      </w:r>
      <w:r>
        <w:rPr/>
        <w:t>部企业的保理业务提供跨境应收款质押授信的服务。</w:t>
      </w:r>
    </w:p>
    <w:p>
      <w:pPr>
        <w:pStyle w:val="BodyText"/>
        <w:spacing w:line="300" w:lineRule="auto" w:before="29"/>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）移动信息服务</w:t>
      </w:r>
      <w:r>
        <w:rPr>
          <w:rFonts w:ascii="宋体" w:hAnsi="宋体" w:cs="宋体" w:eastAsia="宋体" w:hint="default"/>
          <w:b/>
          <w:bCs/>
          <w:w w:val="99"/>
        </w:rPr>
        <w:t> </w:t>
      </w:r>
      <w:r>
        <w:rPr>
          <w:spacing w:val="-2"/>
        </w:rPr>
        <w:t>随着近年来移动互联网及移动应用的大力发展，短信服务业务增速整体放缓，但银行业短信（短信验证码、动帐通知短</w:t>
      </w:r>
    </w:p>
    <w:p>
      <w:pPr>
        <w:pStyle w:val="BodyText"/>
        <w:spacing w:line="240" w:lineRule="auto" w:before="31"/>
        <w:ind w:left="154" w:right="0"/>
        <w:jc w:val="left"/>
      </w:pPr>
      <w:r>
        <w:rPr/>
        <w:t>信、会员营销短信等）作为连接线上线下沟通的重要桥梁，仍保持较好的增长趋势。同时，行业客户已开始以紧盯精准营销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等手段来带动业务拉新，对短信业务服务自身业务的要求愈来愈高。 </w:t>
      </w:r>
      <w:r>
        <w:rPr>
          <w:spacing w:val="-2"/>
        </w:rPr>
        <w:t>鉴于前述市场需求及变化，公司在报告期内进一步对部分业务进行了调整和优化，以</w:t>
      </w:r>
      <w:r>
        <w:rPr>
          <w:rFonts w:ascii="Times New Roman" w:hAnsi="Times New Roman" w:cs="Times New Roman" w:eastAsia="Times New Roman" w:hint="default"/>
          <w:spacing w:val="-2"/>
        </w:rPr>
        <w:t>“</w:t>
      </w:r>
      <w:r>
        <w:rPr>
          <w:spacing w:val="-2"/>
        </w:rPr>
        <w:t>通道</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的方式满足不同行业、</w:t>
      </w:r>
    </w:p>
    <w:p>
      <w:pPr>
        <w:pStyle w:val="BodyText"/>
        <w:spacing w:line="309" w:lineRule="auto"/>
        <w:ind w:right="0"/>
        <w:jc w:val="left"/>
      </w:pPr>
      <w:r>
        <w:rPr>
          <w:spacing w:val="-4"/>
        </w:rPr>
        <w:t>不同特点及不同需求的客户在其设计、搭建短信平台方面的需求，为众多行业客户量身定做整套便捷、实用的综合解决方案，</w:t>
      </w:r>
      <w:r>
        <w:rPr>
          <w:spacing w:val="-44"/>
        </w:rPr>
        <w:t> </w:t>
      </w:r>
      <w:r>
        <w:rPr>
          <w:spacing w:val="-44"/>
        </w:rPr>
      </w:r>
      <w:r>
        <w:rPr>
          <w:spacing w:val="-2"/>
        </w:rPr>
        <w:t>进一步巩固了新老客户长期、稳定的合作关系。报告期内，公司短信业务发送量大幅提升，</w:t>
      </w:r>
      <w:r>
        <w:rPr>
          <w:rFonts w:ascii="Times New Roman" w:hAnsi="Times New Roman" w:cs="Times New Roman" w:eastAsia="Times New Roman" w:hint="default"/>
          <w:spacing w:val="-2"/>
        </w:rPr>
        <w:t>2017</w:t>
      </w:r>
      <w:r>
        <w:rPr>
          <w:spacing w:val="-2"/>
        </w:rPr>
        <w:t>年金融短信发送量达到</w:t>
      </w:r>
      <w:r>
        <w:rPr>
          <w:rFonts w:ascii="Times New Roman" w:hAnsi="Times New Roman" w:cs="Times New Roman" w:eastAsia="Times New Roman" w:hint="default"/>
          <w:spacing w:val="-2"/>
        </w:rPr>
        <w:t>1500</w:t>
      </w:r>
      <w:r>
        <w:rPr>
          <w:rFonts w:ascii="Times New Roman" w:hAnsi="Times New Roman" w:cs="Times New Roman" w:eastAsia="Times New Roman" w:hint="default"/>
          <w:spacing w:val="-12"/>
        </w:rPr>
        <w:t> </w:t>
      </w:r>
      <w:r>
        <w:rPr/>
        <w:t>余亿条，短信业务的发送成功率及客户投诉率持续改善。</w:t>
      </w:r>
    </w:p>
    <w:p>
      <w:pPr>
        <w:spacing w:line="300" w:lineRule="auto" w:before="2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、智能制造板块产品竞争力持续提升</w:t>
      </w:r>
      <w:r>
        <w:rPr>
          <w:rFonts w:ascii="宋体" w:hAnsi="宋体" w:cs="宋体" w:eastAsia="宋体" w:hint="default"/>
          <w:b/>
          <w:bCs/>
          <w:w w:val="99"/>
          <w:sz w:val="18"/>
          <w:szCs w:val="18"/>
        </w:rPr>
        <w:t> </w:t>
      </w:r>
      <w:r>
        <w:rPr>
          <w:rFonts w:ascii="宋体" w:hAnsi="宋体" w:cs="宋体" w:eastAsia="宋体" w:hint="default"/>
          <w:spacing w:val="-2"/>
          <w:sz w:val="18"/>
          <w:szCs w:val="18"/>
        </w:rPr>
        <w:t>为推进公司董事会制定的发展战略和经营目标，深入贯彻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产业聚焦、转型升级、优化提效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的经营主题，加速推进公司</w:t>
      </w:r>
    </w:p>
    <w:p>
      <w:pPr>
        <w:pStyle w:val="BodyText"/>
        <w:spacing w:line="304" w:lineRule="auto" w:before="13"/>
        <w:ind w:right="1129"/>
        <w:jc w:val="both"/>
      </w:pPr>
      <w:r>
        <w:rPr>
          <w:spacing w:val="-2"/>
        </w:rPr>
        <w:t>智能制造板块转型升级，报告期内，公司进一步完善产业布局，于</w:t>
      </w:r>
      <w:r>
        <w:rPr>
          <w:rFonts w:ascii="Times New Roman" w:hAnsi="Times New Roman" w:cs="Times New Roman" w:eastAsia="Times New Roman" w:hint="default"/>
          <w:spacing w:val="-2"/>
        </w:rPr>
        <w:t>2017</w:t>
      </w:r>
      <w:r>
        <w:rPr>
          <w:spacing w:val="-2"/>
        </w:rPr>
        <w:t>年实施了对乘用车零部件领域的标的公司上海和达汽</w:t>
      </w:r>
      <w:r>
        <w:rPr>
          <w:spacing w:val="-62"/>
        </w:rPr>
        <w:t> </w:t>
      </w:r>
      <w:r>
        <w:rPr>
          <w:spacing w:val="-4"/>
        </w:rPr>
        <w:t>车配件有限公司的股权收购工作（该公司已于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月完成了工商变更，成为本公司控股子公司），本次产业并购将有效提</w:t>
      </w:r>
      <w:r>
        <w:rPr>
          <w:spacing w:val="-36"/>
        </w:rPr>
        <w:t> </w:t>
      </w:r>
      <w:r>
        <w:rPr>
          <w:spacing w:val="-36"/>
        </w:rPr>
      </w:r>
      <w:r>
        <w:rPr>
          <w:spacing w:val="-2"/>
        </w:rPr>
        <w:t>升公司乘用车零部件产业的整体制造能力，助力乘用车零部件业务快速发展。同时，公司各产业体系内部精细布局智能化工</w:t>
      </w:r>
      <w:r>
        <w:rPr>
          <w:spacing w:val="-66"/>
        </w:rPr>
        <w:t> </w:t>
      </w:r>
      <w:r>
        <w:rPr>
          <w:spacing w:val="-66"/>
        </w:rPr>
      </w:r>
      <w:r>
        <w:rPr>
          <w:spacing w:val="-2"/>
        </w:rPr>
        <w:t>厂，创新经营模式，优化产品结构，加大研发并推进科技研发成果转化，开拓优质品牌客户。</w:t>
      </w:r>
      <w:r>
        <w:rPr>
          <w:rFonts w:ascii="Times New Roman" w:hAnsi="Times New Roman" w:cs="Times New Roman" w:eastAsia="Times New Roman" w:hint="default"/>
          <w:spacing w:val="-2"/>
        </w:rPr>
        <w:t>2017</w:t>
      </w:r>
      <w:r>
        <w:rPr>
          <w:spacing w:val="-2"/>
        </w:rPr>
        <w:t>年，公司智能制造板块实</w:t>
      </w:r>
      <w:r>
        <w:rPr>
          <w:spacing w:val="-63"/>
        </w:rPr>
        <w:t> </w:t>
      </w:r>
      <w:r>
        <w:rPr>
          <w:spacing w:val="-63"/>
        </w:rPr>
      </w:r>
      <w:r>
        <w:rPr/>
        <w:t>现营业收入</w:t>
      </w:r>
      <w:r>
        <w:rPr>
          <w:rFonts w:ascii="Times New Roman" w:hAnsi="Times New Roman" w:cs="Times New Roman" w:eastAsia="Times New Roman" w:hint="default"/>
        </w:rPr>
        <w:t>290,917.30</w:t>
      </w:r>
      <w:r>
        <w:rPr/>
        <w:t>万元，同比增长</w:t>
      </w:r>
      <w:r>
        <w:rPr>
          <w:rFonts w:ascii="Times New Roman" w:hAnsi="Times New Roman" w:cs="Times New Roman" w:eastAsia="Times New Roman" w:hint="default"/>
        </w:rPr>
        <w:t>28.38%</w:t>
      </w:r>
      <w:r>
        <w:rPr/>
        <w:t>，实现归属于上市公司股东的净利润</w:t>
      </w:r>
      <w:r>
        <w:rPr>
          <w:rFonts w:ascii="Times New Roman" w:hAnsi="Times New Roman" w:cs="Times New Roman" w:eastAsia="Times New Roman" w:hint="default"/>
        </w:rPr>
        <w:t>17,164.91</w:t>
      </w:r>
      <w:r>
        <w:rPr/>
        <w:t>万元，较同期增长</w:t>
      </w:r>
      <w:r>
        <w:rPr>
          <w:rFonts w:ascii="Times New Roman" w:hAnsi="Times New Roman" w:cs="Times New Roman" w:eastAsia="Times New Roman" w:hint="default"/>
        </w:rPr>
        <w:t>65.35%</w:t>
      </w:r>
      <w:r>
        <w:rPr/>
        <w:t>。</w:t>
      </w:r>
    </w:p>
    <w:p>
      <w:pPr>
        <w:spacing w:line="300" w:lineRule="auto" w:before="9"/>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）继续聚焦乘用车零部件产业发展，提升产品竞争力</w:t>
      </w:r>
      <w:r>
        <w:rPr>
          <w:rFonts w:ascii="宋体" w:hAnsi="宋体" w:cs="宋体" w:eastAsia="宋体" w:hint="default"/>
          <w:b/>
          <w:bCs/>
          <w:w w:val="99"/>
          <w:sz w:val="18"/>
          <w:szCs w:val="18"/>
        </w:rPr>
        <w:t> </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年末，国内汽车市场仍是全球发展最蓬勃的市场，但由于市场基数大，汽车行业增速呈现逐年放缓的态势，同</w:t>
      </w:r>
    </w:p>
    <w:p>
      <w:pPr>
        <w:pStyle w:val="BodyText"/>
        <w:spacing w:line="316" w:lineRule="auto" w:before="13"/>
        <w:ind w:right="1131"/>
        <w:jc w:val="both"/>
      </w:pPr>
      <w:r>
        <w:rPr>
          <w:spacing w:val="-2"/>
        </w:rPr>
        <w:t>时各大汽车主机厂纷纷推出新车型，市场竞争及市场分化日益严重。与此同时，汽车行业的产品结构也在发生重大变化，新</w:t>
      </w:r>
      <w:r>
        <w:rPr>
          <w:spacing w:val="-66"/>
        </w:rPr>
        <w:t> </w:t>
      </w:r>
      <w:r>
        <w:rPr>
          <w:spacing w:val="-66"/>
        </w:rPr>
      </w:r>
      <w:r>
        <w:rPr/>
        <w:t>能源、智能驾驶将是汽车行业未来发展趋势。</w:t>
      </w:r>
    </w:p>
    <w:p>
      <w:pPr>
        <w:pStyle w:val="BodyText"/>
        <w:spacing w:line="304" w:lineRule="auto" w:before="19"/>
        <w:ind w:right="1118" w:firstLine="360"/>
        <w:jc w:val="left"/>
      </w:pPr>
      <w:r>
        <w:rPr>
          <w:spacing w:val="-2"/>
        </w:rPr>
        <w:t>在压力与机遇并存的</w:t>
      </w:r>
      <w:r>
        <w:rPr>
          <w:rFonts w:ascii="Times New Roman" w:hAnsi="Times New Roman" w:cs="Times New Roman" w:eastAsia="Times New Roman" w:hint="default"/>
          <w:spacing w:val="-2"/>
        </w:rPr>
        <w:t>2017</w:t>
      </w:r>
      <w:r>
        <w:rPr>
          <w:spacing w:val="-2"/>
        </w:rPr>
        <w:t>年，公司在乘用车零部件业务领域创新经营模式，加大研发力度，轻资产运营</w:t>
      </w:r>
      <w:r>
        <w:rPr>
          <w:rFonts w:ascii="Times New Roman" w:hAnsi="Times New Roman" w:cs="Times New Roman" w:eastAsia="Times New Roman" w:hint="default"/>
          <w:spacing w:val="-2"/>
        </w:rPr>
        <w:t>“</w:t>
      </w:r>
      <w:r>
        <w:rPr>
          <w:spacing w:val="-2"/>
        </w:rPr>
        <w:t>产业链</w:t>
      </w:r>
      <w:r>
        <w:rPr>
          <w:rFonts w:ascii="Times New Roman" w:hAnsi="Times New Roman" w:cs="Times New Roman" w:eastAsia="Times New Roman" w:hint="default"/>
          <w:spacing w:val="-2"/>
        </w:rPr>
        <w:t>”</w:t>
      </w:r>
      <w:r>
        <w:rPr>
          <w:spacing w:val="-2"/>
        </w:rPr>
        <w:t>，积极</w:t>
      </w:r>
      <w:r>
        <w:rPr/>
        <w:t> </w:t>
      </w:r>
      <w:r>
        <w:rPr>
          <w:spacing w:val="-2"/>
        </w:rPr>
        <w:t>寻求原有重点优质客户的深度合作，实行</w:t>
      </w:r>
      <w:r>
        <w:rPr>
          <w:rFonts w:ascii="Times New Roman" w:hAnsi="Times New Roman" w:cs="Times New Roman" w:eastAsia="Times New Roman" w:hint="default"/>
          <w:spacing w:val="-2"/>
        </w:rPr>
        <w:t>“</w:t>
      </w:r>
      <w:r>
        <w:rPr>
          <w:spacing w:val="-2"/>
        </w:rPr>
        <w:t>模块化</w:t>
      </w:r>
      <w:r>
        <w:rPr>
          <w:rFonts w:ascii="Times New Roman" w:hAnsi="Times New Roman" w:cs="Times New Roman" w:eastAsia="Times New Roman" w:hint="default"/>
          <w:spacing w:val="-2"/>
        </w:rPr>
        <w:t>”</w:t>
      </w:r>
      <w:r>
        <w:rPr>
          <w:spacing w:val="-2"/>
        </w:rPr>
        <w:t>生产经营模式，进一步延伸产业链条，实现产出最大化，提升产品核心竞</w:t>
      </w:r>
      <w:r>
        <w:rPr>
          <w:spacing w:val="-44"/>
        </w:rPr>
        <w:t> </w:t>
      </w:r>
      <w:r>
        <w:rPr>
          <w:spacing w:val="-44"/>
        </w:rPr>
      </w:r>
      <w:r>
        <w:rPr>
          <w:spacing w:val="-2"/>
        </w:rPr>
        <w:t>争力。同时积极布局智能化工厂，新建春晓、宝鸡、枣庄等多家生产基地，进一步优化产业结构，提升整体产能及经营管理</w:t>
      </w:r>
      <w:r>
        <w:rPr>
          <w:spacing w:val="-68"/>
        </w:rPr>
        <w:t> </w:t>
      </w:r>
      <w:r>
        <w:rPr>
          <w:spacing w:val="-68"/>
        </w:rPr>
      </w:r>
      <w:r>
        <w:rPr/>
        <w:t>能力。报告期内，公司乘用车零部件业务实现销售收入较同期增长</w:t>
      </w:r>
      <w:r>
        <w:rPr>
          <w:rFonts w:ascii="Times New Roman" w:hAnsi="Times New Roman" w:cs="Times New Roman" w:eastAsia="Times New Roman" w:hint="default"/>
        </w:rPr>
        <w:t>15.80%</w:t>
      </w:r>
      <w:r>
        <w:rPr/>
        <w:t>，为</w:t>
      </w:r>
      <w:r>
        <w:rPr>
          <w:rFonts w:ascii="Times New Roman" w:hAnsi="Times New Roman" w:cs="Times New Roman" w:eastAsia="Times New Roman" w:hint="default"/>
        </w:rPr>
        <w:t>2018</w:t>
      </w:r>
      <w:r>
        <w:rPr/>
        <w:t>年的乘用车零部件业务发展奠定坚实的 基础。</w:t>
      </w:r>
    </w:p>
    <w:p>
      <w:pPr>
        <w:pStyle w:val="Heading6"/>
        <w:spacing w:line="240" w:lineRule="auto" w:before="28"/>
        <w:ind w:right="0"/>
        <w:jc w:val="left"/>
        <w:rPr>
          <w:b w:val="0"/>
          <w:bCs w:val="0"/>
        </w:rPr>
      </w:pPr>
      <w:r>
        <w:rPr/>
        <w:t>（</w:t>
      </w:r>
      <w:r>
        <w:rPr>
          <w:rFonts w:ascii="Times New Roman" w:hAnsi="Times New Roman" w:cs="Times New Roman" w:eastAsia="Times New Roman" w:hint="default"/>
        </w:rPr>
        <w:t>2</w:t>
      </w:r>
      <w:r>
        <w:rPr/>
        <w:t>）商用车轻量化产品发展取得新突破</w:t>
      </w:r>
      <w:r>
        <w:rPr>
          <w:b w:val="0"/>
          <w:bCs w:val="0"/>
        </w:rPr>
      </w:r>
    </w:p>
    <w:p>
      <w:pPr>
        <w:pStyle w:val="BodyText"/>
        <w:spacing w:line="309" w:lineRule="auto" w:before="63"/>
        <w:ind w:right="1132"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日正式发布实施《汽车、挂车及汽车列车外廓尺寸、轴荷及质量限值》，即</w:t>
      </w:r>
      <w:r>
        <w:rPr>
          <w:rFonts w:ascii="Times New Roman" w:hAnsi="Times New Roman" w:cs="Times New Roman" w:eastAsia="Times New Roman" w:hint="default"/>
          <w:spacing w:val="-2"/>
        </w:rPr>
        <w:t>GB1589-2016</w:t>
      </w:r>
      <w:r>
        <w:rPr>
          <w:spacing w:val="-2"/>
        </w:rPr>
        <w:t>。在</w:t>
      </w:r>
      <w:r>
        <w:rPr>
          <w:rFonts w:ascii="Times New Roman" w:hAnsi="Times New Roman" w:cs="Times New Roman" w:eastAsia="Times New Roman" w:hint="default"/>
          <w:spacing w:val="-2"/>
        </w:rPr>
        <w:t>GB1589-2016</w:t>
      </w:r>
      <w:r>
        <w:rPr>
          <w:rFonts w:ascii="Times New Roman" w:hAnsi="Times New Roman" w:cs="Times New Roman" w:eastAsia="Times New Roman" w:hint="default"/>
        </w:rPr>
        <w:t> </w:t>
      </w:r>
      <w:r>
        <w:rPr>
          <w:spacing w:val="-2"/>
        </w:rPr>
        <w:t>和治超新规强制性要求的背景下，将给物流行业带来巨大改变。商用车轻量化是社会整体发展水平提升、运输效率提升的体</w:t>
      </w:r>
      <w:r>
        <w:rPr>
          <w:spacing w:val="-66"/>
        </w:rPr>
        <w:t> </w:t>
      </w:r>
      <w:r>
        <w:rPr>
          <w:spacing w:val="-66"/>
        </w:rPr>
      </w:r>
      <w:r>
        <w:rPr>
          <w:spacing w:val="-2"/>
        </w:rPr>
        <w:t>现，也是提高燃油经济性、降低</w:t>
      </w:r>
      <w:r>
        <w:rPr>
          <w:rFonts w:ascii="Times New Roman" w:hAnsi="Times New Roman" w:cs="Times New Roman" w:eastAsia="Times New Roman" w:hint="default"/>
          <w:spacing w:val="-2"/>
        </w:rPr>
        <w:t>CO2</w:t>
      </w:r>
      <w:r>
        <w:rPr>
          <w:spacing w:val="-2"/>
        </w:rPr>
        <w:t>排放的有效措施之一。商用车行业因为混合动力、电动和燃料电池等新能源汽车技术的</w:t>
      </w:r>
      <w:r>
        <w:rPr>
          <w:spacing w:val="-45"/>
        </w:rPr>
        <w:t> </w:t>
      </w:r>
      <w:r>
        <w:rPr>
          <w:spacing w:val="-45"/>
        </w:rPr>
      </w:r>
      <w:r>
        <w:rPr>
          <w:spacing w:val="-2"/>
        </w:rPr>
        <w:t>应用困难重重，面对未来发展前景不明朗的形势，轻量化成为目前行业节能减排最现实而又最有效的技术措施，也渐渐成为</w:t>
      </w:r>
      <w:r>
        <w:rPr>
          <w:spacing w:val="-66"/>
        </w:rPr>
        <w:t> </w:t>
      </w:r>
      <w:r>
        <w:rPr>
          <w:spacing w:val="-66"/>
        </w:rPr>
      </w:r>
      <w:r>
        <w:rPr/>
        <w:t>了世界商用车发展的共同潮流。</w:t>
      </w:r>
    </w:p>
    <w:p>
      <w:pPr>
        <w:pStyle w:val="BodyText"/>
        <w:spacing w:line="316" w:lineRule="auto" w:before="24"/>
        <w:ind w:right="1130" w:firstLine="360"/>
        <w:jc w:val="both"/>
      </w:pPr>
      <w:r>
        <w:rPr>
          <w:spacing w:val="-2"/>
        </w:rPr>
        <w:t>根据年初公司对商用车的产品调整战略，报告期内，商用车公司聚焦轻量化汽车的研发与生产，产品与市场取得一定突</w:t>
      </w:r>
      <w:r>
        <w:rPr/>
        <w:t> </w:t>
      </w:r>
      <w:r>
        <w:rPr>
          <w:spacing w:val="-2"/>
        </w:rPr>
        <w:t>破：轻量化箱车、冷链物流车已于报告期内试生产成功，产品处于国内领先水平；铝合金罐车产品通过中石油、中石化体系</w:t>
      </w:r>
      <w:r>
        <w:rPr>
          <w:spacing w:val="-66"/>
        </w:rPr>
        <w:t> </w:t>
      </w:r>
      <w:r>
        <w:rPr>
          <w:spacing w:val="-66"/>
        </w:rPr>
      </w:r>
      <w:r>
        <w:rPr>
          <w:spacing w:val="-2"/>
        </w:rPr>
        <w:t>认证，于报告期内进入中石油采购体系实现正常供货，订单取得新突破；公司在报告期内还获得湖北、四川、甘肃、广东市</w:t>
      </w:r>
      <w:r>
        <w:rPr>
          <w:spacing w:val="-67"/>
        </w:rPr>
        <w:t> </w:t>
      </w:r>
      <w:r>
        <w:rPr>
          <w:spacing w:val="-67"/>
        </w:rPr>
      </w:r>
      <w:r>
        <w:rPr/>
        <w:t>场订单，产品优势明显，在公路货运新法规全面实施后将成为客户优选产品。</w:t>
      </w:r>
    </w:p>
    <w:p>
      <w:pPr>
        <w:spacing w:line="300" w:lineRule="auto" w:before="19"/>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）持续推行自动化智能制造，提升产品制造能力和工作效率</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报告期内，公司智能制造板块大力推行自动化智能制造投入，以尽快淘汰落后设备与产能。引进产业机器人的同时加强</w:t>
      </w:r>
    </w:p>
    <w:p>
      <w:pPr>
        <w:pStyle w:val="BodyText"/>
        <w:spacing w:line="300" w:lineRule="auto" w:before="31"/>
        <w:ind w:right="1185"/>
        <w:jc w:val="both"/>
      </w:pPr>
      <w:r>
        <w:rPr/>
        <w:t>关键工人技能培训，积极部署并推行工业</w:t>
      </w:r>
      <w:r>
        <w:rPr>
          <w:rFonts w:ascii="Times New Roman" w:hAnsi="Times New Roman" w:cs="Times New Roman" w:eastAsia="Times New Roman" w:hint="default"/>
        </w:rPr>
        <w:t>4.0</w:t>
      </w:r>
      <w:r>
        <w:rPr/>
        <w:t>自动化工厂模式，新上项目全面推进自动化建设，并与国际知名机器人厂商紧 密合作，保障公司自动化改造有序、快速推进。</w:t>
      </w:r>
    </w:p>
    <w:p>
      <w:pPr>
        <w:spacing w:line="300" w:lineRule="auto" w:before="31"/>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）持续加大技术研发力度，推进科研成果转化</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报告期内，各大汽车主机厂新品上市速度持续提升，产品开发周期愈来愈短，成本控制愈加严格，各配套厂商压力骤增。</w:t>
      </w:r>
    </w:p>
    <w:p>
      <w:pPr>
        <w:pStyle w:val="BodyText"/>
        <w:spacing w:line="316" w:lineRule="auto" w:before="31"/>
        <w:ind w:left="154" w:right="1131"/>
        <w:jc w:val="both"/>
      </w:pPr>
      <w:r>
        <w:rPr>
          <w:spacing w:val="-2"/>
        </w:rPr>
        <w:t>面对严峻的市场环境，公司继续积极参与客户产品的前端设计与事先研发沟通，积极获取模块化订单；通过寻求外部技术合</w:t>
      </w:r>
      <w:r>
        <w:rPr>
          <w:spacing w:val="-66"/>
        </w:rPr>
        <w:t> </w:t>
      </w:r>
      <w:r>
        <w:rPr>
          <w:spacing w:val="-66"/>
        </w:rPr>
      </w:r>
      <w:r>
        <w:rPr>
          <w:spacing w:val="-2"/>
        </w:rPr>
        <w:t>作机构，持续提升产品研发及设计团队能力，推进自主品牌的创新能力，打造公司产品核心竞争力。公司在报告期内积极推</w:t>
      </w:r>
      <w:r>
        <w:rPr>
          <w:spacing w:val="-66"/>
        </w:rPr>
        <w:t> </w:t>
      </w:r>
      <w:r>
        <w:rPr>
          <w:spacing w:val="-66"/>
        </w:rPr>
      </w:r>
      <w:r>
        <w:rPr/>
        <w:t>进科研成果转化工作，实现新产品的快速推广落地，极大的提升了公司产品竞争力。</w:t>
      </w:r>
    </w:p>
    <w:p>
      <w:pPr>
        <w:spacing w:line="300" w:lineRule="auto" w:before="19"/>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以模养件</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初现成果，产品竞争力得到进一步提升</w:t>
      </w:r>
      <w:r>
        <w:rPr>
          <w:rFonts w:ascii="宋体" w:hAnsi="宋体" w:cs="宋体" w:eastAsia="宋体" w:hint="default"/>
          <w:b/>
          <w:bCs/>
          <w:w w:val="99"/>
          <w:sz w:val="18"/>
          <w:szCs w:val="18"/>
        </w:rPr>
        <w:t> </w:t>
      </w:r>
      <w:r>
        <w:rPr>
          <w:rFonts w:ascii="宋体" w:hAnsi="宋体" w:cs="宋体" w:eastAsia="宋体" w:hint="default"/>
          <w:spacing w:val="-2"/>
          <w:sz w:val="18"/>
          <w:szCs w:val="18"/>
        </w:rPr>
        <w:t>近年来，公司在深化乘用车配件产业的同时，大力发展汽车模具产业，通过汽车模具的自主研发、生产、制造，助力乘</w:t>
      </w:r>
    </w:p>
    <w:p>
      <w:pPr>
        <w:pStyle w:val="BodyText"/>
        <w:spacing w:line="300" w:lineRule="auto" w:before="31"/>
        <w:ind w:right="1132"/>
        <w:jc w:val="both"/>
      </w:pPr>
      <w:r>
        <w:rPr>
          <w:spacing w:val="-1"/>
        </w:rPr>
        <w:t>用车配件产业市场的快速开拓，有效降低乘用车配件生产成本，提升公司整体竞争能力。报告期内，公司顺利承接</w:t>
      </w:r>
      <w:r>
        <w:rPr>
          <w:rFonts w:ascii="Times New Roman" w:hAnsi="Times New Roman" w:cs="Times New Roman" w:eastAsia="Times New Roman" w:hint="default"/>
          <w:spacing w:val="-1"/>
        </w:rPr>
        <w:t>ZD3</w:t>
      </w:r>
      <w:r>
        <w:rPr>
          <w:spacing w:val="-1"/>
        </w:rPr>
        <w:t>项目</w:t>
      </w:r>
      <w:r>
        <w:rPr/>
        <w:t> </w:t>
      </w:r>
      <w:r>
        <w:rPr>
          <w:spacing w:val="-2"/>
        </w:rPr>
        <w:t>并实现小批量供货，为</w:t>
      </w:r>
      <w:r>
        <w:rPr>
          <w:rFonts w:ascii="Times New Roman" w:hAnsi="Times New Roman" w:cs="Times New Roman" w:eastAsia="Times New Roman" w:hint="default"/>
          <w:spacing w:val="-2"/>
        </w:rPr>
        <w:t>2018</w:t>
      </w:r>
      <w:r>
        <w:rPr>
          <w:spacing w:val="-2"/>
        </w:rPr>
        <w:t>年度的批量供货及承接其他新项目奠定了良好的基础，公司模具业务获得突破性发展，模具业务</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营业收入同比增长</w:t>
      </w:r>
      <w:r>
        <w:rPr>
          <w:rFonts w:ascii="Times New Roman" w:hAnsi="Times New Roman" w:cs="Times New Roman" w:eastAsia="Times New Roman" w:hint="default"/>
        </w:rPr>
        <w:t>381.35%</w:t>
      </w:r>
      <w:r>
        <w:rPr/>
        <w:t>。</w:t>
      </w:r>
    </w:p>
    <w:p>
      <w:pPr>
        <w:spacing w:line="300" w:lineRule="auto" w:before="63"/>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、加强内控体系建设，提升公司抗风险能力</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报告期内，公司按照上市公司内部控制的要求，持续搭建、优化更加适合公司管理模式的内部控制体系，不断完善公司</w:t>
      </w:r>
    </w:p>
    <w:p>
      <w:pPr>
        <w:pStyle w:val="BodyText"/>
        <w:spacing w:line="319" w:lineRule="auto" w:before="31"/>
        <w:ind w:right="0"/>
        <w:jc w:val="left"/>
      </w:pPr>
      <w:r>
        <w:rPr>
          <w:spacing w:val="-2"/>
        </w:rPr>
        <w:t>内部风险管控制度；业务部门作为风险的发生部门，在报告期内积极学习、参加培训，风险意识提升较高；法务部门作为风</w:t>
      </w:r>
      <w:r>
        <w:rPr>
          <w:spacing w:val="-66"/>
        </w:rPr>
        <w:t> </w:t>
      </w:r>
      <w:r>
        <w:rPr>
          <w:spacing w:val="-66"/>
        </w:rPr>
      </w:r>
      <w:r>
        <w:rPr>
          <w:spacing w:val="-2"/>
        </w:rPr>
        <w:t>险管控部门，在报告期内着手业务发展前端，并在业务过程中积极协助，尽最大努力规避经营风险；公司财务部门作为风险</w:t>
      </w:r>
      <w:r>
        <w:rPr>
          <w:spacing w:val="-66"/>
        </w:rPr>
        <w:t> </w:t>
      </w:r>
      <w:r>
        <w:rPr>
          <w:spacing w:val="-66"/>
        </w:rPr>
      </w:r>
      <w:r>
        <w:rPr>
          <w:spacing w:val="-4"/>
        </w:rPr>
        <w:t>管控的闸口部门，在报告期内严格按照《会计准则》及内控制度的要求，对公司发生的每一笔业务做好风险控制的把关工作。</w:t>
      </w:r>
      <w:r>
        <w:rPr>
          <w:spacing w:val="-46"/>
        </w:rPr>
        <w:t> </w:t>
      </w:r>
      <w:r>
        <w:rPr>
          <w:spacing w:val="-46"/>
        </w:rPr>
      </w:r>
      <w:r>
        <w:rPr/>
        <w:t>通过以上各环节的衔接以及公司全体员工的共同努力， </w:t>
      </w:r>
      <w:r>
        <w:rPr>
          <w:rFonts w:ascii="Times New Roman" w:hAnsi="Times New Roman" w:cs="Times New Roman" w:eastAsia="Times New Roman" w:hint="default"/>
        </w:rPr>
        <w:t>2017</w:t>
      </w:r>
      <w:r>
        <w:rPr/>
        <w:t>年度公司抗风险能力得到有效保障。</w:t>
      </w:r>
    </w:p>
    <w:p>
      <w:pPr>
        <w:spacing w:line="300"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、提升公司治理水平，保障公司规范、高效运营</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报告期内，公司依据证监会、深交所等部门的相关规定，不断完善法人治理结构，健全内部管理制度，加强内部控制建</w:t>
      </w:r>
    </w:p>
    <w:p>
      <w:pPr>
        <w:pStyle w:val="BodyText"/>
        <w:spacing w:line="316" w:lineRule="auto" w:before="31"/>
        <w:ind w:right="0"/>
        <w:jc w:val="left"/>
      </w:pPr>
      <w:r>
        <w:rPr>
          <w:spacing w:val="-2"/>
        </w:rPr>
        <w:t>设，提升公司综合治理水平。同时，进一步加强董事会职责建设，充分发挥独立董事和董事会战略委员会、审计委员会、薪</w:t>
      </w:r>
      <w:r>
        <w:rPr>
          <w:spacing w:val="-67"/>
        </w:rPr>
        <w:t> </w:t>
      </w:r>
      <w:r>
        <w:rPr>
          <w:spacing w:val="-67"/>
        </w:rPr>
      </w:r>
      <w:r>
        <w:rPr/>
        <w:t>酬与考核委员会、提名委员会等专业委员会的作用，促进公司决策科学、高效，推进公司向更好的方向发展。</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5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3,996,047,149.80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2,634,295,194.85</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2,909,173,035.48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2,266,129,927.85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1,086,874,114.32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368,165,267.00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1,898,146,960.23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1,610,436,641.68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619,531,937.99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429,298,379.14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201,838,734.56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125,265,990.83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86,651,036.26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18,001,658.23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381.35%</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移动运营商计费结 算服务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120,970,735.50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50,803,059.64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138.12%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231,762,812.59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113,048,212.53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544,953,115.39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144,743,844.35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276.49%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49,456,310.48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13,429,792.04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98,095,992.68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26,198,445.08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144,639,514.12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103,069,171.33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3,911,795,084.00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2,589,190,804.54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3"/>
              <w:jc w:val="left"/>
              <w:rPr>
                <w:rFonts w:ascii="Times New Roman" w:hAnsi="Times New Roman" w:cs="Times New Roman" w:eastAsia="Times New Roman" w:hint="default"/>
                <w:sz w:val="18"/>
                <w:szCs w:val="18"/>
              </w:rPr>
            </w:pPr>
            <w:r>
              <w:rPr>
                <w:rFonts w:ascii="宋体" w:hAnsi="宋体" w:cs="宋体" w:eastAsia="宋体" w:hint="default"/>
                <w:sz w:val="18"/>
                <w:szCs w:val="18"/>
              </w:rPr>
              <w:t>国外</w:t>
            </w:r>
            <w:r>
              <w:rPr>
                <w:rFonts w:ascii="Times New Roman" w:hAnsi="Times New Roman" w:cs="Times New Roman" w:eastAsia="Times New Roman" w:hint="default"/>
                <w:sz w:val="18"/>
                <w:szCs w:val="18"/>
              </w:rPr>
              <w:t>(</w:t>
            </w:r>
            <w:r>
              <w:rPr>
                <w:rFonts w:ascii="宋体" w:hAnsi="宋体" w:cs="宋体" w:eastAsia="宋体" w:hint="default"/>
                <w:sz w:val="18"/>
                <w:szCs w:val="18"/>
              </w:rPr>
              <w:t>含国内保税 区</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84,252,065.80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45,104,390.31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2,909,173,035.48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2,474,343,609.10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1,086,874,114.32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371,198,344.87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1,898,146,960.23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1,567,683,237.52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619,531,937.99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557,519,242.84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544,953,115.39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234,002,235.74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3,911,795,084.00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2,771,889,638.34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784"/>
        <w:gridCol w:w="1416"/>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44"/>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47.57%</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483"/>
              <w:jc w:val="right"/>
              <w:rPr>
                <w:rFonts w:ascii="宋体" w:hAnsi="宋体" w:cs="宋体" w:eastAsia="宋体" w:hint="default"/>
                <w:sz w:val="18"/>
                <w:szCs w:val="18"/>
              </w:rPr>
            </w:pPr>
            <w:r>
              <w:rPr>
                <w:rFonts w:ascii="宋体" w:hAnsi="宋体" w:cs="宋体" w:eastAsia="宋体" w:hint="default"/>
                <w:sz w:val="18"/>
                <w:szCs w:val="18"/>
              </w:rPr>
              <w:t>电机及配件类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773"/>
        <w:gridCol w:w="1416"/>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42.94%</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3" w:right="119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汽车及配件类报告期末库存量较同期增长</w:t>
      </w:r>
      <w:r>
        <w:rPr>
          <w:rFonts w:ascii="Times New Roman" w:hAnsi="Times New Roman" w:cs="Times New Roman" w:eastAsia="Times New Roman" w:hint="default"/>
        </w:rPr>
        <w:t>47.57%</w:t>
      </w:r>
      <w:r>
        <w:rPr/>
        <w:t>，主要是报告期公司新建多家生产基地，汽车及配件类业务四季度产</w:t>
      </w:r>
    </w:p>
    <w:p>
      <w:pPr>
        <w:pStyle w:val="BodyText"/>
        <w:spacing w:line="217" w:lineRule="exact"/>
        <w:ind w:right="0"/>
        <w:jc w:val="left"/>
      </w:pPr>
      <w:r>
        <w:rPr/>
        <w:t>销量较同期增加所致。</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418"/>
        <w:gridCol w:w="992"/>
        <w:gridCol w:w="1418"/>
        <w:gridCol w:w="1134"/>
        <w:gridCol w:w="924"/>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1,567,683,237.52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1,316,481,507.34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557,519,242.84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378,546,484.68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189,183,030.39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122,044,075.01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60,933,620.39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14,532,175.95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移动运营商计费结算服务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23,165,009.10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9,207,752.34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151.58%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移动信息服务业务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75,668,022.16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33,298,442.94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234,002,235.74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44,341,843.63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427.72%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22,314,254.94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7,178,249.33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210.86%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105,239,472.33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87,774,188.37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9,833,828.56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446,389.13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2,102.97%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详见第十一节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1,391,358,217.04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521,360,595.29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387,150,179.30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214,224,209.19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138,059,655.34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130,563,577.92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1,391,358,217.04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34.82%</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1,102,730,241.46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701,147,102.46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135,535,633.26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94,455,139.32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92,831,591.66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78,760,774.76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1,102,730,241.46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50.09%</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71"/>
        <w:gridCol w:w="1286"/>
        <w:gridCol w:w="1276"/>
        <w:gridCol w:w="1134"/>
        <w:gridCol w:w="4890"/>
      </w:tblGrid>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140,856,037.71</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88,592,756.82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58.99%</w:t>
            </w:r>
          </w:p>
        </w:tc>
        <w:tc>
          <w:tcPr>
            <w:tcW w:w="4890" w:type="dxa"/>
            <w:vMerge w:val="restart"/>
            <w:tcBorders>
              <w:top w:val="single" w:sz="4" w:space="0" w:color="000000"/>
              <w:left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主要是报告期公司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日新纳入合并范围的联动优 势职工薪酬、广告费等大幅增加。</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90" w:type="dxa"/>
            <w:vMerge/>
            <w:tcBorders>
              <w:left w:val="single" w:sz="4" w:space="0" w:color="000000"/>
              <w:right w:val="single" w:sz="4" w:space="0" w:color="000000"/>
            </w:tcBorders>
          </w:tcPr>
          <w:p>
            <w:pPr/>
          </w:p>
        </w:tc>
      </w:tr>
      <w:tr>
        <w:trPr>
          <w:trHeight w:val="161"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90" w:type="dxa"/>
            <w:vMerge/>
            <w:tcBorders>
              <w:left w:val="single" w:sz="4" w:space="0" w:color="000000"/>
              <w:bottom w:val="single" w:sz="4" w:space="0" w:color="000000"/>
              <w:right w:val="single" w:sz="4" w:space="0" w:color="000000"/>
            </w:tcBorders>
          </w:tcPr>
          <w:p>
            <w:pPr/>
          </w:p>
        </w:tc>
      </w:tr>
      <w:tr>
        <w:trPr>
          <w:trHeight w:val="162"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504,538,477.42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245,087,176.18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105.86%</w:t>
            </w:r>
          </w:p>
        </w:tc>
        <w:tc>
          <w:tcPr>
            <w:tcW w:w="4890" w:type="dxa"/>
            <w:vMerge w:val="restart"/>
            <w:tcBorders>
              <w:top w:val="single" w:sz="4" w:space="0" w:color="000000"/>
              <w:left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主要是报告期公司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日新纳入合并范围的联动优 势职工薪酬、租赁费、研发费用等大幅增加。</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90" w:type="dxa"/>
            <w:vMerge/>
            <w:tcBorders>
              <w:left w:val="single" w:sz="4" w:space="0" w:color="000000"/>
              <w:right w:val="single" w:sz="4" w:space="0" w:color="000000"/>
            </w:tcBorders>
          </w:tcPr>
          <w:p>
            <w:pPr/>
          </w:p>
        </w:tc>
      </w:tr>
      <w:tr>
        <w:trPr>
          <w:trHeight w:val="161"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90" w:type="dxa"/>
            <w:vMerge/>
            <w:tcBorders>
              <w:left w:val="single" w:sz="4" w:space="0" w:color="000000"/>
              <w:bottom w:val="single" w:sz="4" w:space="0" w:color="000000"/>
              <w:right w:val="single" w:sz="4" w:space="0" w:color="000000"/>
            </w:tcBorders>
          </w:tcPr>
          <w:p>
            <w:pPr/>
          </w:p>
        </w:tc>
      </w:tr>
      <w:tr>
        <w:trPr>
          <w:trHeight w:val="162"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-44,270,285.62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13,097,215.15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-438.01%</w:t>
            </w:r>
          </w:p>
        </w:tc>
        <w:tc>
          <w:tcPr>
            <w:tcW w:w="489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74"/>
              <w:jc w:val="left"/>
              <w:rPr>
                <w:rFonts w:ascii="宋体" w:hAnsi="宋体" w:cs="宋体" w:eastAsia="宋体" w:hint="default"/>
                <w:sz w:val="18"/>
                <w:szCs w:val="18"/>
              </w:rPr>
            </w:pPr>
            <w:r>
              <w:rPr>
                <w:rFonts w:ascii="宋体" w:hAnsi="宋体" w:cs="宋体" w:eastAsia="宋体" w:hint="default"/>
                <w:sz w:val="18"/>
                <w:szCs w:val="18"/>
              </w:rPr>
              <w:t>主要是报告期公司自有资金及募集配套资金未使用部分带来 的收益所致。</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90" w:type="dxa"/>
            <w:vMerge/>
            <w:tcBorders>
              <w:left w:val="single" w:sz="4" w:space="0" w:color="000000"/>
              <w:right w:val="single" w:sz="4" w:space="0" w:color="000000"/>
            </w:tcBorders>
          </w:tcPr>
          <w:p>
            <w:pPr/>
          </w:p>
        </w:tc>
      </w:tr>
      <w:tr>
        <w:trPr>
          <w:trHeight w:val="162"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9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基于“全球视野、客户导向、创新驱动、价值多赢”的战略目标，公司董事会战略委员会在年初制定了坚持金融科技板</w:t>
      </w:r>
    </w:p>
    <w:p>
      <w:pPr>
        <w:pStyle w:val="BodyText"/>
        <w:spacing w:line="240" w:lineRule="auto" w:before="2"/>
        <w:ind w:right="0"/>
        <w:jc w:val="left"/>
      </w:pPr>
      <w:r>
        <w:rPr/>
        <w:t>块重点发力第三方支付及数据业务、智能制造板块以乘用车为主力的经营方针，双主业在报告期内齐头并进。</w:t>
      </w:r>
    </w:p>
    <w:p>
      <w:pPr>
        <w:pStyle w:val="BodyText"/>
        <w:spacing w:line="309" w:lineRule="auto" w:before="76"/>
        <w:ind w:left="154" w:right="0" w:firstLine="360"/>
        <w:jc w:val="left"/>
      </w:pPr>
      <w:r>
        <w:rPr>
          <w:rFonts w:ascii="Times New Roman" w:hAnsi="Times New Roman" w:cs="Times New Roman" w:eastAsia="Times New Roman" w:hint="default"/>
          <w:spacing w:val="-2"/>
        </w:rPr>
        <w:t>1</w:t>
      </w:r>
      <w:r>
        <w:rPr>
          <w:spacing w:val="-2"/>
        </w:rPr>
        <w:t>）公司在金融科技板块加大对第三方支付、大数据、金融信息及云平台等项目的研发投入，实现以金融作为基础工具，</w:t>
      </w:r>
      <w:r>
        <w:rPr/>
        <w:t> </w:t>
      </w:r>
      <w:r>
        <w:rPr>
          <w:spacing w:val="-2"/>
        </w:rPr>
        <w:t>融合支付、大数据、信息科技为手段的技术优势，为客户群提供包括风控、精准营销、信息、清结算在内的一揽子服务，真</w:t>
      </w:r>
      <w:r>
        <w:rPr>
          <w:spacing w:val="-71"/>
        </w:rPr>
        <w:t> </w:t>
      </w:r>
      <w:r>
        <w:rPr>
          <w:spacing w:val="-71"/>
        </w:rPr>
      </w:r>
      <w:r>
        <w:rPr/>
        <w:t>正体现公司的整合服务能力。</w:t>
      </w:r>
    </w:p>
    <w:p>
      <w:pPr>
        <w:pStyle w:val="BodyText"/>
        <w:spacing w:line="316" w:lineRule="auto" w:before="24"/>
        <w:ind w:left="154" w:right="1122" w:firstLine="360"/>
        <w:jc w:val="left"/>
      </w:pPr>
      <w:r>
        <w:rPr>
          <w:rFonts w:ascii="宋体" w:hAnsi="宋体" w:cs="宋体" w:eastAsia="宋体" w:hint="default"/>
        </w:rPr>
        <w:t>2</w:t>
      </w:r>
      <w:r>
        <w:rPr/>
        <w:t>）公司在汽车及配件领域大力发展汽车模具产业，通过汽车模具的自主研发、生产、制造，助力乘用车配件产业市场 的快速开拓，有效降低乘用车配件生产成本，提升公司整体竞争能力。</w:t>
      </w:r>
    </w:p>
    <w:p>
      <w:pPr>
        <w:pStyle w:val="BodyText"/>
        <w:spacing w:line="240" w:lineRule="auto" w:before="60"/>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142,286,185.98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82,749,904.29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12,303,992.06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5,661,407.03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949"/>
        <w:gridCol w:w="2392"/>
        <w:gridCol w:w="239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1950"/>
        <w:gridCol w:w="2392"/>
        <w:gridCol w:w="2392"/>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3,281,112,827.74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2,445,751,215.64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3,439,049,639.34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2,012,133,477.37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-157,936,811.60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433,617,738.27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-136.42%</w:t>
            </w:r>
            <w:r>
              <w:rPr>
                <w:rFonts w:ascii="Times New Roman"/>
                <w:sz w:val="18"/>
              </w:rPr>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196,590,591.25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563,557,297.15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412,115,151.34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110,358,567.47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273.43%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-215,524,560.09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453,198,729.68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-147.56%</w:t>
            </w:r>
            <w:r>
              <w:rPr>
                <w:rFonts w:ascii="Times New Roman"/>
                <w:sz w:val="18"/>
              </w:rPr>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422,437,600.00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2,116,014,525.67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253,391,911.19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793,558,284.15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169,045,688.81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1,322,456,241.52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-207,411,312.48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2,210,473,895.97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-109.38%</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、经营活动产生的现金流量净额</w:t>
      </w:r>
      <w:r>
        <w:rPr>
          <w:rFonts w:ascii="Times New Roman" w:hAnsi="Times New Roman" w:cs="Times New Roman" w:eastAsia="Times New Roman" w:hint="default"/>
        </w:rPr>
        <w:t>-15,793.68</w:t>
      </w:r>
      <w:r>
        <w:rPr/>
        <w:t>万元，较同期</w:t>
      </w:r>
      <w:r>
        <w:rPr>
          <w:rFonts w:ascii="Times New Roman" w:hAnsi="Times New Roman" w:cs="Times New Roman" w:eastAsia="Times New Roman" w:hint="default"/>
        </w:rPr>
        <w:t>43,361.77</w:t>
      </w:r>
      <w:r>
        <w:rPr/>
        <w:t>万元减少</w:t>
      </w:r>
      <w:r>
        <w:rPr>
          <w:rFonts w:ascii="Times New Roman" w:hAnsi="Times New Roman" w:cs="Times New Roman" w:eastAsia="Times New Roman" w:hint="default"/>
        </w:rPr>
        <w:t>59,155.45</w:t>
      </w:r>
      <w:r>
        <w:rPr/>
        <w:t>万元，主要原因如下：</w:t>
      </w:r>
    </w:p>
    <w:p>
      <w:pPr>
        <w:pStyle w:val="BodyText"/>
        <w:spacing w:line="304" w:lineRule="auto" w:before="63"/>
        <w:ind w:right="0"/>
        <w:jc w:val="left"/>
      </w:pPr>
      <w:r>
        <w:rPr>
          <w:rFonts w:ascii="Times New Roman" w:hAnsi="Times New Roman" w:cs="Times New Roman" w:eastAsia="Times New Roman" w:hint="default"/>
          <w:spacing w:val="-2"/>
        </w:rPr>
        <w:t>1</w:t>
      </w:r>
      <w:r>
        <w:rPr>
          <w:spacing w:val="-2"/>
        </w:rPr>
        <w:t>）报告期公司以承兑汇票方式收回的销售货款尚未到期托收，导致应收票据余额较年初增加</w:t>
      </w:r>
      <w:r>
        <w:rPr>
          <w:rFonts w:ascii="Times New Roman" w:hAnsi="Times New Roman" w:cs="Times New Roman" w:eastAsia="Times New Roman" w:hint="default"/>
          <w:spacing w:val="-2"/>
        </w:rPr>
        <w:t>6,352.03</w:t>
      </w:r>
      <w:r>
        <w:rPr>
          <w:spacing w:val="-2"/>
        </w:rPr>
        <w:t>万元，对经营活动现金</w:t>
      </w:r>
      <w:r>
        <w:rPr>
          <w:spacing w:val="-56"/>
        </w:rPr>
        <w:t> </w:t>
      </w:r>
      <w:r>
        <w:rPr>
          <w:spacing w:val="-56"/>
        </w:rPr>
      </w:r>
      <w:r>
        <w:rPr/>
        <w:t>流入产生一定影响； </w:t>
      </w:r>
      <w:r>
        <w:rPr>
          <w:rFonts w:ascii="Times New Roman" w:hAnsi="Times New Roman" w:cs="Times New Roman" w:eastAsia="Times New Roman" w:hint="default"/>
          <w:spacing w:val="-1"/>
        </w:rPr>
        <w:t>2</w:t>
      </w:r>
      <w:r>
        <w:rPr>
          <w:spacing w:val="-1"/>
        </w:rPr>
        <w:t>）报告期公司销售收入同比增长</w:t>
      </w:r>
      <w:r>
        <w:rPr>
          <w:rFonts w:ascii="Times New Roman" w:hAnsi="Times New Roman" w:cs="Times New Roman" w:eastAsia="Times New Roman" w:hint="default"/>
          <w:spacing w:val="-1"/>
        </w:rPr>
        <w:t>51.69%</w:t>
      </w:r>
      <w:r>
        <w:rPr>
          <w:spacing w:val="-1"/>
        </w:rPr>
        <w:t>，且四季度销售收入占比较大，期间形成的应收款部分未到回款期，导致应收款余</w:t>
      </w:r>
      <w:r>
        <w:rPr>
          <w:spacing w:val="-43"/>
        </w:rPr>
        <w:t> </w:t>
      </w:r>
      <w:r>
        <w:rPr>
          <w:spacing w:val="-43"/>
        </w:rPr>
      </w:r>
      <w:r>
        <w:rPr/>
        <w:t>额较年初增加</w:t>
      </w:r>
      <w:r>
        <w:rPr>
          <w:rFonts w:ascii="Times New Roman" w:hAnsi="Times New Roman" w:cs="Times New Roman" w:eastAsia="Times New Roman" w:hint="default"/>
        </w:rPr>
        <w:t>24,466.88</w:t>
      </w:r>
      <w:r>
        <w:rPr/>
        <w:t>万元，对经营活动现金流入产生较大影响； </w:t>
      </w:r>
      <w:r>
        <w:rPr>
          <w:rFonts w:ascii="Times New Roman" w:hAnsi="Times New Roman" w:cs="Times New Roman" w:eastAsia="Times New Roman" w:hint="default"/>
        </w:rPr>
        <w:t>3</w:t>
      </w:r>
      <w:r>
        <w:rPr/>
        <w:t>）报告期公司集中解付上年度以应付票据方式支付的材料采购款</w:t>
      </w:r>
      <w:r>
        <w:rPr>
          <w:rFonts w:ascii="Times New Roman" w:hAnsi="Times New Roman" w:cs="Times New Roman" w:eastAsia="Times New Roman" w:hint="default"/>
        </w:rPr>
        <w:t>20,598.90</w:t>
      </w:r>
      <w:r>
        <w:rPr/>
        <w:t>万元，导致经营活动现金流支出增加；</w:t>
      </w:r>
    </w:p>
    <w:p>
      <w:pPr>
        <w:pStyle w:val="BodyText"/>
        <w:spacing w:line="300" w:lineRule="auto" w:before="9"/>
        <w:ind w:right="1201"/>
        <w:jc w:val="left"/>
      </w:pPr>
      <w:r>
        <w:rPr>
          <w:rFonts w:ascii="Times New Roman" w:hAnsi="Times New Roman" w:cs="Times New Roman" w:eastAsia="Times New Roman" w:hint="default"/>
        </w:rPr>
        <w:t>4</w:t>
      </w:r>
      <w:r>
        <w:rPr/>
        <w:t>）金融科技板块惠商</w:t>
      </w:r>
      <w:r>
        <w:rPr>
          <w:rFonts w:ascii="Times New Roman" w:hAnsi="Times New Roman" w:cs="Times New Roman" w:eastAsia="Times New Roman" w:hint="default"/>
        </w:rPr>
        <w:t>+</w:t>
      </w:r>
      <w:r>
        <w:rPr/>
        <w:t>业务，</w:t>
      </w:r>
      <w:r>
        <w:rPr>
          <w:rFonts w:ascii="Times New Roman" w:hAnsi="Times New Roman" w:cs="Times New Roman" w:eastAsia="Times New Roman" w:hint="default"/>
        </w:rPr>
        <w:t>2016</w:t>
      </w:r>
      <w:r>
        <w:rPr/>
        <w:t>年末收到代收款，应支付给商户的款项于本报告期内支付，影响报告期经营活动现金流 支出增加约</w:t>
      </w:r>
      <w:r>
        <w:rPr>
          <w:rFonts w:ascii="Times New Roman" w:hAnsi="Times New Roman" w:cs="Times New Roman" w:eastAsia="Times New Roman" w:hint="default"/>
        </w:rPr>
        <w:t>1</w:t>
      </w:r>
      <w:r>
        <w:rPr/>
        <w:t>亿元。</w:t>
      </w:r>
    </w:p>
    <w:p>
      <w:pPr>
        <w:pStyle w:val="BodyText"/>
        <w:spacing w:line="300" w:lineRule="auto" w:before="13"/>
        <w:ind w:right="1123"/>
        <w:jc w:val="left"/>
      </w:pPr>
      <w:r>
        <w:rPr>
          <w:rFonts w:ascii="Times New Roman" w:hAnsi="Times New Roman" w:cs="Times New Roman" w:eastAsia="Times New Roman" w:hint="default"/>
          <w:spacing w:val="-1"/>
        </w:rPr>
        <w:t>2</w:t>
      </w:r>
      <w:r>
        <w:rPr>
          <w:spacing w:val="-1"/>
        </w:rPr>
        <w:t>、投资活动产生的现金流量净额</w:t>
      </w:r>
      <w:r>
        <w:rPr>
          <w:rFonts w:ascii="Times New Roman" w:hAnsi="Times New Roman" w:cs="Times New Roman" w:eastAsia="Times New Roman" w:hint="default"/>
          <w:spacing w:val="-1"/>
        </w:rPr>
        <w:t>-21,552.46</w:t>
      </w:r>
      <w:r>
        <w:rPr>
          <w:spacing w:val="-1"/>
        </w:rPr>
        <w:t>万元，较同期</w:t>
      </w:r>
      <w:r>
        <w:rPr>
          <w:rFonts w:ascii="Times New Roman" w:hAnsi="Times New Roman" w:cs="Times New Roman" w:eastAsia="Times New Roman" w:hint="default"/>
          <w:spacing w:val="-1"/>
        </w:rPr>
        <w:t>45,319.87</w:t>
      </w:r>
      <w:r>
        <w:rPr>
          <w:spacing w:val="-1"/>
        </w:rPr>
        <w:t>万元减少</w:t>
      </w:r>
      <w:r>
        <w:rPr>
          <w:rFonts w:ascii="Times New Roman" w:hAnsi="Times New Roman" w:cs="Times New Roman" w:eastAsia="Times New Roman" w:hint="default"/>
          <w:spacing w:val="-1"/>
        </w:rPr>
        <w:t>66,872.33</w:t>
      </w:r>
      <w:r>
        <w:rPr>
          <w:spacing w:val="-1"/>
        </w:rPr>
        <w:t>万元，主要是去年同期公司增加非同一</w:t>
      </w:r>
      <w:r>
        <w:rPr>
          <w:spacing w:val="-76"/>
        </w:rPr>
        <w:t> </w:t>
      </w:r>
      <w:r>
        <w:rPr>
          <w:spacing w:val="-76"/>
        </w:rPr>
      </w:r>
      <w:r>
        <w:rPr/>
        <w:t>控制下合并联动优势，收到的其他与投资活动有关的现金增加</w:t>
      </w:r>
      <w:r>
        <w:rPr>
          <w:rFonts w:ascii="Times New Roman" w:hAnsi="Times New Roman" w:cs="Times New Roman" w:eastAsia="Times New Roman" w:hint="default"/>
        </w:rPr>
        <w:t>53,524.33</w:t>
      </w:r>
      <w:r>
        <w:rPr/>
        <w:t>万元影响所致。 </w:t>
      </w:r>
      <w:r>
        <w:rPr>
          <w:rFonts w:ascii="Times New Roman" w:hAnsi="Times New Roman" w:cs="Times New Roman" w:eastAsia="Times New Roman" w:hint="default"/>
        </w:rPr>
        <w:t>3</w:t>
      </w:r>
      <w:r>
        <w:rPr/>
        <w:t>、筹资活动产生的现金净流量为</w:t>
      </w:r>
      <w:r>
        <w:rPr>
          <w:rFonts w:ascii="Times New Roman" w:hAnsi="Times New Roman" w:cs="Times New Roman" w:eastAsia="Times New Roman" w:hint="default"/>
        </w:rPr>
        <w:t>16,904.57</w:t>
      </w:r>
      <w:r>
        <w:rPr/>
        <w:t>万元，较同期</w:t>
      </w:r>
      <w:r>
        <w:rPr>
          <w:rFonts w:ascii="Times New Roman" w:hAnsi="Times New Roman" w:cs="Times New Roman" w:eastAsia="Times New Roman" w:hint="default"/>
        </w:rPr>
        <w:t>132,245.62</w:t>
      </w:r>
      <w:r>
        <w:rPr/>
        <w:t>万元减少</w:t>
      </w:r>
      <w:r>
        <w:rPr>
          <w:rFonts w:ascii="Times New Roman" w:hAnsi="Times New Roman" w:cs="Times New Roman" w:eastAsia="Times New Roman" w:hint="default"/>
        </w:rPr>
        <w:t>115,341.05</w:t>
      </w:r>
      <w:r>
        <w:rPr/>
        <w:t>万元。主要是去年同期公司募集配套 资金暨非公开发行新股收到</w:t>
      </w:r>
      <w:r>
        <w:rPr>
          <w:rFonts w:ascii="Times New Roman" w:hAnsi="Times New Roman" w:cs="Times New Roman" w:eastAsia="Times New Roman" w:hint="default"/>
        </w:rPr>
        <w:t>183,530.45</w:t>
      </w:r>
      <w:r>
        <w:rPr/>
        <w:t>万元的现金所影响。</w:t>
      </w:r>
    </w:p>
    <w:p>
      <w:pPr>
        <w:pStyle w:val="BodyText"/>
        <w:spacing w:line="240" w:lineRule="auto" w:before="53"/>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、报告期计提固定资产折旧、无形资产摊销等不付现的费用影响；</w:t>
      </w:r>
    </w:p>
    <w:p>
      <w:pPr>
        <w:pStyle w:val="BodyText"/>
        <w:spacing w:line="240" w:lineRule="auto" w:before="63"/>
        <w:ind w:right="0"/>
        <w:jc w:val="left"/>
      </w:pPr>
      <w:r>
        <w:rPr>
          <w:rFonts w:ascii="Times New Roman" w:hAnsi="Times New Roman" w:cs="Times New Roman" w:eastAsia="Times New Roman" w:hint="default"/>
        </w:rPr>
        <w:t>2</w:t>
      </w:r>
      <w:r>
        <w:rPr/>
        <w:t>、报告期应付票据较期初减少，影响</w:t>
      </w:r>
      <w:r>
        <w:rPr>
          <w:rFonts w:ascii="Times New Roman" w:hAnsi="Times New Roman" w:cs="Times New Roman" w:eastAsia="Times New Roman" w:hint="default"/>
        </w:rPr>
        <w:t>“</w:t>
      </w:r>
      <w:r>
        <w:rPr/>
        <w:t>购买商品、接受劳务支付的现金</w:t>
      </w:r>
      <w:r>
        <w:rPr>
          <w:rFonts w:ascii="Times New Roman" w:hAnsi="Times New Roman" w:cs="Times New Roman" w:eastAsia="Times New Roman" w:hint="default"/>
        </w:rPr>
        <w:t>”</w:t>
      </w:r>
      <w:r>
        <w:rPr/>
        <w:t>；</w:t>
      </w:r>
    </w:p>
    <w:p>
      <w:pPr>
        <w:pStyle w:val="BodyText"/>
        <w:spacing w:line="300" w:lineRule="auto" w:before="63"/>
        <w:ind w:right="2943"/>
        <w:jc w:val="left"/>
      </w:pPr>
      <w:r>
        <w:rPr>
          <w:rFonts w:ascii="Times New Roman" w:hAnsi="Times New Roman" w:cs="Times New Roman" w:eastAsia="Times New Roman" w:hint="default"/>
        </w:rPr>
        <w:t>3</w:t>
      </w:r>
      <w:r>
        <w:rPr/>
        <w:t>、报告期根据合同约定尚未到期的应收账款较期初增加，影响</w:t>
      </w:r>
      <w:r>
        <w:rPr>
          <w:rFonts w:ascii="Times New Roman" w:hAnsi="Times New Roman" w:cs="Times New Roman" w:eastAsia="Times New Roman" w:hint="default"/>
        </w:rPr>
        <w:t>“</w:t>
      </w:r>
      <w:r>
        <w:rPr/>
        <w:t>销售商品、提供劳务收到的现金</w:t>
      </w:r>
      <w:r>
        <w:rPr>
          <w:rFonts w:ascii="Times New Roman" w:hAnsi="Times New Roman" w:cs="Times New Roman" w:eastAsia="Times New Roman" w:hint="default"/>
        </w:rPr>
        <w:t>”</w:t>
      </w:r>
      <w:r>
        <w:rPr/>
        <w:t>。 综上原因，使报告期内公司经营活动产生的现金净流量与本年度净利润存在较大差异。</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828"/>
        <w:gridCol w:w="1429"/>
        <w:gridCol w:w="709"/>
        <w:gridCol w:w="1419"/>
        <w:gridCol w:w="708"/>
        <w:gridCol w:w="708"/>
        <w:gridCol w:w="3758"/>
      </w:tblGrid>
      <w:tr>
        <w:trPr>
          <w:trHeight w:val="206" w:hRule="exact"/>
        </w:trPr>
        <w:tc>
          <w:tcPr>
            <w:tcW w:w="828" w:type="dxa"/>
            <w:vMerge w:val="restart"/>
            <w:tcBorders>
              <w:top w:val="single" w:sz="4" w:space="0" w:color="000000"/>
              <w:left w:val="single" w:sz="4" w:space="0" w:color="000000"/>
              <w:right w:val="single" w:sz="4" w:space="0" w:color="000000"/>
            </w:tcBorders>
            <w:shd w:val="clear" w:color="auto" w:fill="D2D2D2"/>
          </w:tcPr>
          <w:p>
            <w:pPr/>
          </w:p>
        </w:tc>
        <w:tc>
          <w:tcPr>
            <w:tcW w:w="21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8"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2138"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758"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828" w:type="dxa"/>
            <w:vMerge w:val="restart"/>
            <w:tcBorders>
              <w:top w:val="nil" w:sz="6" w:space="0" w:color="auto"/>
              <w:left w:val="single" w:sz="4" w:space="0" w:color="000000"/>
              <w:right w:val="single" w:sz="4" w:space="0" w:color="000000"/>
            </w:tcBorders>
            <w:shd w:val="clear" w:color="auto" w:fill="D2D2D2"/>
          </w:tcPr>
          <w:p>
            <w:pP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79"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78"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75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828"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75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828"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75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2,124,762,581.14</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11.21%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2,431,954,008.02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17.07%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-5.86%</w:t>
            </w:r>
          </w:p>
        </w:tc>
        <w:tc>
          <w:tcPr>
            <w:tcW w:w="3758"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主要是报告期公司使用了部分募集资金及与经 营相关的款项支出增加所致。</w:t>
            </w:r>
          </w:p>
        </w:tc>
      </w:tr>
      <w:tr>
        <w:trPr>
          <w:trHeight w:val="393"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9"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317"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969,155,701.05</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5.11%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724,486,893.75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5.09%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0.02%</w:t>
            </w:r>
          </w:p>
        </w:tc>
        <w:tc>
          <w:tcPr>
            <w:tcW w:w="3758"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23"/>
              <w:jc w:val="both"/>
              <w:rPr>
                <w:rFonts w:ascii="宋体" w:hAnsi="宋体" w:cs="宋体" w:eastAsia="宋体" w:hint="default"/>
                <w:sz w:val="18"/>
                <w:szCs w:val="18"/>
              </w:rPr>
            </w:pPr>
            <w:r>
              <w:rPr>
                <w:rFonts w:ascii="宋体" w:hAnsi="宋体" w:cs="宋体" w:eastAsia="宋体" w:hint="default"/>
                <w:sz w:val="18"/>
                <w:szCs w:val="18"/>
              </w:rPr>
              <w:t>主要是报告期公司销售收入增长较大及金融科 技板块移动信息服务业务和第三方支付业务营 业收入增加，但未到约定回款账期所致。</w:t>
            </w:r>
          </w:p>
        </w:tc>
      </w:tr>
      <w:tr>
        <w:trPr>
          <w:trHeight w:val="392"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317"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544,587,206.48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553,491,444.11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与同期持平。</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734,477,018.23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774,673,910.66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与同期持平。</w:t>
            </w: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89,868,225.13</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0.47%</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141,223,858.55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0.99%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-0.52%</w:t>
            </w:r>
          </w:p>
        </w:tc>
        <w:tc>
          <w:tcPr>
            <w:tcW w:w="3758"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主要是报告期公司厂区、设备等转入固定资产投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入使用所致。</w:t>
            </w:r>
          </w:p>
        </w:tc>
      </w:tr>
      <w:tr>
        <w:trPr>
          <w:trHeight w:val="392"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29"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208,954,500.00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173,410,000.00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主要是报告期公司银行保证借款增加所致。</w:t>
            </w: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99,000,000.00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0.52%</w:t>
            </w: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0.52%</w:t>
            </w:r>
          </w:p>
        </w:tc>
        <w:tc>
          <w:tcPr>
            <w:tcW w:w="3758"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主要是报告期公司贷款用于收购上海和达股权 所致。</w:t>
            </w:r>
          </w:p>
        </w:tc>
      </w:tr>
      <w:tr>
        <w:trPr>
          <w:trHeight w:val="392"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29"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66"/>
        <w:gridCol w:w="2536"/>
        <w:gridCol w:w="4134"/>
      </w:tblGrid>
      <w:tr>
        <w:trPr>
          <w:trHeight w:val="430" w:hRule="exact"/>
        </w:trPr>
        <w:tc>
          <w:tcPr>
            <w:tcW w:w="2866"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62"/>
              <w:ind w:right="1243"/>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62"/>
              <w:ind w:left="721"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134" w:type="dxa"/>
            <w:tcBorders>
              <w:top w:val="single" w:sz="6" w:space="0" w:color="000000"/>
              <w:left w:val="single" w:sz="6" w:space="0" w:color="000000"/>
              <w:bottom w:val="single" w:sz="8" w:space="0" w:color="000000"/>
              <w:right w:val="single" w:sz="4" w:space="0" w:color="000000"/>
            </w:tcBorders>
            <w:shd w:val="clear" w:color="auto" w:fill="BEBEB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28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22,722,518.62</w:t>
            </w:r>
          </w:p>
        </w:tc>
        <w:tc>
          <w:tcPr>
            <w:tcW w:w="41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3"/>
              <w:jc w:val="center"/>
              <w:rPr>
                <w:rFonts w:ascii="宋体" w:hAnsi="宋体" w:cs="宋体" w:eastAsia="宋体" w:hint="default"/>
                <w:sz w:val="18"/>
                <w:szCs w:val="18"/>
              </w:rPr>
            </w:pPr>
            <w:r>
              <w:rPr>
                <w:rFonts w:ascii="宋体" w:hAnsi="宋体" w:cs="宋体" w:eastAsia="宋体" w:hint="default"/>
                <w:sz w:val="18"/>
                <w:szCs w:val="18"/>
              </w:rPr>
              <w:t>票据、贷款保证金</w:t>
            </w:r>
          </w:p>
        </w:tc>
      </w:tr>
      <w:tr>
        <w:trPr>
          <w:trHeight w:val="348" w:hRule="exact"/>
        </w:trPr>
        <w:tc>
          <w:tcPr>
            <w:tcW w:w="28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10,376,208,706.10</w:t>
            </w:r>
          </w:p>
        </w:tc>
        <w:tc>
          <w:tcPr>
            <w:tcW w:w="41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3"/>
              <w:jc w:val="center"/>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347" w:hRule="exact"/>
        </w:trPr>
        <w:tc>
          <w:tcPr>
            <w:tcW w:w="28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29,495,460.62</w:t>
            </w:r>
          </w:p>
        </w:tc>
        <w:tc>
          <w:tcPr>
            <w:tcW w:w="41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7" w:hRule="exact"/>
        </w:trPr>
        <w:tc>
          <w:tcPr>
            <w:tcW w:w="2866" w:type="dxa"/>
            <w:tcBorders>
              <w:top w:val="single" w:sz="8" w:space="0" w:color="000000"/>
              <w:left w:val="single" w:sz="6" w:space="0" w:color="000000"/>
              <w:bottom w:val="single" w:sz="10"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41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27" w:hRule="exact"/>
        </w:trPr>
        <w:tc>
          <w:tcPr>
            <w:tcW w:w="2866" w:type="dxa"/>
            <w:tcBorders>
              <w:top w:val="single" w:sz="8"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57"/>
              <w:ind w:right="1243"/>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10,458,426,685.34</w:t>
            </w:r>
          </w:p>
        </w:tc>
        <w:tc>
          <w:tcPr>
            <w:tcW w:w="4134" w:type="dxa"/>
            <w:tcBorders>
              <w:top w:val="single" w:sz="8" w:space="0" w:color="000000"/>
              <w:left w:val="single" w:sz="6" w:space="0" w:color="000000"/>
              <w:bottom w:val="single" w:sz="8"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2,391.67%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48,218.52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98,351.42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88,690.58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作为银行 存款专户 </w:t>
            </w:r>
            <w:r>
              <w:rPr>
                <w:rFonts w:ascii="宋体" w:hAnsi="宋体" w:cs="宋体" w:eastAsia="宋体" w:hint="default"/>
                <w:spacing w:val="-18"/>
                <w:sz w:val="18"/>
                <w:szCs w:val="18"/>
              </w:rPr>
              <w:t>存储、专户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48,218.52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98,351.42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88,690.58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1341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号《关于核准青岛海立美达股份有限公司向中国移动通讯集团公司</w:t>
            </w:r>
            <w:r>
              <w:rPr>
                <w:rFonts w:ascii="宋体" w:hAnsi="宋体" w:cs="宋体" w:eastAsia="宋体" w:hint="default"/>
                <w:sz w:val="18"/>
                <w:szCs w:val="18"/>
              </w:rPr>
              <w:t> 等发行股份购买资产并募集配套资金的批复》文件核准，本公司于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月在主承销商广发证券股份有限公司的承办</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下以非公开发行股票的方式发行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73,120,406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股，每股发行价格为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1,870,419,985.48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2" w:lineRule="auto" w:before="63"/>
              <w:ind w:left="22" w:right="81"/>
              <w:jc w:val="left"/>
              <w:rPr>
                <w:rFonts w:ascii="宋体" w:hAnsi="宋体" w:cs="宋体" w:eastAsia="宋体" w:hint="default"/>
                <w:sz w:val="18"/>
                <w:szCs w:val="18"/>
              </w:rPr>
            </w:pPr>
            <w:r>
              <w:rPr>
                <w:rFonts w:ascii="宋体" w:hAnsi="宋体" w:cs="宋体" w:eastAsia="宋体" w:hint="default"/>
                <w:sz w:val="18"/>
                <w:szCs w:val="18"/>
              </w:rPr>
              <w:t>扣除发行有关费用后，公司实际收到募集资金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1,835,304,525.67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元，公司已对募集资金采取了专户存储制度。上述募集资 金到位情况业经信永中和会计师事务所（特殊普通合伙）审验，并出具了 </w:t>
            </w:r>
            <w:r>
              <w:rPr>
                <w:rFonts w:ascii="Times New Roman" w:hAnsi="Times New Roman" w:cs="Times New Roman" w:eastAsia="Times New Roman" w:hint="default"/>
                <w:spacing w:val="-1"/>
                <w:w w:val="99"/>
                <w:sz w:val="18"/>
                <w:szCs w:val="18"/>
              </w:rPr>
              <w:t>XYZH/2016JNA10338</w:t>
            </w:r>
            <w:r>
              <w:rPr>
                <w:rFonts w:ascii="Times New Roman" w:hAnsi="Times New Roman" w:cs="Times New Roman" w:eastAsia="Times New Roman" w:hint="default"/>
                <w:spacing w:val="-23"/>
                <w:w w:val="99"/>
                <w:sz w:val="18"/>
                <w:szCs w:val="18"/>
              </w:rPr>
              <w:t> </w:t>
            </w:r>
            <w:r>
              <w:rPr>
                <w:rFonts w:ascii="宋体" w:hAnsi="宋体" w:cs="宋体" w:eastAsia="宋体" w:hint="default"/>
                <w:spacing w:val="-12"/>
                <w:w w:val="99"/>
                <w:sz w:val="18"/>
                <w:szCs w:val="18"/>
              </w:rPr>
              <w:t>号《验资报告》。</w:t>
            </w:r>
            <w:r>
              <w:rPr>
                <w:rFonts w:ascii="宋体" w:hAnsi="宋体" w:cs="宋体" w:eastAsia="宋体" w:hint="default"/>
                <w:spacing w:val="-12"/>
                <w:sz w:val="18"/>
                <w:szCs w:val="18"/>
              </w:rPr>
            </w:r>
          </w:p>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日，募集资金项目已累计投入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98,351.42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万元，其中扣除发行有关费用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3,511.55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万元，置换先期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自筹投入的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30,461.97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万元，直接投入募集资金项目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64,377.90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日，公司非公开发行募集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资金专户余额</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92,101.57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924"/>
        <w:gridCol w:w="851"/>
        <w:gridCol w:w="565"/>
        <w:gridCol w:w="780"/>
      </w:tblGrid>
      <w:tr>
        <w:trPr>
          <w:trHeight w:val="10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6"/>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7" w:right="95"/>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7" w:right="96"/>
              <w:jc w:val="both"/>
              <w:rPr>
                <w:rFonts w:ascii="宋体" w:hAnsi="宋体" w:cs="宋体" w:eastAsia="宋体" w:hint="default"/>
                <w:sz w:val="18"/>
                <w:szCs w:val="18"/>
              </w:rPr>
            </w:pPr>
            <w:r>
              <w:rPr>
                <w:rFonts w:ascii="宋体" w:hAnsi="宋体" w:cs="宋体" w:eastAsia="宋体" w:hint="default"/>
                <w:sz w:val="18"/>
                <w:szCs w:val="18"/>
              </w:rPr>
              <w:t>是否 达到 预计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5" w:right="23"/>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7.9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924"/>
                    <w:gridCol w:w="851"/>
                    <w:gridCol w:w="565"/>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(2)/(1)</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67" w:right="0"/>
                          <w:jc w:val="left"/>
                          <w:rPr>
                            <w:rFonts w:ascii="宋体" w:hAnsi="宋体" w:cs="宋体" w:eastAsia="宋体" w:hint="default"/>
                            <w:sz w:val="18"/>
                            <w:szCs w:val="18"/>
                          </w:rPr>
                        </w:pPr>
                        <w:r>
                          <w:rPr>
                            <w:rFonts w:ascii="宋体" w:hAnsi="宋体" w:cs="宋体" w:eastAsia="宋体" w:hint="default"/>
                            <w:sz w:val="18"/>
                            <w:szCs w:val="18"/>
                          </w:rPr>
                          <w:t>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移动互联网智能融合 支付云平台项目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13,605.17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16.00%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跨境电商综合服务平 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20,241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16.60%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联动优势支付中国移 动减资款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上市公司补充流动资 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33,135.09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49,057.42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100.39%</w:t>
                        </w: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支付中介机构相关费 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88.48%</w:t>
                        </w: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本公司手续费支出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项目结余补充流动资 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48,218.52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98,351.42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48,218.52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98,351.42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2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6" w:lineRule="auto" w:before="10"/>
                          <w:ind w:left="16" w:right="23"/>
                          <w:jc w:val="both"/>
                          <w:rPr>
                            <w:rFonts w:ascii="宋体" w:hAnsi="宋体" w:cs="宋体" w:eastAsia="宋体" w:hint="default"/>
                            <w:sz w:val="18"/>
                            <w:szCs w:val="18"/>
                          </w:rPr>
                        </w:pPr>
                        <w:r>
                          <w:rPr>
                            <w:rFonts w:ascii="宋体" w:hAnsi="宋体" w:cs="宋体" w:eastAsia="宋体" w:hint="default"/>
                            <w:sz w:val="18"/>
                            <w:szCs w:val="18"/>
                          </w:rPr>
                          <w:t>公司移动互联网智能融合支付云平台和跨境电商综合服务平台项目均积极推进，已确立了领先的市 场地位，项目前景向好。但由于外部市场形势、监管环境及竞争态势的不断变化，本着合法合规、 谨慎理性、为股东负责的原则，公司在</w:t>
                        </w:r>
                        <w:r>
                          <w:rPr>
                            <w:rFonts w:ascii="宋体" w:hAnsi="宋体" w:cs="宋体" w:eastAsia="宋体" w:hint="default"/>
                            <w:sz w:val="18"/>
                            <w:szCs w:val="18"/>
                          </w:rPr>
                          <w:t>2017</w:t>
                        </w:r>
                        <w:r>
                          <w:rPr>
                            <w:rFonts w:ascii="宋体" w:hAnsi="宋体" w:cs="宋体" w:eastAsia="宋体" w:hint="default"/>
                            <w:sz w:val="18"/>
                            <w:szCs w:val="18"/>
                          </w:rPr>
                          <w:t>年度适当放缓了投入，使上述两募投项目较原计划均出 现了投资延迟和业务成长延后的情况。</w:t>
                        </w:r>
                      </w:p>
                    </w:tc>
                  </w:tr>
                  <w:tr>
                    <w:trPr>
                      <w:trHeight w:val="113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9" w:lineRule="auto" w:before="51"/>
                          <w:ind w:left="16" w:right="24"/>
                          <w:jc w:val="left"/>
                          <w:rPr>
                            <w:rFonts w:ascii="宋体" w:hAnsi="宋体" w:cs="宋体" w:eastAsia="宋体" w:hint="default"/>
                            <w:sz w:val="18"/>
                            <w:szCs w:val="18"/>
                          </w:rPr>
                        </w:pPr>
                        <w:r>
                          <w:rPr>
                            <w:rFonts w:ascii="宋体" w:hAnsi="宋体" w:cs="宋体" w:eastAsia="宋体" w:hint="default"/>
                            <w:spacing w:val="-3"/>
                            <w:sz w:val="18"/>
                            <w:szCs w:val="18"/>
                          </w:rPr>
                          <w:t>非公开发行募集资金到位前，青岛海立美达股份有限公司对中介机构相关费用已先期投入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 </w:t>
                        </w:r>
                        <w:r>
                          <w:rPr>
                            <w:rFonts w:ascii="宋体" w:hAnsi="宋体" w:cs="宋体" w:eastAsia="宋体" w:hint="default"/>
                            <w:sz w:val="18"/>
                            <w:szCs w:val="18"/>
                          </w:rPr>
                          <w:t>联动优势电子商务有限公司实施的移动互联网智能融合支付云平台项目利用自筹资金已先期投入 </w:t>
                        </w:r>
                        <w:r>
                          <w:rPr>
                            <w:rFonts w:ascii="Times New Roman" w:hAnsi="Times New Roman" w:cs="Times New Roman" w:eastAsia="Times New Roman" w:hint="default"/>
                            <w:sz w:val="18"/>
                            <w:szCs w:val="18"/>
                          </w:rPr>
                          <w:t>1,646.97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万元，联动优势科技有限公司对实施的支付中国移动减资款已先期投入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资金到位后，根据</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年第三届董事会第十四次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会议审议通过的《关于使用募集资金置换预</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49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先投入募投项目自筹资金的议案》，以募集资金置换预先投入募投项目的自筹资金合计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30,461.97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月，经第三届董事会第十四次（临时）会议和第三届监事会第十三次（临时）会议审议 </w:t>
            </w:r>
            <w:r>
              <w:rPr>
                <w:rFonts w:ascii="宋体" w:hAnsi="宋体" w:cs="宋体" w:eastAsia="宋体" w:hint="default"/>
                <w:spacing w:val="-3"/>
                <w:sz w:val="18"/>
                <w:szCs w:val="18"/>
              </w:rPr>
              <w:t>通过了《关于使用节余募集资金暂时补充流动资金的议案》，将单项募投项目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上市公司支付中介机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构相关费用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中节余的募集配套资金 </w:t>
            </w:r>
            <w:r>
              <w:rPr>
                <w:rFonts w:ascii="Times New Roman" w:hAnsi="Times New Roman" w:cs="Times New Roman" w:eastAsia="Times New Roman" w:hint="default"/>
                <w:sz w:val="18"/>
                <w:szCs w:val="18"/>
              </w:rPr>
              <w:t>5,634,540.19 </w:t>
            </w:r>
            <w:r>
              <w:rPr>
                <w:rFonts w:ascii="宋体" w:hAnsi="宋体" w:cs="宋体" w:eastAsia="宋体" w:hint="default"/>
                <w:sz w:val="18"/>
                <w:szCs w:val="18"/>
              </w:rPr>
              <w:t>元暂时补充流动资金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若因募集资金项目发展需 要，公司将随时利用自有资金及银行贷款及时归还，以确保项目进度。该资金使用期限不超过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pacing w:val="-38"/>
                <w:sz w:val="18"/>
                <w:szCs w:val="18"/>
              </w:rPr>
              <w:t>月</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到</w:t>
            </w:r>
            <w:r>
              <w:rPr>
                <w:rFonts w:ascii="宋体" w:hAnsi="宋体" w:cs="宋体" w:eastAsia="宋体" w:hint="default"/>
                <w:spacing w:val="1"/>
                <w:sz w:val="18"/>
                <w:szCs w:val="18"/>
              </w:rPr>
              <w:t>期</w:t>
            </w:r>
            <w:r>
              <w:rPr>
                <w:rFonts w:ascii="宋体" w:hAnsi="宋体" w:cs="宋体" w:eastAsia="宋体" w:hint="default"/>
                <w:sz w:val="18"/>
                <w:szCs w:val="18"/>
              </w:rPr>
              <w:t>公司将以自有资金归还至募集资金专用账</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户</w:t>
            </w:r>
            <w:r>
              <w:rPr>
                <w:rFonts w:ascii="宋体" w:hAnsi="宋体" w:cs="宋体" w:eastAsia="宋体" w:hint="default"/>
                <w:spacing w:val="-38"/>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8"/>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公</w:t>
            </w:r>
            <w:r>
              <w:rPr>
                <w:rFonts w:ascii="宋体" w:hAnsi="宋体" w:cs="宋体" w:eastAsia="宋体" w:hint="default"/>
                <w:sz w:val="18"/>
                <w:szCs w:val="18"/>
              </w:rPr>
              <w:t>司如数归还上述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5,634,540.19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元并于当日公</w:t>
            </w:r>
            <w:r>
              <w:rPr>
                <w:rFonts w:ascii="宋体" w:hAnsi="宋体" w:cs="宋体" w:eastAsia="宋体" w:hint="default"/>
                <w:spacing w:val="-38"/>
                <w:sz w:val="18"/>
                <w:szCs w:val="18"/>
              </w:rPr>
              <w:t>告</w:t>
            </w:r>
            <w:r>
              <w:rPr>
                <w:rFonts w:ascii="宋体" w:hAnsi="宋体" w:cs="宋体" w:eastAsia="宋体" w:hint="default"/>
                <w:sz w:val="18"/>
                <w:szCs w:val="18"/>
              </w:rPr>
              <w:t>（公告编号</w:t>
            </w:r>
            <w:r>
              <w:rPr>
                <w:rFonts w:ascii="宋体" w:hAnsi="宋体" w:cs="宋体" w:eastAsia="宋体" w:hint="default"/>
                <w:spacing w:val="-37"/>
                <w:sz w:val="18"/>
                <w:szCs w:val="18"/>
              </w:rPr>
              <w:t>：</w:t>
            </w:r>
            <w:r>
              <w:rPr>
                <w:rFonts w:ascii="Times New Roman" w:hAnsi="Times New Roman" w:cs="Times New Roman" w:eastAsia="Times New Roman" w:hint="default"/>
                <w:sz w:val="18"/>
                <w:szCs w:val="18"/>
              </w:rPr>
              <w:t>2016-127</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月，根据公司第三届董事会第十四次（临时）会议审议通过的《关于使用募集资金置换 </w:t>
            </w:r>
            <w:r>
              <w:rPr>
                <w:rFonts w:ascii="宋体" w:hAnsi="宋体" w:cs="宋体" w:eastAsia="宋体" w:hint="default"/>
                <w:spacing w:val="-5"/>
                <w:sz w:val="18"/>
                <w:szCs w:val="18"/>
              </w:rPr>
              <w:t>预先投入募投项目自筹资金的议案》，公司以募集资金对先期支付中国移动通信集团公司减资款的自</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筹资金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亿元进行了置换，置换金额为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亿元，置换完成后，该募集资金专项账户利息余额也一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并转出。</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本公司尚未使用募集资金部分仍作为银行存款专户存储、专户管理。</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269"/>
        <w:gridCol w:w="425"/>
        <w:gridCol w:w="709"/>
        <w:gridCol w:w="283"/>
        <w:gridCol w:w="426"/>
        <w:gridCol w:w="425"/>
        <w:gridCol w:w="709"/>
        <w:gridCol w:w="708"/>
        <w:gridCol w:w="2192"/>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8" w:right="38"/>
              <w:jc w:val="both"/>
              <w:rPr>
                <w:rFonts w:ascii="宋体" w:hAnsi="宋体" w:cs="宋体" w:eastAsia="宋体" w:hint="default"/>
                <w:sz w:val="18"/>
                <w:szCs w:val="18"/>
              </w:rPr>
            </w:pPr>
            <w:r>
              <w:rPr>
                <w:rFonts w:ascii="宋体" w:hAnsi="宋体" w:cs="宋体" w:eastAsia="宋体" w:hint="default"/>
                <w:sz w:val="18"/>
                <w:szCs w:val="18"/>
              </w:rPr>
              <w:t>出 售 对 公 司 的 影 响</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7"/>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7"/>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6" w:right="2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hanging="68"/>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计划实 </w:t>
            </w:r>
            <w:r>
              <w:rPr>
                <w:rFonts w:ascii="宋体" w:hAnsi="宋体" w:cs="宋体" w:eastAsia="宋体" w:hint="default"/>
                <w:spacing w:val="-17"/>
                <w:sz w:val="18"/>
                <w:szCs w:val="18"/>
              </w:rPr>
              <w:t>施，应当</w:t>
            </w:r>
            <w:r>
              <w:rPr>
                <w:rFonts w:ascii="宋体" w:hAnsi="宋体" w:cs="宋体" w:eastAsia="宋体" w:hint="default"/>
                <w:sz w:val="18"/>
                <w:szCs w:val="18"/>
              </w:rPr>
              <w:t> 说明原 因及公 司已采 取的措</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施</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日照兴 业集团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日照兴 业汽车 配件有 限公司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4"/>
              <w:jc w:val="both"/>
              <w:rPr>
                <w:rFonts w:ascii="宋体" w:hAnsi="宋体" w:cs="宋体" w:eastAsia="宋体" w:hint="default"/>
                <w:sz w:val="18"/>
                <w:szCs w:val="18"/>
              </w:rPr>
            </w:pPr>
            <w:r>
              <w:rPr>
                <w:rFonts w:ascii="宋体" w:hAnsi="宋体" w:cs="宋体" w:eastAsia="宋体" w:hint="default"/>
                <w:sz w:val="18"/>
                <w:szCs w:val="18"/>
              </w:rPr>
              <w:t>无 重 大 影 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股东全 部权益 在评估 基准日 的市场 价值</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无关 联关 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按计划 如期实 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w:t>
            </w:r>
            <w:r>
              <w:rPr>
                <w:rFonts w:ascii="宋体" w:hAnsi="宋体" w:cs="宋体" w:eastAsia="宋体" w:hint="default"/>
                <w:sz w:val="18"/>
                <w:szCs w:val="18"/>
              </w:rPr>
              <w:t> 报</w:t>
            </w:r>
            <w:r>
              <w:rPr>
                <w:rFonts w:ascii="宋体" w:hAnsi="宋体" w:cs="宋体" w:eastAsia="宋体" w:hint="default"/>
                <w:spacing w:val="-90"/>
                <w:sz w:val="18"/>
                <w:szCs w:val="18"/>
              </w:rPr>
              <w:t>》</w:t>
            </w:r>
            <w:r>
              <w:rPr>
                <w:rFonts w:ascii="宋体" w:hAnsi="宋体" w:cs="宋体" w:eastAsia="宋体" w:hint="default"/>
                <w:spacing w:val="-103"/>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3"/>
                <w:sz w:val="18"/>
                <w:szCs w:val="18"/>
              </w:rPr>
              <w:t>、</w:t>
            </w:r>
            <w:r>
              <w:rPr>
                <w:rFonts w:ascii="宋体" w:hAnsi="宋体" w:cs="宋体" w:eastAsia="宋体" w:hint="default"/>
                <w:sz w:val="18"/>
                <w:szCs w:val="18"/>
              </w:rPr>
              <w:t>《证券</w:t>
            </w:r>
            <w:r>
              <w:rPr>
                <w:rFonts w:ascii="宋体" w:hAnsi="宋体" w:cs="宋体" w:eastAsia="宋体" w:hint="default"/>
                <w:sz w:val="18"/>
                <w:szCs w:val="18"/>
              </w:rPr>
              <w:t> 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p>
          <w:p>
            <w:pPr>
              <w:pStyle w:val="TableParagraph"/>
              <w:spacing w:line="319" w:lineRule="auto" w:before="63"/>
              <w:ind w:left="22" w:right="89"/>
              <w:jc w:val="left"/>
              <w:rPr>
                <w:rFonts w:ascii="宋体" w:hAnsi="宋体" w:cs="宋体" w:eastAsia="宋体" w:hint="default"/>
                <w:sz w:val="18"/>
                <w:szCs w:val="18"/>
              </w:rPr>
            </w:pPr>
            <w:r>
              <w:rPr>
                <w:rFonts w:ascii="宋体" w:hAnsi="宋体" w:cs="宋体" w:eastAsia="宋体" w:hint="default"/>
                <w:spacing w:val="-8"/>
                <w:sz w:val="18"/>
                <w:szCs w:val="18"/>
              </w:rPr>
              <w:t>）《关于转让控股子公司股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权的公告》（公告编号：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2017-023</w:t>
            </w:r>
            <w:r>
              <w:rPr>
                <w:rFonts w:ascii="宋体" w:hAnsi="宋体" w:cs="宋体" w:eastAsia="宋体" w:hint="default"/>
                <w:sz w:val="18"/>
                <w:szCs w:val="18"/>
              </w:rPr>
              <w:t>）</w:t>
            </w:r>
          </w:p>
        </w:tc>
      </w:tr>
      <w:tr>
        <w:trPr>
          <w:trHeight w:val="227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日照兴 业集团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日照兴 发汽车 零部件 制造有 限公司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4"/>
              <w:jc w:val="both"/>
              <w:rPr>
                <w:rFonts w:ascii="宋体" w:hAnsi="宋体" w:cs="宋体" w:eastAsia="宋体" w:hint="default"/>
                <w:sz w:val="18"/>
                <w:szCs w:val="18"/>
              </w:rPr>
            </w:pPr>
            <w:r>
              <w:rPr>
                <w:rFonts w:ascii="宋体" w:hAnsi="宋体" w:cs="宋体" w:eastAsia="宋体" w:hint="default"/>
                <w:sz w:val="18"/>
                <w:szCs w:val="18"/>
              </w:rPr>
              <w:t>无 重 大 影 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股东全 部权益 在评估 基准日 的市场 价值</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无关 联关 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按计划 如期实 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w:t>
            </w:r>
            <w:r>
              <w:rPr>
                <w:rFonts w:ascii="宋体" w:hAnsi="宋体" w:cs="宋体" w:eastAsia="宋体" w:hint="default"/>
                <w:sz w:val="18"/>
                <w:szCs w:val="18"/>
              </w:rPr>
              <w:t> 报</w:t>
            </w:r>
            <w:r>
              <w:rPr>
                <w:rFonts w:ascii="宋体" w:hAnsi="宋体" w:cs="宋体" w:eastAsia="宋体" w:hint="default"/>
                <w:spacing w:val="-90"/>
                <w:sz w:val="18"/>
                <w:szCs w:val="18"/>
              </w:rPr>
              <w:t>》</w:t>
            </w:r>
            <w:r>
              <w:rPr>
                <w:rFonts w:ascii="宋体" w:hAnsi="宋体" w:cs="宋体" w:eastAsia="宋体" w:hint="default"/>
                <w:spacing w:val="-103"/>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3"/>
                <w:sz w:val="18"/>
                <w:szCs w:val="18"/>
              </w:rPr>
              <w:t>、</w:t>
            </w:r>
            <w:r>
              <w:rPr>
                <w:rFonts w:ascii="宋体" w:hAnsi="宋体" w:cs="宋体" w:eastAsia="宋体" w:hint="default"/>
                <w:sz w:val="18"/>
                <w:szCs w:val="18"/>
              </w:rPr>
              <w:t>《证券</w:t>
            </w:r>
            <w:r>
              <w:rPr>
                <w:rFonts w:ascii="宋体" w:hAnsi="宋体" w:cs="宋体" w:eastAsia="宋体" w:hint="default"/>
                <w:sz w:val="18"/>
                <w:szCs w:val="18"/>
              </w:rPr>
              <w:t> 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p>
          <w:p>
            <w:pPr>
              <w:pStyle w:val="TableParagraph"/>
              <w:spacing w:line="319" w:lineRule="auto" w:before="63"/>
              <w:ind w:left="22" w:right="89"/>
              <w:jc w:val="left"/>
              <w:rPr>
                <w:rFonts w:ascii="宋体" w:hAnsi="宋体" w:cs="宋体" w:eastAsia="宋体" w:hint="default"/>
                <w:sz w:val="18"/>
                <w:szCs w:val="18"/>
              </w:rPr>
            </w:pPr>
            <w:r>
              <w:rPr>
                <w:rFonts w:ascii="宋体" w:hAnsi="宋体" w:cs="宋体" w:eastAsia="宋体" w:hint="default"/>
                <w:spacing w:val="-8"/>
                <w:sz w:val="18"/>
                <w:szCs w:val="18"/>
              </w:rPr>
              <w:t>）《关于转让控股子公司股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权的公告》（公告编号：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2017-023</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310"/>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9"/>
              <w:jc w:val="left"/>
              <w:rPr>
                <w:rFonts w:ascii="宋体" w:hAnsi="宋体" w:cs="宋体" w:eastAsia="宋体" w:hint="default"/>
                <w:sz w:val="18"/>
                <w:szCs w:val="18"/>
              </w:rPr>
            </w:pPr>
            <w:r>
              <w:rPr>
                <w:rFonts w:ascii="宋体" w:hAnsi="宋体" w:cs="宋体" w:eastAsia="宋体" w:hint="default"/>
                <w:sz w:val="18"/>
                <w:szCs w:val="18"/>
              </w:rPr>
              <w:t>联动优势科 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互联网信息服 务业务；移动网 增值电信业务 业务专项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678,697,284.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12,376,963,7</w:t>
            </w:r>
          </w:p>
          <w:p>
            <w:pPr>
              <w:pStyle w:val="TableParagraph"/>
              <w:spacing w:line="240" w:lineRule="auto" w:before="105"/>
              <w:ind w:left="608" w:right="0"/>
              <w:jc w:val="left"/>
              <w:rPr>
                <w:rFonts w:ascii="Times New Roman" w:hAnsi="Times New Roman" w:cs="Times New Roman" w:eastAsia="Times New Roman" w:hint="default"/>
                <w:sz w:val="18"/>
                <w:szCs w:val="18"/>
              </w:rPr>
            </w:pPr>
            <w:r>
              <w:rPr>
                <w:rFonts w:ascii="Times New Roman"/>
                <w:sz w:val="18"/>
              </w:rPr>
              <w:t>26.40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1,508,358,05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1,086,874,11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266,468,465.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242,296,708.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r>
    </w:tbl>
    <w:p>
      <w:pPr>
        <w:pStyle w:val="BodyText"/>
        <w:spacing w:line="240" w:lineRule="auto" w:before="51"/>
        <w:ind w:left="154" w:right="0"/>
        <w:jc w:val="left"/>
      </w:pPr>
      <w:r>
        <w:rPr/>
        <w:t>报告期内取得和处置子公司的情况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8"/>
        <w:gridCol w:w="1134"/>
        <w:gridCol w:w="5458"/>
      </w:tblGrid>
      <w:tr>
        <w:trPr>
          <w:trHeight w:val="102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1"/>
              <w:jc w:val="both"/>
              <w:rPr>
                <w:rFonts w:ascii="宋体" w:hAnsi="宋体" w:cs="宋体" w:eastAsia="宋体" w:hint="default"/>
                <w:sz w:val="18"/>
                <w:szCs w:val="18"/>
              </w:rPr>
            </w:pPr>
            <w:r>
              <w:rPr>
                <w:rFonts w:ascii="宋体" w:hAnsi="宋体" w:cs="宋体" w:eastAsia="宋体" w:hint="default"/>
                <w:sz w:val="18"/>
                <w:szCs w:val="18"/>
              </w:rPr>
              <w:t>报告期内取 得和处置子 公司方式</w:t>
            </w:r>
          </w:p>
        </w:tc>
        <w:tc>
          <w:tcPr>
            <w:tcW w:w="5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5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1134"/>
        <w:gridCol w:w="5555"/>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日照兴业汽车配件有限公司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日照兴发汽车零部件制造有限公司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联动优势科技有限公司山东分公司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联动优势科技（加拿大）有限公司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上海墨哈汽车销售有限公司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符合公司整体战略布局</w:t>
            </w:r>
            <w:r>
              <w:rPr>
                <w:rFonts w:ascii="宋体" w:hAnsi="宋体" w:cs="宋体" w:eastAsia="宋体" w:hint="default"/>
                <w:spacing w:val="-88"/>
                <w:sz w:val="18"/>
                <w:szCs w:val="18"/>
              </w:rPr>
              <w:t>，</w:t>
            </w:r>
            <w:r>
              <w:rPr>
                <w:rFonts w:ascii="宋体" w:hAnsi="宋体" w:cs="宋体" w:eastAsia="宋体" w:hint="default"/>
                <w:sz w:val="18"/>
                <w:szCs w:val="18"/>
              </w:rPr>
              <w:t>未对公司整体生产经营和业绩造成较大影响。</w:t>
            </w:r>
          </w:p>
        </w:tc>
      </w:tr>
      <w:tr>
        <w:trPr>
          <w:trHeight w:val="392" w:hRule="exact"/>
        </w:trPr>
        <w:tc>
          <w:tcPr>
            <w:tcW w:w="29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tc>
        <w:tc>
          <w:tcPr>
            <w:tcW w:w="1134" w:type="dxa"/>
            <w:tcBorders>
              <w:top w:val="single" w:sz="4" w:space="0" w:color="000000"/>
              <w:left w:val="nil" w:sz="6" w:space="0" w:color="auto"/>
              <w:bottom w:val="nil" w:sz="6" w:space="0" w:color="auto"/>
              <w:right w:val="nil" w:sz="6" w:space="0" w:color="auto"/>
            </w:tcBorders>
          </w:tcPr>
          <w:p>
            <w:pPr/>
          </w:p>
        </w:tc>
        <w:tc>
          <w:tcPr>
            <w:tcW w:w="5555" w:type="dxa"/>
            <w:tcBorders>
              <w:top w:val="single" w:sz="4"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5"/>
          <w:szCs w:val="15"/>
        </w:rPr>
      </w:pPr>
    </w:p>
    <w:p>
      <w:pPr>
        <w:pStyle w:val="Heading2"/>
        <w:spacing w:line="240" w:lineRule="auto" w:before="26"/>
        <w:ind w:left="154" w:right="0"/>
        <w:jc w:val="both"/>
        <w:rPr>
          <w:b w:val="0"/>
          <w:bCs w:val="0"/>
        </w:rPr>
      </w:pPr>
      <w:r>
        <w:rPr/>
        <w:pict>
          <v:group style="position:absolute;margin-left:535.200012pt;margin-top:-210.84436pt;width:.1pt;height:181.4pt;mso-position-horizontal-relative:page;mso-position-vertical-relative:paragraph;z-index:-1394872" coordorigin="10704,-4217" coordsize="2,3628">
            <v:shape style="position:absolute;left:10704;top:-4217;width:2;height:3628" coordorigin="10704,-4217" coordsize="0,3628" path="m10704,-4217l10704,-589e" filled="false" stroked="true" strokeweight=".48pt" strokecolor="#000000">
              <v:path arrowok="t"/>
            </v:shape>
            <w10:wrap type="none"/>
          </v:group>
        </w:pict>
      </w: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firstLine="1"/>
        <w:jc w:val="left"/>
      </w:pPr>
      <w:r>
        <w:rPr>
          <w:rFonts w:ascii="宋体" w:hAnsi="宋体" w:cs="宋体" w:eastAsia="宋体" w:hint="default"/>
          <w:b/>
          <w:bCs/>
        </w:rPr>
        <w:t>（一）未来发展的展望</w:t>
      </w:r>
      <w:r>
        <w:rPr>
          <w:rFonts w:ascii="宋体" w:hAnsi="宋体" w:cs="宋体" w:eastAsia="宋体" w:hint="default"/>
          <w:b/>
          <w:bCs/>
          <w:w w:val="99"/>
        </w:rPr>
        <w:t> </w:t>
      </w:r>
      <w:r>
        <w:rPr>
          <w:spacing w:val="-2"/>
        </w:rPr>
        <w:t>未来几年，公司仍将在持续夯实汽车及配件在智能制造板块主力地位的同时，重点发展金融科技板块业务，结合产业政</w:t>
      </w:r>
    </w:p>
    <w:p>
      <w:pPr>
        <w:pStyle w:val="BodyText"/>
        <w:spacing w:line="224" w:lineRule="exact"/>
        <w:ind w:right="0"/>
        <w:jc w:val="both"/>
      </w:pPr>
      <w:r>
        <w:rPr>
          <w:spacing w:val="-4"/>
        </w:rPr>
        <w:t>策方向，积极部署金融科技板块结构，以支付服务为主线，发挥数据、信息服务优势，强化智能营销、安全、资金服务能力，</w:t>
      </w:r>
    </w:p>
    <w:p>
      <w:pPr>
        <w:pStyle w:val="BodyText"/>
        <w:spacing w:line="309" w:lineRule="auto" w:before="76"/>
        <w:ind w:right="1042"/>
        <w:jc w:val="both"/>
      </w:pPr>
      <w:r>
        <w:rPr/>
        <w:t>形成平台化、场景化、模块化、体系化的业务格局，聚焦为企业服务、为产业升级提供支付</w:t>
      </w:r>
      <w:r>
        <w:rPr>
          <w:rFonts w:ascii="Times New Roman" w:hAnsi="Times New Roman" w:cs="Times New Roman" w:eastAsia="Times New Roman" w:hint="default"/>
        </w:rPr>
        <w:t>+</w:t>
      </w:r>
      <w:r>
        <w:rPr/>
        <w:t>的金融科技创新解决方案。同 </w:t>
      </w:r>
      <w:r>
        <w:rPr>
          <w:spacing w:val="-2"/>
        </w:rPr>
        <w:t>时，顺应金融科技与汽车产业的融合发展形势，推进智能汽车制造及周边产业的金融科技服务，构建区块链、大数据、云服</w:t>
      </w:r>
      <w:r>
        <w:rPr>
          <w:spacing w:val="-66"/>
        </w:rPr>
        <w:t> </w:t>
      </w:r>
      <w:r>
        <w:rPr>
          <w:spacing w:val="-66"/>
        </w:rPr>
      </w:r>
      <w:r>
        <w:rPr>
          <w:spacing w:val="-4"/>
        </w:rPr>
        <w:t>务、第三方支付等技术的工业互联网产业模式，深度挖掘并加强金融科技板块与智能制造板块的黏性，实现双主业协同发展。</w:t>
      </w:r>
    </w:p>
    <w:p>
      <w:pPr>
        <w:pStyle w:val="Heading6"/>
        <w:spacing w:line="240" w:lineRule="auto" w:before="64"/>
        <w:ind w:right="0"/>
        <w:jc w:val="left"/>
        <w:rPr>
          <w:b w:val="0"/>
          <w:bCs w:val="0"/>
        </w:rPr>
      </w:pPr>
      <w:r>
        <w:rPr/>
        <w:t>（二）</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年重点经营计划</w:t>
      </w:r>
      <w:r>
        <w:rPr>
          <w:b w:val="0"/>
          <w:bCs w:val="0"/>
        </w:rPr>
      </w:r>
    </w:p>
    <w:p>
      <w:pPr>
        <w:pStyle w:val="BodyText"/>
        <w:spacing w:line="240" w:lineRule="auto" w:before="103"/>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年，公司重点经营计划如下：</w:t>
      </w:r>
    </w:p>
    <w:p>
      <w:pPr>
        <w:pStyle w:val="BodyText"/>
        <w:spacing w:line="304" w:lineRule="auto" w:before="101"/>
        <w:ind w:right="1131" w:firstLine="361"/>
        <w:jc w:val="both"/>
      </w:pPr>
      <w:r>
        <w:rPr>
          <w:rFonts w:ascii="Times New Roman" w:hAnsi="Times New Roman" w:cs="Times New Roman" w:eastAsia="Times New Roman" w:hint="default"/>
          <w:b/>
          <w:bCs/>
        </w:rPr>
        <w:t>1</w:t>
      </w:r>
      <w:r>
        <w:rPr>
          <w:rFonts w:ascii="宋体" w:hAnsi="宋体" w:cs="宋体" w:eastAsia="宋体" w:hint="default"/>
          <w:b/>
          <w:bCs/>
        </w:rPr>
        <w:t>、第三方支付：</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年，公司将通过对金融科技行业发展趋势的深入研究、探索，全面打造联动优势</w:t>
      </w:r>
      <w:r>
        <w:rPr>
          <w:rFonts w:ascii="Times New Roman" w:hAnsi="Times New Roman" w:cs="Times New Roman" w:eastAsia="Times New Roman" w:hint="default"/>
        </w:rPr>
        <w:t>“</w:t>
      </w:r>
      <w:r>
        <w:rPr/>
        <w:t>平台化、智能 化、链化、全球化</w:t>
      </w:r>
      <w:r>
        <w:rPr>
          <w:rFonts w:ascii="Times New Roman" w:hAnsi="Times New Roman" w:cs="Times New Roman" w:eastAsia="Times New Roman" w:hint="default"/>
        </w:rPr>
        <w:t>”</w:t>
      </w:r>
      <w:r>
        <w:rPr/>
        <w:t>四项核心能力，为即将到来的金融科技大潮夯实基础。其中，场景、行业将是重点发力的两个方向。行 </w:t>
      </w:r>
      <w:r>
        <w:rPr>
          <w:spacing w:val="-2"/>
        </w:rPr>
        <w:t>业市场未来几年仍将有较大上升空间，同时也伴随着激烈的竞争，明确以金融行业为主要目标市场、产品细分等策略，加速</w:t>
      </w:r>
      <w:r>
        <w:rPr>
          <w:spacing w:val="-66"/>
        </w:rPr>
        <w:t> </w:t>
      </w:r>
      <w:r>
        <w:rPr>
          <w:spacing w:val="-66"/>
        </w:rPr>
      </w:r>
      <w:r>
        <w:rPr>
          <w:spacing w:val="-2"/>
        </w:rPr>
        <w:t>推进业务发展，在此基础产品上扩展短信</w:t>
      </w:r>
      <w:r>
        <w:rPr>
          <w:spacing w:val="-30"/>
        </w:rPr>
        <w:t> </w:t>
      </w:r>
      <w:r>
        <w:rPr>
          <w:rFonts w:ascii="Times New Roman" w:hAnsi="Times New Roman" w:cs="Times New Roman" w:eastAsia="Times New Roman" w:hint="default"/>
          <w:spacing w:val="-2"/>
        </w:rPr>
        <w:t>LOGO</w:t>
      </w:r>
      <w:r>
        <w:rPr>
          <w:spacing w:val="-2"/>
        </w:rPr>
        <w:t>、短信公众号等增值产品，以此增加客户粘性并作为新客户的切入点，进而</w:t>
      </w:r>
      <w:r>
        <w:rPr>
          <w:spacing w:val="-86"/>
        </w:rPr>
        <w:t> </w:t>
      </w:r>
      <w:r>
        <w:rPr>
          <w:spacing w:val="-86"/>
        </w:rPr>
      </w:r>
      <w:r>
        <w:rPr/>
        <w:t>提升业务量。</w:t>
      </w:r>
    </w:p>
    <w:p>
      <w:pPr>
        <w:pStyle w:val="BodyText"/>
        <w:spacing w:line="312" w:lineRule="auto" w:before="66"/>
        <w:ind w:right="1131" w:firstLine="361"/>
        <w:jc w:val="both"/>
      </w:pPr>
      <w:r>
        <w:rPr>
          <w:rFonts w:ascii="Times New Roman" w:hAnsi="Times New Roman" w:cs="Times New Roman" w:eastAsia="Times New Roman" w:hint="default"/>
          <w:b/>
          <w:bCs/>
        </w:rPr>
        <w:t>2</w:t>
      </w:r>
      <w:r>
        <w:rPr>
          <w:rFonts w:ascii="宋体" w:hAnsi="宋体" w:cs="宋体" w:eastAsia="宋体" w:hint="default"/>
          <w:b/>
          <w:bCs/>
        </w:rPr>
        <w:t>、大数据及区块链应用：</w:t>
      </w:r>
      <w:r>
        <w:rPr/>
        <w:t>公司将抓住国家在大数据产业上的快速发展契机，从企业自身能力建设出发，持续加大对大 数据技术的研究和平台拓展投入。</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年，公司数据业务将进行行业数据服务细分，聚焦泛金融领域，提升服务重点领域 </w:t>
      </w:r>
      <w:r>
        <w:rPr>
          <w:spacing w:val="-2"/>
        </w:rPr>
        <w:t>客户的竞争力，同时与具有其他行业客户资源的企业深度合作，建设金融数据服务端对端的解决方案，有效利用联动优势的</w:t>
      </w:r>
      <w:r>
        <w:rPr>
          <w:spacing w:val="-66"/>
        </w:rPr>
        <w:t> </w:t>
      </w:r>
      <w:r>
        <w:rPr>
          <w:spacing w:val="-66"/>
        </w:rPr>
      </w:r>
      <w:r>
        <w:rPr>
          <w:spacing w:val="-2"/>
        </w:rPr>
        <w:t>基础数据资源数据处理能力及伙伴企业的市场渠道，快速拓展市场，扩大市场占有率；不断提升建模及数据风控能力，为普</w:t>
      </w:r>
      <w:r>
        <w:rPr>
          <w:spacing w:val="-66"/>
        </w:rPr>
        <w:t> </w:t>
      </w:r>
      <w:r>
        <w:rPr>
          <w:spacing w:val="-66"/>
        </w:rPr>
      </w:r>
      <w:r>
        <w:rPr>
          <w:spacing w:val="-2"/>
        </w:rPr>
        <w:t>惠金融提供保障。在区块链方面将继续加强对自有技术的储备及技术成果的保护，紧密联合外部合作伙伴，实现对部分技术</w:t>
      </w:r>
      <w:r>
        <w:rPr>
          <w:spacing w:val="-66"/>
        </w:rPr>
        <w:t> </w:t>
      </w:r>
      <w:r>
        <w:rPr>
          <w:spacing w:val="-66"/>
        </w:rPr>
      </w:r>
      <w:r>
        <w:rPr/>
        <w:t>难点的及时攻关，积极探索区块链应用场景和模式。</w:t>
      </w:r>
    </w:p>
    <w:p>
      <w:pPr>
        <w:pStyle w:val="BodyText"/>
        <w:spacing w:line="307" w:lineRule="auto" w:before="62"/>
        <w:ind w:right="1132" w:firstLine="361"/>
        <w:jc w:val="both"/>
      </w:pPr>
      <w:r>
        <w:rPr>
          <w:rFonts w:ascii="Times New Roman" w:hAnsi="Times New Roman" w:cs="Times New Roman" w:eastAsia="Times New Roman" w:hint="default"/>
          <w:b/>
          <w:bCs/>
        </w:rPr>
        <w:t>3</w:t>
      </w:r>
      <w:r>
        <w:rPr>
          <w:rFonts w:ascii="宋体" w:hAnsi="宋体" w:cs="宋体" w:eastAsia="宋体" w:hint="default"/>
          <w:b/>
          <w:bCs/>
        </w:rPr>
        <w:t>、金融信息服务：</w:t>
      </w:r>
      <w:r>
        <w:rPr/>
        <w:t>近年来，随着移动互联网及移动应用的大力发展，行业短信发送量逐年增长，银行业短信作为连接 </w:t>
      </w:r>
      <w:r>
        <w:rPr>
          <w:spacing w:val="-2"/>
        </w:rPr>
        <w:t>线上线下沟通的重要桥梁，有着不可替代的重要作用。行业客户对于短信业务与自身业务的结合度越来越高，并开始盯紧精</w:t>
      </w:r>
      <w:r>
        <w:rPr>
          <w:spacing w:val="-66"/>
        </w:rPr>
        <w:t> </w:t>
      </w:r>
      <w:r>
        <w:rPr>
          <w:spacing w:val="-66"/>
        </w:rPr>
      </w:r>
      <w:r>
        <w:rPr/>
        <w:t>准营销等手段来带动业务拉新。</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年公司将继续整合信息、平台、营销、数据、风控等能力为行业客户设计和搭建短信 营销平台，定制综合解决方案，同时继续加大在基金、保险、证券等非银行业客户拓展。</w:t>
      </w:r>
    </w:p>
    <w:p>
      <w:pPr>
        <w:pStyle w:val="BodyText"/>
        <w:spacing w:line="240" w:lineRule="auto" w:before="64"/>
        <w:ind w:left="515" w:right="0"/>
        <w:jc w:val="left"/>
      </w:pPr>
      <w:r>
        <w:rPr>
          <w:rFonts w:ascii="Times New Roman" w:hAnsi="Times New Roman" w:cs="Times New Roman" w:eastAsia="Times New Roman" w:hint="default"/>
          <w:b/>
          <w:bCs/>
          <w:spacing w:val="-3"/>
        </w:rPr>
        <w:t>4</w:t>
      </w:r>
      <w:r>
        <w:rPr>
          <w:rFonts w:ascii="宋体" w:hAnsi="宋体" w:cs="宋体" w:eastAsia="宋体" w:hint="default"/>
          <w:b/>
          <w:bCs/>
          <w:spacing w:val="-3"/>
        </w:rPr>
        <w:t>、国际业务：</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3"/>
        </w:rPr>
        <w:t> </w:t>
      </w:r>
      <w:r>
        <w:rPr/>
        <w:t>年度跨境电子商务的快速发展带动了跨境电子支付市场需求的增强，从而拉动整体跨境支付市场进</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1"/>
        <w:jc w:val="left"/>
      </w:pPr>
      <w:r>
        <w:rPr/>
        <w:t>入新的发展阶段。为更好的开拓海外市场，联动优势先后在香港、北美、加拿大等地区先后成立了全资子公司，配备市场、 </w:t>
      </w:r>
      <w:r>
        <w:rPr>
          <w:spacing w:val="-2"/>
        </w:rPr>
        <w:t>风控、产品、技术、运营等相关岗位，真正了解海外市场，拓展海外商户，也成为搭建国内外企业间桥梁的重要条件，这也</w:t>
      </w:r>
      <w:r>
        <w:rPr>
          <w:spacing w:val="-72"/>
        </w:rPr>
        <w:t> </w:t>
      </w:r>
      <w:r>
        <w:rPr>
          <w:spacing w:val="-72"/>
        </w:rPr>
      </w:r>
      <w:r>
        <w:rPr>
          <w:spacing w:val="-1"/>
        </w:rPr>
        <w:t>成为公司海外国际业务的核心竞争力之一。</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3"/>
        </w:rPr>
        <w:t> </w:t>
      </w:r>
      <w:r>
        <w:rPr>
          <w:spacing w:val="-1"/>
        </w:rPr>
        <w:t>年，公司国际业务将聚焦跨境结汇产品，为海内外企业提供跨境支付服务、</w:t>
      </w:r>
      <w:r>
        <w:rPr>
          <w:spacing w:val="-87"/>
        </w:rPr>
        <w:t> </w:t>
      </w:r>
      <w:r>
        <w:rPr>
          <w:spacing w:val="-87"/>
        </w:rPr>
      </w:r>
      <w:r>
        <w:rPr>
          <w:spacing w:val="-2"/>
        </w:rPr>
        <w:t>跨境金融服务等跨境综合解决方案，扩大销售规模，通过参加国内外知名展会、联合跨境电商产业上下游企业共同进行业务</w:t>
      </w:r>
      <w:r>
        <w:rPr>
          <w:spacing w:val="-66"/>
        </w:rPr>
        <w:t> </w:t>
      </w:r>
      <w:r>
        <w:rPr>
          <w:spacing w:val="-66"/>
        </w:rPr>
      </w:r>
      <w:r>
        <w:rPr>
          <w:spacing w:val="-2"/>
        </w:rPr>
        <w:t>宣传，线上线下共同发力，提升品牌影响力和收益率。未来，联动优势跨境支付产品将持续完善现有的跨境收银台产品，升</w:t>
      </w:r>
      <w:r>
        <w:rPr>
          <w:spacing w:val="-66"/>
        </w:rPr>
        <w:t> </w:t>
      </w:r>
      <w:r>
        <w:rPr>
          <w:spacing w:val="-66"/>
        </w:rPr>
      </w:r>
      <w:r>
        <w:rPr>
          <w:spacing w:val="-2"/>
        </w:rPr>
        <w:t>级现有收结汇产品，瞄准出口电商结汇市场，在以支付为核心业务的同时，大力发展以支付为基础的金融衍生服务，如跨境</w:t>
      </w:r>
      <w:r>
        <w:rPr>
          <w:spacing w:val="-65"/>
        </w:rPr>
        <w:t> </w:t>
      </w:r>
      <w:r>
        <w:rPr>
          <w:spacing w:val="-65"/>
        </w:rPr>
      </w:r>
      <w:r>
        <w:rPr/>
        <w:t>供应链金融等其他增值服务，为新兴的跨境电商小额、高频业务提供综合解决方案，输出技术平台服务</w:t>
      </w:r>
      <w:r>
        <w:rPr>
          <w:rFonts w:ascii="Times New Roman" w:hAnsi="Times New Roman" w:cs="Times New Roman" w:eastAsia="Times New Roman" w:hint="default"/>
        </w:rPr>
        <w:t>+</w:t>
      </w:r>
      <w:r>
        <w:rPr/>
        <w:t>金融服务。另外， </w:t>
      </w:r>
      <w:r>
        <w:rPr>
          <w:spacing w:val="-2"/>
        </w:rPr>
        <w:t>在具体行业服务方面，公司还将向客户提供行业场景化的支付综合解决方案，同时和服务商户所在行业产业链条的上下游服</w:t>
      </w:r>
      <w:r>
        <w:rPr>
          <w:spacing w:val="-64"/>
        </w:rPr>
        <w:t> </w:t>
      </w:r>
      <w:r>
        <w:rPr>
          <w:spacing w:val="-64"/>
        </w:rPr>
      </w:r>
      <w:r>
        <w:rPr/>
        <w:t>务商深度耦合，提供场景综合支付服务解决方案。</w:t>
      </w:r>
    </w:p>
    <w:p>
      <w:pPr>
        <w:pStyle w:val="BodyText"/>
        <w:spacing w:line="307" w:lineRule="auto" w:before="59"/>
        <w:ind w:right="1132" w:firstLine="361"/>
        <w:jc w:val="both"/>
      </w:pPr>
      <w:r>
        <w:rPr>
          <w:rFonts w:ascii="Times New Roman" w:hAnsi="Times New Roman" w:cs="Times New Roman" w:eastAsia="Times New Roman" w:hint="default"/>
          <w:b/>
          <w:bCs/>
          <w:w w:val="95"/>
        </w:rPr>
        <w:t>5</w:t>
      </w:r>
      <w:r>
        <w:rPr>
          <w:rFonts w:ascii="宋体" w:hAnsi="宋体" w:cs="宋体" w:eastAsia="宋体" w:hint="default"/>
          <w:b/>
          <w:bCs/>
          <w:w w:val="95"/>
        </w:rPr>
        <w:t>、布局金融生态体系，实现双主业协同发展：</w:t>
      </w:r>
      <w:r>
        <w:rPr>
          <w:w w:val="95"/>
        </w:rPr>
        <w:t>未来，公司将继续通过并购、投资、合作及获取牌照等方式，力争在基</w:t>
      </w:r>
      <w:r>
        <w:rPr>
          <w:spacing w:val="4"/>
          <w:w w:val="95"/>
        </w:rPr>
        <w:t> </w:t>
      </w:r>
      <w:r>
        <w:rPr>
          <w:spacing w:val="4"/>
          <w:w w:val="95"/>
        </w:rPr>
      </w:r>
      <w:r>
        <w:rPr/>
        <w:t>金、保险、消费金融、互联网小贷、区块链等领域布局联动金融生态体系。</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年，公司将顺应金融科技与汽车产业的融 </w:t>
      </w:r>
      <w:r>
        <w:rPr>
          <w:spacing w:val="-2"/>
        </w:rPr>
        <w:t>合发展形势，积极推进智能汽车制造及周边产业的金融科技服务，构建区块链、大数据、云服务、第三方支付等技术的工业</w:t>
      </w:r>
      <w:r>
        <w:rPr>
          <w:spacing w:val="-66"/>
        </w:rPr>
        <w:t> </w:t>
      </w:r>
      <w:r>
        <w:rPr>
          <w:spacing w:val="-66"/>
        </w:rPr>
      </w:r>
      <w:r>
        <w:rPr/>
        <w:t>互联网产业模式，实现双主业协同发展。</w:t>
      </w:r>
    </w:p>
    <w:p>
      <w:pPr>
        <w:pStyle w:val="BodyText"/>
        <w:spacing w:line="302" w:lineRule="auto" w:before="65"/>
        <w:ind w:left="154" w:right="1132" w:firstLine="361"/>
        <w:jc w:val="both"/>
      </w:pPr>
      <w:r>
        <w:rPr>
          <w:rFonts w:ascii="Times New Roman" w:hAnsi="Times New Roman" w:cs="Times New Roman" w:eastAsia="Times New Roman" w:hint="default"/>
          <w:b/>
          <w:bCs/>
          <w:spacing w:val="-2"/>
        </w:rPr>
        <w:t>6</w:t>
      </w:r>
      <w:r>
        <w:rPr>
          <w:rFonts w:ascii="宋体" w:hAnsi="宋体" w:cs="宋体" w:eastAsia="宋体" w:hint="default"/>
          <w:b/>
          <w:bCs/>
          <w:spacing w:val="-2"/>
        </w:rPr>
        <w:t>、募投项目建设：</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spacing w:val="-1"/>
        </w:rPr>
        <w:t>年，公司将按照调整后的募投项目计划做好募集资金使用与管理，严格按照募投项目计划推进</w:t>
      </w:r>
      <w:r>
        <w:rPr/>
        <w:t> 各项募投项目建设，以期早日达成募投项目建设目标。</w:t>
      </w:r>
    </w:p>
    <w:p>
      <w:pPr>
        <w:pStyle w:val="BodyText"/>
        <w:spacing w:line="302" w:lineRule="auto" w:before="68"/>
        <w:ind w:left="154" w:right="1132" w:firstLine="361"/>
        <w:jc w:val="both"/>
      </w:pPr>
      <w:r>
        <w:rPr>
          <w:rFonts w:ascii="Times New Roman" w:hAnsi="Times New Roman" w:cs="Times New Roman" w:eastAsia="Times New Roman" w:hint="default"/>
          <w:b/>
          <w:bCs/>
          <w:spacing w:val="-1"/>
        </w:rPr>
        <w:t>7</w:t>
      </w:r>
      <w:r>
        <w:rPr>
          <w:rFonts w:ascii="宋体" w:hAnsi="宋体" w:cs="宋体" w:eastAsia="宋体" w:hint="default"/>
          <w:b/>
          <w:bCs/>
          <w:spacing w:val="-1"/>
        </w:rPr>
        <w:t>、继续深化乘用车配件产业发展：</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
        </w:rPr>
        <w:t> </w:t>
      </w:r>
      <w:r>
        <w:rPr>
          <w:spacing w:val="-1"/>
        </w:rPr>
        <w:t>年，公司将在原有各大重点优质客户的基础上，进一步创新经营模式，深化产</w:t>
      </w:r>
      <w:r>
        <w:rPr/>
        <w:t> 品研发，充分发挥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年精心布局的智能制造工厂能量，以更大的优势开拓国内外知名汽车厂商。</w:t>
      </w:r>
    </w:p>
    <w:p>
      <w:pPr>
        <w:pStyle w:val="BodyText"/>
        <w:spacing w:line="309" w:lineRule="auto" w:before="49"/>
        <w:ind w:left="154" w:right="1130" w:firstLine="361"/>
        <w:jc w:val="both"/>
      </w:pPr>
      <w:r>
        <w:rPr>
          <w:rFonts w:ascii="Times New Roman" w:hAnsi="Times New Roman" w:cs="Times New Roman" w:eastAsia="Times New Roman" w:hint="default"/>
          <w:b/>
          <w:bCs/>
          <w:spacing w:val="-1"/>
        </w:rPr>
        <w:t>8</w:t>
      </w:r>
      <w:r>
        <w:rPr>
          <w:rFonts w:ascii="宋体" w:hAnsi="宋体" w:cs="宋体" w:eastAsia="宋体" w:hint="default"/>
          <w:b/>
          <w:bCs/>
          <w:spacing w:val="-1"/>
        </w:rPr>
        <w:t>、持续优化原有产品结构，提升产品竞争力：</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
        </w:rPr>
        <w:t> </w:t>
      </w:r>
      <w:r>
        <w:rPr>
          <w:spacing w:val="-1"/>
        </w:rPr>
        <w:t>年，公司仍将继续聚焦技术含量高、产品附加值高的汽车及汽车总</w:t>
      </w:r>
      <w:r>
        <w:rPr/>
        <w:t> </w:t>
      </w:r>
      <w:r>
        <w:rPr>
          <w:spacing w:val="-2"/>
        </w:rPr>
        <w:t>成业务，巩固现有技术含量高、附加值高的业务，淘汰技术含量低、附加值低的业务，同时加大对轻量化汽车的研发、生产</w:t>
      </w:r>
      <w:r>
        <w:rPr>
          <w:spacing w:val="-68"/>
        </w:rPr>
        <w:t> </w:t>
      </w:r>
      <w:r>
        <w:rPr>
          <w:spacing w:val="-68"/>
        </w:rPr>
      </w:r>
      <w:r>
        <w:rPr/>
        <w:t>及销售力度，进一步优化产品结构，提高市场份额，提升产品盈利能力和竞争力。</w:t>
      </w:r>
    </w:p>
    <w:p>
      <w:pPr>
        <w:pStyle w:val="BodyText"/>
        <w:spacing w:line="314" w:lineRule="auto" w:before="64"/>
        <w:ind w:left="154" w:right="1130" w:firstLine="361"/>
        <w:jc w:val="both"/>
      </w:pPr>
      <w:r>
        <w:rPr>
          <w:rFonts w:ascii="Times New Roman" w:hAnsi="Times New Roman" w:cs="Times New Roman" w:eastAsia="Times New Roman" w:hint="default"/>
          <w:b/>
          <w:bCs/>
          <w:spacing w:val="-1"/>
        </w:rPr>
        <w:t>9</w:t>
      </w:r>
      <w:r>
        <w:rPr>
          <w:rFonts w:ascii="宋体" w:hAnsi="宋体" w:cs="宋体" w:eastAsia="宋体" w:hint="default"/>
          <w:b/>
          <w:bCs/>
          <w:spacing w:val="-1"/>
        </w:rPr>
        <w:t>、继续加强内部控制建设，提升公司抗风险能力：</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
        </w:rPr>
        <w:t> </w:t>
      </w:r>
      <w:r>
        <w:rPr>
          <w:spacing w:val="-1"/>
        </w:rPr>
        <w:t>年，公司继续按照上市公司内部控制的要求，由公司内控审计</w:t>
      </w:r>
      <w:r>
        <w:rPr/>
        <w:t> </w:t>
      </w:r>
      <w:r>
        <w:rPr>
          <w:spacing w:val="-2"/>
        </w:rPr>
        <w:t>部门牵头，优化更加适合公司管理模式的内部控制体系，不断完善公司内部风险管控制度；推进全员内部控制培训工作的持</w:t>
      </w:r>
      <w:r>
        <w:rPr>
          <w:spacing w:val="-66"/>
        </w:rPr>
        <w:t> </w:t>
      </w:r>
      <w:r>
        <w:rPr>
          <w:spacing w:val="-66"/>
        </w:rPr>
      </w:r>
      <w:r>
        <w:rPr>
          <w:spacing w:val="-2"/>
        </w:rPr>
        <w:t>续开展，以达到公司相关部门和人员做到学习、吸收、学以致用、防范风险的目的。业务部门作为风险的发生部门，要通过</w:t>
      </w:r>
      <w:r>
        <w:rPr>
          <w:spacing w:val="-67"/>
        </w:rPr>
        <w:t> </w:t>
      </w:r>
      <w:r>
        <w:rPr>
          <w:spacing w:val="-67"/>
        </w:rPr>
      </w:r>
      <w:r>
        <w:rPr>
          <w:spacing w:val="-2"/>
        </w:rPr>
        <w:t>学习、培训提升全员风险意识；法务部门作为风险管控部门，将风险防范放在首位，同时通过对业务的审核全力做好公司风</w:t>
      </w:r>
      <w:r>
        <w:rPr>
          <w:spacing w:val="-66"/>
        </w:rPr>
        <w:t> </w:t>
      </w:r>
      <w:r>
        <w:rPr>
          <w:spacing w:val="-66"/>
        </w:rPr>
      </w:r>
      <w:r>
        <w:rPr>
          <w:spacing w:val="-2"/>
        </w:rPr>
        <w:t>险管控的预防工作；公司财务部门作为风险管控的闸口部门，要根据内控制度对公司发生的每一笔业务做好风险控制的把关</w:t>
      </w:r>
      <w:r>
        <w:rPr>
          <w:spacing w:val="-64"/>
        </w:rPr>
        <w:t> </w:t>
      </w:r>
      <w:r>
        <w:rPr>
          <w:spacing w:val="-64"/>
        </w:rPr>
      </w:r>
      <w:r>
        <w:rPr>
          <w:spacing w:val="-2"/>
        </w:rPr>
        <w:t>工作。通过以上各环节的衔接以及公司全体员工的共同努力，将公司的各类风险控制在最小损失范围内，提升公司整体抗风</w:t>
      </w:r>
      <w:r>
        <w:rPr>
          <w:spacing w:val="-66"/>
        </w:rPr>
        <w:t> </w:t>
      </w:r>
      <w:r>
        <w:rPr>
          <w:spacing w:val="-66"/>
        </w:rPr>
      </w:r>
      <w:r>
        <w:rPr/>
        <w:t>险能力。</w:t>
      </w:r>
    </w:p>
    <w:p>
      <w:pPr>
        <w:pStyle w:val="BodyText"/>
        <w:spacing w:line="309" w:lineRule="auto" w:before="59"/>
        <w:ind w:left="154" w:right="1130" w:firstLine="361"/>
        <w:jc w:val="both"/>
      </w:pPr>
      <w:r>
        <w:rPr>
          <w:rFonts w:ascii="Times New Roman" w:hAnsi="Times New Roman" w:cs="Times New Roman" w:eastAsia="Times New Roman" w:hint="default"/>
          <w:b/>
          <w:bCs/>
        </w:rPr>
        <w:t>10</w:t>
      </w:r>
      <w:r>
        <w:rPr>
          <w:rFonts w:ascii="宋体" w:hAnsi="宋体" w:cs="宋体" w:eastAsia="宋体" w:hint="default"/>
          <w:b/>
          <w:bCs/>
        </w:rPr>
        <w:t>、积极布局智能化工厂，创新经营管理：</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年，公司一方面继续推进智能化工厂的建设，引进全自动生产线，打 </w:t>
      </w:r>
      <w:r>
        <w:rPr>
          <w:spacing w:val="-2"/>
        </w:rPr>
        <w:t>造智能化生产制造，以降低人工成本，提高生产效率；另一方面，在现有管理基础上创新经营管理，实现产出最大化，提高</w:t>
      </w:r>
      <w:r>
        <w:rPr>
          <w:spacing w:val="-68"/>
        </w:rPr>
        <w:t> </w:t>
      </w:r>
      <w:r>
        <w:rPr>
          <w:spacing w:val="-68"/>
        </w:rPr>
      </w:r>
      <w:r>
        <w:rPr/>
        <w:t>业绩回报率，提升企业核心竞争力。</w:t>
      </w:r>
    </w:p>
    <w:p>
      <w:pPr>
        <w:spacing w:before="62"/>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11</w:t>
      </w:r>
      <w:r>
        <w:rPr>
          <w:rFonts w:ascii="宋体" w:hAnsi="宋体" w:cs="宋体" w:eastAsia="宋体" w:hint="default"/>
          <w:b/>
          <w:bCs/>
          <w:sz w:val="18"/>
          <w:szCs w:val="18"/>
        </w:rPr>
        <w:t>、实行全员绩效计划，充分调动各级人员积极性：</w:t>
      </w:r>
      <w:r>
        <w:rPr>
          <w:rFonts w:ascii="宋体" w:hAnsi="宋体" w:cs="宋体" w:eastAsia="宋体" w:hint="default"/>
          <w:sz w:val="18"/>
          <w:szCs w:val="18"/>
        </w:rPr>
        <w:t>企业发展的核心在于人，而挖掘人的积极性在于机制。公司将在</w:t>
      </w:r>
    </w:p>
    <w:p>
      <w:pPr>
        <w:pStyle w:val="BodyText"/>
        <w:spacing w:line="302" w:lineRule="auto" w:before="63"/>
        <w:ind w:left="154" w:right="116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年进一步完善适合不同产业及不同部门的绩效考核制度，对各产业、各级人员的薪酬、激励采用差异化的激励方案， 持续优化激励机制，完善薪资管控流程和考核办法，为公司稳定、持续发展积累人才资源。</w:t>
      </w:r>
    </w:p>
    <w:p>
      <w:pPr>
        <w:pStyle w:val="BodyText"/>
        <w:spacing w:line="312" w:lineRule="auto" w:before="69"/>
        <w:ind w:left="154" w:right="1031" w:firstLine="361"/>
        <w:jc w:val="left"/>
      </w:pPr>
      <w:r>
        <w:rPr>
          <w:rFonts w:ascii="Times New Roman" w:hAnsi="Times New Roman" w:cs="Times New Roman" w:eastAsia="Times New Roman" w:hint="default"/>
          <w:b/>
          <w:bCs/>
          <w:spacing w:val="-1"/>
        </w:rPr>
        <w:t>12</w:t>
      </w:r>
      <w:r>
        <w:rPr>
          <w:rFonts w:ascii="宋体" w:hAnsi="宋体" w:cs="宋体" w:eastAsia="宋体" w:hint="default"/>
          <w:b/>
          <w:bCs/>
          <w:spacing w:val="-1"/>
        </w:rPr>
        <w:t>、开展全方位的资金运营，实现产出最大化：</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4"/>
        </w:rPr>
        <w:t> </w:t>
      </w:r>
      <w:r>
        <w:rPr>
          <w:spacing w:val="-1"/>
        </w:rPr>
        <w:t>年，公司将根据董事会制定的发展战略规划，结合业务发展需要，</w:t>
      </w:r>
      <w:r>
        <w:rPr/>
        <w:t> </w:t>
      </w:r>
      <w:r>
        <w:rPr>
          <w:spacing w:val="-2"/>
        </w:rPr>
        <w:t>在考虑资金成本、资本结构的前提下，做好资金预算，合理配置资金资源，通过事前筹划减少资金沉淀；通过采取多种融资</w:t>
      </w:r>
      <w:r>
        <w:rPr>
          <w:spacing w:val="-66"/>
        </w:rPr>
        <w:t> </w:t>
      </w:r>
      <w:r>
        <w:rPr>
          <w:spacing w:val="-66"/>
        </w:rPr>
      </w:r>
      <w:r>
        <w:rPr>
          <w:spacing w:val="-2"/>
        </w:rPr>
        <w:t>方式筹集资金，降低资金成本，提高资金运用效率，力争实现资金投入产出效益最大化，推进公司业务健康、持续、稳健发</w:t>
      </w:r>
      <w:r>
        <w:rPr>
          <w:spacing w:val="-68"/>
        </w:rPr>
        <w:t> </w:t>
      </w:r>
      <w:r>
        <w:rPr>
          <w:spacing w:val="-68"/>
        </w:rPr>
      </w:r>
      <w:r>
        <w:rPr/>
        <w:t>展。</w:t>
      </w:r>
    </w:p>
    <w:p>
      <w:pPr>
        <w:spacing w:line="240" w:lineRule="auto" w:before="11"/>
        <w:rPr>
          <w:rFonts w:ascii="宋体" w:hAnsi="宋体" w:cs="宋体" w:eastAsia="宋体" w:hint="default"/>
          <w:sz w:val="20"/>
          <w:szCs w:val="20"/>
        </w:rPr>
      </w:pPr>
    </w:p>
    <w:p>
      <w:pPr>
        <w:pStyle w:val="Heading2"/>
        <w:spacing w:line="240" w:lineRule="auto"/>
        <w:ind w:left="154"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3"/>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）简要介绍联动优势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年产品技术 大会情况；</w:t>
            </w:r>
            <w:r>
              <w:rPr>
                <w:rFonts w:ascii="Times New Roman" w:hAnsi="Times New Roman" w:cs="Times New Roman" w:eastAsia="Times New Roman" w:hint="default"/>
                <w:sz w:val="18"/>
                <w:szCs w:val="18"/>
              </w:rPr>
              <w:t>2</w:t>
            </w:r>
            <w:r>
              <w:rPr>
                <w:rFonts w:ascii="宋体" w:hAnsi="宋体" w:cs="宋体" w:eastAsia="宋体" w:hint="default"/>
                <w:sz w:val="18"/>
                <w:szCs w:val="18"/>
              </w:rPr>
              <w:t>）联动优势与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FICO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达成 </w:t>
            </w:r>
            <w:r>
              <w:rPr>
                <w:rFonts w:ascii="宋体" w:hAnsi="宋体" w:cs="宋体" w:eastAsia="宋体" w:hint="default"/>
                <w:spacing w:val="-6"/>
                <w:sz w:val="18"/>
                <w:szCs w:val="18"/>
              </w:rPr>
              <w:t>战略合作；</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年三季度，公</w:t>
            </w:r>
            <w:r>
              <w:rPr>
                <w:rFonts w:ascii="宋体" w:hAnsi="宋体" w:cs="宋体" w:eastAsia="宋体" w:hint="default"/>
                <w:sz w:val="18"/>
                <w:szCs w:val="18"/>
              </w:rPr>
              <w:t> 司金融科技板块业务介绍。</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763"/>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0"/>
        <w:jc w:val="left"/>
      </w:pPr>
      <w:r>
        <w:rPr/>
        <w:t>本公司严格按照公司《章程》和《未来分红回报规划（</w:t>
      </w:r>
      <w:r>
        <w:rPr>
          <w:rFonts w:ascii="Times New Roman" w:hAnsi="Times New Roman" w:cs="Times New Roman" w:eastAsia="Times New Roman" w:hint="default"/>
        </w:rPr>
        <w:t>2016-2018</w:t>
      </w:r>
      <w:r>
        <w:rPr/>
        <w:t>年）》的相关要求进行利润分配。</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4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6"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20"/>
              <w:jc w:val="both"/>
              <w:rPr>
                <w:rFonts w:ascii="宋体" w:hAnsi="宋体" w:cs="宋体" w:eastAsia="宋体" w:hint="default"/>
                <w:sz w:val="18"/>
                <w:szCs w:val="18"/>
              </w:rPr>
            </w:pPr>
            <w:r>
              <w:rPr>
                <w:rFonts w:ascii="宋体" w:hAnsi="宋体" w:cs="宋体" w:eastAsia="宋体" w:hint="default"/>
                <w:sz w:val="18"/>
                <w:szCs w:val="18"/>
              </w:rPr>
              <w:t>公司制定的《未来分红回报规划（</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年）》已经公司</w:t>
            </w:r>
            <w:r>
              <w:rPr>
                <w:rFonts w:ascii="宋体" w:hAnsi="宋体" w:cs="宋体" w:eastAsia="宋体" w:hint="default"/>
                <w:sz w:val="18"/>
                <w:szCs w:val="18"/>
              </w:rPr>
              <w:t> 第三届董事会第四次会议审议并经公司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年第一次临时股 东大会审议批准并生效。</w:t>
            </w:r>
          </w:p>
        </w:tc>
      </w:tr>
      <w:tr>
        <w:trPr>
          <w:trHeight w:val="703" w:hRule="exact"/>
        </w:trPr>
        <w:tc>
          <w:tcPr>
            <w:tcW w:w="4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vMerge/>
            <w:tcBorders>
              <w:left w:val="single" w:sz="9" w:space="0" w:color="D2D2D2"/>
              <w:right w:val="single" w:sz="4" w:space="0" w:color="000000"/>
            </w:tcBorders>
          </w:tcPr>
          <w:p>
            <w:pPr/>
          </w:p>
        </w:tc>
      </w:tr>
      <w:tr>
        <w:trPr>
          <w:trHeight w:val="162" w:hRule="exact"/>
        </w:trPr>
        <w:tc>
          <w:tcPr>
            <w:tcW w:w="4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4796" w:type="dxa"/>
            <w:vMerge/>
            <w:tcBorders>
              <w:left w:val="single" w:sz="9" w:space="0" w:color="D2D2D2"/>
              <w:bottom w:val="single" w:sz="4" w:space="0" w:color="000000"/>
              <w:right w:val="single" w:sz="4" w:space="0" w:color="000000"/>
            </w:tcBorders>
          </w:tcPr>
          <w:p>
            <w:pP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2" w:lineRule="auto" w:before="101"/>
        <w:ind w:right="0"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年度，公司拟以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1251,350,095</w:t>
      </w:r>
      <w:r>
        <w:rPr>
          <w:spacing w:val="-2"/>
        </w:rPr>
        <w:t>股扣除本预案作出之日公司回购专户</w:t>
      </w:r>
      <w:r>
        <w:rPr>
          <w:rFonts w:ascii="Times New Roman" w:hAnsi="Times New Roman" w:cs="Times New Roman" w:eastAsia="Times New Roman" w:hint="default"/>
          <w:spacing w:val="-2"/>
        </w:rPr>
        <w:t>4,179,700</w:t>
      </w:r>
      <w:r>
        <w:rPr>
          <w:spacing w:val="-2"/>
        </w:rPr>
        <w:t>股股份</w:t>
      </w:r>
      <w:r>
        <w:rPr/>
        <w:t> </w:t>
      </w:r>
      <w:r>
        <w:rPr>
          <w:spacing w:val="-2"/>
        </w:rPr>
        <w:t>后的</w:t>
      </w:r>
      <w:r>
        <w:rPr>
          <w:rFonts w:ascii="Times New Roman" w:hAnsi="Times New Roman" w:cs="Times New Roman" w:eastAsia="Times New Roman" w:hint="default"/>
          <w:spacing w:val="-2"/>
        </w:rPr>
        <w:t>1,247,170,395</w:t>
      </w:r>
      <w:r>
        <w:rPr>
          <w:spacing w:val="-2"/>
        </w:rPr>
        <w:t>股为基数，以未分配利润向全体股东每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0.50</w:t>
      </w:r>
      <w:r>
        <w:rPr>
          <w:spacing w:val="-2"/>
        </w:rPr>
        <w:t>元（含税）。</w:t>
      </w:r>
    </w:p>
    <w:p>
      <w:pPr>
        <w:pStyle w:val="BodyText"/>
        <w:spacing w:line="302" w:lineRule="auto" w:before="50"/>
        <w:ind w:left="154" w:right="1123"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年度，公司以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568,795,498</w:t>
      </w:r>
      <w:r>
        <w:rPr>
          <w:spacing w:val="-2"/>
        </w:rPr>
        <w:t>股为基数，以未分配利润向全体股东每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0.50</w:t>
      </w:r>
      <w:r>
        <w:rPr>
          <w:rFonts w:ascii="Times New Roman" w:hAnsi="Times New Roman" w:cs="Times New Roman" w:eastAsia="Times New Roman" w:hint="default"/>
        </w:rPr>
        <w:t> </w:t>
      </w:r>
      <w:r>
        <w:rPr>
          <w:spacing w:val="-3"/>
        </w:rPr>
        <w:t>元（含税），同时以股本溢价形成的资本公积向全体股东每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12</w:t>
      </w:r>
      <w:r>
        <w:rPr>
          <w:spacing w:val="-3"/>
        </w:rPr>
        <w:t>股。</w:t>
      </w:r>
    </w:p>
    <w:p>
      <w:pPr>
        <w:pStyle w:val="BodyText"/>
        <w:spacing w:line="338" w:lineRule="auto" w:before="50"/>
        <w:ind w:right="2923"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年度，公司未进行现金分红，也未进行资本公积转增股本，未分配利润结转下年度。 公司近三年（包括本报告期）普通股现金分红情况表</w:t>
      </w:r>
    </w:p>
    <w:p>
      <w:pPr>
        <w:pStyle w:val="BodyText"/>
        <w:spacing w:line="240" w:lineRule="auto" w:before="4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808"/>
        <w:gridCol w:w="1736"/>
        <w:gridCol w:w="1451"/>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7" w:right="88"/>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808" w:type="dxa"/>
            <w:vMerge/>
            <w:tcBorders>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69" w:right="8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1" w:type="dxa"/>
            <w:vMerge/>
            <w:tcBorders>
              <w:left w:val="single" w:sz="4" w:space="0" w:color="000000"/>
              <w:right w:val="single" w:sz="4" w:space="0" w:color="000000"/>
            </w:tcBorders>
            <w:shd w:val="clear" w:color="auto" w:fill="D2D2D2"/>
          </w:tcPr>
          <w:p>
            <w:pPr/>
          </w:p>
        </w:tc>
        <w:tc>
          <w:tcPr>
            <w:tcW w:w="1808" w:type="dxa"/>
            <w:vMerge/>
            <w:tcBorders>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808" w:type="dxa"/>
            <w:vMerge/>
            <w:tcBorders>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8" w:type="dxa"/>
            <w:vMerge/>
            <w:tcBorders>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62,358,519.75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413,945,815.86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28,439,774.90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232,922,577.80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73,177,703.67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1,247,170,395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62,358,519.75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330,788,769.32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18.85%</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1251,350,095 </w:t>
            </w:r>
            <w:r>
              <w:rPr>
                <w:rFonts w:ascii="宋体" w:hAnsi="宋体" w:cs="宋体" w:eastAsia="宋体" w:hint="default"/>
                <w:sz w:val="18"/>
                <w:szCs w:val="18"/>
              </w:rPr>
              <w:t>股扣除本预案作出之日公司回购专户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股股份后的</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1,247,17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,395 </w:t>
            </w:r>
            <w:r>
              <w:rPr>
                <w:rFonts w:ascii="宋体" w:hAnsi="宋体" w:cs="宋体" w:eastAsia="宋体" w:hint="default"/>
                <w:sz w:val="18"/>
                <w:szCs w:val="18"/>
              </w:rPr>
              <w:t>股为基数，以未分配利润向全体股东每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中国移动、银</w:t>
            </w:r>
            <w:r>
              <w:rPr>
                <w:rFonts w:ascii="宋体" w:hAnsi="宋体" w:cs="宋体" w:eastAsia="宋体" w:hint="default"/>
                <w:sz w:val="18"/>
                <w:szCs w:val="18"/>
              </w:rPr>
              <w:t> 联商务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关于股份锁 定期的承诺 函</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因本次交易取 得的海立美达 的股份，自股 份上市之日起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64"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关于股份锁 定期的承诺 函</w:t>
            </w:r>
          </w:p>
        </w:tc>
        <w:tc>
          <w:tcPr>
            <w:tcW w:w="1151"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、因本次交易</w:t>
            </w:r>
            <w:r>
              <w:rPr>
                <w:rFonts w:ascii="宋体" w:hAnsi="宋体" w:cs="宋体" w:eastAsia="宋体" w:hint="default"/>
                <w:sz w:val="18"/>
                <w:szCs w:val="18"/>
              </w:rPr>
              <w:t> 取得的海立美 达的股份，自 股份上市之日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w:t>
            </w:r>
            <w:r>
              <w:rPr>
                <w:rFonts w:ascii="宋体" w:hAnsi="宋体" w:cs="宋体" w:eastAsia="宋体" w:hint="default"/>
                <w:spacing w:val="-17"/>
                <w:sz w:val="18"/>
                <w:szCs w:val="18"/>
              </w:rPr>
              <w:t>不转让。</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、根</w:t>
            </w:r>
            <w:r>
              <w:rPr>
                <w:rFonts w:ascii="宋体" w:hAnsi="宋体" w:cs="宋体" w:eastAsia="宋体" w:hint="default"/>
                <w:spacing w:val="-88"/>
                <w:sz w:val="18"/>
                <w:szCs w:val="18"/>
              </w:rPr>
              <w:t> </w:t>
            </w:r>
            <w:r>
              <w:rPr>
                <w:rFonts w:ascii="宋体" w:hAnsi="宋体" w:cs="宋体" w:eastAsia="宋体" w:hint="default"/>
                <w:sz w:val="18"/>
                <w:szCs w:val="18"/>
              </w:rPr>
              <w:t>据《业绩补偿</w:t>
            </w:r>
            <w:r>
              <w:rPr>
                <w:rFonts w:ascii="宋体" w:hAnsi="宋体" w:cs="宋体" w:eastAsia="宋体" w:hint="default"/>
                <w:sz w:val="18"/>
                <w:szCs w:val="18"/>
              </w:rPr>
              <w:t> </w:t>
            </w:r>
            <w:r>
              <w:rPr>
                <w:rFonts w:ascii="宋体" w:hAnsi="宋体" w:cs="宋体" w:eastAsia="宋体" w:hint="default"/>
                <w:spacing w:val="-24"/>
                <w:sz w:val="18"/>
                <w:szCs w:val="18"/>
              </w:rPr>
              <w:t>协议》，为保障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业绩补偿承诺 的履行，自股 份上市之日起</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1102"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52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859985pt;margin-top:184.219986pt;width:54.65pt;height:234pt;mso-position-horizontal-relative:page;mso-position-vertical-relative:page;z-index:-1394848" coordorigin="7377,3684" coordsize="1093,4680">
            <v:shape style="position:absolute;left:7377;top:3684;width:1093;height:4680" coordorigin="7377,3684" coordsize="1093,4680" path="m7377,8364l8470,8364,8470,3684,7377,3684,7377,83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10"/>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个月后，将</w:t>
            </w:r>
            <w:r>
              <w:rPr>
                <w:rFonts w:ascii="宋体" w:hAnsi="宋体" w:cs="宋体" w:eastAsia="宋体" w:hint="default"/>
                <w:sz w:val="18"/>
                <w:szCs w:val="18"/>
              </w:rPr>
              <w:t> 根据业绩承诺 完成情况承诺 相应数量的股 份在业绩承诺 完成前不转 让。</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、本公司目前</w:t>
            </w:r>
            <w:r>
              <w:rPr>
                <w:rFonts w:ascii="宋体" w:hAnsi="宋体" w:cs="宋体" w:eastAsia="宋体" w:hint="default"/>
                <w:sz w:val="18"/>
                <w:szCs w:val="18"/>
              </w:rPr>
              <w:t> 运营的达拉苏 通信账户计费 服务平台将于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29</w:t>
            </w:r>
          </w:p>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日前终止全部 为第三方提供 通信账户计费 服务业务。</w:t>
            </w:r>
            <w:r>
              <w:rPr>
                <w:rFonts w:ascii="Times New Roman" w:hAnsi="Times New Roman" w:cs="Times New Roman" w:eastAsia="Times New Roman" w:hint="default"/>
                <w:sz w:val="18"/>
                <w:szCs w:val="18"/>
              </w:rPr>
              <w:t>2 </w:t>
            </w:r>
            <w:r>
              <w:rPr>
                <w:rFonts w:ascii="宋体" w:hAnsi="宋体" w:cs="宋体" w:eastAsia="宋体" w:hint="default"/>
                <w:sz w:val="18"/>
                <w:szCs w:val="18"/>
              </w:rPr>
              <w:t>本公司在作为 海立美达的股 东期间，除为 本公司自有产 品提供通信账 户计费服务 外，本公司及 本公司控制的 其他企业将不 直接或间接从 事任何与海立 美达及其下属 控股企业相同 或相似且构成 或可能构成竞 争关系的业 </w:t>
            </w:r>
            <w:r>
              <w:rPr>
                <w:rFonts w:ascii="宋体" w:hAnsi="宋体" w:cs="宋体" w:eastAsia="宋体" w:hint="default"/>
                <w:spacing w:val="-12"/>
                <w:sz w:val="18"/>
                <w:szCs w:val="18"/>
              </w:rPr>
              <w:t>务。</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、本公司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若违反上述承 诺，将承担因 此而给海立美 达及其下属控 股企业造成的 一切损失。</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银联商务、博</w:t>
            </w:r>
            <w:r>
              <w:rPr>
                <w:rFonts w:ascii="宋体" w:hAnsi="宋体" w:cs="宋体" w:eastAsia="宋体" w:hint="default"/>
                <w:sz w:val="18"/>
                <w:szCs w:val="18"/>
              </w:rPr>
              <w:t> 升优势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规范关联交 易的承诺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、本次交易完</w:t>
            </w:r>
            <w:r>
              <w:rPr>
                <w:rFonts w:ascii="宋体" w:hAnsi="宋体" w:cs="宋体" w:eastAsia="宋体" w:hint="default"/>
                <w:sz w:val="18"/>
                <w:szCs w:val="18"/>
              </w:rPr>
              <w:t> 成后，本公司 及本公司控制 的企业将尽量 减少并规范与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859985pt;margin-top:647.440002pt;width:54.65pt;height:116pt;mso-position-horizontal-relative:page;mso-position-vertical-relative:page;z-index:-1394824" coordorigin="7377,12949" coordsize="1093,2320">
            <v:shape style="position:absolute;left:7377;top:12949;width:1093;height:2320" coordorigin="7377,12949" coordsize="1093,2320" path="m7377,15269l8470,15269,8470,12949,7377,12949,7377,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6"/>
              <w:jc w:val="left"/>
              <w:rPr>
                <w:rFonts w:ascii="宋体" w:hAnsi="宋体" w:cs="宋体" w:eastAsia="宋体" w:hint="default"/>
                <w:sz w:val="18"/>
                <w:szCs w:val="18"/>
              </w:rPr>
            </w:pPr>
            <w:r>
              <w:rPr>
                <w:rFonts w:ascii="宋体" w:hAnsi="宋体" w:cs="宋体" w:eastAsia="宋体" w:hint="default"/>
                <w:sz w:val="18"/>
                <w:szCs w:val="18"/>
              </w:rPr>
              <w:t>海立美达的关 </w:t>
            </w:r>
            <w:r>
              <w:rPr>
                <w:rFonts w:ascii="宋体" w:hAnsi="宋体" w:cs="宋体" w:eastAsia="宋体" w:hint="default"/>
                <w:spacing w:val="-17"/>
                <w:sz w:val="18"/>
                <w:szCs w:val="18"/>
              </w:rPr>
              <w:t>联交易。</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次交易完成</w:t>
            </w:r>
            <w:r>
              <w:rPr>
                <w:rFonts w:ascii="宋体" w:hAnsi="宋体" w:cs="宋体" w:eastAsia="宋体" w:hint="default"/>
                <w:sz w:val="18"/>
                <w:szCs w:val="18"/>
              </w:rPr>
              <w:t> 后，对于无法 避免或有合理 原因而发生的 与海立美达之 间的关联交 易，本公司及 本公司控制的 企业将遵循市 场原则以公 允、合理的市 场价格进行交 易，根据有关 法律、法规及 规范性文件的 规定履行关联 交易决策程 序，依法履行 信息披露义务 和办理有关报 批程序，不利 用股东地位损 害海立美达及 其他股东的合 法权益。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海立控股及 其一致行动 </w:t>
            </w:r>
            <w:r>
              <w:rPr>
                <w:rFonts w:ascii="宋体" w:hAnsi="宋体" w:cs="宋体" w:eastAsia="宋体" w:hint="default"/>
                <w:spacing w:val="-2"/>
                <w:sz w:val="18"/>
                <w:szCs w:val="18"/>
              </w:rPr>
              <w:t>人、实际控制</w:t>
            </w:r>
            <w:r>
              <w:rPr>
                <w:rFonts w:ascii="宋体" w:hAnsi="宋体" w:cs="宋体" w:eastAsia="宋体" w:hint="default"/>
                <w:sz w:val="18"/>
                <w:szCs w:val="18"/>
              </w:rPr>
              <w:t> 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关于不放弃 上市公司控 制权的相关 承诺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、自本次交易</w:t>
            </w:r>
            <w:r>
              <w:rPr>
                <w:rFonts w:ascii="宋体" w:hAnsi="宋体" w:cs="宋体" w:eastAsia="宋体" w:hint="default"/>
                <w:sz w:val="18"/>
                <w:szCs w:val="18"/>
              </w:rPr>
              <w:t> 完成之日起</w:t>
            </w:r>
          </w:p>
          <w:p>
            <w:pPr>
              <w:pStyle w:val="TableParagraph"/>
              <w:spacing w:line="314" w:lineRule="auto" w:before="3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个月内，承</w:t>
            </w:r>
            <w:r>
              <w:rPr>
                <w:rFonts w:ascii="宋体" w:hAnsi="宋体" w:cs="宋体" w:eastAsia="宋体" w:hint="default"/>
                <w:sz w:val="18"/>
                <w:szCs w:val="18"/>
              </w:rPr>
              <w:t> 诺人不会主动 放弃承诺人在 海立美达董事 会及股东大会 的表决权，也 不会协助任何 其他方谋求海 立美达控股股 东及实际控制 人的地位。</w:t>
            </w:r>
            <w:r>
              <w:rPr>
                <w:rFonts w:ascii="Times New Roman" w:hAnsi="Times New Roman" w:cs="Times New Roman" w:eastAsia="Times New Roman" w:hint="default"/>
                <w:sz w:val="18"/>
                <w:szCs w:val="18"/>
              </w:rPr>
              <w:t>2 </w:t>
            </w:r>
            <w:r>
              <w:rPr>
                <w:rFonts w:ascii="宋体" w:hAnsi="宋体" w:cs="宋体" w:eastAsia="宋体" w:hint="default"/>
                <w:sz w:val="18"/>
                <w:szCs w:val="18"/>
              </w:rPr>
              <w:t>自本次交易完 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个月内，承诺 人将根据资本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市场情况与实 际需要，通过 采取包括增持 股份等合法合 规措施，以保 持对上市公司 的实际控制， 维护上市公司 控制权的稳 </w:t>
            </w:r>
            <w:r>
              <w:rPr>
                <w:rFonts w:ascii="宋体" w:hAnsi="宋体" w:cs="宋体" w:eastAsia="宋体" w:hint="default"/>
                <w:spacing w:val="-12"/>
                <w:sz w:val="18"/>
                <w:szCs w:val="18"/>
              </w:rPr>
              <w:t>定。</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、如果本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次交易触发调 价机制，刘国 平、孙刚有义 务自己或促使 其关联方在不 晚于本次交易 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月内增持上市 公司股份，确 保海立控股及 其一致行动人 合计持有上市 公司的股权比 例比博升优势 及其一致行动 人合计持股比 例高出 </w:t>
            </w:r>
            <w:r>
              <w:rPr>
                <w:rFonts w:ascii="Times New Roman" w:hAnsi="Times New Roman" w:cs="Times New Roman" w:eastAsia="Times New Roman" w:hint="default"/>
                <w:sz w:val="18"/>
                <w:szCs w:val="18"/>
              </w:rPr>
              <w:t>3.43%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 次交易完成 后，海立美达 董事会拟由九 名董事组成</w:t>
            </w:r>
          </w:p>
          <w:p>
            <w:pPr>
              <w:pStyle w:val="TableParagraph"/>
              <w:spacing w:line="319"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（包括三名独 </w:t>
            </w:r>
            <w:r>
              <w:rPr>
                <w:rFonts w:ascii="宋体" w:hAnsi="宋体" w:cs="宋体" w:eastAsia="宋体" w:hint="default"/>
                <w:spacing w:val="-24"/>
                <w:sz w:val="18"/>
                <w:szCs w:val="18"/>
              </w:rPr>
              <w:t>立董事），为推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动本次交易， 海立控股及其 一致行动人拟 在本次交易完 成后三十六个 月内向海立美 达推荐四名非 独立董事。</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关于不谋求 上市公司控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3"/>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、本次交易完</w:t>
            </w:r>
            <w:r>
              <w:rPr>
                <w:rFonts w:ascii="宋体" w:hAnsi="宋体" w:cs="宋体" w:eastAsia="宋体" w:hint="default"/>
                <w:sz w:val="18"/>
                <w:szCs w:val="18"/>
              </w:rPr>
              <w:t> 成后三十六个</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制权的相关 承诺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6"/>
              <w:jc w:val="left"/>
              <w:rPr>
                <w:rFonts w:ascii="宋体" w:hAnsi="宋体" w:cs="宋体" w:eastAsia="宋体" w:hint="default"/>
                <w:sz w:val="18"/>
                <w:szCs w:val="18"/>
              </w:rPr>
            </w:pPr>
            <w:r>
              <w:rPr>
                <w:rFonts w:ascii="宋体" w:hAnsi="宋体" w:cs="宋体" w:eastAsia="宋体" w:hint="default"/>
                <w:sz w:val="18"/>
                <w:szCs w:val="18"/>
              </w:rPr>
              <w:t>月内，不会以 本次交易取得 的海立美达股 份单独或共同 谋求海立美达 的实际控制 权，亦不会以 通过二级市场 增持海立美达 股票的方式， 或以委托、征 集投票权、协 议等任何方式 联合其他股东 谋求海立美达 </w:t>
            </w:r>
            <w:r>
              <w:rPr>
                <w:rFonts w:ascii="宋体" w:hAnsi="宋体" w:cs="宋体" w:eastAsia="宋体" w:hint="default"/>
                <w:spacing w:val="-17"/>
                <w:sz w:val="18"/>
                <w:szCs w:val="18"/>
              </w:rPr>
              <w:t>控制权。</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次交易完成</w:t>
            </w:r>
            <w:r>
              <w:rPr>
                <w:rFonts w:ascii="宋体" w:hAnsi="宋体" w:cs="宋体" w:eastAsia="宋体" w:hint="default"/>
                <w:sz w:val="18"/>
                <w:szCs w:val="18"/>
              </w:rPr>
              <w:t> 后，海立美达 董事会拟由九 名董事组成</w:t>
            </w:r>
          </w:p>
          <w:p>
            <w:pPr>
              <w:pStyle w:val="TableParagraph"/>
              <w:spacing w:line="319"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（包括三名独 </w:t>
            </w:r>
            <w:r>
              <w:rPr>
                <w:rFonts w:ascii="宋体" w:hAnsi="宋体" w:cs="宋体" w:eastAsia="宋体" w:hint="default"/>
                <w:spacing w:val="-24"/>
                <w:sz w:val="18"/>
                <w:szCs w:val="18"/>
              </w:rPr>
              <w:t>立董事），博升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优势拟在本次 交易完成后三 十六个月内向 海立美达推荐 一名非独立董 事。</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关于履行业 绩补偿义务 的承诺函</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如海立控股须 履行《业绩补 偿协议》项下 的业绩补偿义 务时，海立控 股将通过处置 除海立美达股 份以外的其他 资产、贷款融 资等多种手段 获取现金以履 行业绩补偿义 务，确保不会 通过减持其持 有的海立美达 股份履行业绩</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补偿义务。</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海立控股实 际控制人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both"/>
              <w:rPr>
                <w:rFonts w:ascii="宋体" w:hAnsi="宋体" w:cs="宋体" w:eastAsia="宋体" w:hint="default"/>
                <w:sz w:val="18"/>
                <w:szCs w:val="18"/>
              </w:rPr>
            </w:pPr>
            <w:r>
              <w:rPr>
                <w:rFonts w:ascii="宋体" w:hAnsi="宋体" w:cs="宋体" w:eastAsia="宋体" w:hint="default"/>
                <w:sz w:val="18"/>
                <w:szCs w:val="18"/>
              </w:rPr>
              <w:t>关于为海立 控股业绩补 偿承诺提供 担保的承诺 函</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如海立控股需 履行《业绩补 偿协议》项下 的业绩补偿义 务，本保证人 承诺如海立控 股在不减持海 立美达股份的 情况下没有能 力进行足额现 金补偿的，本 保证人将向海 立控股提供资 金支持或承担 差额部分的补 偿义务，以保 证海立控股能 够按约定履行 业绩补偿义 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青岛海立控 股有限公司、 孙刚、刘国平 王明伟</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《关于避免同 业竞争的承诺 </w:t>
            </w:r>
            <w:r>
              <w:rPr>
                <w:rFonts w:ascii="宋体" w:hAnsi="宋体" w:cs="宋体" w:eastAsia="宋体" w:hint="default"/>
                <w:spacing w:val="-26"/>
                <w:sz w:val="18"/>
                <w:szCs w:val="18"/>
              </w:rPr>
              <w:t>函》；《关于规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范关联交易的 </w:t>
            </w:r>
            <w:r>
              <w:rPr>
                <w:rFonts w:ascii="宋体" w:hAnsi="宋体" w:cs="宋体" w:eastAsia="宋体" w:hint="default"/>
                <w:spacing w:val="-18"/>
                <w:sz w:val="18"/>
                <w:szCs w:val="18"/>
              </w:rPr>
              <w:t>承诺函》。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86"/>
              <w:jc w:val="left"/>
              <w:rPr>
                <w:rFonts w:ascii="宋体" w:hAnsi="宋体" w:cs="宋体" w:eastAsia="宋体" w:hint="default"/>
                <w:sz w:val="18"/>
                <w:szCs w:val="18"/>
              </w:rPr>
            </w:pPr>
            <w:r>
              <w:rPr>
                <w:rFonts w:ascii="宋体" w:hAnsi="宋体" w:cs="宋体" w:eastAsia="宋体" w:hint="default"/>
                <w:sz w:val="18"/>
                <w:szCs w:val="18"/>
              </w:rPr>
              <w:t>严格履行上 述承诺</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天治基金管 理有限公</w:t>
            </w:r>
          </w:p>
          <w:p>
            <w:pPr>
              <w:pStyle w:val="TableParagraph"/>
              <w:spacing w:line="316"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司 、北京东 富新投投资 </w:t>
            </w:r>
            <w:r>
              <w:rPr>
                <w:rFonts w:ascii="宋体" w:hAnsi="宋体" w:cs="宋体" w:eastAsia="宋体" w:hint="default"/>
                <w:spacing w:val="-2"/>
                <w:sz w:val="18"/>
                <w:szCs w:val="18"/>
              </w:rPr>
              <w:t>管理中心（有</w:t>
            </w:r>
            <w:r>
              <w:rPr>
                <w:rFonts w:ascii="宋体" w:hAnsi="宋体" w:cs="宋体" w:eastAsia="宋体" w:hint="default"/>
                <w:sz w:val="18"/>
                <w:szCs w:val="18"/>
              </w:rPr>
              <w:t> 限合伙） 、 北信瑞丰基 金管理有限 </w:t>
            </w:r>
            <w:r>
              <w:rPr>
                <w:rFonts w:ascii="宋体" w:hAnsi="宋体" w:cs="宋体" w:eastAsia="宋体" w:hint="default"/>
                <w:spacing w:val="-2"/>
                <w:sz w:val="18"/>
                <w:szCs w:val="18"/>
              </w:rPr>
              <w:t>公司、华融天</w:t>
            </w:r>
            <w:r>
              <w:rPr>
                <w:rFonts w:ascii="宋体" w:hAnsi="宋体" w:cs="宋体" w:eastAsia="宋体" w:hint="default"/>
                <w:sz w:val="18"/>
                <w:szCs w:val="18"/>
              </w:rPr>
              <w:t> 泽投资有限 </w:t>
            </w:r>
            <w:r>
              <w:rPr>
                <w:rFonts w:ascii="宋体" w:hAnsi="宋体" w:cs="宋体" w:eastAsia="宋体" w:hint="default"/>
                <w:spacing w:val="-2"/>
                <w:sz w:val="18"/>
                <w:szCs w:val="18"/>
              </w:rPr>
              <w:t>公司、西部利</w:t>
            </w:r>
            <w:r>
              <w:rPr>
                <w:rFonts w:ascii="宋体" w:hAnsi="宋体" w:cs="宋体" w:eastAsia="宋体" w:hint="default"/>
                <w:sz w:val="18"/>
                <w:szCs w:val="18"/>
              </w:rPr>
              <w:t> 得基金管理 有限公司 、 中信建投基 金管理有限 公司 、博时 基金管理有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4" w:lineRule="auto"/>
              <w:ind w:left="22" w:right="36"/>
              <w:jc w:val="left"/>
              <w:rPr>
                <w:rFonts w:ascii="宋体" w:hAnsi="宋体" w:cs="宋体" w:eastAsia="宋体" w:hint="default"/>
                <w:sz w:val="18"/>
                <w:szCs w:val="18"/>
              </w:rPr>
            </w:pPr>
            <w:r>
              <w:rPr>
                <w:rFonts w:ascii="宋体" w:hAnsi="宋体" w:cs="宋体" w:eastAsia="宋体" w:hint="default"/>
                <w:sz w:val="18"/>
                <w:szCs w:val="18"/>
              </w:rPr>
              <w:t>承诺此次获配 的股份从本次 新增股份上市 首日起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 并申请在这</w:t>
            </w:r>
          </w:p>
          <w:p>
            <w:pPr>
              <w:pStyle w:val="TableParagraph"/>
              <w:spacing w:line="309" w:lineRule="auto" w:before="20"/>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个月内对 该部分新增股 份进行锁定。</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51"/>
        <w:gridCol w:w="1102"/>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962"/>
        <w:gridCol w:w="851"/>
        <w:gridCol w:w="851"/>
        <w:gridCol w:w="992"/>
        <w:gridCol w:w="1134"/>
        <w:gridCol w:w="1134"/>
        <w:gridCol w:w="2335"/>
      </w:tblGrid>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6" w:right="24"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1" w:right="111"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1"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海立控股承诺</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14,404.39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完成承诺目 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0"/>
              <w:jc w:val="left"/>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配套资金暨关联交易报告书</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pacing w:val="-5"/>
                <w:sz w:val="18"/>
                <w:szCs w:val="18"/>
              </w:rPr>
              <w:t>（草案）摘要》及《发行股份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购买资产并募集配套资金暨 </w:t>
            </w:r>
            <w:r>
              <w:rPr>
                <w:rFonts w:ascii="宋体" w:hAnsi="宋体" w:cs="宋体" w:eastAsia="宋体" w:hint="default"/>
                <w:spacing w:val="-14"/>
                <w:sz w:val="18"/>
                <w:szCs w:val="18"/>
              </w:rPr>
              <w:t>关联交易报告书（草案）》。</w:t>
            </w:r>
          </w:p>
        </w:tc>
      </w:tr>
      <w:tr>
        <w:trPr>
          <w:trHeight w:val="165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博升优势承诺</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26,365.92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27,816.24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完成承诺目 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40"/>
              <w:jc w:val="left"/>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配套资金暨关联交易报告书</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pacing w:val="-5"/>
                <w:sz w:val="18"/>
                <w:szCs w:val="18"/>
              </w:rPr>
              <w:t>（草案）摘要》及《发行股份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购买资产并募集配套资金暨 </w:t>
            </w:r>
            <w:r>
              <w:rPr>
                <w:rFonts w:ascii="宋体" w:hAnsi="宋体" w:cs="宋体" w:eastAsia="宋体" w:hint="default"/>
                <w:spacing w:val="-14"/>
                <w:sz w:val="18"/>
                <w:szCs w:val="18"/>
              </w:rPr>
              <w:t>关联交易报告书（草案）》。</w:t>
            </w:r>
          </w:p>
        </w:tc>
      </w:tr>
    </w:tbl>
    <w:p>
      <w:pPr>
        <w:pStyle w:val="BodyText"/>
        <w:spacing w:line="240" w:lineRule="auto" w:before="51"/>
        <w:ind w:left="154" w:right="0"/>
        <w:jc w:val="left"/>
      </w:pPr>
      <w:r>
        <w:rPr/>
        <w:t>公司股东、交易对手方在报告年度经营业绩做出的承诺情况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23" w:firstLine="36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年财务报表业经信永中和会计师事务所（特殊普通合伙）审计，并于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日出具了标准无保留意见 审计报告，报告文号为</w:t>
      </w:r>
      <w:r>
        <w:rPr>
          <w:rFonts w:ascii="Times New Roman" w:hAnsi="Times New Roman" w:cs="Times New Roman" w:eastAsia="Times New Roman" w:hint="default"/>
        </w:rPr>
        <w:t>XYZH/2018JNA10016</w:t>
      </w:r>
      <w:r>
        <w:rPr/>
        <w:t>号。经审计的上市公司净利润（归属于母公司所有者净利润减去联动优势及其 控制的主体）为</w:t>
      </w:r>
      <w:r>
        <w:rPr>
          <w:rFonts w:ascii="Times New Roman" w:hAnsi="Times New Roman" w:cs="Times New Roman" w:eastAsia="Times New Roman" w:hint="default"/>
        </w:rPr>
        <w:t>17,164.91</w:t>
      </w:r>
      <w:r>
        <w:rPr/>
        <w:t>万元，非经常性损益为</w:t>
      </w:r>
      <w:r>
        <w:rPr>
          <w:rFonts w:ascii="Times New Roman" w:hAnsi="Times New Roman" w:cs="Times New Roman" w:eastAsia="Times New Roman" w:hint="default"/>
        </w:rPr>
        <w:t>2,632.25</w:t>
      </w:r>
      <w:r>
        <w:rPr/>
        <w:t>万元，本次交易用于补充上市公司流动资金的募集配套资金影响为 </w:t>
      </w:r>
      <w:r>
        <w:rPr>
          <w:rFonts w:ascii="Times New Roman" w:hAnsi="Times New Roman" w:cs="Times New Roman" w:eastAsia="Times New Roman" w:hint="default"/>
        </w:rPr>
        <w:t>128.28</w:t>
      </w:r>
      <w:r>
        <w:rPr/>
        <w:t>万元，扣除非经常性损益及本次交易用于补充上市公司流动资金的募集配套资金影响后的合并净利润为</w:t>
      </w:r>
      <w:r>
        <w:rPr>
          <w:rFonts w:ascii="Times New Roman" w:hAnsi="Times New Roman" w:cs="Times New Roman" w:eastAsia="Times New Roman" w:hint="default"/>
        </w:rPr>
        <w:t>14,404.39</w:t>
      </w:r>
      <w:r>
        <w:rPr/>
        <w:t>万 元。</w:t>
      </w:r>
    </w:p>
    <w:p>
      <w:pPr>
        <w:pStyle w:val="BodyText"/>
        <w:spacing w:line="300" w:lineRule="auto" w:before="31"/>
        <w:ind w:right="1130" w:firstLine="360"/>
        <w:jc w:val="both"/>
      </w:pPr>
      <w:r>
        <w:rPr>
          <w:rFonts w:ascii="Times New Roman" w:hAnsi="Times New Roman" w:cs="Times New Roman" w:eastAsia="Times New Roman" w:hint="default"/>
          <w:spacing w:val="-2"/>
        </w:rPr>
        <w:t>2</w:t>
      </w:r>
      <w:r>
        <w:rPr>
          <w:spacing w:val="-2"/>
        </w:rPr>
        <w:t>、联动优势</w:t>
      </w:r>
      <w:r>
        <w:rPr>
          <w:rFonts w:ascii="Times New Roman" w:hAnsi="Times New Roman" w:cs="Times New Roman" w:eastAsia="Times New Roman" w:hint="default"/>
          <w:spacing w:val="-2"/>
        </w:rPr>
        <w:t>2017</w:t>
      </w:r>
      <w:r>
        <w:rPr>
          <w:spacing w:val="-2"/>
        </w:rPr>
        <w:t>年财务报表业经信永中和会计师事务所（特殊普通合伙）审计，并于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日出具了标准无保留</w:t>
      </w:r>
      <w:r>
        <w:rPr/>
        <w:t> 意见审计报告，报告文号为</w:t>
      </w:r>
      <w:r>
        <w:rPr>
          <w:rFonts w:ascii="Times New Roman" w:hAnsi="Times New Roman" w:cs="Times New Roman" w:eastAsia="Times New Roman" w:hint="default"/>
        </w:rPr>
        <w:t>XYZH2018/JNA10097</w:t>
      </w:r>
      <w:r>
        <w:rPr/>
        <w:t>号。审计的联动优势合并财务报表口径的净利润为</w:t>
      </w:r>
      <w:r>
        <w:rPr>
          <w:rFonts w:ascii="Times New Roman" w:hAnsi="Times New Roman" w:cs="Times New Roman" w:eastAsia="Times New Roman" w:hint="default"/>
        </w:rPr>
        <w:t>24,229.67</w:t>
      </w:r>
      <w:r>
        <w:rPr/>
        <w:t>万元，非经常 </w:t>
      </w:r>
      <w:r>
        <w:rPr>
          <w:spacing w:val="-1"/>
        </w:rPr>
        <w:t>性损益为</w:t>
      </w:r>
      <w:r>
        <w:rPr>
          <w:rFonts w:ascii="Times New Roman" w:hAnsi="Times New Roman" w:cs="Times New Roman" w:eastAsia="Times New Roman" w:hint="default"/>
          <w:spacing w:val="-1"/>
        </w:rPr>
        <w:t>201.50</w:t>
      </w:r>
      <w:r>
        <w:rPr>
          <w:spacing w:val="-1"/>
        </w:rPr>
        <w:t>万元，本次交易募集配套资金影响为</w:t>
      </w:r>
      <w:r>
        <w:rPr>
          <w:rFonts w:ascii="Times New Roman" w:hAnsi="Times New Roman" w:cs="Times New Roman" w:eastAsia="Times New Roman" w:hint="default"/>
          <w:spacing w:val="-1"/>
        </w:rPr>
        <w:t>-3,788.06</w:t>
      </w:r>
      <w:r>
        <w:rPr>
          <w:spacing w:val="-1"/>
        </w:rPr>
        <w:t>万元，扣除非经常性损益及本次交易募集配套资金影响后的合</w:t>
      </w:r>
      <w:r>
        <w:rPr>
          <w:spacing w:val="-39"/>
        </w:rPr>
        <w:t> </w:t>
      </w:r>
      <w:r>
        <w:rPr>
          <w:spacing w:val="-39"/>
        </w:rPr>
      </w:r>
      <w:r>
        <w:rPr/>
        <w:t>并净利润为</w:t>
      </w:r>
      <w:r>
        <w:rPr>
          <w:rFonts w:ascii="Times New Roman" w:hAnsi="Times New Roman" w:cs="Times New Roman" w:eastAsia="Times New Roman" w:hint="default"/>
        </w:rPr>
        <w:t>27,816.24</w:t>
      </w:r>
      <w:r>
        <w:rPr/>
        <w:t>万元。</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530" w:lineRule="auto"/>
        <w:ind w:right="90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、重要会计政策变更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left="0" w:right="1169"/>
        <w:jc w:val="right"/>
      </w:pPr>
      <w:r>
        <w:rPr/>
        <w:pict>
          <v:shape style="position:absolute;margin-left:56.34pt;margin-top:-252.868286pt;width:476.9pt;height:289.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1985"/>
                    <w:gridCol w:w="2999"/>
                  </w:tblGrid>
                  <w:tr>
                    <w:trPr>
                      <w:trHeight w:val="430" w:hRule="exact"/>
                    </w:trPr>
                    <w:tc>
                      <w:tcPr>
                        <w:tcW w:w="45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变更的内容和原因</w:t>
                        </w:r>
                        <w:r>
                          <w:rPr>
                            <w:rFonts w:ascii="宋体" w:hAnsi="宋体" w:cs="宋体" w:eastAsia="宋体" w:hint="default"/>
                            <w:sz w:val="18"/>
                            <w:szCs w:val="18"/>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623"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2999"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675" w:hRule="exact"/>
                    </w:trPr>
                    <w:tc>
                      <w:tcPr>
                        <w:tcW w:w="4537" w:type="dxa"/>
                        <w:tcBorders>
                          <w:top w:val="single" w:sz="8" w:space="0" w:color="000000"/>
                          <w:left w:val="single" w:sz="6" w:space="0" w:color="000000"/>
                          <w:bottom w:val="single" w:sz="8" w:space="0" w:color="000000"/>
                          <w:right w:val="single" w:sz="6" w:space="0" w:color="000000"/>
                        </w:tcBorders>
                      </w:tcPr>
                      <w:p>
                        <w:pPr>
                          <w:pStyle w:val="TableParagraph"/>
                          <w:spacing w:line="304"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持有待售的非流动资产、处置组和终止经营》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财会</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[2017]13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日起执行，对于执行日存 在的持有待售的非流动资产、处置组和终止经营，要求采 用未来适用法处理。</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57"/>
                          <w:ind w:left="2" w:right="-13"/>
                          <w:jc w:val="left"/>
                          <w:rPr>
                            <w:rFonts w:ascii="宋体" w:hAnsi="宋体" w:cs="宋体" w:eastAsia="宋体" w:hint="default"/>
                            <w:sz w:val="18"/>
                            <w:szCs w:val="18"/>
                          </w:rPr>
                        </w:pPr>
                        <w:r>
                          <w:rPr>
                            <w:rFonts w:ascii="宋体" w:hAnsi="宋体" w:cs="宋体" w:eastAsia="宋体" w:hint="default"/>
                            <w:sz w:val="18"/>
                            <w:szCs w:val="18"/>
                          </w:rPr>
                          <w:t>相关会计政策变更已经 本公司第三届董事会第 二十八次会议审议通过。</w:t>
                        </w:r>
                      </w:p>
                    </w:tc>
                    <w:tc>
                      <w:tcPr>
                        <w:tcW w:w="2999" w:type="dxa"/>
                        <w:tcBorders>
                          <w:top w:val="single" w:sz="8" w:space="0" w:color="000000"/>
                          <w:left w:val="single" w:sz="6" w:space="0" w:color="000000"/>
                          <w:bottom w:val="single" w:sz="8" w:space="0" w:color="000000"/>
                          <w:right w:val="single" w:sz="4" w:space="0" w:color="000000"/>
                        </w:tcBorders>
                      </w:tcPr>
                      <w:p>
                        <w:pPr/>
                      </w:p>
                    </w:tc>
                  </w:tr>
                  <w:tr>
                    <w:trPr>
                      <w:trHeight w:val="1675" w:hRule="exact"/>
                    </w:trPr>
                    <w:tc>
                      <w:tcPr>
                        <w:tcW w:w="45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日颁布的《企业会计准则第</w:t>
                        </w:r>
                      </w:p>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8"/>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8"/>
                            <w:sz w:val="18"/>
                            <w:szCs w:val="18"/>
                          </w:rPr>
                          <w:t>，</w:t>
                        </w:r>
                        <w:r>
                          <w:rPr>
                            <w:rFonts w:ascii="宋体" w:hAnsi="宋体" w:cs="宋体" w:eastAsia="宋体" w:hint="default"/>
                            <w:spacing w:val="1"/>
                            <w:sz w:val="18"/>
                            <w:szCs w:val="18"/>
                          </w:rPr>
                          <w:t>修</w:t>
                        </w:r>
                        <w:r>
                          <w:rPr>
                            <w:rFonts w:ascii="宋体" w:hAnsi="宋体" w:cs="宋体" w:eastAsia="宋体" w:hint="default"/>
                            <w:sz w:val="18"/>
                            <w:szCs w:val="18"/>
                          </w:rPr>
                          <w:t>改了政府补助</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会计处理方法及列报项目。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日尚未摊销完毕</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年取得的政府补助适用修订后的准则</w:t>
                        </w:r>
                      </w:p>
                      <w:p>
                        <w:pPr>
                          <w:pStyle w:val="TableParagraph"/>
                          <w:spacing w:line="240" w:lineRule="auto" w:before="64"/>
                          <w:ind w:left="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日起未来适用，不需对比较信息追溯调整。</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57"/>
                          <w:ind w:left="2" w:right="-13"/>
                          <w:jc w:val="left"/>
                          <w:rPr>
                            <w:rFonts w:ascii="宋体" w:hAnsi="宋体" w:cs="宋体" w:eastAsia="宋体" w:hint="default"/>
                            <w:sz w:val="18"/>
                            <w:szCs w:val="18"/>
                          </w:rPr>
                        </w:pPr>
                        <w:r>
                          <w:rPr>
                            <w:rFonts w:ascii="宋体" w:hAnsi="宋体" w:cs="宋体" w:eastAsia="宋体" w:hint="default"/>
                            <w:sz w:val="18"/>
                            <w:szCs w:val="18"/>
                          </w:rPr>
                          <w:t>相关会计政策变更已经 本公司第三届董事会第 二十三次会议审议通过。</w:t>
                        </w:r>
                      </w:p>
                      <w:p>
                        <w:pPr>
                          <w:pStyle w:val="TableParagraph"/>
                          <w:spacing w:line="240" w:lineRule="auto" w:before="17"/>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299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7"/>
                          <w:ind w:left="3" w:right="0"/>
                          <w:jc w:val="left"/>
                          <w:rPr>
                            <w:rFonts w:ascii="宋体" w:hAnsi="宋体" w:cs="宋体" w:eastAsia="宋体" w:hint="default"/>
                            <w:sz w:val="18"/>
                            <w:szCs w:val="18"/>
                          </w:rPr>
                        </w:pPr>
                        <w:r>
                          <w:rPr>
                            <w:rFonts w:ascii="宋体" w:hAnsi="宋体" w:cs="宋体" w:eastAsia="宋体" w:hint="default"/>
                            <w:sz w:val="18"/>
                            <w:szCs w:val="18"/>
                          </w:rPr>
                          <w:t>本年度在其他收益列报的金额为</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815,945.73 </w:t>
                        </w:r>
                        <w:r>
                          <w:rPr>
                            <w:rFonts w:ascii="宋体" w:hAnsi="宋体" w:cs="宋体" w:eastAsia="宋体" w:hint="default"/>
                            <w:sz w:val="18"/>
                            <w:szCs w:val="18"/>
                          </w:rPr>
                          <w:t>元</w:t>
                        </w:r>
                      </w:p>
                    </w:tc>
                  </w:tr>
                  <w:tr>
                    <w:trPr>
                      <w:trHeight w:val="1988" w:hRule="exact"/>
                    </w:trPr>
                    <w:tc>
                      <w:tcPr>
                        <w:tcW w:w="4537"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57"/>
                          <w:ind w:left="2" w:right="-17"/>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6"/>
                            <w:sz w:val="18"/>
                            <w:szCs w:val="18"/>
                          </w:rPr>
                          <w:t>日发布了《财政部关于修订印发</w:t>
                        </w:r>
                        <w:r>
                          <w:rPr>
                            <w:rFonts w:ascii="宋体" w:hAnsi="宋体" w:cs="宋体" w:eastAsia="宋体" w:hint="default"/>
                            <w:sz w:val="18"/>
                            <w:szCs w:val="18"/>
                          </w:rPr>
                          <w:t> 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[2017]30</w:t>
                        </w:r>
                        <w:r>
                          <w:rPr>
                            <w:rFonts w:ascii="Times New Roman" w:hAnsi="Times New Roman" w:cs="Times New Roman" w:eastAsia="Times New Roman" w:hint="default"/>
                            <w:spacing w:val="-24"/>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，资产负</w:t>
                        </w:r>
                        <w:r>
                          <w:rPr>
                            <w:rFonts w:ascii="宋体" w:hAnsi="宋体" w:cs="宋体" w:eastAsia="宋体" w:hint="default"/>
                            <w:sz w:val="18"/>
                            <w:szCs w:val="18"/>
                          </w:rPr>
                          <w:t> </w:t>
                        </w:r>
                        <w:r>
                          <w:rPr>
                            <w:rFonts w:ascii="宋体" w:hAnsi="宋体" w:cs="宋体" w:eastAsia="宋体" w:hint="default"/>
                            <w:spacing w:val="-4"/>
                            <w:sz w:val="18"/>
                            <w:szCs w:val="18"/>
                          </w:rPr>
                          <w:t>债表新增</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持有待售资产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行项目、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持有待售负债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行项目，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 </w:t>
                        </w:r>
                        <w:r>
                          <w:rPr>
                            <w:rFonts w:ascii="宋体" w:hAnsi="宋体" w:cs="宋体" w:eastAsia="宋体" w:hint="default"/>
                            <w:spacing w:val="-2"/>
                            <w:sz w:val="18"/>
                            <w:szCs w:val="18"/>
                          </w:rPr>
                          <w:t>净利润项新增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（一）持续经营净利润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（二）终止经营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57"/>
                          <w:ind w:left="2" w:right="-13"/>
                          <w:jc w:val="left"/>
                          <w:rPr>
                            <w:rFonts w:ascii="宋体" w:hAnsi="宋体" w:cs="宋体" w:eastAsia="宋体" w:hint="default"/>
                            <w:sz w:val="18"/>
                            <w:szCs w:val="18"/>
                          </w:rPr>
                        </w:pPr>
                        <w:r>
                          <w:rPr>
                            <w:rFonts w:ascii="宋体" w:hAnsi="宋体" w:cs="宋体" w:eastAsia="宋体" w:hint="default"/>
                            <w:sz w:val="18"/>
                            <w:szCs w:val="18"/>
                          </w:rPr>
                          <w:t>相关会计政策变更已经 本公司第三届董事会第 二十八次会议审议通过。</w:t>
                        </w:r>
                      </w:p>
                    </w:tc>
                    <w:tc>
                      <w:tcPr>
                        <w:tcW w:w="299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7"/>
                          <w:ind w:left="3" w:right="0"/>
                          <w:jc w:val="both"/>
                          <w:rPr>
                            <w:rFonts w:ascii="宋体" w:hAnsi="宋体" w:cs="宋体" w:eastAsia="宋体" w:hint="default"/>
                            <w:sz w:val="18"/>
                            <w:szCs w:val="18"/>
                          </w:rPr>
                        </w:pPr>
                        <w:r>
                          <w:rPr>
                            <w:rFonts w:ascii="宋体" w:hAnsi="宋体" w:cs="宋体" w:eastAsia="宋体" w:hint="default"/>
                            <w:sz w:val="18"/>
                            <w:szCs w:val="18"/>
                          </w:rPr>
                          <w:t>本年度在资产处置收益列报的金额为</w:t>
                        </w:r>
                      </w:p>
                      <w:p>
                        <w:pPr>
                          <w:pStyle w:val="TableParagraph"/>
                          <w:spacing w:line="240" w:lineRule="auto" w:before="75"/>
                          <w:ind w:left="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657,838.22</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元、在持续经营净利润列报</w:t>
                        </w:r>
                      </w:p>
                      <w:p>
                        <w:pPr>
                          <w:pStyle w:val="TableParagraph"/>
                          <w:spacing w:line="300" w:lineRule="auto" w:before="63"/>
                          <w:ind w:left="3" w:right="-47"/>
                          <w:jc w:val="both"/>
                          <w:rPr>
                            <w:rFonts w:ascii="宋体" w:hAnsi="宋体" w:cs="宋体" w:eastAsia="宋体" w:hint="default"/>
                            <w:sz w:val="18"/>
                            <w:szCs w:val="18"/>
                          </w:rPr>
                        </w:pPr>
                        <w:r>
                          <w:rPr>
                            <w:rFonts w:ascii="宋体" w:hAnsi="宋体" w:cs="宋体" w:eastAsia="宋体" w:hint="default"/>
                            <w:sz w:val="18"/>
                            <w:szCs w:val="18"/>
                          </w:rPr>
                          <w:t>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444,521,550.64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元；上年度调</w:t>
                        </w:r>
                        <w:r>
                          <w:rPr>
                            <w:rFonts w:ascii="宋体" w:hAnsi="宋体" w:cs="宋体" w:eastAsia="宋体" w:hint="default"/>
                            <w:sz w:val="18"/>
                            <w:szCs w:val="18"/>
                          </w:rPr>
                          <w:t> 增资产处置收益金额</w:t>
                        </w:r>
                        <w:r>
                          <w:rPr>
                            <w:rFonts w:ascii="Times New Roman" w:hAnsi="Times New Roman" w:cs="Times New Roman" w:eastAsia="Times New Roman" w:hint="default"/>
                            <w:sz w:val="18"/>
                            <w:szCs w:val="18"/>
                          </w:rPr>
                          <w:t>-1,403,830.57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调减营业外收入金额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48,250,864.75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p>
                      <w:p>
                        <w:pPr>
                          <w:pStyle w:val="TableParagraph"/>
                          <w:spacing w:line="240" w:lineRule="auto" w:before="14"/>
                          <w:ind w:left="3" w:right="0"/>
                          <w:jc w:val="both"/>
                          <w:rPr>
                            <w:rFonts w:ascii="宋体" w:hAnsi="宋体" w:cs="宋体" w:eastAsia="宋体" w:hint="default"/>
                            <w:sz w:val="18"/>
                            <w:szCs w:val="18"/>
                          </w:rPr>
                        </w:pPr>
                        <w:r>
                          <w:rPr>
                            <w:rFonts w:ascii="宋体" w:hAnsi="宋体" w:cs="宋体" w:eastAsia="宋体" w:hint="default"/>
                            <w:sz w:val="18"/>
                            <w:szCs w:val="18"/>
                          </w:rPr>
                          <w:t>调减营业外支出金额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49,654,695.32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40" w:lineRule="auto" w:before="44"/>
        <w:ind w:left="154" w:right="7512"/>
        <w:jc w:val="left"/>
      </w:pPr>
      <w:r>
        <w:rPr>
          <w:rFonts w:ascii="Times New Roman" w:hAnsi="Times New Roman" w:cs="Times New Roman" w:eastAsia="Times New Roman" w:hint="default"/>
        </w:rPr>
        <w:t>2</w:t>
      </w:r>
      <w:r>
        <w:rPr/>
        <w:t>、重要会计估计变更 本报告期未发生重要会计估计变更事项。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详见第十一节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路清、刘玉显</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3"/>
        <w:ind w:right="11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2016</w:t>
      </w:r>
      <w:r>
        <w:rPr/>
        <w:t>年度，公司因重大资产重组事项，聘请广发证券股份有限公司为公司的独立财务顾问，期间共支付财务顾问费用</w:t>
      </w:r>
      <w:r>
        <w:rPr>
          <w:rFonts w:ascii="Times New Roman" w:hAnsi="Times New Roman" w:cs="Times New Roman" w:eastAsia="Times New Roman" w:hint="default"/>
        </w:rPr>
        <w:t>1,380 </w:t>
      </w:r>
      <w:r>
        <w:rPr/>
        <w:t>万元。</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87"/>
        <w:ind w:right="0"/>
        <w:jc w:val="left"/>
      </w:pPr>
      <w:r>
        <w:rPr/>
        <w:t>报告期内，公司及控股股东、实际控制人不存在未履行法院生效判决、所负数额较大的债务到期未清偿等情况。</w:t>
      </w:r>
    </w:p>
    <w:p>
      <w:pPr>
        <w:spacing w:line="240" w:lineRule="auto" w:before="3"/>
        <w:rPr>
          <w:rFonts w:ascii="宋体" w:hAnsi="宋体" w:cs="宋体" w:eastAsia="宋体" w:hint="default"/>
          <w:sz w:val="24"/>
          <w:szCs w:val="24"/>
        </w:rPr>
      </w:pPr>
    </w:p>
    <w:p>
      <w:pPr>
        <w:pStyle w:val="Heading2"/>
        <w:spacing w:line="240" w:lineRule="auto"/>
        <w:ind w:left="154"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07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中国银联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东方及 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53.66%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316" w:lineRule="auto" w:before="63"/>
              <w:ind w:left="22" w:right="67"/>
              <w:jc w:val="both"/>
              <w:rPr>
                <w:rFonts w:ascii="宋体" w:hAnsi="宋体" w:cs="宋体" w:eastAsia="宋体" w:hint="default"/>
                <w:sz w:val="18"/>
                <w:szCs w:val="18"/>
              </w:rPr>
            </w:pPr>
            <w:r>
              <w:rPr>
                <w:rFonts w:ascii="Times New Roman" w:hAnsi="Times New Roman" w:cs="Times New Roman" w:eastAsia="Times New Roman" w:hint="default"/>
                <w:spacing w:val="-30"/>
                <w:w w:val="99"/>
                <w:sz w:val="18"/>
                <w:szCs w:val="18"/>
              </w:rPr>
              <w:t>-040</w:t>
            </w:r>
            <w:r>
              <w:rPr>
                <w:rFonts w:ascii="宋体" w:hAnsi="宋体" w:cs="宋体" w:eastAsia="宋体" w:hint="default"/>
                <w:spacing w:val="-30"/>
                <w:w w:val="99"/>
                <w:sz w:val="18"/>
                <w:szCs w:val="18"/>
              </w:rPr>
              <w:t>）、</w:t>
            </w:r>
            <w:r>
              <w:rPr>
                <w:rFonts w:ascii="宋体" w:hAnsi="宋体" w:cs="宋体" w:eastAsia="宋体" w:hint="default"/>
                <w:spacing w:val="-90"/>
                <w:w w:val="99"/>
                <w:sz w:val="18"/>
                <w:szCs w:val="18"/>
              </w:rPr>
              <w:t> </w:t>
            </w:r>
            <w:r>
              <w:rPr>
                <w:rFonts w:ascii="宋体" w:hAnsi="宋体" w:cs="宋体" w:eastAsia="宋体" w:hint="default"/>
                <w:sz w:val="18"/>
                <w:szCs w:val="18"/>
              </w:rPr>
              <w:t>关于增</w:t>
            </w:r>
            <w:r>
              <w:rPr>
                <w:rFonts w:ascii="宋体" w:hAnsi="宋体" w:cs="宋体" w:eastAsia="宋体" w:hint="default"/>
                <w:w w:val="99"/>
                <w:sz w:val="18"/>
                <w:szCs w:val="18"/>
              </w:rPr>
              <w:t> </w:t>
            </w:r>
            <w:r>
              <w:rPr>
                <w:rFonts w:ascii="宋体" w:hAnsi="宋体" w:cs="宋体" w:eastAsia="宋体" w:hint="default"/>
                <w:sz w:val="18"/>
                <w:szCs w:val="18"/>
              </w:rPr>
              <w:t>补全资</w:t>
            </w:r>
            <w:r>
              <w:rPr>
                <w:rFonts w:ascii="宋体" w:hAnsi="宋体" w:cs="宋体" w:eastAsia="宋体" w:hint="default"/>
                <w:w w:val="99"/>
                <w:sz w:val="18"/>
                <w:szCs w:val="18"/>
              </w:rPr>
              <w:t> </w:t>
            </w:r>
            <w:r>
              <w:rPr>
                <w:rFonts w:ascii="宋体" w:hAnsi="宋体" w:cs="宋体" w:eastAsia="宋体" w:hint="default"/>
                <w:sz w:val="18"/>
                <w:szCs w:val="18"/>
              </w:rPr>
              <w:t>三级子</w:t>
            </w:r>
            <w:r>
              <w:rPr>
                <w:rFonts w:ascii="宋体" w:hAnsi="宋体" w:cs="宋体" w:eastAsia="宋体" w:hint="default"/>
                <w:w w:val="99"/>
                <w:sz w:val="18"/>
                <w:szCs w:val="18"/>
              </w:rPr>
              <w:t> </w:t>
            </w:r>
            <w:r>
              <w:rPr>
                <w:rFonts w:ascii="宋体" w:hAnsi="宋体" w:cs="宋体" w:eastAsia="宋体" w:hint="default"/>
                <w:sz w:val="18"/>
                <w:szCs w:val="18"/>
              </w:rPr>
              <w:t>公司与</w:t>
            </w:r>
            <w:r>
              <w:rPr>
                <w:rFonts w:ascii="宋体" w:hAnsi="宋体" w:cs="宋体" w:eastAsia="宋体" w:hint="default"/>
                <w:w w:val="99"/>
                <w:sz w:val="18"/>
                <w:szCs w:val="18"/>
              </w:rPr>
              <w:t> </w:t>
            </w:r>
            <w:r>
              <w:rPr>
                <w:rFonts w:ascii="宋体" w:hAnsi="宋体" w:cs="宋体" w:eastAsia="宋体" w:hint="default"/>
                <w:sz w:val="18"/>
                <w:szCs w:val="18"/>
              </w:rPr>
              <w:t>中国银</w:t>
            </w:r>
            <w:r>
              <w:rPr>
                <w:rFonts w:ascii="宋体" w:hAnsi="宋体" w:cs="宋体" w:eastAsia="宋体" w:hint="default"/>
                <w:w w:val="99"/>
                <w:sz w:val="18"/>
                <w:szCs w:val="18"/>
              </w:rPr>
              <w:t> </w:t>
            </w:r>
            <w:r>
              <w:rPr>
                <w:rFonts w:ascii="宋体" w:hAnsi="宋体" w:cs="宋体" w:eastAsia="宋体" w:hint="default"/>
                <w:sz w:val="18"/>
                <w:szCs w:val="18"/>
              </w:rPr>
              <w:t>联日常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易额度</w:t>
            </w:r>
            <w:r>
              <w:rPr>
                <w:rFonts w:ascii="宋体" w:hAnsi="宋体" w:cs="宋体" w:eastAsia="宋体" w:hint="default"/>
                <w:w w:val="99"/>
                <w:sz w:val="18"/>
                <w:szCs w:val="18"/>
              </w:rPr>
              <w:t> </w:t>
            </w:r>
            <w:r>
              <w:rPr>
                <w:rFonts w:ascii="宋体" w:hAnsi="宋体" w:cs="宋体" w:eastAsia="宋体" w:hint="default"/>
                <w:sz w:val="18"/>
                <w:szCs w:val="18"/>
              </w:rPr>
              <w:t>的公告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-128</w:t>
            </w:r>
            <w:r>
              <w:rPr>
                <w:rFonts w:ascii="宋体" w:hAnsi="宋体" w:cs="宋体" w:eastAsia="宋体" w:hint="default"/>
                <w:sz w:val="18"/>
                <w:szCs w:val="18"/>
              </w:rPr>
              <w:t>）</w:t>
            </w:r>
          </w:p>
        </w:tc>
      </w:tr>
      <w:tr>
        <w:trPr>
          <w:trHeight w:val="71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银联商务 股份有限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3"/>
              <w:jc w:val="left"/>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4"/>
              <w:jc w:val="left"/>
              <w:rPr>
                <w:rFonts w:ascii="宋体" w:hAnsi="宋体" w:cs="宋体" w:eastAsia="宋体" w:hint="default"/>
                <w:sz w:val="18"/>
                <w:szCs w:val="18"/>
              </w:rPr>
            </w:pPr>
            <w:r>
              <w:rPr>
                <w:rFonts w:ascii="宋体" w:hAnsi="宋体" w:cs="宋体" w:eastAsia="宋体" w:hint="default"/>
                <w:sz w:val="18"/>
                <w:szCs w:val="18"/>
              </w:rPr>
              <w:t>严格符 合监管</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336.24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1.24%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7"/>
              <w:jc w:val="left"/>
              <w:rPr>
                <w:rFonts w:ascii="宋体" w:hAnsi="宋体" w:cs="宋体" w:eastAsia="宋体" w:hint="default"/>
                <w:sz w:val="18"/>
                <w:szCs w:val="18"/>
              </w:rPr>
            </w:pPr>
            <w:r>
              <w:rPr>
                <w:rFonts w:ascii="宋体" w:hAnsi="宋体" w:cs="宋体" w:eastAsia="宋体" w:hint="default"/>
                <w:sz w:val="18"/>
                <w:szCs w:val="18"/>
              </w:rPr>
              <w:t>中国证 券报、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597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上海证 券报、 证券时 报、证 券日报 及巨潮 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664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具服务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59" w:right="0"/>
              <w:jc w:val="left"/>
              <w:rPr>
                <w:rFonts w:ascii="Times New Roman" w:hAnsi="Times New Roman" w:cs="Times New Roman" w:eastAsia="Times New Roman" w:hint="default"/>
                <w:sz w:val="18"/>
                <w:szCs w:val="18"/>
              </w:rPr>
            </w:pPr>
            <w:r>
              <w:rPr>
                <w:rFonts w:ascii="Times New Roman"/>
                <w:spacing w:val="-3"/>
                <w:sz w:val="18"/>
              </w:rPr>
              <w:t>111.14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4" w:right="0"/>
              <w:jc w:val="center"/>
              <w:rPr>
                <w:rFonts w:ascii="Times New Roman" w:hAnsi="Times New Roman" w:cs="Times New Roman" w:eastAsia="Times New Roman" w:hint="default"/>
                <w:sz w:val="18"/>
                <w:szCs w:val="18"/>
              </w:rPr>
            </w:pPr>
            <w:r>
              <w:rPr>
                <w:rFonts w:ascii="Times New Roman"/>
                <w:sz w:val="18"/>
              </w:rPr>
              <w:t>55.00%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sz w:val="18"/>
              </w:rPr>
              <w:t>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129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（含子公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left"/>
              <w:rPr>
                <w:rFonts w:ascii="宋体" w:hAnsi="宋体" w:cs="宋体" w:eastAsia="宋体" w:hint="default"/>
                <w:sz w:val="18"/>
                <w:szCs w:val="18"/>
              </w:rPr>
            </w:pPr>
            <w:r>
              <w:rPr>
                <w:rFonts w:ascii="宋体" w:hAnsi="宋体" w:cs="宋体" w:eastAsia="宋体" w:hint="default"/>
                <w:sz w:val="18"/>
                <w:szCs w:val="18"/>
              </w:rPr>
              <w:t>金融信 息</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64" w:right="0"/>
              <w:jc w:val="center"/>
              <w:rPr>
                <w:rFonts w:ascii="Times New Roman" w:hAnsi="Times New Roman" w:cs="Times New Roman" w:eastAsia="Times New Roman" w:hint="default"/>
                <w:sz w:val="18"/>
                <w:szCs w:val="18"/>
              </w:rPr>
            </w:pPr>
            <w:r>
              <w:rPr>
                <w:rFonts w:ascii="Times New Roman"/>
                <w:sz w:val="18"/>
              </w:rPr>
              <w:t>63.58%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535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证券时 报、证 券日报 及巨潮 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（含子公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28.88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center"/>
              <w:rPr>
                <w:rFonts w:ascii="Times New Roman" w:hAnsi="Times New Roman" w:cs="Times New Roman" w:eastAsia="Times New Roman" w:hint="default"/>
                <w:sz w:val="18"/>
                <w:szCs w:val="18"/>
              </w:rPr>
            </w:pPr>
            <w:r>
              <w:rPr>
                <w:rFonts w:ascii="Times New Roman"/>
                <w:sz w:val="18"/>
              </w:rPr>
              <w:t>39.95%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（含子公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数据服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4" w:right="0"/>
              <w:jc w:val="center"/>
              <w:rPr>
                <w:rFonts w:ascii="Times New Roman" w:hAnsi="Times New Roman" w:cs="Times New Roman" w:eastAsia="Times New Roman" w:hint="default"/>
                <w:sz w:val="18"/>
                <w:szCs w:val="18"/>
              </w:rPr>
            </w:pPr>
            <w:r>
              <w:rPr>
                <w:rFonts w:ascii="Times New Roman"/>
                <w:sz w:val="18"/>
              </w:rPr>
              <w:t>0.21%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（含子公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54.6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9" w:right="0"/>
              <w:jc w:val="center"/>
              <w:rPr>
                <w:rFonts w:ascii="Times New Roman" w:hAnsi="Times New Roman" w:cs="Times New Roman" w:eastAsia="Times New Roman" w:hint="default"/>
                <w:sz w:val="18"/>
                <w:szCs w:val="18"/>
              </w:rPr>
            </w:pPr>
            <w:r>
              <w:rPr>
                <w:rFonts w:ascii="Times New Roman"/>
                <w:sz w:val="18"/>
              </w:rPr>
              <w:t>0.11%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中国银联 股份有限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left"/>
              <w:rPr>
                <w:rFonts w:ascii="宋体" w:hAnsi="宋体" w:cs="宋体" w:eastAsia="宋体" w:hint="default"/>
                <w:sz w:val="18"/>
                <w:szCs w:val="18"/>
              </w:rPr>
            </w:pPr>
            <w:r>
              <w:rPr>
                <w:rFonts w:ascii="宋体" w:hAnsi="宋体" w:cs="宋体" w:eastAsia="宋体" w:hint="default"/>
                <w:sz w:val="18"/>
                <w:szCs w:val="18"/>
              </w:rPr>
              <w:t>销售商 品、提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4"/>
              <w:jc w:val="left"/>
              <w:rPr>
                <w:rFonts w:ascii="宋体" w:hAnsi="宋体" w:cs="宋体" w:eastAsia="宋体" w:hint="default"/>
                <w:sz w:val="18"/>
                <w:szCs w:val="18"/>
              </w:rPr>
            </w:pPr>
            <w:r>
              <w:rPr>
                <w:rFonts w:ascii="宋体" w:hAnsi="宋体" w:cs="宋体" w:eastAsia="宋体" w:hint="default"/>
                <w:sz w:val="18"/>
                <w:szCs w:val="18"/>
              </w:rPr>
              <w:t>严格符 合监管</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366.22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7"/>
              <w:jc w:val="left"/>
              <w:rPr>
                <w:rFonts w:ascii="宋体" w:hAnsi="宋体" w:cs="宋体" w:eastAsia="宋体" w:hint="default"/>
                <w:sz w:val="18"/>
                <w:szCs w:val="18"/>
              </w:rPr>
            </w:pPr>
            <w:r>
              <w:rPr>
                <w:rFonts w:ascii="宋体" w:hAnsi="宋体" w:cs="宋体" w:eastAsia="宋体" w:hint="default"/>
                <w:sz w:val="18"/>
                <w:szCs w:val="18"/>
              </w:rPr>
              <w:t>中国证 券报、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597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股东的 控股股 东方及 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供劳务</w:t>
            </w: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上海证 券报、 证券时 报、证 券日报 及巨潮 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中国银联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东方及 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31"/>
              <w:jc w:val="left"/>
              <w:rPr>
                <w:rFonts w:ascii="宋体" w:hAnsi="宋体" w:cs="宋体" w:eastAsia="宋体" w:hint="default"/>
                <w:sz w:val="18"/>
                <w:szCs w:val="18"/>
              </w:rPr>
            </w:pPr>
            <w:r>
              <w:rPr>
                <w:rFonts w:ascii="宋体" w:hAnsi="宋体" w:cs="宋体" w:eastAsia="宋体" w:hint="default"/>
                <w:sz w:val="18"/>
                <w:szCs w:val="18"/>
              </w:rPr>
              <w:t>移动信 息服务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2"/>
                <w:sz w:val="18"/>
              </w:rPr>
              <w:t>11.09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4" w:right="0"/>
              <w:jc w:val="center"/>
              <w:rPr>
                <w:rFonts w:ascii="Times New Roman" w:hAnsi="Times New Roman" w:cs="Times New Roman" w:eastAsia="Times New Roman" w:hint="default"/>
                <w:sz w:val="18"/>
                <w:szCs w:val="18"/>
              </w:rPr>
            </w:pPr>
            <w:r>
              <w:rPr>
                <w:rFonts w:ascii="Times New Roman"/>
                <w:sz w:val="18"/>
              </w:rPr>
              <w:t>0.05%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中国银联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东方及 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微信营 销</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4.72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center"/>
              <w:rPr>
                <w:rFonts w:ascii="Times New Roman" w:hAnsi="Times New Roman" w:cs="Times New Roman" w:eastAsia="Times New Roman" w:hint="default"/>
                <w:sz w:val="18"/>
                <w:szCs w:val="18"/>
              </w:rPr>
            </w:pPr>
            <w:r>
              <w:rPr>
                <w:rFonts w:ascii="Times New Roman"/>
                <w:sz w:val="18"/>
              </w:rPr>
              <w:t>30.67%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银联智惠 信息服务</w:t>
            </w:r>
          </w:p>
          <w:p>
            <w:pPr>
              <w:pStyle w:val="TableParagraph"/>
              <w:spacing w:line="319"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东方的 三级子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大数据 业务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63.39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4" w:right="0"/>
              <w:jc w:val="center"/>
              <w:rPr>
                <w:rFonts w:ascii="Times New Roman" w:hAnsi="Times New Roman" w:cs="Times New Roman" w:eastAsia="Times New Roman" w:hint="default"/>
                <w:sz w:val="18"/>
                <w:szCs w:val="18"/>
              </w:rPr>
            </w:pPr>
            <w:r>
              <w:rPr>
                <w:rFonts w:ascii="Times New Roman"/>
                <w:sz w:val="18"/>
              </w:rPr>
              <w:t>0.65%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4107"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移动信 息服务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1.22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31"/>
              <w:jc w:val="left"/>
              <w:rPr>
                <w:rFonts w:ascii="宋体" w:hAnsi="宋体" w:cs="宋体" w:eastAsia="宋体" w:hint="default"/>
                <w:sz w:val="18"/>
                <w:szCs w:val="18"/>
              </w:rPr>
            </w:pPr>
            <w:r>
              <w:rPr>
                <w:rFonts w:ascii="宋体" w:hAnsi="宋体" w:cs="宋体" w:eastAsia="宋体" w:hint="default"/>
                <w:sz w:val="18"/>
                <w:szCs w:val="18"/>
              </w:rPr>
              <w:t>大数据 业务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126.88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z w:val="18"/>
              </w:rPr>
              <w:t>1.29%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2,600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于全资 子公司 与中国 银联及 银联商 务日常 关联交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北京创世</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其他关</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移动信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严格符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银行转</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223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漫道科技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w:t>
            </w: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42,700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公司报告期不存在托管情况。</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54"/>
              <w:jc w:val="left"/>
              <w:rPr>
                <w:rFonts w:ascii="宋体" w:hAnsi="宋体" w:cs="宋体" w:eastAsia="宋体" w:hint="default"/>
                <w:sz w:val="18"/>
                <w:szCs w:val="18"/>
              </w:rPr>
            </w:pPr>
            <w:r>
              <w:rPr>
                <w:rFonts w:ascii="宋体" w:hAnsi="宋体" w:cs="宋体" w:eastAsia="宋体" w:hint="default"/>
                <w:sz w:val="18"/>
                <w:szCs w:val="18"/>
              </w:rPr>
              <w:t>湖北海立美达汽车有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98"/>
        <w:gridCol w:w="910"/>
        <w:gridCol w:w="923"/>
        <w:gridCol w:w="1316"/>
        <w:gridCol w:w="1041"/>
        <w:gridCol w:w="1046"/>
        <w:gridCol w:w="1053"/>
        <w:gridCol w:w="786"/>
        <w:gridCol w:w="790"/>
      </w:tblGrid>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68,000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38,050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vMerge/>
            <w:tcBorders>
              <w:left w:val="single" w:sz="4" w:space="0" w:color="000000"/>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宁波泰鸿冲压件有限 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2,500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3" w:right="0"/>
              <w:jc w:val="left"/>
              <w:rPr>
                <w:rFonts w:ascii="Times New Roman" w:hAnsi="Times New Roman" w:cs="Times New Roman" w:eastAsia="Times New Roman" w:hint="default"/>
                <w:sz w:val="18"/>
                <w:szCs w:val="18"/>
              </w:rPr>
            </w:pPr>
            <w:r>
              <w:rPr>
                <w:rFonts w:ascii="Times New Roman"/>
                <w:sz w:val="18"/>
              </w:rPr>
              <w:t>2,500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0"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68,000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40,550</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70,500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40,550</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643,192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643,192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5" w:space="2464"/>
            <w:col w:w="219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84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center"/>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资券、 中期 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等债 券和 货币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Times New Roman" w:hAnsi="Times New Roman" w:cs="Times New Roman" w:eastAsia="Times New Roman" w:hint="default"/>
                <w:sz w:val="18"/>
                <w:szCs w:val="18"/>
              </w:rPr>
            </w:pPr>
            <w:r>
              <w:rPr>
                <w:rFonts w:ascii="Times New Roman"/>
                <w:sz w:val="18"/>
              </w:rPr>
              <w:t>168.93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Times New Roman" w:hAnsi="Times New Roman" w:cs="Times New Roman" w:eastAsia="Times New Roman" w:hint="default"/>
                <w:sz w:val="18"/>
                <w:szCs w:val="18"/>
              </w:rPr>
            </w:pPr>
            <w:r>
              <w:rPr>
                <w:rFonts w:ascii="Times New Roman"/>
                <w:sz w:val="18"/>
              </w:rPr>
              <w:t>168.93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购买 银行 理财 产品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市场 工具 类资 </w:t>
            </w:r>
            <w:r>
              <w:rPr>
                <w:rFonts w:ascii="宋体" w:hAnsi="宋体" w:cs="宋体" w:eastAsia="宋体" w:hint="default"/>
                <w:spacing w:val="-12"/>
                <w:sz w:val="18"/>
                <w:szCs w:val="18"/>
              </w:rPr>
              <w:t>产，债</w:t>
            </w:r>
            <w:r>
              <w:rPr>
                <w:rFonts w:ascii="宋体" w:hAnsi="宋体" w:cs="宋体" w:eastAsia="宋体" w:hint="default"/>
                <w:sz w:val="18"/>
                <w:szCs w:val="18"/>
              </w:rPr>
              <w:t> 权类 资产， 以及 其他 符合 监管 要求 的资 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6-130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1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67"/>
              <w:jc w:val="both"/>
              <w:rPr>
                <w:rFonts w:ascii="宋体" w:hAnsi="宋体" w:cs="宋体" w:eastAsia="宋体" w:hint="default"/>
                <w:sz w:val="18"/>
                <w:szCs w:val="18"/>
              </w:rPr>
            </w:pPr>
            <w:r>
              <w:rPr>
                <w:rFonts w:ascii="宋体" w:hAnsi="宋体" w:cs="宋体" w:eastAsia="宋体" w:hint="default"/>
                <w:sz w:val="18"/>
                <w:szCs w:val="18"/>
              </w:rPr>
              <w:t>投资 于多 家银 行同 业存 款等 符合 监管 机构 要求 的其 他投 资工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48.07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z w:val="18"/>
              </w:rPr>
              <w:t>48.07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购买 银行 理财 产品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6-130</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中国 建设</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募投</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投资 于多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中国 证券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4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家银 行同 业存 款等 符合 监管 机构 要求 的其 他投 资工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5"/>
              <w:jc w:val="left"/>
              <w:rPr>
                <w:rFonts w:ascii="宋体" w:hAnsi="宋体" w:cs="宋体" w:eastAsia="宋体" w:hint="default"/>
                <w:sz w:val="18"/>
                <w:szCs w:val="18"/>
              </w:rPr>
            </w:pP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购买 银行 理财 产品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6-130</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银行 采用 类</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CPPI</w:t>
            </w:r>
          </w:p>
          <w:p>
            <w:pPr>
              <w:pStyle w:val="TableParagraph"/>
              <w:spacing w:line="316" w:lineRule="auto" w:before="65"/>
              <w:ind w:left="22" w:right="21"/>
              <w:jc w:val="left"/>
              <w:rPr>
                <w:rFonts w:ascii="宋体" w:hAnsi="宋体" w:cs="宋体" w:eastAsia="宋体" w:hint="default"/>
                <w:sz w:val="18"/>
                <w:szCs w:val="18"/>
              </w:rPr>
            </w:pPr>
            <w:r>
              <w:rPr>
                <w:rFonts w:ascii="宋体" w:hAnsi="宋体" w:cs="宋体" w:eastAsia="宋体" w:hint="default"/>
                <w:sz w:val="18"/>
                <w:szCs w:val="18"/>
              </w:rPr>
              <w:t>的保 本投 资策 略或 其他 低风 险投 资策 </w:t>
            </w:r>
            <w:r>
              <w:rPr>
                <w:rFonts w:ascii="宋体" w:hAnsi="宋体" w:cs="宋体" w:eastAsia="宋体" w:hint="default"/>
                <w:spacing w:val="-12"/>
                <w:sz w:val="18"/>
                <w:szCs w:val="18"/>
              </w:rPr>
              <w:t>略，将</w:t>
            </w:r>
            <w:r>
              <w:rPr>
                <w:rFonts w:ascii="宋体" w:hAnsi="宋体" w:cs="宋体" w:eastAsia="宋体" w:hint="default"/>
                <w:sz w:val="18"/>
                <w:szCs w:val="18"/>
              </w:rPr>
              <w:t> 资金 投资 于经 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88.38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88.38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有权 人审 批过 的类 固定 收益 产品 中。</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募集 资金 购买 银行 理财 产品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6-130</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1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银行 采用 类</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CPPI</w:t>
            </w:r>
          </w:p>
          <w:p>
            <w:pPr>
              <w:pStyle w:val="TableParagraph"/>
              <w:spacing w:line="316" w:lineRule="auto" w:before="65"/>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的保 本投 资策 略或 其他 低风 险投 资策 </w:t>
            </w:r>
            <w:r>
              <w:rPr>
                <w:rFonts w:ascii="宋体" w:hAnsi="宋体" w:cs="宋体" w:eastAsia="宋体" w:hint="default"/>
                <w:spacing w:val="-12"/>
                <w:sz w:val="18"/>
                <w:szCs w:val="18"/>
              </w:rPr>
              <w:t>略，将</w:t>
            </w:r>
            <w:r>
              <w:rPr>
                <w:rFonts w:ascii="宋体" w:hAnsi="宋体" w:cs="宋体" w:eastAsia="宋体" w:hint="default"/>
                <w:sz w:val="18"/>
                <w:szCs w:val="18"/>
              </w:rPr>
              <w:t> 资金 投资 于经 银行 有权 人审 批过 的类 固定 收益 产品 中。</w:t>
            </w:r>
            <w:r>
              <w:rPr>
                <w:rFonts w:ascii="Times New Roman" w:hAnsi="Times New Roman" w:cs="Times New Roman" w:eastAsia="Times New Roman" w:hint="default"/>
                <w:sz w:val="18"/>
                <w:szCs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center"/>
              <w:rPr>
                <w:rFonts w:ascii="Times New Roman" w:hAnsi="Times New Roman" w:cs="Times New Roman" w:eastAsia="Times New Roman" w:hint="default"/>
                <w:sz w:val="18"/>
                <w:szCs w:val="18"/>
              </w:rPr>
            </w:pPr>
            <w:r>
              <w:rPr>
                <w:rFonts w:ascii="Times New Roman"/>
                <w:sz w:val="18"/>
              </w:rPr>
              <w:t>29.93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center"/>
              <w:rPr>
                <w:rFonts w:ascii="Times New Roman" w:hAnsi="Times New Roman" w:cs="Times New Roman" w:eastAsia="Times New Roman" w:hint="default"/>
                <w:sz w:val="18"/>
                <w:szCs w:val="18"/>
              </w:rPr>
            </w:pPr>
            <w:r>
              <w:rPr>
                <w:rFonts w:ascii="Times New Roman"/>
                <w:sz w:val="18"/>
              </w:rPr>
              <w:t>29.93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购买 银行 理财 产品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6-130</w:t>
            </w:r>
          </w:p>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中国 建设 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38.45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38.45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06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股份 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9"/>
              <w:jc w:val="both"/>
              <w:rPr>
                <w:rFonts w:ascii="宋体" w:hAnsi="宋体" w:cs="宋体" w:eastAsia="宋体" w:hint="default"/>
                <w:sz w:val="18"/>
                <w:szCs w:val="18"/>
              </w:rPr>
            </w:pPr>
            <w:r>
              <w:rPr>
                <w:rFonts w:ascii="宋体" w:hAnsi="宋体" w:cs="宋体" w:eastAsia="宋体" w:hint="default"/>
                <w:sz w:val="18"/>
                <w:szCs w:val="18"/>
              </w:rPr>
              <w:t>青岛 市分 行</w:t>
            </w:r>
            <w:r>
              <w:rPr>
                <w:rFonts w:ascii="Times New Roman" w:hAnsi="Times New Roman" w:cs="Times New Roman" w:eastAsia="Times New Roman" w:hint="default"/>
                <w:sz w:val="18"/>
                <w:szCs w:val="18"/>
              </w:rPr>
              <w:t>“</w:t>
            </w:r>
            <w:r>
              <w:rPr>
                <w:rFonts w:ascii="宋体" w:hAnsi="宋体" w:cs="宋体" w:eastAsia="宋体" w:hint="default"/>
                <w:sz w:val="18"/>
                <w:szCs w:val="18"/>
              </w:rPr>
              <w:t>乾</w:t>
            </w: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保 本型 人民 币理 财产 品将 在中 国建 设银 行指 定多 家下 属分 支机 构销 </w:t>
            </w:r>
            <w:r>
              <w:rPr>
                <w:rFonts w:ascii="宋体" w:hAnsi="宋体" w:cs="宋体" w:eastAsia="宋体" w:hint="default"/>
                <w:spacing w:val="-12"/>
                <w:sz w:val="18"/>
                <w:szCs w:val="18"/>
              </w:rPr>
              <w:t>售，本</w:t>
            </w:r>
            <w:r>
              <w:rPr>
                <w:rFonts w:ascii="宋体" w:hAnsi="宋体" w:cs="宋体" w:eastAsia="宋体" w:hint="default"/>
                <w:sz w:val="18"/>
                <w:szCs w:val="18"/>
              </w:rPr>
              <w:t> 期产 品募 集资 金投 资于 同业 存款 等符 合监 管机 构要 求的 其他 投资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海证 券报、 证券 时报、 证券 日报 及巨 潮资 讯网 上的 关于 本公 司及 联动 优势 电子 商务 有限 公司 使用 部分 闲置 募集 资金 购买 银行 理财 产品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7-008</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中国 建设 银行 青岛 市分 行</w:t>
            </w:r>
            <w:r>
              <w:rPr>
                <w:rFonts w:ascii="Times New Roman" w:hAnsi="Times New Roman" w:cs="Times New Roman" w:eastAsia="Times New Roman" w:hint="default"/>
                <w:sz w:val="18"/>
                <w:szCs w:val="18"/>
              </w:rPr>
              <w:t>“</w:t>
            </w:r>
            <w:r>
              <w:rPr>
                <w:rFonts w:ascii="宋体" w:hAnsi="宋体" w:cs="宋体" w:eastAsia="宋体" w:hint="default"/>
                <w:sz w:val="18"/>
                <w:szCs w:val="18"/>
              </w:rPr>
              <w:t>乾</w:t>
            </w:r>
          </w:p>
          <w:p>
            <w:pPr>
              <w:pStyle w:val="TableParagraph"/>
              <w:spacing w:line="312" w:lineRule="auto"/>
              <w:ind w:left="22" w:right="86"/>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保 本型 人民 币理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292.55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292.55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4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财产 品将 在中 国建 设银 行指 定多 家下 属分 支机 构销 </w:t>
            </w:r>
            <w:r>
              <w:rPr>
                <w:rFonts w:ascii="宋体" w:hAnsi="宋体" w:cs="宋体" w:eastAsia="宋体" w:hint="default"/>
                <w:spacing w:val="-12"/>
                <w:sz w:val="18"/>
                <w:szCs w:val="18"/>
              </w:rPr>
              <w:t>售，本</w:t>
            </w:r>
            <w:r>
              <w:rPr>
                <w:rFonts w:ascii="宋体" w:hAnsi="宋体" w:cs="宋体" w:eastAsia="宋体" w:hint="default"/>
                <w:sz w:val="18"/>
                <w:szCs w:val="18"/>
              </w:rPr>
              <w:t> 期产 品募 集资 金投 资于 同业 存款 等符 合监 管机 构要 求的 其他 投资 工具。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潮资 讯网 上的 关于 本公 司及 联动 优势 电子 商务 有限 公司 使用 部分 闲置 募集 资金 购买 银行 理财 产品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7-008</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品募 集资 金投 资于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资券、 中期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10.58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等债 券和 货币 市场 工具 类资 </w:t>
            </w:r>
            <w:r>
              <w:rPr>
                <w:rFonts w:ascii="宋体" w:hAnsi="宋体" w:cs="宋体" w:eastAsia="宋体" w:hint="default"/>
                <w:spacing w:val="-12"/>
                <w:sz w:val="18"/>
                <w:szCs w:val="18"/>
              </w:rPr>
              <w:t>产，债</w:t>
            </w:r>
            <w:r>
              <w:rPr>
                <w:rFonts w:ascii="宋体" w:hAnsi="宋体" w:cs="宋体" w:eastAsia="宋体" w:hint="default"/>
                <w:sz w:val="18"/>
                <w:szCs w:val="18"/>
              </w:rPr>
              <w:t> 权类 资产， 以及 其他 符合 监管 要求 的资 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募集 资金 购买 银行 理财 产品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7-011</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37" w:right="0"/>
              <w:jc w:val="left"/>
              <w:rPr>
                <w:rFonts w:ascii="Times New Roman" w:hAnsi="Times New Roman" w:cs="Times New Roman" w:eastAsia="Times New Roman" w:hint="default"/>
                <w:sz w:val="18"/>
                <w:szCs w:val="18"/>
              </w:rPr>
            </w:pPr>
            <w:r>
              <w:rPr>
                <w:rFonts w:ascii="Times New Roman"/>
                <w:sz w:val="18"/>
              </w:rPr>
              <w:t>2,800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1"/>
              <w:jc w:val="left"/>
              <w:rPr>
                <w:rFonts w:ascii="宋体" w:hAnsi="宋体" w:cs="宋体" w:eastAsia="宋体" w:hint="default"/>
                <w:sz w:val="18"/>
                <w:szCs w:val="18"/>
              </w:rPr>
            </w:pPr>
            <w:r>
              <w:rPr>
                <w:rFonts w:ascii="宋体" w:hAnsi="宋体" w:cs="宋体" w:eastAsia="宋体" w:hint="default"/>
                <w:sz w:val="18"/>
                <w:szCs w:val="18"/>
              </w:rPr>
              <w:t>货币 基金、 同业 存放、 银行 理财 产品 及其 他资 产管 理产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3" w:right="0"/>
              <w:jc w:val="left"/>
              <w:rPr>
                <w:rFonts w:ascii="Times New Roman" w:hAnsi="Times New Roman" w:cs="Times New Roman" w:eastAsia="Times New Roman" w:hint="default"/>
                <w:sz w:val="18"/>
                <w:szCs w:val="18"/>
              </w:rPr>
            </w:pPr>
            <w:r>
              <w:rPr>
                <w:rFonts w:ascii="Times New Roman"/>
                <w:sz w:val="18"/>
              </w:rPr>
              <w:t>3.63%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9" w:right="0"/>
              <w:jc w:val="left"/>
              <w:rPr>
                <w:rFonts w:ascii="Times New Roman" w:hAnsi="Times New Roman" w:cs="Times New Roman" w:eastAsia="Times New Roman" w:hint="default"/>
                <w:sz w:val="18"/>
                <w:szCs w:val="18"/>
              </w:rPr>
            </w:pPr>
            <w:r>
              <w:rPr>
                <w:rFonts w:ascii="Times New Roman"/>
                <w:sz w:val="18"/>
              </w:rPr>
              <w:t>11.88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9" w:right="0"/>
              <w:jc w:val="left"/>
              <w:rPr>
                <w:rFonts w:ascii="Times New Roman" w:hAnsi="Times New Roman" w:cs="Times New Roman" w:eastAsia="Times New Roman" w:hint="default"/>
                <w:sz w:val="18"/>
                <w:szCs w:val="18"/>
              </w:rPr>
            </w:pPr>
            <w:r>
              <w:rPr>
                <w:rFonts w:ascii="Times New Roman"/>
                <w:sz w:val="18"/>
              </w:rPr>
              <w:t>11.88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闲置 自有 资金 购买 保本 型银 行理 财产 品的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7-016</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4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据、 企业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 逆回 </w:t>
            </w:r>
            <w:r>
              <w:rPr>
                <w:rFonts w:ascii="宋体" w:hAnsi="宋体" w:cs="宋体" w:eastAsia="宋体" w:hint="default"/>
                <w:spacing w:val="-12"/>
                <w:sz w:val="18"/>
                <w:szCs w:val="18"/>
              </w:rPr>
              <w:t>购、资</w:t>
            </w:r>
            <w:r>
              <w:rPr>
                <w:rFonts w:ascii="宋体" w:hAnsi="宋体" w:cs="宋体" w:eastAsia="宋体" w:hint="default"/>
                <w:sz w:val="18"/>
                <w:szCs w:val="18"/>
              </w:rPr>
              <w:t> 金拆 </w:t>
            </w:r>
            <w:r>
              <w:rPr>
                <w:rFonts w:ascii="宋体" w:hAnsi="宋体" w:cs="宋体" w:eastAsia="宋体" w:hint="default"/>
                <w:spacing w:val="-12"/>
                <w:sz w:val="18"/>
                <w:szCs w:val="18"/>
              </w:rPr>
              <w:t>借、存</w:t>
            </w:r>
            <w:r>
              <w:rPr>
                <w:rFonts w:ascii="宋体" w:hAnsi="宋体" w:cs="宋体" w:eastAsia="宋体" w:hint="default"/>
                <w:sz w:val="18"/>
                <w:szCs w:val="18"/>
              </w:rPr>
              <w:t> 放同 业等 债券 和货 币市 场工 具类</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184.54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184.54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本公 司及 联动 优势 科技 有限 公司 使用 部分 闲置 自有 资金 和募 集资 金进 行现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金管 理的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7-019</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4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伦敦 同业 市场 美元 三个 月期 限拆 借利 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自有 资金 和募 集资 金进 行现 金管 理的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7-025</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国债、 金融 </w:t>
            </w:r>
            <w:r>
              <w:rPr>
                <w:rFonts w:ascii="宋体" w:hAnsi="宋体" w:cs="宋体" w:eastAsia="宋体" w:hint="default"/>
                <w:spacing w:val="-12"/>
                <w:sz w:val="18"/>
                <w:szCs w:val="18"/>
              </w:rPr>
              <w:t>债、央</w:t>
            </w:r>
            <w:r>
              <w:rPr>
                <w:rFonts w:ascii="宋体" w:hAnsi="宋体" w:cs="宋体" w:eastAsia="宋体" w:hint="default"/>
                <w:sz w:val="18"/>
                <w:szCs w:val="18"/>
              </w:rPr>
              <w:t> 行票</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141.43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141.43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12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据、 企业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 逆回 </w:t>
            </w:r>
            <w:r>
              <w:rPr>
                <w:rFonts w:ascii="宋体" w:hAnsi="宋体" w:cs="宋体" w:eastAsia="宋体" w:hint="default"/>
                <w:spacing w:val="-12"/>
                <w:sz w:val="18"/>
                <w:szCs w:val="18"/>
              </w:rPr>
              <w:t>购、资</w:t>
            </w:r>
            <w:r>
              <w:rPr>
                <w:rFonts w:ascii="宋体" w:hAnsi="宋体" w:cs="宋体" w:eastAsia="宋体" w:hint="default"/>
                <w:sz w:val="18"/>
                <w:szCs w:val="18"/>
              </w:rPr>
              <w:t> 金拆 </w:t>
            </w:r>
            <w:r>
              <w:rPr>
                <w:rFonts w:ascii="宋体" w:hAnsi="宋体" w:cs="宋体" w:eastAsia="宋体" w:hint="default"/>
                <w:spacing w:val="-12"/>
                <w:sz w:val="18"/>
                <w:szCs w:val="18"/>
              </w:rPr>
              <w:t>借、存</w:t>
            </w:r>
            <w:r>
              <w:rPr>
                <w:rFonts w:ascii="宋体" w:hAnsi="宋体" w:cs="宋体" w:eastAsia="宋体" w:hint="default"/>
                <w:sz w:val="18"/>
                <w:szCs w:val="18"/>
              </w:rPr>
              <w:t> 放同 业等 债券 和货 币市 场工 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券报、 证券 时报、 证券 日报 及巨 潮资 讯网 上的 关于 使用 部分 闲置 自有 资金 和募 集资 金进 行现 金管 理的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7-025</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47" w:right="0"/>
              <w:jc w:val="left"/>
              <w:rPr>
                <w:rFonts w:ascii="Times New Roman" w:hAnsi="Times New Roman" w:cs="Times New Roman" w:eastAsia="Times New Roman" w:hint="default"/>
                <w:sz w:val="18"/>
                <w:szCs w:val="18"/>
              </w:rPr>
            </w:pPr>
            <w:r>
              <w:rPr>
                <w:rFonts w:ascii="Times New Roman"/>
                <w:sz w:val="18"/>
              </w:rPr>
              <w:t>29,000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同业 存款 等符 合监 管机 构要 求的 其他</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3" w:right="0"/>
              <w:jc w:val="left"/>
              <w:rPr>
                <w:rFonts w:ascii="Times New Roman" w:hAnsi="Times New Roman" w:cs="Times New Roman" w:eastAsia="Times New Roman" w:hint="default"/>
                <w:sz w:val="18"/>
                <w:szCs w:val="18"/>
              </w:rPr>
            </w:pPr>
            <w:r>
              <w:rPr>
                <w:rFonts w:ascii="Times New Roman"/>
                <w:sz w:val="18"/>
              </w:rPr>
              <w:t>254.32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3" w:right="0"/>
              <w:jc w:val="left"/>
              <w:rPr>
                <w:rFonts w:ascii="Times New Roman" w:hAnsi="Times New Roman" w:cs="Times New Roman" w:eastAsia="Times New Roman" w:hint="default"/>
                <w:sz w:val="18"/>
                <w:szCs w:val="18"/>
              </w:rPr>
            </w:pPr>
            <w:r>
              <w:rPr>
                <w:rFonts w:ascii="Times New Roman"/>
                <w:sz w:val="18"/>
              </w:rPr>
              <w:t>254.32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29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投资 工具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日报 及巨 潮资 讯网 上的 关于 使用 部分 闲置 募集 资金 购买 银行 理财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7-045</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75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7" w:right="0"/>
              <w:jc w:val="lef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品募 集资 金投 资于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63" w:right="0"/>
              <w:jc w:val="left"/>
              <w:rPr>
                <w:rFonts w:ascii="Times New Roman" w:hAnsi="Times New Roman" w:cs="Times New Roman" w:eastAsia="Times New Roman" w:hint="default"/>
                <w:sz w:val="18"/>
                <w:szCs w:val="18"/>
              </w:rPr>
            </w:pPr>
            <w:r>
              <w:rPr>
                <w:rFonts w:ascii="Times New Roman"/>
                <w:sz w:val="18"/>
              </w:rPr>
              <w:t>2.60%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23" w:right="0"/>
              <w:jc w:val="left"/>
              <w:rPr>
                <w:rFonts w:ascii="Times New Roman" w:hAnsi="Times New Roman" w:cs="Times New Roman" w:eastAsia="Times New Roman" w:hint="default"/>
                <w:sz w:val="18"/>
                <w:szCs w:val="18"/>
              </w:rPr>
            </w:pPr>
            <w:r>
              <w:rPr>
                <w:rFonts w:ascii="Times New Roman"/>
                <w:sz w:val="18"/>
              </w:rPr>
              <w:t>15.55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23" w:right="0"/>
              <w:jc w:val="left"/>
              <w:rPr>
                <w:rFonts w:ascii="Times New Roman" w:hAnsi="Times New Roman" w:cs="Times New Roman" w:eastAsia="Times New Roman" w:hint="default"/>
                <w:sz w:val="18"/>
                <w:szCs w:val="18"/>
              </w:rPr>
            </w:pPr>
            <w:r>
              <w:rPr>
                <w:rFonts w:ascii="Times New Roman"/>
                <w:sz w:val="18"/>
              </w:rPr>
              <w:t>15.55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购买 银行 理财 的进 展公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逆回 购、 资金 拆借、 存放 同业 等债 券和 货币 市场 工具 类资 </w:t>
            </w:r>
            <w:r>
              <w:rPr>
                <w:rFonts w:ascii="宋体" w:hAnsi="宋体" w:cs="宋体" w:eastAsia="宋体" w:hint="default"/>
                <w:spacing w:val="-12"/>
                <w:sz w:val="18"/>
                <w:szCs w:val="18"/>
              </w:rPr>
              <w:t>产，债</w:t>
            </w:r>
            <w:r>
              <w:rPr>
                <w:rFonts w:ascii="宋体" w:hAnsi="宋体" w:cs="宋体" w:eastAsia="宋体" w:hint="default"/>
                <w:sz w:val="18"/>
                <w:szCs w:val="18"/>
              </w:rPr>
              <w:t> 权类 资产， 以及 其他 符合 监管 要求 的资 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7-047</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同业 存款 等符 合监 管机 构要 求的 其他 投资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172.24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172.24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及自 有资 金进</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行现 金管 理的 进展 公告</w:t>
            </w:r>
          </w:p>
          <w:p>
            <w:pPr>
              <w:pStyle w:val="TableParagraph"/>
              <w:spacing w:line="338" w:lineRule="auto" w:before="17"/>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7-061</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62" w:lineRule="auto"/>
              <w:ind w:left="22" w:right="7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L IBOR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11.63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11.63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及自 有资 金进 行现 金管 理的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7-061</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青岛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在全 国银 行间 市场 投资 质押</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11.39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11.39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54"/>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式回 购等 货币 市场 工具、 国债、 央行 票据、 政策 性金 融债、 商业 银行 金融 </w:t>
            </w:r>
            <w:r>
              <w:rPr>
                <w:rFonts w:ascii="宋体" w:hAnsi="宋体" w:cs="宋体" w:eastAsia="宋体" w:hint="default"/>
                <w:spacing w:val="-12"/>
                <w:sz w:val="18"/>
                <w:szCs w:val="18"/>
              </w:rPr>
              <w:t>债（含</w:t>
            </w:r>
            <w:r>
              <w:rPr>
                <w:rFonts w:ascii="宋体" w:hAnsi="宋体" w:cs="宋体" w:eastAsia="宋体" w:hint="default"/>
                <w:sz w:val="18"/>
                <w:szCs w:val="18"/>
              </w:rPr>
              <w:t> 次级 </w:t>
            </w:r>
            <w:r>
              <w:rPr>
                <w:rFonts w:ascii="宋体" w:hAnsi="宋体" w:cs="宋体" w:eastAsia="宋体" w:hint="default"/>
                <w:spacing w:val="-12"/>
                <w:sz w:val="18"/>
                <w:szCs w:val="18"/>
              </w:rPr>
              <w:t>债、混</w:t>
            </w:r>
            <w:r>
              <w:rPr>
                <w:rFonts w:ascii="宋体" w:hAnsi="宋体" w:cs="宋体" w:eastAsia="宋体" w:hint="default"/>
                <w:sz w:val="18"/>
                <w:szCs w:val="18"/>
              </w:rPr>
              <w:t> 合资 本债 </w:t>
            </w:r>
            <w:r>
              <w:rPr>
                <w:rFonts w:ascii="宋体" w:hAnsi="宋体" w:cs="宋体" w:eastAsia="宋体" w:hint="default"/>
                <w:spacing w:val="-30"/>
                <w:sz w:val="18"/>
                <w:szCs w:val="18"/>
              </w:rPr>
              <w:t>等）、</w:t>
            </w:r>
            <w:r>
              <w:rPr>
                <w:rFonts w:ascii="宋体" w:hAnsi="宋体" w:cs="宋体" w:eastAsia="宋体" w:hint="default"/>
                <w:sz w:val="18"/>
                <w:szCs w:val="18"/>
              </w:rPr>
              <w:t> 超短 期融 资券、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据、中</w:t>
            </w:r>
            <w:r>
              <w:rPr>
                <w:rFonts w:ascii="宋体" w:hAnsi="宋体" w:cs="宋体" w:eastAsia="宋体" w:hint="default"/>
                <w:sz w:val="18"/>
                <w:szCs w:val="18"/>
              </w:rPr>
              <w:t> 小企 业集 合票 </w:t>
            </w:r>
            <w:r>
              <w:rPr>
                <w:rFonts w:ascii="宋体" w:hAnsi="宋体" w:cs="宋体" w:eastAsia="宋体" w:hint="default"/>
                <w:spacing w:val="-12"/>
                <w:sz w:val="18"/>
                <w:szCs w:val="18"/>
              </w:rPr>
              <w:t>据、定</w:t>
            </w:r>
            <w:r>
              <w:rPr>
                <w:rFonts w:ascii="宋体" w:hAnsi="宋体" w:cs="宋体" w:eastAsia="宋体" w:hint="default"/>
                <w:sz w:val="18"/>
                <w:szCs w:val="18"/>
              </w:rPr>
              <w:t> 向工 </w:t>
            </w:r>
            <w:r>
              <w:rPr>
                <w:rFonts w:ascii="宋体" w:hAnsi="宋体" w:cs="宋体" w:eastAsia="宋体" w:hint="default"/>
                <w:spacing w:val="-12"/>
                <w:sz w:val="18"/>
                <w:szCs w:val="18"/>
              </w:rPr>
              <w:t>具、资</w:t>
            </w:r>
            <w:r>
              <w:rPr>
                <w:rFonts w:ascii="宋体" w:hAnsi="宋体" w:cs="宋体" w:eastAsia="宋体" w:hint="default"/>
                <w:sz w:val="18"/>
                <w:szCs w:val="18"/>
              </w:rPr>
              <w:t> 产支 持证 </w:t>
            </w:r>
            <w:r>
              <w:rPr>
                <w:rFonts w:ascii="宋体" w:hAnsi="宋体" w:cs="宋体" w:eastAsia="宋体" w:hint="default"/>
                <w:spacing w:val="-12"/>
                <w:sz w:val="18"/>
                <w:szCs w:val="18"/>
              </w:rPr>
              <w:t>券、企</w:t>
            </w:r>
            <w:r>
              <w:rPr>
                <w:rFonts w:ascii="宋体" w:hAnsi="宋体" w:cs="宋体" w:eastAsia="宋体" w:hint="default"/>
                <w:sz w:val="18"/>
                <w:szCs w:val="18"/>
              </w:rPr>
              <w:t> 业债 等以 及符 合条 件的 信托 计划、</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时报、 证券 日报 及巨 潮资 讯网 上的 关于 使用 部分 闲置 自有 资金 购买 银行 理财 产品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7-064</w:t>
            </w:r>
          </w:p>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21"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信托 受益 </w:t>
            </w:r>
            <w:r>
              <w:rPr>
                <w:rFonts w:ascii="宋体" w:hAnsi="宋体" w:cs="宋体" w:eastAsia="宋体" w:hint="default"/>
                <w:spacing w:val="-12"/>
                <w:sz w:val="18"/>
                <w:szCs w:val="18"/>
              </w:rPr>
              <w:t>权、买</w:t>
            </w:r>
            <w:r>
              <w:rPr>
                <w:rFonts w:ascii="宋体" w:hAnsi="宋体" w:cs="宋体" w:eastAsia="宋体" w:hint="default"/>
                <w:sz w:val="18"/>
                <w:szCs w:val="18"/>
              </w:rPr>
              <w:t> 入返 售金 融资 </w:t>
            </w:r>
            <w:r>
              <w:rPr>
                <w:rFonts w:ascii="宋体" w:hAnsi="宋体" w:cs="宋体" w:eastAsia="宋体" w:hint="default"/>
                <w:spacing w:val="-12"/>
                <w:sz w:val="18"/>
                <w:szCs w:val="18"/>
              </w:rPr>
              <w:t>产、券</w:t>
            </w:r>
            <w:r>
              <w:rPr>
                <w:rFonts w:ascii="宋体" w:hAnsi="宋体" w:cs="宋体" w:eastAsia="宋体" w:hint="default"/>
                <w:sz w:val="18"/>
                <w:szCs w:val="18"/>
              </w:rPr>
              <w:t> 商定 向资 产管 理计 划。</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47" w:right="0"/>
              <w:jc w:val="left"/>
              <w:rPr>
                <w:rFonts w:ascii="Times New Roman" w:hAnsi="Times New Roman" w:cs="Times New Roman" w:eastAsia="Times New Roman" w:hint="default"/>
                <w:sz w:val="18"/>
                <w:szCs w:val="18"/>
              </w:rPr>
            </w:pPr>
            <w:r>
              <w:rPr>
                <w:rFonts w:ascii="Times New Roman"/>
                <w:sz w:val="18"/>
              </w:rPr>
              <w:t>20,198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品募 集资 金投 资于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资券、 中期 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权逆 回购、 资金 拆借、 存放 同业 等债 券和 货币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3" w:right="0"/>
              <w:jc w:val="left"/>
              <w:rPr>
                <w:rFonts w:ascii="Times New Roman" w:hAnsi="Times New Roman" w:cs="Times New Roman" w:eastAsia="Times New Roman" w:hint="default"/>
                <w:sz w:val="18"/>
                <w:szCs w:val="18"/>
              </w:rPr>
            </w:pPr>
            <w:r>
              <w:rPr>
                <w:rFonts w:ascii="Times New Roman"/>
                <w:sz w:val="18"/>
              </w:rPr>
              <w:t>108.16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3" w:right="0"/>
              <w:jc w:val="left"/>
              <w:rPr>
                <w:rFonts w:ascii="Times New Roman" w:hAnsi="Times New Roman" w:cs="Times New Roman" w:eastAsia="Times New Roman" w:hint="default"/>
                <w:sz w:val="18"/>
                <w:szCs w:val="18"/>
              </w:rPr>
            </w:pPr>
            <w:r>
              <w:rPr>
                <w:rFonts w:ascii="Times New Roman"/>
                <w:sz w:val="18"/>
              </w:rPr>
              <w:t>108.16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本公 司及 联动 优势 电子 商务 有限 公司 使用 部分 闲置 自有 资金 和募 集资 金进 行现 金管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市场 工具 类资 </w:t>
            </w:r>
            <w:r>
              <w:rPr>
                <w:rFonts w:ascii="宋体" w:hAnsi="宋体" w:cs="宋体" w:eastAsia="宋体" w:hint="default"/>
                <w:spacing w:val="-12"/>
                <w:sz w:val="18"/>
                <w:szCs w:val="18"/>
              </w:rPr>
              <w:t>产，债</w:t>
            </w:r>
            <w:r>
              <w:rPr>
                <w:rFonts w:ascii="宋体" w:hAnsi="宋体" w:cs="宋体" w:eastAsia="宋体" w:hint="default"/>
                <w:sz w:val="18"/>
                <w:szCs w:val="18"/>
              </w:rPr>
              <w:t> 权类 资产， 以及 其他 符合 监管 要求 的资 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理的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7-073</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88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29,298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本期 产品 募集 资金 投资 于同 业存 款等 符合 监管 机构 要求 的其 他投 资工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300.52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300.52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购买 银行 理财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7-081</w:t>
            </w:r>
          </w:p>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本期 产品 募集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458.29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458.29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8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股份 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资金 投资 于同 业存 款等 符合 监管 机构 要求 的其 他投 资工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海证 券报、 证券 时报、 证券 日报 及巨 潮资 讯网 上的 关于 使用 部分 闲置 募集 资金 购买 银行 理财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7"/>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7-100</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both"/>
              <w:rPr>
                <w:rFonts w:ascii="宋体" w:hAnsi="宋体" w:cs="宋体" w:eastAsia="宋体" w:hint="default"/>
                <w:sz w:val="18"/>
                <w:szCs w:val="18"/>
              </w:rPr>
            </w:pPr>
            <w:r>
              <w:rPr>
                <w:rFonts w:ascii="宋体" w:hAnsi="宋体" w:cs="宋体" w:eastAsia="宋体" w:hint="default"/>
                <w:sz w:val="18"/>
                <w:szCs w:val="18"/>
              </w:rPr>
              <w:t>主要 投资 于同 业存 款等 符合 监管 机构 要求 的其 他投 资工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120.2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85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进行 结构 性存 款的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7-109</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1097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29,696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184.52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184.52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进行 结构 性存 款的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7-115</w:t>
            </w:r>
          </w:p>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21"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钩。</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本期 产品 募集 资金 投资 </w:t>
            </w:r>
            <w:r>
              <w:rPr>
                <w:rFonts w:ascii="宋体" w:hAnsi="宋体" w:cs="宋体" w:eastAsia="宋体" w:hint="default"/>
                <w:spacing w:val="-12"/>
                <w:sz w:val="18"/>
                <w:szCs w:val="18"/>
              </w:rPr>
              <w:t>于（含</w:t>
            </w:r>
            <w:r>
              <w:rPr>
                <w:rFonts w:ascii="宋体" w:hAnsi="宋体" w:cs="宋体" w:eastAsia="宋体" w:hint="default"/>
                <w:sz w:val="18"/>
                <w:szCs w:val="18"/>
              </w:rPr>
              <w:t> 直接 投资、 通过 信托 计划 等投 </w:t>
            </w:r>
            <w:r>
              <w:rPr>
                <w:rFonts w:ascii="宋体" w:hAnsi="宋体" w:cs="宋体" w:eastAsia="宋体" w:hint="default"/>
                <w:spacing w:val="-30"/>
                <w:sz w:val="18"/>
                <w:szCs w:val="18"/>
              </w:rPr>
              <w:t>资）：</w:t>
            </w:r>
            <w:r>
              <w:rPr>
                <w:rFonts w:ascii="宋体" w:hAnsi="宋体" w:cs="宋体" w:eastAsia="宋体" w:hint="default"/>
                <w:sz w:val="18"/>
                <w:szCs w:val="18"/>
              </w:rPr>
              <w:t> 本产 品募 集资 金投 资于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资券、 中期 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等债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1.94%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进行 银行 理财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7-133</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券和 货币 市场 工具 类资 </w:t>
            </w:r>
            <w:r>
              <w:rPr>
                <w:rFonts w:ascii="宋体" w:hAnsi="宋体" w:cs="宋体" w:eastAsia="宋体" w:hint="default"/>
                <w:spacing w:val="-12"/>
                <w:sz w:val="18"/>
                <w:szCs w:val="18"/>
              </w:rPr>
              <w:t>产，债</w:t>
            </w:r>
            <w:r>
              <w:rPr>
                <w:rFonts w:ascii="宋体" w:hAnsi="宋体" w:cs="宋体" w:eastAsia="宋体" w:hint="default"/>
                <w:sz w:val="18"/>
                <w:szCs w:val="18"/>
              </w:rPr>
              <w:t> 权类 资产， 以及 其他 符合 监管 求的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建设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本期 产品 募集 资金 投资 </w:t>
            </w:r>
            <w:r>
              <w:rPr>
                <w:rFonts w:ascii="宋体" w:hAnsi="宋体" w:cs="宋体" w:eastAsia="宋体" w:hint="default"/>
                <w:spacing w:val="-12"/>
                <w:sz w:val="18"/>
                <w:szCs w:val="18"/>
              </w:rPr>
              <w:t>于（含</w:t>
            </w:r>
            <w:r>
              <w:rPr>
                <w:rFonts w:ascii="宋体" w:hAnsi="宋体" w:cs="宋体" w:eastAsia="宋体" w:hint="default"/>
                <w:sz w:val="18"/>
                <w:szCs w:val="18"/>
              </w:rPr>
              <w:t> 直接 投资、 通过 信托 计划 等投 </w:t>
            </w:r>
            <w:r>
              <w:rPr>
                <w:rFonts w:ascii="宋体" w:hAnsi="宋体" w:cs="宋体" w:eastAsia="宋体" w:hint="default"/>
                <w:spacing w:val="-30"/>
                <w:sz w:val="18"/>
                <w:szCs w:val="18"/>
              </w:rPr>
              <w:t>资）：</w:t>
            </w:r>
            <w:r>
              <w:rPr>
                <w:rFonts w:ascii="宋体" w:hAnsi="宋体" w:cs="宋体" w:eastAsia="宋体" w:hint="default"/>
                <w:sz w:val="18"/>
                <w:szCs w:val="18"/>
              </w:rPr>
              <w:t> 本产 品募 集资 金投 资于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资券、 中期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1.89%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7.22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资金 进行 银行 理财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7"/>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7-134</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4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等债 券和 货币 市场 工具 类资 </w:t>
            </w:r>
            <w:r>
              <w:rPr>
                <w:rFonts w:ascii="宋体" w:hAnsi="宋体" w:cs="宋体" w:eastAsia="宋体" w:hint="default"/>
                <w:spacing w:val="-12"/>
                <w:sz w:val="18"/>
                <w:szCs w:val="18"/>
              </w:rPr>
              <w:t>产，债</w:t>
            </w:r>
            <w:r>
              <w:rPr>
                <w:rFonts w:ascii="宋体" w:hAnsi="宋体" w:cs="宋体" w:eastAsia="宋体" w:hint="default"/>
                <w:sz w:val="18"/>
                <w:szCs w:val="18"/>
              </w:rPr>
              <w:t> 权类 资产， 以及 其他 符合 监管 求的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品投 资于 银行 间市 场信 用等 级较 </w:t>
            </w:r>
            <w:r>
              <w:rPr>
                <w:rFonts w:ascii="宋体" w:hAnsi="宋体" w:cs="宋体" w:eastAsia="宋体" w:hint="default"/>
                <w:spacing w:val="-12"/>
                <w:sz w:val="18"/>
                <w:szCs w:val="18"/>
              </w:rPr>
              <w:t>高、流</w:t>
            </w:r>
            <w:r>
              <w:rPr>
                <w:rFonts w:ascii="宋体" w:hAnsi="宋体" w:cs="宋体" w:eastAsia="宋体" w:hint="default"/>
                <w:sz w:val="18"/>
                <w:szCs w:val="18"/>
              </w:rPr>
              <w:t> 动性 较好 的债 券或 货币 市场 工具， 包括</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4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但不 限于： 债券 回购、 拆借、 存放 同业、 央行 票据、 国债、 金融 </w:t>
            </w:r>
            <w:r>
              <w:rPr>
                <w:rFonts w:ascii="宋体" w:hAnsi="宋体" w:cs="宋体" w:eastAsia="宋体" w:hint="default"/>
                <w:spacing w:val="-12"/>
                <w:sz w:val="18"/>
                <w:szCs w:val="18"/>
              </w:rPr>
              <w:t>债、以</w:t>
            </w:r>
            <w:r>
              <w:rPr>
                <w:rFonts w:ascii="宋体" w:hAnsi="宋体" w:cs="宋体" w:eastAsia="宋体" w:hint="default"/>
                <w:sz w:val="18"/>
                <w:szCs w:val="18"/>
              </w:rPr>
              <w:t> 及高 信用 级别 的企 业债 </w:t>
            </w:r>
            <w:r>
              <w:rPr>
                <w:rFonts w:ascii="宋体" w:hAnsi="宋体" w:cs="宋体" w:eastAsia="宋体" w:hint="default"/>
                <w:spacing w:val="-12"/>
                <w:sz w:val="18"/>
                <w:szCs w:val="18"/>
              </w:rPr>
              <w:t>券（企</w:t>
            </w:r>
            <w:r>
              <w:rPr>
                <w:rFonts w:ascii="宋体" w:hAnsi="宋体" w:cs="宋体" w:eastAsia="宋体" w:hint="default"/>
                <w:sz w:val="18"/>
                <w:szCs w:val="18"/>
              </w:rPr>
              <w:t> 业债、 公司 </w:t>
            </w:r>
            <w:r>
              <w:rPr>
                <w:rFonts w:ascii="宋体" w:hAnsi="宋体" w:cs="宋体" w:eastAsia="宋体" w:hint="default"/>
                <w:spacing w:val="-12"/>
                <w:sz w:val="18"/>
                <w:szCs w:val="18"/>
              </w:rPr>
              <w:t>债、短</w:t>
            </w:r>
            <w:r>
              <w:rPr>
                <w:rFonts w:ascii="宋体" w:hAnsi="宋体" w:cs="宋体" w:eastAsia="宋体" w:hint="default"/>
                <w:sz w:val="18"/>
                <w:szCs w:val="18"/>
              </w:rPr>
              <w:t> 期融 资券、 中期 票据 </w:t>
            </w:r>
            <w:r>
              <w:rPr>
                <w:rFonts w:ascii="宋体" w:hAnsi="宋体" w:cs="宋体" w:eastAsia="宋体" w:hint="default"/>
                <w:spacing w:val="-12"/>
                <w:sz w:val="18"/>
                <w:szCs w:val="18"/>
              </w:rPr>
              <w:t>等）等</w:t>
            </w:r>
            <w:r>
              <w:rPr>
                <w:rFonts w:ascii="宋体" w:hAnsi="宋体" w:cs="宋体" w:eastAsia="宋体" w:hint="default"/>
                <w:sz w:val="18"/>
                <w:szCs w:val="18"/>
              </w:rPr>
              <w:t>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有限 公司 及全 资子 公司 使用 部分 闲置 自有 资金 和募 集资 金进 行现 金管 理的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7-001</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本结 构性 存款 销售 所汇 集资 金作 为名 义本 </w:t>
            </w:r>
            <w:r>
              <w:rPr>
                <w:rFonts w:ascii="宋体" w:hAnsi="宋体" w:cs="宋体" w:eastAsia="宋体" w:hint="default"/>
                <w:spacing w:val="-12"/>
                <w:sz w:val="18"/>
                <w:szCs w:val="18"/>
              </w:rPr>
              <w:t>金，并</w:t>
            </w:r>
            <w:r>
              <w:rPr>
                <w:rFonts w:ascii="宋体" w:hAnsi="宋体" w:cs="宋体" w:eastAsia="宋体" w:hint="default"/>
                <w:sz w:val="18"/>
                <w:szCs w:val="18"/>
              </w:rPr>
              <w:t> 以该 名义 本金 的资 金成 本与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61.74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61.74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对手 叙作 投资 收益 和</w:t>
            </w:r>
          </w:p>
          <w:p>
            <w:pPr>
              <w:pStyle w:val="TableParagraph"/>
              <w:spacing w:line="362" w:lineRule="auto" w:before="57"/>
              <w:ind w:left="22" w:right="77"/>
              <w:jc w:val="both"/>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MLIB</w:t>
            </w:r>
          </w:p>
          <w:p>
            <w:pPr>
              <w:pStyle w:val="TableParagraph"/>
              <w:spacing w:line="21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OR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挂</w:t>
            </w:r>
          </w:p>
          <w:p>
            <w:pPr>
              <w:pStyle w:val="TableParagraph"/>
              <w:spacing w:line="319" w:lineRule="auto" w:before="63"/>
              <w:ind w:left="22" w:right="167"/>
              <w:jc w:val="both"/>
              <w:rPr>
                <w:rFonts w:ascii="宋体" w:hAnsi="宋体" w:cs="宋体" w:eastAsia="宋体" w:hint="default"/>
                <w:sz w:val="18"/>
                <w:szCs w:val="18"/>
              </w:rPr>
            </w:pPr>
            <w:r>
              <w:rPr>
                <w:rFonts w:ascii="宋体" w:hAnsi="宋体" w:cs="宋体" w:eastAsia="宋体" w:hint="default"/>
                <w:sz w:val="18"/>
                <w:szCs w:val="18"/>
              </w:rPr>
              <w:t>钩的 金融 衍生 品交 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有限 公司 及全 资子 公司 使用 部分 闲置 自有 资金 和募 集资 金进 行现 金管 理的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7-001</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本结 构性 存款 销售 所汇 集资 金作 为名 义本 </w:t>
            </w:r>
            <w:r>
              <w:rPr>
                <w:rFonts w:ascii="宋体" w:hAnsi="宋体" w:cs="宋体" w:eastAsia="宋体" w:hint="default"/>
                <w:spacing w:val="-12"/>
                <w:sz w:val="18"/>
                <w:szCs w:val="18"/>
              </w:rPr>
              <w:t>金，并</w:t>
            </w:r>
            <w:r>
              <w:rPr>
                <w:rFonts w:ascii="宋体" w:hAnsi="宋体" w:cs="宋体" w:eastAsia="宋体" w:hint="default"/>
                <w:sz w:val="18"/>
                <w:szCs w:val="18"/>
              </w:rPr>
              <w:t> 以该 名义 本金 的资 金成 本与 交易 对手 叙作 投资 收益 和</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USD3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16.24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16.24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 有限 公司 及全 资子 公司 使用</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73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MLIB</w:t>
            </w:r>
          </w:p>
          <w:p>
            <w:pPr>
              <w:pStyle w:val="TableParagraph"/>
              <w:spacing w:line="314" w:lineRule="auto" w:before="65"/>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OR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挂 钩的 金融 衍生 品交 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部分 闲置 自有 资金 和募 集资 金进 行现 金管 理的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7-001</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0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北京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具体 投资 品种 包括 存</w:t>
            </w:r>
            <w:r>
              <w:rPr>
                <w:rFonts w:ascii="Times New Roman" w:hAnsi="Times New Roman" w:cs="Times New Roman" w:eastAsia="Times New Roman" w:hint="default"/>
                <w:sz w:val="18"/>
                <w:szCs w:val="18"/>
              </w:rPr>
              <w:t>/</w:t>
            </w:r>
            <w:r>
              <w:rPr>
                <w:rFonts w:ascii="宋体" w:hAnsi="宋体" w:cs="宋体" w:eastAsia="宋体" w:hint="default"/>
                <w:sz w:val="18"/>
                <w:szCs w:val="18"/>
              </w:rPr>
              <w:t>拆 放交 </w:t>
            </w:r>
            <w:r>
              <w:rPr>
                <w:rFonts w:ascii="宋体" w:hAnsi="宋体" w:cs="宋体" w:eastAsia="宋体" w:hint="default"/>
                <w:spacing w:val="-12"/>
                <w:sz w:val="18"/>
                <w:szCs w:val="18"/>
              </w:rPr>
              <w:t>易、同</w:t>
            </w:r>
            <w:r>
              <w:rPr>
                <w:rFonts w:ascii="宋体" w:hAnsi="宋体" w:cs="宋体" w:eastAsia="宋体" w:hint="default"/>
                <w:sz w:val="18"/>
                <w:szCs w:val="18"/>
              </w:rPr>
              <w:t> 业存 款交 </w:t>
            </w:r>
            <w:r>
              <w:rPr>
                <w:rFonts w:ascii="宋体" w:hAnsi="宋体" w:cs="宋体" w:eastAsia="宋体" w:hint="default"/>
                <w:spacing w:val="-12"/>
                <w:sz w:val="18"/>
                <w:szCs w:val="18"/>
              </w:rPr>
              <w:t>易、同</w:t>
            </w:r>
            <w:r>
              <w:rPr>
                <w:rFonts w:ascii="宋体" w:hAnsi="宋体" w:cs="宋体" w:eastAsia="宋体" w:hint="default"/>
                <w:sz w:val="18"/>
                <w:szCs w:val="18"/>
              </w:rPr>
              <w:t> 业借 款交 </w:t>
            </w:r>
            <w:r>
              <w:rPr>
                <w:rFonts w:ascii="宋体" w:hAnsi="宋体" w:cs="宋体" w:eastAsia="宋体" w:hint="default"/>
                <w:spacing w:val="-12"/>
                <w:sz w:val="18"/>
                <w:szCs w:val="18"/>
              </w:rPr>
              <w:t>易、国</w:t>
            </w:r>
            <w:r>
              <w:rPr>
                <w:rFonts w:ascii="宋体" w:hAnsi="宋体" w:cs="宋体" w:eastAsia="宋体" w:hint="default"/>
                <w:sz w:val="18"/>
                <w:szCs w:val="18"/>
              </w:rPr>
              <w:t> </w:t>
            </w:r>
            <w:r>
              <w:rPr>
                <w:rFonts w:ascii="宋体" w:hAnsi="宋体" w:cs="宋体" w:eastAsia="宋体" w:hint="default"/>
                <w:spacing w:val="-12"/>
                <w:sz w:val="18"/>
                <w:szCs w:val="18"/>
              </w:rPr>
              <w:t>债、金</w:t>
            </w:r>
            <w:r>
              <w:rPr>
                <w:rFonts w:ascii="宋体" w:hAnsi="宋体" w:cs="宋体" w:eastAsia="宋体" w:hint="default"/>
                <w:sz w:val="18"/>
                <w:szCs w:val="18"/>
              </w:rPr>
              <w:t> 融债、 企业 </w:t>
            </w:r>
            <w:r>
              <w:rPr>
                <w:rFonts w:ascii="宋体" w:hAnsi="宋体" w:cs="宋体" w:eastAsia="宋体" w:hint="default"/>
                <w:spacing w:val="-12"/>
                <w:sz w:val="18"/>
                <w:szCs w:val="18"/>
              </w:rPr>
              <w:t>债、银</w:t>
            </w:r>
            <w:r>
              <w:rPr>
                <w:rFonts w:ascii="宋体" w:hAnsi="宋体" w:cs="宋体" w:eastAsia="宋体" w:hint="default"/>
                <w:sz w:val="18"/>
                <w:szCs w:val="18"/>
              </w:rPr>
              <w:t> 行次 级债、 央行 票据、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据、债</w:t>
            </w:r>
            <w:r>
              <w:rPr>
                <w:rFonts w:ascii="宋体" w:hAnsi="宋体" w:cs="宋体" w:eastAsia="宋体" w:hint="default"/>
                <w:sz w:val="18"/>
                <w:szCs w:val="18"/>
              </w:rPr>
              <w:t> 券回 购交 </w:t>
            </w:r>
            <w:r>
              <w:rPr>
                <w:rFonts w:ascii="宋体" w:hAnsi="宋体" w:cs="宋体" w:eastAsia="宋体" w:hint="default"/>
                <w:spacing w:val="-12"/>
                <w:sz w:val="18"/>
                <w:szCs w:val="18"/>
              </w:rPr>
              <w:t>易、现</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30.39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 有限 公司 及全 资子 公司 使用 部分 闲置 自有 资金 进行 结构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4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pacing w:val="-12"/>
                <w:sz w:val="18"/>
                <w:szCs w:val="18"/>
              </w:rPr>
              <w:t>金、银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存单、 回购</w:t>
            </w:r>
            <w:r>
              <w:rPr>
                <w:rFonts w:ascii="Times New Roman" w:hAnsi="Times New Roman" w:cs="Times New Roman" w:eastAsia="Times New Roman" w:hint="default"/>
                <w:sz w:val="18"/>
                <w:szCs w:val="18"/>
              </w:rPr>
              <w:t>/ </w:t>
            </w:r>
            <w:r>
              <w:rPr>
                <w:rFonts w:ascii="宋体" w:hAnsi="宋体" w:cs="宋体" w:eastAsia="宋体" w:hint="default"/>
                <w:sz w:val="18"/>
                <w:szCs w:val="18"/>
              </w:rPr>
              <w:t>逆回 购交 易等； 同时 通过 主动 性管 </w:t>
            </w:r>
            <w:r>
              <w:rPr>
                <w:rFonts w:ascii="宋体" w:hAnsi="宋体" w:cs="宋体" w:eastAsia="宋体" w:hint="default"/>
                <w:spacing w:val="-12"/>
                <w:sz w:val="18"/>
                <w:szCs w:val="18"/>
              </w:rPr>
              <w:t>理，运</w:t>
            </w:r>
            <w:r>
              <w:rPr>
                <w:rFonts w:ascii="宋体" w:hAnsi="宋体" w:cs="宋体" w:eastAsia="宋体" w:hint="default"/>
                <w:sz w:val="18"/>
                <w:szCs w:val="18"/>
              </w:rPr>
              <w:t> 用结 构简 </w:t>
            </w:r>
            <w:r>
              <w:rPr>
                <w:rFonts w:ascii="宋体" w:hAnsi="宋体" w:cs="宋体" w:eastAsia="宋体" w:hint="default"/>
                <w:spacing w:val="-12"/>
                <w:sz w:val="18"/>
                <w:szCs w:val="18"/>
              </w:rPr>
              <w:t>单、风</w:t>
            </w:r>
            <w:r>
              <w:rPr>
                <w:rFonts w:ascii="宋体" w:hAnsi="宋体" w:cs="宋体" w:eastAsia="宋体" w:hint="default"/>
                <w:sz w:val="18"/>
                <w:szCs w:val="18"/>
              </w:rPr>
              <w:t> 险较 低的 相关 金融 工具 提高 产品 收益 率。</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性存 款的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7-004</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伦敦 金市 下午 定盘 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12.81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0.119995pt;margin-top:592.839966pt;width:33.75pt;height:170.6pt;mso-position-horizontal-relative:page;mso-position-vertical-relative:page;z-index:-1394752" type="#_x0000_t202" filled="false" stroked="false">
            <v:textbox inset="0,0,0,0">
              <w:txbxContent>
                <w:p>
                  <w:pPr>
                    <w:pStyle w:val="BodyText"/>
                    <w:spacing w:line="226" w:lineRule="exact"/>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有限 公司 及全 资子 公司 使用 部分 闲置 自有 资金 进行 结构 性存 款的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7-004</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78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、货 币市 场类： 现金、 存款、 货币 基金、 质押</w:t>
            </w:r>
          </w:p>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式 回 购和 其他 货币 市场 类资 </w:t>
            </w:r>
            <w:r>
              <w:rPr>
                <w:rFonts w:ascii="宋体" w:hAnsi="宋体" w:cs="宋体" w:eastAsia="宋体" w:hint="default"/>
                <w:spacing w:val="-12"/>
                <w:sz w:val="18"/>
                <w:szCs w:val="18"/>
              </w:rPr>
              <w:t>产；</w:t>
            </w:r>
            <w:r>
              <w:rPr>
                <w:rFonts w:ascii="Times New Roman" w:hAnsi="Times New Roman" w:cs="Times New Roman" w:eastAsia="Times New Roman" w:hint="default"/>
                <w:spacing w:val="-12"/>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固定 收益 </w:t>
            </w:r>
            <w:r>
              <w:rPr>
                <w:rFonts w:ascii="宋体" w:hAnsi="宋体" w:cs="宋体" w:eastAsia="宋体" w:hint="default"/>
                <w:spacing w:val="-12"/>
                <w:sz w:val="18"/>
                <w:szCs w:val="18"/>
              </w:rPr>
              <w:t>类：债</w:t>
            </w:r>
            <w:r>
              <w:rPr>
                <w:rFonts w:ascii="宋体" w:hAnsi="宋体" w:cs="宋体" w:eastAsia="宋体" w:hint="default"/>
                <w:sz w:val="18"/>
                <w:szCs w:val="18"/>
              </w:rPr>
              <w:t> </w:t>
            </w:r>
            <w:r>
              <w:rPr>
                <w:rFonts w:ascii="宋体" w:hAnsi="宋体" w:cs="宋体" w:eastAsia="宋体" w:hint="default"/>
                <w:spacing w:val="-12"/>
                <w:sz w:val="18"/>
                <w:szCs w:val="18"/>
              </w:rPr>
              <w:t>券、资</w:t>
            </w:r>
            <w:r>
              <w:rPr>
                <w:rFonts w:ascii="宋体" w:hAnsi="宋体" w:cs="宋体" w:eastAsia="宋体" w:hint="default"/>
                <w:sz w:val="18"/>
                <w:szCs w:val="18"/>
              </w:rPr>
              <w:t> 产支 持证 </w:t>
            </w:r>
            <w:r>
              <w:rPr>
                <w:rFonts w:ascii="宋体" w:hAnsi="宋体" w:cs="宋体" w:eastAsia="宋体" w:hint="default"/>
                <w:spacing w:val="-12"/>
                <w:sz w:val="18"/>
                <w:szCs w:val="18"/>
              </w:rPr>
              <w:t>券，非</w:t>
            </w:r>
            <w:r>
              <w:rPr>
                <w:rFonts w:ascii="宋体" w:hAnsi="宋体" w:cs="宋体" w:eastAsia="宋体" w:hint="default"/>
                <w:sz w:val="18"/>
                <w:szCs w:val="18"/>
              </w:rPr>
              <w:t> 公开 定向 债务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4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27.55pt;height:170.6pt;mso-position-horizontal-relative:char;mso-position-vertical-relative:line" coordorigin="0,0" coordsize="551,3412">
                  <v:group style="position:absolute;left:0;top:0;width:551;height:3412" coordorigin="0,0" coordsize="551,3412">
                    <v:shape style="position:absolute;left:0;top:0;width:551;height:3412" coordorigin="0,0" coordsize="551,3412" path="m0,3412l551,3412,551,0,0,0,0,3412xe" filled="true" fillcolor="#ffffff" stroked="false">
                      <v:path arrowok="t"/>
                      <v:fill type="solid"/>
                    </v:shape>
                  </v:group>
                </v:group>
              </w:pict>
            </w:r>
            <w:r>
              <w:rPr>
                <w:rFonts w:ascii="Times New Roman" w:hAnsi="Times New Roman" w:cs="Times New Roman" w:eastAsia="Times New Roman" w:hint="default"/>
                <w:position w:val="-67"/>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26.41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26.41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 有限 公司 使用 部分 闲置 自有 资金 进行</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41"/>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融资 工具， 债 券 基金 和其 它固 定收 益类 资产； </w:t>
            </w:r>
            <w:r>
              <w:rPr>
                <w:rFonts w:ascii="Times New Roman" w:hAnsi="Times New Roman" w:cs="Times New Roman" w:eastAsia="Times New Roman" w:hint="default"/>
                <w:sz w:val="18"/>
                <w:szCs w:val="18"/>
              </w:rPr>
              <w:t>3</w:t>
            </w:r>
            <w:r>
              <w:rPr>
                <w:rFonts w:ascii="宋体" w:hAnsi="宋体" w:cs="宋体" w:eastAsia="宋体" w:hint="default"/>
                <w:sz w:val="18"/>
                <w:szCs w:val="18"/>
              </w:rPr>
              <w:t>、非 标准 化债</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权 资 产和 其他 </w:t>
            </w:r>
            <w:r>
              <w:rPr>
                <w:rFonts w:ascii="宋体" w:hAnsi="宋体" w:cs="宋体" w:eastAsia="宋体" w:hint="default"/>
                <w:spacing w:val="-12"/>
                <w:sz w:val="18"/>
                <w:szCs w:val="18"/>
              </w:rPr>
              <w:t>类：符</w:t>
            </w:r>
            <w:r>
              <w:rPr>
                <w:rFonts w:ascii="宋体" w:hAnsi="宋体" w:cs="宋体" w:eastAsia="宋体" w:hint="default"/>
                <w:sz w:val="18"/>
                <w:szCs w:val="18"/>
              </w:rPr>
              <w:t> 合监 管机 构要 求的 基金 公司 及其 资产 管理 公司 资产 管理 计划、 证券 公司 及其 资产</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管 理 公司 资产 管理 计划、 保险 资产 管理 公司 资产 管理</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5"/>
              <w:jc w:val="both"/>
              <w:rPr>
                <w:rFonts w:ascii="宋体" w:hAnsi="宋体" w:cs="宋体" w:eastAsia="宋体" w:hint="default"/>
                <w:sz w:val="18"/>
                <w:szCs w:val="18"/>
              </w:rPr>
            </w:pPr>
            <w:r>
              <w:rPr>
                <w:rFonts w:ascii="宋体" w:hAnsi="宋体" w:cs="宋体" w:eastAsia="宋体" w:hint="default"/>
                <w:sz w:val="18"/>
                <w:szCs w:val="18"/>
              </w:rPr>
              <w:t>结构 性存 款的 进展 公告</w:t>
            </w:r>
          </w:p>
          <w:p>
            <w:pPr>
              <w:pStyle w:val="TableParagraph"/>
              <w:spacing w:line="338" w:lineRule="auto" w:before="17"/>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7-006</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85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 信托 计划、 委托 债权 投资， 人民 币利 率互 </w:t>
            </w:r>
            <w:r>
              <w:rPr>
                <w:rFonts w:ascii="宋体" w:hAnsi="宋体" w:cs="宋体" w:eastAsia="宋体" w:hint="default"/>
                <w:spacing w:val="-12"/>
                <w:sz w:val="18"/>
                <w:szCs w:val="18"/>
              </w:rPr>
              <w:t>换、人</w:t>
            </w:r>
            <w:r>
              <w:rPr>
                <w:rFonts w:ascii="宋体" w:hAnsi="宋体" w:cs="宋体" w:eastAsia="宋体" w:hint="default"/>
                <w:sz w:val="18"/>
                <w:szCs w:val="18"/>
              </w:rPr>
              <w:t> 民币 利率 远期、 信用 风险 缓释 工具、 国债 期货 及其 他资 产或 者资 产组 合。</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77"/>
              <w:jc w:val="both"/>
              <w:rPr>
                <w:rFonts w:ascii="宋体" w:hAnsi="宋体" w:cs="宋体" w:eastAsia="宋体" w:hint="default"/>
                <w:sz w:val="18"/>
                <w:szCs w:val="18"/>
              </w:rPr>
            </w:pPr>
            <w:r>
              <w:rPr>
                <w:rFonts w:ascii="宋体" w:hAnsi="宋体" w:cs="宋体" w:eastAsia="宋体" w:hint="default"/>
                <w:sz w:val="18"/>
                <w:szCs w:val="18"/>
              </w:rPr>
              <w:t>平安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品投 资于 银行 间市 场信 用等 级较 </w:t>
            </w:r>
            <w:r>
              <w:rPr>
                <w:rFonts w:ascii="宋体" w:hAnsi="宋体" w:cs="宋体" w:eastAsia="宋体" w:hint="default"/>
                <w:spacing w:val="-12"/>
                <w:sz w:val="18"/>
                <w:szCs w:val="18"/>
              </w:rPr>
              <w:t>高、流</w:t>
            </w:r>
            <w:r>
              <w:rPr>
                <w:rFonts w:ascii="宋体" w:hAnsi="宋体" w:cs="宋体" w:eastAsia="宋体" w:hint="default"/>
                <w:sz w:val="18"/>
                <w:szCs w:val="18"/>
              </w:rPr>
              <w:t> 动性 较好 的债 券或 货币 市场 工具， 包括 但不 限于：</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23.15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23.15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本公 司及 联动 优势 电子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85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债券 回购、 拆借、 存放 同业、 央行 票据、 国债、 金融 </w:t>
            </w:r>
            <w:r>
              <w:rPr>
                <w:rFonts w:ascii="宋体" w:hAnsi="宋体" w:cs="宋体" w:eastAsia="宋体" w:hint="default"/>
                <w:spacing w:val="-12"/>
                <w:sz w:val="18"/>
                <w:szCs w:val="18"/>
              </w:rPr>
              <w:t>债、以</w:t>
            </w:r>
            <w:r>
              <w:rPr>
                <w:rFonts w:ascii="宋体" w:hAnsi="宋体" w:cs="宋体" w:eastAsia="宋体" w:hint="default"/>
                <w:sz w:val="18"/>
                <w:szCs w:val="18"/>
              </w:rPr>
              <w:t> 及高 信用 级别 的企 业债 </w:t>
            </w:r>
            <w:r>
              <w:rPr>
                <w:rFonts w:ascii="宋体" w:hAnsi="宋体" w:cs="宋体" w:eastAsia="宋体" w:hint="default"/>
                <w:spacing w:val="-12"/>
                <w:sz w:val="18"/>
                <w:szCs w:val="18"/>
              </w:rPr>
              <w:t>券（企</w:t>
            </w:r>
            <w:r>
              <w:rPr>
                <w:rFonts w:ascii="宋体" w:hAnsi="宋体" w:cs="宋体" w:eastAsia="宋体" w:hint="default"/>
                <w:sz w:val="18"/>
                <w:szCs w:val="18"/>
              </w:rPr>
              <w:t> 业债、 公司 </w:t>
            </w:r>
            <w:r>
              <w:rPr>
                <w:rFonts w:ascii="宋体" w:hAnsi="宋体" w:cs="宋体" w:eastAsia="宋体" w:hint="default"/>
                <w:spacing w:val="-12"/>
                <w:sz w:val="18"/>
                <w:szCs w:val="18"/>
              </w:rPr>
              <w:t>债、短</w:t>
            </w:r>
            <w:r>
              <w:rPr>
                <w:rFonts w:ascii="宋体" w:hAnsi="宋体" w:cs="宋体" w:eastAsia="宋体" w:hint="default"/>
                <w:sz w:val="18"/>
                <w:szCs w:val="18"/>
              </w:rPr>
              <w:t> 期融 资券、 中期 票据 </w:t>
            </w:r>
            <w:r>
              <w:rPr>
                <w:rFonts w:ascii="宋体" w:hAnsi="宋体" w:cs="宋体" w:eastAsia="宋体" w:hint="default"/>
                <w:spacing w:val="-12"/>
                <w:sz w:val="18"/>
                <w:szCs w:val="18"/>
              </w:rPr>
              <w:t>等）等</w:t>
            </w:r>
            <w:r>
              <w:rPr>
                <w:rFonts w:ascii="宋体" w:hAnsi="宋体" w:cs="宋体" w:eastAsia="宋体" w:hint="default"/>
                <w:sz w:val="18"/>
                <w:szCs w:val="18"/>
              </w:rPr>
              <w:t>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商务 有限 公司 使用 部分 闲置 募集 资金 购买 银行 理财 产品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7-008</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both"/>
              <w:rPr>
                <w:rFonts w:ascii="宋体" w:hAnsi="宋体" w:cs="宋体" w:eastAsia="宋体" w:hint="default"/>
                <w:sz w:val="18"/>
                <w:szCs w:val="18"/>
              </w:rPr>
            </w:pPr>
            <w:r>
              <w:rPr>
                <w:rFonts w:ascii="宋体" w:hAnsi="宋体" w:cs="宋体" w:eastAsia="宋体" w:hint="default"/>
                <w:sz w:val="18"/>
                <w:szCs w:val="18"/>
              </w:rPr>
              <w:t>伦敦 金市 下午 定盘 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8.44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8.44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本公 司及 联动 优势 科技</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有限 公司 使用 部分 闲置 自有 资金 和募 集资 金进 行现 金管 理的 进展 公告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7-019</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816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0"/>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83.85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电子 商务 有限 公司 使用 部分 闲置 自有 资金 进行</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结构 性存 款的 进展 公告</w:t>
            </w:r>
          </w:p>
          <w:p>
            <w:pPr>
              <w:pStyle w:val="TableParagraph"/>
              <w:spacing w:line="338" w:lineRule="auto" w:before="17"/>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7-071</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112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主要 投资 于银 行间 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 业 拆借、 同业 存款、 债券 或票 据回</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购 </w:t>
            </w:r>
            <w:r>
              <w:rPr>
                <w:rFonts w:ascii="宋体" w:hAnsi="宋体" w:cs="宋体" w:eastAsia="宋体" w:hint="default"/>
                <w:spacing w:val="-12"/>
                <w:sz w:val="18"/>
                <w:szCs w:val="18"/>
              </w:rPr>
              <w:t>等，同</w:t>
            </w:r>
            <w:r>
              <w:rPr>
                <w:rFonts w:ascii="宋体" w:hAnsi="宋体" w:cs="宋体" w:eastAsia="宋体" w:hint="default"/>
                <w:sz w:val="18"/>
                <w:szCs w:val="18"/>
              </w:rPr>
              <w:t> 时银 行通 过主 动性 管理 和运 用结 构简 </w:t>
            </w:r>
            <w:r>
              <w:rPr>
                <w:rFonts w:ascii="宋体" w:hAnsi="宋体" w:cs="宋体" w:eastAsia="宋体" w:hint="default"/>
                <w:spacing w:val="-12"/>
                <w:sz w:val="18"/>
                <w:szCs w:val="18"/>
              </w:rPr>
              <w:t>单、风</w:t>
            </w:r>
            <w:r>
              <w:rPr>
                <w:rFonts w:ascii="宋体" w:hAnsi="宋体" w:cs="宋体" w:eastAsia="宋体" w:hint="default"/>
                <w:sz w:val="18"/>
                <w:szCs w:val="18"/>
              </w:rPr>
              <w:t> 险较 低的 相关 金融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23" w:right="0"/>
              <w:jc w:val="left"/>
              <w:rPr>
                <w:rFonts w:ascii="Times New Roman" w:hAnsi="Times New Roman" w:cs="Times New Roman" w:eastAsia="Times New Roman" w:hint="default"/>
                <w:sz w:val="18"/>
                <w:szCs w:val="18"/>
              </w:rPr>
            </w:pPr>
            <w:r>
              <w:rPr>
                <w:rFonts w:ascii="Times New Roman"/>
                <w:sz w:val="18"/>
              </w:rPr>
              <w:t>18.34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23" w:right="0"/>
              <w:jc w:val="left"/>
              <w:rPr>
                <w:rFonts w:ascii="Times New Roman" w:hAnsi="Times New Roman" w:cs="Times New Roman" w:eastAsia="Times New Roman" w:hint="default"/>
                <w:sz w:val="18"/>
                <w:szCs w:val="18"/>
              </w:rPr>
            </w:pPr>
            <w:r>
              <w:rPr>
                <w:rFonts w:ascii="Times New Roman"/>
                <w:sz w:val="18"/>
              </w:rPr>
              <w:t>18.34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本公 司及 联动 优势 电子 商务 有限 公司 使用 部分 闲置 自有 资金 和募 集资 金进 行现 金管 理的 进展 公告</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来提 高该 产品 的收 益率。</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7-073</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3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伦敦 金市 下午 定盘 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3" w:right="0"/>
              <w:jc w:val="left"/>
              <w:rPr>
                <w:rFonts w:ascii="Times New Roman" w:hAnsi="Times New Roman" w:cs="Times New Roman" w:eastAsia="Times New Roman" w:hint="default"/>
                <w:sz w:val="18"/>
                <w:szCs w:val="18"/>
              </w:rPr>
            </w:pPr>
            <w:r>
              <w:rPr>
                <w:rFonts w:ascii="Times New Roman"/>
                <w:sz w:val="18"/>
              </w:rPr>
              <w:t>3.86%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1" w:right="0"/>
              <w:jc w:val="center"/>
              <w:rPr>
                <w:rFonts w:ascii="Times New Roman" w:hAnsi="Times New Roman" w:cs="Times New Roman" w:eastAsia="Times New Roman" w:hint="default"/>
                <w:sz w:val="18"/>
                <w:szCs w:val="18"/>
              </w:rPr>
            </w:pPr>
            <w:r>
              <w:rPr>
                <w:rFonts w:ascii="Times New Roman"/>
                <w:sz w:val="18"/>
              </w:rPr>
              <w:t>9.57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0" w:right="0"/>
              <w:jc w:val="center"/>
              <w:rPr>
                <w:rFonts w:ascii="Times New Roman" w:hAnsi="Times New Roman" w:cs="Times New Roman" w:eastAsia="Times New Roman" w:hint="default"/>
                <w:sz w:val="18"/>
                <w:szCs w:val="18"/>
              </w:rPr>
            </w:pPr>
            <w:r>
              <w:rPr>
                <w:rFonts w:ascii="Times New Roman"/>
                <w:sz w:val="18"/>
              </w:rPr>
              <w:t>9.57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 科技 有限 公司 使用 部分 闲置 自有 资金 进行 结构 性存 款的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7-074</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25"/>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41.92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41.92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时报、 证券 日报 及巨 潮资 讯网 上的 关于 联动 优势 电子 商务 有限 公司 使用 部分 闲置 自有 资金 进行 结构 性存 款的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7-085</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47" w:right="0"/>
              <w:jc w:val="lef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62" w:lineRule="auto"/>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3" w:right="0"/>
              <w:jc w:val="left"/>
              <w:rPr>
                <w:rFonts w:ascii="Times New Roman" w:hAnsi="Times New Roman" w:cs="Times New Roman" w:eastAsia="Times New Roman" w:hint="default"/>
                <w:sz w:val="18"/>
                <w:szCs w:val="18"/>
              </w:rPr>
            </w:pPr>
            <w:r>
              <w:rPr>
                <w:rFonts w:ascii="Times New Roman"/>
                <w:sz w:val="18"/>
              </w:rPr>
              <w:t>62.89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3" w:right="0"/>
              <w:jc w:val="left"/>
              <w:rPr>
                <w:rFonts w:ascii="Times New Roman" w:hAnsi="Times New Roman" w:cs="Times New Roman" w:eastAsia="Times New Roman" w:hint="default"/>
                <w:sz w:val="18"/>
                <w:szCs w:val="18"/>
              </w:rPr>
            </w:pPr>
            <w:r>
              <w:rPr>
                <w:rFonts w:ascii="Times New Roman"/>
                <w:sz w:val="18"/>
              </w:rPr>
              <w:t>62.89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联动 优势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电子 商务 有限 公司 使用 部分 闲置 自有 资金 进行 结构 性存 款的 进展 公告 构性 存款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7-089</w:t>
            </w:r>
          </w:p>
          <w:p>
            <w:pPr>
              <w:pStyle w:val="TableParagraph"/>
              <w:spacing w:line="221"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 本金， 并以 该名 义本 金的 资金 成本 与交 易对 手叙 作投 资收 益和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102.54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102.54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三级 子公 司使 用部 分闲 置自 有资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78"/>
              <w:jc w:val="both"/>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M-L1</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7"/>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3"/>
              <w:jc w:val="both"/>
              <w:rPr>
                <w:rFonts w:ascii="宋体" w:hAnsi="宋体" w:cs="宋体" w:eastAsia="宋体" w:hint="default"/>
                <w:sz w:val="18"/>
                <w:szCs w:val="18"/>
              </w:rPr>
            </w:pPr>
            <w:r>
              <w:rPr>
                <w:rFonts w:ascii="宋体" w:hAnsi="宋体" w:cs="宋体" w:eastAsia="宋体" w:hint="default"/>
                <w:sz w:val="18"/>
                <w:szCs w:val="18"/>
              </w:rPr>
              <w:t>金进 行结 构性 存款 的进 展公 告</w:t>
            </w:r>
          </w:p>
          <w:p>
            <w:pPr>
              <w:pStyle w:val="TableParagraph"/>
              <w:spacing w:line="338" w:lineRule="auto" w:before="19"/>
              <w:ind w:left="23"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7-106</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106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主要 投资 于银 行间 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同业 存款、 债券 或票</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据 回 购等， 同时 银行 通过 主动 性管</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理 和 运用 结构 简单、 风险 较低 的相</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关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102.59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102.59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三级 子公 司使 用部 分闲 置自 有资 金进 行结 构性 存款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7"/>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7-107</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融工 具来 提高 该产 品的 收益 率。</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本理 财产 品销 售所 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6"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62.24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62.24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子公 司使 用部 分闲 置自 有资 金进 行结 构性 存款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7-114</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7"/>
              <w:jc w:val="both"/>
              <w:rPr>
                <w:rFonts w:ascii="宋体" w:hAnsi="宋体" w:cs="宋体" w:eastAsia="宋体" w:hint="default"/>
                <w:sz w:val="18"/>
                <w:szCs w:val="18"/>
              </w:rPr>
            </w:pPr>
            <w:r>
              <w:rPr>
                <w:rFonts w:ascii="宋体" w:hAnsi="宋体" w:cs="宋体" w:eastAsia="宋体" w:hint="default"/>
                <w:sz w:val="18"/>
                <w:szCs w:val="18"/>
              </w:rPr>
              <w:t>兴业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本理 财产 品主 要投 资范 围包 括但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52.99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52.99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41"/>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不限 </w:t>
            </w:r>
            <w:r>
              <w:rPr>
                <w:rFonts w:ascii="宋体" w:hAnsi="宋体" w:cs="宋体" w:eastAsia="宋体" w:hint="default"/>
                <w:spacing w:val="-12"/>
                <w:sz w:val="18"/>
                <w:szCs w:val="18"/>
              </w:rPr>
              <w:t>于：第</w:t>
            </w:r>
            <w:r>
              <w:rPr>
                <w:rFonts w:ascii="宋体" w:hAnsi="宋体" w:cs="宋体" w:eastAsia="宋体" w:hint="default"/>
                <w:sz w:val="18"/>
                <w:szCs w:val="18"/>
              </w:rPr>
              <w:t> 一类</w:t>
            </w:r>
            <w:r>
              <w:rPr>
                <w:rFonts w:ascii="Times New Roman" w:hAnsi="Times New Roman" w:cs="Times New Roman" w:eastAsia="Times New Roman" w:hint="default"/>
                <w:sz w:val="18"/>
                <w:szCs w:val="18"/>
              </w:rPr>
              <w:t>: </w:t>
            </w:r>
            <w:r>
              <w:rPr>
                <w:rFonts w:ascii="宋体" w:hAnsi="宋体" w:cs="宋体" w:eastAsia="宋体" w:hint="default"/>
                <w:sz w:val="18"/>
                <w:szCs w:val="18"/>
              </w:rPr>
              <w:t>银行 存款、 债券 逆回 </w:t>
            </w:r>
            <w:r>
              <w:rPr>
                <w:rFonts w:ascii="宋体" w:hAnsi="宋体" w:cs="宋体" w:eastAsia="宋体" w:hint="default"/>
                <w:spacing w:val="-12"/>
                <w:sz w:val="18"/>
                <w:szCs w:val="18"/>
              </w:rPr>
              <w:t>购、货</w:t>
            </w:r>
            <w:r>
              <w:rPr>
                <w:rFonts w:ascii="宋体" w:hAnsi="宋体" w:cs="宋体" w:eastAsia="宋体" w:hint="default"/>
                <w:sz w:val="18"/>
                <w:szCs w:val="18"/>
              </w:rPr>
              <w:t> 币基 金货 币市 场工 具及 其它 银行 间和 交易 所资 金融 通工 </w:t>
            </w:r>
            <w:r>
              <w:rPr>
                <w:rFonts w:ascii="宋体" w:hAnsi="宋体" w:cs="宋体" w:eastAsia="宋体" w:hint="default"/>
                <w:spacing w:val="-12"/>
                <w:sz w:val="18"/>
                <w:szCs w:val="18"/>
              </w:rPr>
              <w:t>具。第</w:t>
            </w:r>
            <w:r>
              <w:rPr>
                <w:rFonts w:ascii="宋体" w:hAnsi="宋体" w:cs="宋体" w:eastAsia="宋体" w:hint="default"/>
                <w:sz w:val="18"/>
                <w:szCs w:val="18"/>
              </w:rPr>
              <w:t> 二类</w:t>
            </w:r>
            <w:r>
              <w:rPr>
                <w:rFonts w:ascii="Times New Roman" w:hAnsi="Times New Roman" w:cs="Times New Roman" w:eastAsia="Times New Roman" w:hint="default"/>
                <w:sz w:val="18"/>
                <w:szCs w:val="18"/>
              </w:rPr>
              <w:t>: </w:t>
            </w:r>
            <w:r>
              <w:rPr>
                <w:rFonts w:ascii="宋体" w:hAnsi="宋体" w:cs="宋体" w:eastAsia="宋体" w:hint="default"/>
                <w:sz w:val="18"/>
                <w:szCs w:val="18"/>
              </w:rPr>
              <w:t>国债、 政策 性金 融债、 央行 票据、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债、非</w:t>
            </w:r>
            <w:r>
              <w:rPr>
                <w:rFonts w:ascii="宋体" w:hAnsi="宋体" w:cs="宋体" w:eastAsia="宋体" w:hint="default"/>
                <w:sz w:val="18"/>
                <w:szCs w:val="18"/>
              </w:rPr>
              <w:t> 公开 定向 债务 融资 工具、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5"/>
              <w:jc w:val="both"/>
              <w:rPr>
                <w:rFonts w:ascii="宋体" w:hAnsi="宋体" w:cs="宋体" w:eastAsia="宋体" w:hint="default"/>
                <w:sz w:val="18"/>
                <w:szCs w:val="18"/>
              </w:rPr>
            </w:pPr>
            <w:r>
              <w:rPr>
                <w:rFonts w:ascii="宋体" w:hAnsi="宋体" w:cs="宋体" w:eastAsia="宋体" w:hint="default"/>
                <w:sz w:val="18"/>
                <w:szCs w:val="18"/>
              </w:rPr>
              <w:t>证券 日报 及巨 潮资 讯网 上的 关于 四级 子公 司使 用部 分闲 置自 有资 金进 行结 构性 存款 的进 展公 告</w:t>
            </w:r>
          </w:p>
          <w:p>
            <w:pPr>
              <w:pStyle w:val="TableParagraph"/>
              <w:spacing w:line="338" w:lineRule="auto" w:before="19"/>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7-118</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证券、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债、次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等银</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行间、</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所市</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类短</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期投</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 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具。第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7"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三类</w:t>
            </w:r>
            <w:r>
              <w:rPr>
                <w:rFonts w:ascii="Times New Roman" w:hAnsi="Times New Roman" w:cs="Times New Roman" w:eastAsia="Times New Roman" w:hint="default"/>
                <w:sz w:val="18"/>
                <w:szCs w:val="18"/>
              </w:rPr>
              <w:t>:</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07"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非标</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债权</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第四</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类：符</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基金、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和保</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 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8"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述资</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159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产的 收</w:t>
            </w:r>
            <w:r>
              <w:rPr>
                <w:rFonts w:ascii="Times New Roman" w:hAnsi="Times New Roman" w:cs="Times New Roman" w:eastAsia="Times New Roman" w:hint="default"/>
                <w:sz w:val="18"/>
                <w:szCs w:val="18"/>
              </w:rPr>
              <w:t>/</w:t>
            </w:r>
            <w:r>
              <w:rPr>
                <w:rFonts w:ascii="宋体" w:hAnsi="宋体" w:cs="宋体" w:eastAsia="宋体" w:hint="default"/>
                <w:sz w:val="18"/>
                <w:szCs w:val="18"/>
              </w:rPr>
              <w:t>受 益权 </w:t>
            </w:r>
            <w:r>
              <w:rPr>
                <w:rFonts w:ascii="宋体" w:hAnsi="宋体" w:cs="宋体" w:eastAsia="宋体" w:hint="default"/>
                <w:spacing w:val="-12"/>
                <w:sz w:val="18"/>
                <w:szCs w:val="18"/>
              </w:rPr>
              <w:t>等，优</w:t>
            </w:r>
            <w:r>
              <w:rPr>
                <w:rFonts w:ascii="宋体" w:hAnsi="宋体" w:cs="宋体" w:eastAsia="宋体" w:hint="default"/>
                <w:sz w:val="18"/>
                <w:szCs w:val="18"/>
              </w:rPr>
              <w:t> 先股， 证券 投资 结构 化优 先级， 上市 公司 股票</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收</w:t>
            </w:r>
          </w:p>
          <w:p>
            <w:pPr>
              <w:pStyle w:val="TableParagraph"/>
              <w:spacing w:line="316"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（受） 益权， 量化 对冲 及优 先级， 以投 资有 限合 伙企 业股 权为 基础 资产 的资 产管 理计 划等 其它 金融 资产 及其 组合。</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本理 财产 品销 售所 汇集 资金 作为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41"/>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6"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 银行 根据 市场 情况， 调整 上述 投资 范围、 投资 品种 或投 资比 </w:t>
            </w:r>
            <w:r>
              <w:rPr>
                <w:rFonts w:ascii="宋体" w:hAnsi="宋体" w:cs="宋体" w:eastAsia="宋体" w:hint="default"/>
                <w:spacing w:val="-12"/>
                <w:sz w:val="18"/>
                <w:szCs w:val="18"/>
              </w:rPr>
              <w:t>例，应</w:t>
            </w:r>
            <w:r>
              <w:rPr>
                <w:rFonts w:ascii="宋体" w:hAnsi="宋体" w:cs="宋体" w:eastAsia="宋体" w:hint="default"/>
                <w:sz w:val="18"/>
                <w:szCs w:val="18"/>
              </w:rPr>
              <w:t> 当提 前在 银行 网站、 营业 网点 进行 信息 披露</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5"/>
              <w:jc w:val="both"/>
              <w:rPr>
                <w:rFonts w:ascii="宋体" w:hAnsi="宋体" w:cs="宋体" w:eastAsia="宋体" w:hint="default"/>
                <w:sz w:val="18"/>
                <w:szCs w:val="18"/>
              </w:rPr>
            </w:pPr>
            <w:r>
              <w:rPr>
                <w:rFonts w:ascii="宋体" w:hAnsi="宋体" w:cs="宋体" w:eastAsia="宋体" w:hint="default"/>
                <w:sz w:val="18"/>
                <w:szCs w:val="18"/>
              </w:rPr>
              <w:t>证券 日报 及巨 潮资 讯网 上的 关于 三级 子公 司使 用部 分闲 置自 有资 金进 行结 构性 存款 的进 展公 告</w:t>
            </w:r>
          </w:p>
          <w:p>
            <w:pPr>
              <w:pStyle w:val="TableParagraph"/>
              <w:spacing w:line="338" w:lineRule="auto" w:before="19"/>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7-122</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后方 可调 </w:t>
            </w:r>
            <w:r>
              <w:rPr>
                <w:rFonts w:ascii="宋体" w:hAnsi="宋体" w:cs="宋体" w:eastAsia="宋体" w:hint="default"/>
                <w:spacing w:val="-12"/>
                <w:sz w:val="18"/>
                <w:szCs w:val="18"/>
              </w:rPr>
              <w:t>整；客</w:t>
            </w:r>
            <w:r>
              <w:rPr>
                <w:rFonts w:ascii="宋体" w:hAnsi="宋体" w:cs="宋体" w:eastAsia="宋体" w:hint="default"/>
                <w:sz w:val="18"/>
                <w:szCs w:val="18"/>
              </w:rPr>
              <w:t> 户不 接受 </w:t>
            </w:r>
            <w:r>
              <w:rPr>
                <w:rFonts w:ascii="宋体" w:hAnsi="宋体" w:cs="宋体" w:eastAsia="宋体" w:hint="default"/>
                <w:spacing w:val="-12"/>
                <w:sz w:val="18"/>
                <w:szCs w:val="18"/>
              </w:rPr>
              <w:t>的，可</w:t>
            </w:r>
            <w:r>
              <w:rPr>
                <w:rFonts w:ascii="宋体" w:hAnsi="宋体" w:cs="宋体" w:eastAsia="宋体" w:hint="default"/>
                <w:sz w:val="18"/>
                <w:szCs w:val="18"/>
              </w:rPr>
              <w:t> 以申 请提 前赎 回理 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6"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 银行 根据 市场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63" w:right="0"/>
              <w:jc w:val="left"/>
              <w:rPr>
                <w:rFonts w:ascii="Times New Roman" w:hAnsi="Times New Roman" w:cs="Times New Roman" w:eastAsia="Times New Roman" w:hint="default"/>
                <w:sz w:val="18"/>
                <w:szCs w:val="18"/>
              </w:rPr>
            </w:pPr>
            <w:r>
              <w:rPr>
                <w:rFonts w:ascii="Times New Roman"/>
                <w:sz w:val="18"/>
              </w:rPr>
              <w:t>3.75%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23" w:right="0"/>
              <w:jc w:val="left"/>
              <w:rPr>
                <w:rFonts w:ascii="Times New Roman" w:hAnsi="Times New Roman" w:cs="Times New Roman" w:eastAsia="Times New Roman" w:hint="default"/>
                <w:sz w:val="18"/>
                <w:szCs w:val="18"/>
              </w:rPr>
            </w:pPr>
            <w:r>
              <w:rPr>
                <w:rFonts w:ascii="Times New Roman"/>
                <w:sz w:val="18"/>
              </w:rPr>
              <w:t>29.07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23" w:right="0"/>
              <w:jc w:val="left"/>
              <w:rPr>
                <w:rFonts w:ascii="Times New Roman" w:hAnsi="Times New Roman" w:cs="Times New Roman" w:eastAsia="Times New Roman" w:hint="default"/>
                <w:sz w:val="18"/>
                <w:szCs w:val="18"/>
              </w:rPr>
            </w:pPr>
            <w:r>
              <w:rPr>
                <w:rFonts w:ascii="Times New Roman"/>
                <w:sz w:val="18"/>
              </w:rPr>
              <w:t>29.07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三级 子公 司使 用部 分闲 置自 有资 金进 行结 构性 存款 的进 展公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7-129</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7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情况， 调整 上述 投资 范围、 投资 品种 或投 资比 </w:t>
            </w:r>
            <w:r>
              <w:rPr>
                <w:rFonts w:ascii="宋体" w:hAnsi="宋体" w:cs="宋体" w:eastAsia="宋体" w:hint="default"/>
                <w:spacing w:val="-12"/>
                <w:sz w:val="18"/>
                <w:szCs w:val="18"/>
              </w:rPr>
              <w:t>例，应</w:t>
            </w:r>
            <w:r>
              <w:rPr>
                <w:rFonts w:ascii="宋体" w:hAnsi="宋体" w:cs="宋体" w:eastAsia="宋体" w:hint="default"/>
                <w:sz w:val="18"/>
                <w:szCs w:val="18"/>
              </w:rPr>
              <w:t> 当提 前在 银行 网站、 营业 网点 进行 信息 披露 后方 可调 </w:t>
            </w:r>
            <w:r>
              <w:rPr>
                <w:rFonts w:ascii="宋体" w:hAnsi="宋体" w:cs="宋体" w:eastAsia="宋体" w:hint="default"/>
                <w:spacing w:val="-12"/>
                <w:sz w:val="18"/>
                <w:szCs w:val="18"/>
              </w:rPr>
              <w:t>整；客</w:t>
            </w:r>
            <w:r>
              <w:rPr>
                <w:rFonts w:ascii="宋体" w:hAnsi="宋体" w:cs="宋体" w:eastAsia="宋体" w:hint="default"/>
                <w:sz w:val="18"/>
                <w:szCs w:val="18"/>
              </w:rPr>
              <w:t> 户不 接受 </w:t>
            </w:r>
            <w:r>
              <w:rPr>
                <w:rFonts w:ascii="宋体" w:hAnsi="宋体" w:cs="宋体" w:eastAsia="宋体" w:hint="default"/>
                <w:spacing w:val="-12"/>
                <w:sz w:val="18"/>
                <w:szCs w:val="18"/>
              </w:rPr>
              <w:t>的，可</w:t>
            </w:r>
            <w:r>
              <w:rPr>
                <w:rFonts w:ascii="宋体" w:hAnsi="宋体" w:cs="宋体" w:eastAsia="宋体" w:hint="default"/>
                <w:sz w:val="18"/>
                <w:szCs w:val="18"/>
              </w:rPr>
              <w:t> 以申 请提 前赎 回理 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本理 财产 品主 要投 资范 围包 括但 不限 于：</w:t>
            </w:r>
          </w:p>
          <w:p>
            <w:pPr>
              <w:pStyle w:val="TableParagraph"/>
              <w:spacing w:line="312"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债券 回购 等货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12.96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41"/>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币市 场工 </w:t>
            </w:r>
            <w:r>
              <w:rPr>
                <w:rFonts w:ascii="宋体" w:hAnsi="宋体" w:cs="宋体" w:eastAsia="宋体" w:hint="default"/>
                <w:spacing w:val="-12"/>
                <w:sz w:val="18"/>
                <w:szCs w:val="18"/>
              </w:rPr>
              <w:t>具，银</w:t>
            </w:r>
            <w:r>
              <w:rPr>
                <w:rFonts w:ascii="宋体" w:hAnsi="宋体" w:cs="宋体" w:eastAsia="宋体" w:hint="default"/>
                <w:sz w:val="18"/>
                <w:szCs w:val="18"/>
              </w:rPr>
              <w:t> 行存 款及 其它 银行 间资 金融 通工 具；</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国债、 政策 性金 融债、 央行 票据、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债等 银行 </w:t>
            </w:r>
            <w:r>
              <w:rPr>
                <w:rFonts w:ascii="宋体" w:hAnsi="宋体" w:cs="宋体" w:eastAsia="宋体" w:hint="default"/>
                <w:spacing w:val="-12"/>
                <w:sz w:val="18"/>
                <w:szCs w:val="18"/>
              </w:rPr>
              <w:t>间、交</w:t>
            </w:r>
            <w:r>
              <w:rPr>
                <w:rFonts w:ascii="宋体" w:hAnsi="宋体" w:cs="宋体" w:eastAsia="宋体" w:hint="default"/>
                <w:sz w:val="18"/>
                <w:szCs w:val="18"/>
              </w:rPr>
              <w:t> 易所 市场 债券 及债 务融 资工 </w:t>
            </w:r>
            <w:r>
              <w:rPr>
                <w:rFonts w:ascii="宋体" w:hAnsi="宋体" w:cs="宋体" w:eastAsia="宋体" w:hint="default"/>
                <w:spacing w:val="-12"/>
                <w:sz w:val="18"/>
                <w:szCs w:val="18"/>
              </w:rPr>
              <w:t>具，其</w:t>
            </w:r>
            <w:r>
              <w:rPr>
                <w:rFonts w:ascii="宋体" w:hAnsi="宋体" w:cs="宋体" w:eastAsia="宋体" w:hint="default"/>
                <w:sz w:val="18"/>
                <w:szCs w:val="18"/>
              </w:rPr>
              <w:t> 它固 定收 益类 短期 投资 工具；</w:t>
            </w:r>
          </w:p>
          <w:p>
            <w:pPr>
              <w:pStyle w:val="TableParagraph"/>
              <w:spacing w:line="309"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符合 监管</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5"/>
              <w:jc w:val="both"/>
              <w:rPr>
                <w:rFonts w:ascii="宋体" w:hAnsi="宋体" w:cs="宋体" w:eastAsia="宋体" w:hint="default"/>
                <w:sz w:val="18"/>
                <w:szCs w:val="18"/>
              </w:rPr>
            </w:pPr>
            <w:r>
              <w:rPr>
                <w:rFonts w:ascii="宋体" w:hAnsi="宋体" w:cs="宋体" w:eastAsia="宋体" w:hint="default"/>
                <w:sz w:val="18"/>
                <w:szCs w:val="18"/>
              </w:rPr>
              <w:t>关于 使用 部分 闲置 资金 进行 银行 理财 的进 展公 告</w:t>
            </w:r>
          </w:p>
          <w:p>
            <w:pPr>
              <w:pStyle w:val="TableParagraph"/>
              <w:spacing w:line="338" w:lineRule="auto" w:before="19"/>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7-134</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after="0" w:line="220"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机构 规定 的信 托计 </w:t>
            </w:r>
            <w:r>
              <w:rPr>
                <w:rFonts w:ascii="宋体" w:hAnsi="宋体" w:cs="宋体" w:eastAsia="宋体" w:hint="default"/>
                <w:spacing w:val="-12"/>
                <w:sz w:val="18"/>
                <w:szCs w:val="18"/>
              </w:rPr>
              <w:t>划（受</w:t>
            </w:r>
            <w:r>
              <w:rPr>
                <w:rFonts w:ascii="宋体" w:hAnsi="宋体" w:cs="宋体" w:eastAsia="宋体" w:hint="default"/>
                <w:sz w:val="18"/>
                <w:szCs w:val="18"/>
              </w:rPr>
              <w:t> 益 </w:t>
            </w:r>
            <w:r>
              <w:rPr>
                <w:rFonts w:ascii="宋体" w:hAnsi="宋体" w:cs="宋体" w:eastAsia="宋体" w:hint="default"/>
                <w:spacing w:val="-30"/>
                <w:sz w:val="18"/>
                <w:szCs w:val="18"/>
              </w:rPr>
              <w:t>权），</w:t>
            </w:r>
            <w:r>
              <w:rPr>
                <w:rFonts w:ascii="宋体" w:hAnsi="宋体" w:cs="宋体" w:eastAsia="宋体" w:hint="default"/>
                <w:sz w:val="18"/>
                <w:szCs w:val="18"/>
              </w:rPr>
              <w:t> 基金、 证券 和保 险资 产管 理计 </w:t>
            </w:r>
            <w:r>
              <w:rPr>
                <w:rFonts w:ascii="宋体" w:hAnsi="宋体" w:cs="宋体" w:eastAsia="宋体" w:hint="default"/>
                <w:spacing w:val="-12"/>
                <w:sz w:val="18"/>
                <w:szCs w:val="18"/>
              </w:rPr>
              <w:t>划，保</w:t>
            </w:r>
            <w:r>
              <w:rPr>
                <w:rFonts w:ascii="宋体" w:hAnsi="宋体" w:cs="宋体" w:eastAsia="宋体" w:hint="default"/>
                <w:sz w:val="18"/>
                <w:szCs w:val="18"/>
              </w:rPr>
              <w:t> 险债 权计 划等 其它 金融 资产 及其 组合。</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97</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委托理财出现预期无法收回本金或存在其他可能导致减值的情形</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报告期内委托贷款概况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56"/>
        <w:gridCol w:w="2471"/>
        <w:gridCol w:w="2408"/>
        <w:gridCol w:w="2335"/>
      </w:tblGrid>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委托贷款发生总额</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委托贷款的资金来源</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8"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单项金额重大或安全性较低、流动性较差、不保本的高风险委托贷款具体情况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5"/>
        <w:gridCol w:w="694"/>
        <w:gridCol w:w="761"/>
        <w:gridCol w:w="716"/>
        <w:gridCol w:w="698"/>
        <w:gridCol w:w="700"/>
        <w:gridCol w:w="698"/>
        <w:gridCol w:w="700"/>
        <w:gridCol w:w="698"/>
        <w:gridCol w:w="700"/>
        <w:gridCol w:w="637"/>
        <w:gridCol w:w="629"/>
        <w:gridCol w:w="628"/>
        <w:gridCol w:w="605"/>
      </w:tblGrid>
      <w:tr>
        <w:trPr>
          <w:trHeight w:val="1650"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贷款对 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0" w:right="71"/>
              <w:jc w:val="left"/>
              <w:rPr>
                <w:rFonts w:ascii="宋体" w:hAnsi="宋体" w:cs="宋体" w:eastAsia="宋体" w:hint="default"/>
                <w:sz w:val="18"/>
                <w:szCs w:val="18"/>
              </w:rPr>
            </w:pPr>
            <w:r>
              <w:rPr>
                <w:rFonts w:ascii="宋体" w:hAnsi="宋体" w:cs="宋体" w:eastAsia="宋体" w:hint="default"/>
                <w:sz w:val="18"/>
                <w:szCs w:val="18"/>
              </w:rPr>
              <w:t>贷款对 象类型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85" w:right="103" w:hanging="180"/>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62" w:right="83" w:hanging="180"/>
              <w:jc w:val="left"/>
              <w:rPr>
                <w:rFonts w:ascii="宋体" w:hAnsi="宋体" w:cs="宋体" w:eastAsia="宋体" w:hint="default"/>
                <w:sz w:val="18"/>
                <w:szCs w:val="18"/>
              </w:rPr>
            </w:pPr>
            <w:r>
              <w:rPr>
                <w:rFonts w:ascii="宋体" w:hAnsi="宋体" w:cs="宋体" w:eastAsia="宋体" w:hint="default"/>
                <w:sz w:val="18"/>
                <w:szCs w:val="18"/>
              </w:rPr>
              <w:t>贷款金 额</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4" w:right="75" w:hanging="181"/>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4" w:right="73"/>
              <w:jc w:val="both"/>
              <w:rPr>
                <w:rFonts w:ascii="宋体" w:hAnsi="宋体" w:cs="宋体" w:eastAsia="宋体" w:hint="default"/>
                <w:sz w:val="18"/>
                <w:szCs w:val="18"/>
              </w:rPr>
            </w:pPr>
            <w:r>
              <w:rPr>
                <w:rFonts w:ascii="宋体" w:hAnsi="宋体" w:cs="宋体" w:eastAsia="宋体" w:hint="default"/>
                <w:sz w:val="18"/>
                <w:szCs w:val="18"/>
              </w:rPr>
              <w:t>预期收 益（如 有）</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4" w:right="72"/>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5"/>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 w:right="42"/>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319" w:lineRule="auto" w:before="19"/>
              <w:ind w:left="133"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8" w:right="38"/>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7"/>
              <w:jc w:val="both"/>
              <w:rPr>
                <w:rFonts w:ascii="宋体" w:hAnsi="宋体" w:cs="宋体" w:eastAsia="宋体" w:hint="default"/>
                <w:sz w:val="18"/>
                <w:szCs w:val="18"/>
              </w:rPr>
            </w:pPr>
            <w:r>
              <w:rPr>
                <w:rFonts w:ascii="宋体" w:hAnsi="宋体" w:cs="宋体" w:eastAsia="宋体" w:hint="default"/>
                <w:sz w:val="18"/>
                <w:szCs w:val="18"/>
              </w:rPr>
              <w:t>未来是 否还有 委托贷 款计划</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33" w:right="20"/>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p>
            <w:pPr>
              <w:pStyle w:val="TableParagraph"/>
              <w:spacing w:line="240" w:lineRule="auto" w:before="17"/>
              <w:ind w:left="123" w:right="0"/>
              <w:jc w:val="both"/>
              <w:rPr>
                <w:rFonts w:ascii="宋体" w:hAnsi="宋体" w:cs="宋体" w:eastAsia="宋体" w:hint="default"/>
                <w:sz w:val="18"/>
                <w:szCs w:val="18"/>
              </w:rPr>
            </w:pPr>
            <w:r>
              <w:rPr>
                <w:rFonts w:ascii="宋体" w:hAnsi="宋体" w:cs="宋体" w:eastAsia="宋体" w:hint="default"/>
                <w:sz w:val="18"/>
                <w:szCs w:val="18"/>
              </w:rPr>
              <w:t>（如</w:t>
            </w:r>
          </w:p>
        </w:tc>
      </w:tr>
    </w:tbl>
    <w:p>
      <w:pPr>
        <w:spacing w:after="0" w:line="240"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5"/>
        <w:gridCol w:w="694"/>
        <w:gridCol w:w="761"/>
        <w:gridCol w:w="716"/>
        <w:gridCol w:w="698"/>
        <w:gridCol w:w="700"/>
        <w:gridCol w:w="698"/>
        <w:gridCol w:w="700"/>
        <w:gridCol w:w="698"/>
        <w:gridCol w:w="700"/>
        <w:gridCol w:w="637"/>
        <w:gridCol w:w="629"/>
        <w:gridCol w:w="628"/>
        <w:gridCol w:w="617"/>
      </w:tblGrid>
      <w:tr>
        <w:trPr>
          <w:trHeight w:val="362"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8515"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20"/>
              <w:jc w:val="both"/>
              <w:rPr>
                <w:rFonts w:ascii="宋体" w:hAnsi="宋体" w:cs="宋体" w:eastAsia="宋体" w:hint="default"/>
                <w:sz w:val="18"/>
                <w:szCs w:val="18"/>
              </w:rPr>
            </w:pPr>
            <w:r>
              <w:rPr>
                <w:rFonts w:ascii="宋体" w:hAnsi="宋体" w:cs="宋体" w:eastAsia="宋体" w:hint="default"/>
                <w:sz w:val="18"/>
                <w:szCs w:val="18"/>
              </w:rPr>
              <w:t>湖北海 立美达 汽车有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63.69</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暂无计 划。</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42"/>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7"/>
              <w:ind w:left="22" w:right="42"/>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为控股 子公司 提供委 托贷款 的公 </w:t>
            </w:r>
            <w:r>
              <w:rPr>
                <w:rFonts w:ascii="宋体" w:hAnsi="宋体" w:cs="宋体" w:eastAsia="宋体" w:hint="default"/>
                <w:spacing w:val="-40"/>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5043"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20"/>
              <w:jc w:val="both"/>
              <w:rPr>
                <w:rFonts w:ascii="宋体" w:hAnsi="宋体" w:cs="宋体" w:eastAsia="宋体" w:hint="default"/>
                <w:sz w:val="18"/>
                <w:szCs w:val="18"/>
              </w:rPr>
            </w:pPr>
            <w:r>
              <w:rPr>
                <w:rFonts w:ascii="宋体" w:hAnsi="宋体" w:cs="宋体" w:eastAsia="宋体" w:hint="default"/>
                <w:sz w:val="18"/>
                <w:szCs w:val="18"/>
              </w:rPr>
              <w:t>湖北海 立美达 汽车有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4.35%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3,000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2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65.4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65.4</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53"/>
              <w:jc w:val="left"/>
              <w:rPr>
                <w:rFonts w:ascii="宋体" w:hAnsi="宋体" w:cs="宋体" w:eastAsia="宋体" w:hint="default"/>
                <w:sz w:val="18"/>
                <w:szCs w:val="18"/>
              </w:rPr>
            </w:pPr>
            <w:r>
              <w:rPr>
                <w:rFonts w:ascii="宋体" w:hAnsi="宋体" w:cs="宋体" w:eastAsia="宋体" w:hint="default"/>
                <w:sz w:val="18"/>
                <w:szCs w:val="18"/>
              </w:rPr>
              <w:t>暂无计 划。</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42"/>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42"/>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9"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bl>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5"/>
        <w:gridCol w:w="694"/>
        <w:gridCol w:w="761"/>
        <w:gridCol w:w="716"/>
        <w:gridCol w:w="698"/>
        <w:gridCol w:w="700"/>
        <w:gridCol w:w="698"/>
        <w:gridCol w:w="700"/>
        <w:gridCol w:w="698"/>
        <w:gridCol w:w="700"/>
        <w:gridCol w:w="637"/>
        <w:gridCol w:w="629"/>
        <w:gridCol w:w="628"/>
        <w:gridCol w:w="617"/>
      </w:tblGrid>
      <w:tr>
        <w:trPr>
          <w:trHeight w:val="3483" w:hRule="exact"/>
        </w:trPr>
        <w:tc>
          <w:tcPr>
            <w:tcW w:w="69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《关于 为控股 子公司 提供委 托贷款 的公 </w:t>
            </w:r>
            <w:r>
              <w:rPr>
                <w:rFonts w:ascii="宋体" w:hAnsi="宋体" w:cs="宋体" w:eastAsia="宋体" w:hint="default"/>
                <w:spacing w:val="-40"/>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402" w:hRule="exact"/>
        </w:trPr>
        <w:tc>
          <w:tcPr>
            <w:tcW w:w="21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6,000</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129.09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129.09</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委托贷款出现预期无法收回本金或存在其他可能导致减值的情形</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firstLine="360"/>
        <w:jc w:val="left"/>
      </w:pPr>
      <w:r>
        <w:rPr/>
        <w:t>公司秉承</w:t>
      </w:r>
      <w:r>
        <w:rPr>
          <w:rFonts w:ascii="Times New Roman" w:hAnsi="Times New Roman" w:cs="Times New Roman" w:eastAsia="Times New Roman" w:hint="default"/>
        </w:rPr>
        <w:t>“</w:t>
      </w:r>
      <w:r>
        <w:rPr/>
        <w:t>诚信、责任、和谐、感恩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为社会创造财富，为股东创造价值</w:t>
      </w:r>
      <w:r>
        <w:rPr>
          <w:rFonts w:ascii="Times New Roman" w:hAnsi="Times New Roman" w:cs="Times New Roman" w:eastAsia="Times New Roman" w:hint="default"/>
        </w:rPr>
        <w:t>”</w:t>
      </w:r>
      <w:r>
        <w:rPr/>
        <w:t>的企业使命，充分挖掘内部潜力，调动全体 员工的工作积极性，在企业持续稳健发展、保护股东利益的同时，认真履行对股东、员工、对客户、对供应商的社会责任， 以实际行动履行公司在各方面应尽的责任和义务，创建和谐的发展环境，促进公司和谐发展。</w:t>
      </w:r>
    </w:p>
    <w:p>
      <w:pPr>
        <w:pStyle w:val="BodyText"/>
        <w:spacing w:line="314" w:lineRule="auto" w:before="64"/>
        <w:ind w:left="154" w:right="0" w:firstLine="360"/>
        <w:jc w:val="left"/>
      </w:pPr>
      <w:r>
        <w:rPr>
          <w:rFonts w:ascii="Times New Roman" w:hAnsi="Times New Roman" w:cs="Times New Roman" w:eastAsia="Times New Roman" w:hint="default"/>
        </w:rPr>
        <w:t>1</w:t>
      </w:r>
      <w:r>
        <w:rPr/>
        <w:t>、在保障公司股东特别是中小股东权益方面，公司严格按照《公司法》、《深圳证券交易所规范运作指引》、《公司 </w:t>
      </w:r>
      <w:r>
        <w:rPr>
          <w:spacing w:val="-2"/>
        </w:rPr>
        <w:t>章程》等有关法律法规制度等要求，建立了涵盖公司运营全部环节和多层次的内控体系，使公司各项经营、决策等事项严格</w:t>
      </w:r>
      <w:r>
        <w:rPr>
          <w:spacing w:val="-66"/>
        </w:rPr>
        <w:t> </w:t>
      </w:r>
      <w:r>
        <w:rPr>
          <w:spacing w:val="-66"/>
        </w:rPr>
      </w:r>
      <w:r>
        <w:rPr>
          <w:spacing w:val="-4"/>
        </w:rPr>
        <w:t>按照规定执行，规范公司运作以提升经营业绩。同时公司通过落实分红等政策，积极回报股东，开通股东大会网络投票通道，</w:t>
      </w:r>
      <w:r>
        <w:rPr>
          <w:spacing w:val="-46"/>
        </w:rPr>
        <w:t> </w:t>
      </w:r>
      <w:r>
        <w:rPr>
          <w:spacing w:val="-46"/>
        </w:rPr>
      </w:r>
      <w:r>
        <w:rPr>
          <w:spacing w:val="-2"/>
        </w:rPr>
        <w:t>提高中小投资者参与公司重要事项决策权。公司通过及时、真实、完整的披露信息，保证信息披露的公平、公正性、切实维</w:t>
      </w:r>
      <w:r>
        <w:rPr>
          <w:spacing w:val="-68"/>
        </w:rPr>
        <w:t> </w:t>
      </w:r>
      <w:r>
        <w:rPr>
          <w:spacing w:val="-68"/>
        </w:rPr>
      </w:r>
      <w:r>
        <w:rPr/>
        <w:t>护公司和全体股东的合法权益。</w:t>
      </w:r>
    </w:p>
    <w:p>
      <w:pPr>
        <w:pStyle w:val="BodyText"/>
        <w:spacing w:line="309" w:lineRule="auto" w:before="59"/>
        <w:ind w:left="154" w:right="1133" w:firstLine="360"/>
        <w:jc w:val="both"/>
      </w:pPr>
      <w:r>
        <w:rPr>
          <w:rFonts w:ascii="Times New Roman" w:hAnsi="Times New Roman" w:cs="Times New Roman" w:eastAsia="Times New Roman" w:hint="default"/>
        </w:rPr>
        <w:t>2</w:t>
      </w:r>
      <w:r>
        <w:rPr/>
        <w:t>、公司坚持以人为本的原则，坚持员工利益至上。公司高度重视员工的生产安全、劳动防护、劳动保障工作，积极为 </w:t>
      </w:r>
      <w:r>
        <w:rPr>
          <w:spacing w:val="-2"/>
        </w:rPr>
        <w:t>员工缴纳各项社会保险费、提供多层次、全方位的各类培训，组织多形式的文体活动，不断提升员工的职业技能，丰富员工</w:t>
      </w:r>
      <w:r>
        <w:rPr>
          <w:spacing w:val="-66"/>
        </w:rPr>
        <w:t> </w:t>
      </w:r>
      <w:r>
        <w:rPr>
          <w:spacing w:val="-66"/>
        </w:rPr>
      </w:r>
      <w:r>
        <w:rPr/>
        <w:t>精神生活，提升员工发展空间。</w:t>
      </w:r>
    </w:p>
    <w:p>
      <w:pPr>
        <w:pStyle w:val="BodyText"/>
        <w:spacing w:line="302" w:lineRule="auto" w:before="62"/>
        <w:ind w:left="154" w:right="1142" w:firstLine="360"/>
        <w:jc w:val="left"/>
      </w:pPr>
      <w:r>
        <w:rPr>
          <w:rFonts w:ascii="Times New Roman" w:hAnsi="Times New Roman" w:cs="Times New Roman" w:eastAsia="Times New Roman" w:hint="default"/>
        </w:rPr>
        <w:t>3</w:t>
      </w:r>
      <w:r>
        <w:rPr/>
        <w:t>、公司坚持</w:t>
      </w:r>
      <w:r>
        <w:rPr>
          <w:rFonts w:ascii="Times New Roman" w:hAnsi="Times New Roman" w:cs="Times New Roman" w:eastAsia="Times New Roman" w:hint="default"/>
        </w:rPr>
        <w:t>“</w:t>
      </w:r>
      <w:r>
        <w:rPr/>
        <w:t>客户第一，服务至上</w:t>
      </w:r>
      <w:r>
        <w:rPr>
          <w:rFonts w:ascii="Times New Roman" w:hAnsi="Times New Roman" w:cs="Times New Roman" w:eastAsia="Times New Roman" w:hint="default"/>
        </w:rPr>
        <w:t>”</w:t>
      </w:r>
      <w:r>
        <w:rPr/>
        <w:t>的原则，为下游客户提供优质的产品和便捷的服务，同时加强与上游供应商的沟通 与合作，实现公司与客户多方互惠共赢，创造企业和谐的发展空间。</w:t>
      </w:r>
    </w:p>
    <w:p>
      <w:pPr>
        <w:pStyle w:val="BodyText"/>
        <w:spacing w:line="309" w:lineRule="auto" w:before="69"/>
        <w:ind w:left="154" w:right="1032" w:firstLine="360"/>
        <w:jc w:val="left"/>
      </w:pPr>
      <w:r>
        <w:rPr>
          <w:rFonts w:ascii="Times New Roman" w:hAnsi="Times New Roman" w:cs="Times New Roman" w:eastAsia="Times New Roman" w:hint="default"/>
        </w:rPr>
        <w:t>4</w:t>
      </w:r>
      <w:r>
        <w:rPr/>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 近年来，公司更是引进先进流水线，打造绿色生产制造企业，致力于打造环境友好型生产企业。</w:t>
      </w:r>
    </w:p>
    <w:p>
      <w:pPr>
        <w:spacing w:after="0" w:line="30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精准扶贫规划" w:id="101"/>
      <w:bookmarkEnd w:id="101"/>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报告期内，公司积极响应国家精准扶贫号召，向中华少年儿童慈善救助基金会“起点工程”捐赠</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万元，向北京市中国人</w:t>
      </w:r>
    </w:p>
    <w:p>
      <w:pPr>
        <w:pStyle w:val="BodyText"/>
        <w:spacing w:line="240" w:lineRule="auto" w:before="64"/>
        <w:ind w:right="0"/>
        <w:jc w:val="left"/>
      </w:pPr>
      <w:r>
        <w:rPr/>
        <w:t>民大学教育基金会捐赠</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万元。公司将紧紧围绕所在地区的扶贫脱贫战略，履行精准扶贫社会责任。</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年度精准扶贫概要" w:id="102"/>
      <w:bookmarkEnd w:id="102"/>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bookmarkStart w:name="报告期内，公司积极响应国家精准扶贫号召，向中华少年儿童慈善救助基金会“起点工程”" w:id="103"/>
      <w:bookmarkEnd w:id="103"/>
      <w:r>
        <w:rPr/>
      </w:r>
      <w:r>
        <w:rPr/>
        <w:t>报告期内，公司积极响应国家精准扶贫号召，向中华少年儿童慈善救助基金会“起点工程”捐赠</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万元，向北京市中国人</w:t>
      </w:r>
    </w:p>
    <w:p>
      <w:pPr>
        <w:pStyle w:val="BodyText"/>
        <w:spacing w:line="240" w:lineRule="auto" w:before="64"/>
        <w:ind w:right="0"/>
        <w:jc w:val="left"/>
      </w:pPr>
      <w:r>
        <w:rPr/>
        <w:t>民大学教育基金会捐赠</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both"/>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公司将紧紧围绕所在地区的扶贫脱贫战略，履行精准扶贫社会责任。</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pStyle w:val="BodyText"/>
        <w:spacing w:line="319" w:lineRule="auto" w:before="28"/>
        <w:ind w:left="154" w:right="1131"/>
        <w:jc w:val="both"/>
      </w:pPr>
      <w:r>
        <w:rPr>
          <w:spacing w:val="-2"/>
        </w:rPr>
        <w:t>经自查，报告期内公司及子公司不属于重点排污单位。公司及子公司在日常生产经营中认真执行《中华人民共和国环境保护</w:t>
      </w:r>
      <w:r>
        <w:rPr>
          <w:spacing w:val="-66"/>
        </w:rPr>
        <w:t> </w:t>
      </w:r>
      <w:r>
        <w:rPr>
          <w:spacing w:val="-66"/>
        </w:rPr>
      </w:r>
      <w:r>
        <w:rPr>
          <w:spacing w:val="-14"/>
        </w:rPr>
        <w:t>法》、《中华人民共和国水污染防治法》、《中华人民共和国大气污染防治法》、《中华人民共和国噪声污染防治法》、《中华人民</w:t>
      </w:r>
      <w:r>
        <w:rPr>
          <w:spacing w:val="-82"/>
        </w:rPr>
        <w:t> </w:t>
      </w:r>
      <w:r>
        <w:rPr>
          <w:spacing w:val="-82"/>
        </w:rPr>
      </w:r>
      <w:r>
        <w:rPr/>
        <w:t>共和国固体废物污染防治法》等环保方面的法律法规，报告期内未出现因违法违规而受到处罚的情况。</w:t>
      </w:r>
    </w:p>
    <w:p>
      <w:pPr>
        <w:spacing w:after="0" w:line="31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9"/>
      <w:bookmarkEnd w:id="109"/>
      <w:r>
        <w:rPr>
          <w:b w:val="0"/>
          <w:bCs w:val="0"/>
        </w:rPr>
      </w:r>
      <w:bookmarkStart w:name="_bookmark4" w:id="110"/>
      <w:bookmarkEnd w:id="11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004"/>
        <w:gridCol w:w="708"/>
        <w:gridCol w:w="426"/>
        <w:gridCol w:w="426"/>
        <w:gridCol w:w="991"/>
        <w:gridCol w:w="1134"/>
        <w:gridCol w:w="1277"/>
        <w:gridCol w:w="1134"/>
        <w:gridCol w:w="641"/>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268,795,498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47.25%</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322,554,597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-509,047,536</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-186,492,939</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82,302,559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40,348,538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48,418,245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-88,766,783</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-40,348,538</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228,446,960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274,136,352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-420,280,753</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-146,144,401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82,302,559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228,446,960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274,136,352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-420,345,328</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-146,208,976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82,237,984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52.75%</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509,047,536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869,047,536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1,169,047,536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52.75%</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509,047,536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869,047,536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1,169,047,536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93.42%</w:t>
            </w: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568,795,498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426"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682,554,597</w:t>
            </w:r>
          </w:p>
        </w:tc>
        <w:tc>
          <w:tcPr>
            <w:tcW w:w="113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682,554,597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1,251,350,095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38" w:lineRule="auto" w:before="117"/>
        <w:ind w:left="513" w:right="13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w:t>
      </w:r>
      <w:r>
        <w:rPr>
          <w:rFonts w:ascii="Times New Roman" w:hAnsi="Times New Roman" w:cs="Times New Roman" w:eastAsia="Times New Roman" w:hint="default"/>
        </w:rPr>
        <w:t>2016</w:t>
      </w:r>
      <w:r>
        <w:rPr/>
        <w:t>年度权益分派方案中以资本公积每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股方案实施完毕，公司股本由</w:t>
      </w:r>
      <w:r>
        <w:rPr>
          <w:rFonts w:ascii="Times New Roman" w:hAnsi="Times New Roman" w:cs="Times New Roman" w:eastAsia="Times New Roman" w:hint="default"/>
        </w:rPr>
        <w:t>568,795,498</w:t>
      </w:r>
      <w:r>
        <w:rPr/>
        <w:t>股增至</w:t>
      </w:r>
    </w:p>
    <w:p>
      <w:pPr>
        <w:pStyle w:val="BodyText"/>
        <w:spacing w:line="230" w:lineRule="exact"/>
        <w:ind w:right="0"/>
        <w:jc w:val="left"/>
      </w:pPr>
      <w:r>
        <w:rPr>
          <w:rFonts w:ascii="Times New Roman" w:hAnsi="Times New Roman" w:cs="Times New Roman" w:eastAsia="Times New Roman" w:hint="default"/>
        </w:rPr>
        <w:t>1,251,350,095</w:t>
      </w:r>
      <w:r>
        <w:rPr/>
        <w:t>股；报告期内，公司董事、副总裁兼董事会秘书周建孚先生个人增持公司股份</w:t>
      </w:r>
      <w:r>
        <w:rPr>
          <w:rFonts w:ascii="Times New Roman" w:hAnsi="Times New Roman" w:cs="Times New Roman" w:eastAsia="Times New Roman" w:hint="default"/>
        </w:rPr>
        <w:t>86,100</w:t>
      </w:r>
      <w:r>
        <w:rPr/>
        <w:t>股，其中</w:t>
      </w:r>
      <w:r>
        <w:rPr>
          <w:rFonts w:ascii="Times New Roman" w:hAnsi="Times New Roman" w:cs="Times New Roman" w:eastAsia="Times New Roman" w:hint="default"/>
        </w:rPr>
        <w:t>64,575</w:t>
      </w:r>
      <w:r>
        <w:rPr/>
        <w:t>股作为高</w:t>
      </w:r>
    </w:p>
    <w:p>
      <w:pPr>
        <w:pStyle w:val="BodyText"/>
        <w:spacing w:line="360" w:lineRule="auto" w:before="63"/>
        <w:ind w:left="154" w:right="8412"/>
        <w:jc w:val="left"/>
      </w:pPr>
      <w:r>
        <w:rPr/>
        <w:t>管锁定股被锁定为限售股份。 股份变动的批准情况</w:t>
      </w:r>
    </w:p>
    <w:p>
      <w:pPr>
        <w:pStyle w:val="BodyText"/>
        <w:spacing w:line="240" w:lineRule="auto" w:before="2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5</w:t>
      </w:r>
      <w:r>
        <w:rPr>
          <w:spacing w:val="-5"/>
        </w:rPr>
        <w:t>日，公司第三届董事会第十八次会议审议通过了《公司</w:t>
      </w:r>
      <w:r>
        <w:rPr>
          <w:rFonts w:ascii="Times New Roman" w:hAnsi="Times New Roman" w:cs="Times New Roman" w:eastAsia="Times New Roman" w:hint="default"/>
          <w:spacing w:val="-5"/>
        </w:rPr>
        <w:t>2016</w:t>
      </w:r>
      <w:r>
        <w:rPr>
          <w:spacing w:val="-5"/>
        </w:rPr>
        <w:t>年度利润分配及资本公积转增股本预案》，以</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568,795,498</w:t>
      </w:r>
      <w:r>
        <w:rPr/>
        <w:t>股为基数，以未分配利润向全体股东每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元（含税），合计派发现金 </w:t>
      </w:r>
      <w:r>
        <w:rPr>
          <w:rFonts w:ascii="Times New Roman" w:hAnsi="Times New Roman" w:cs="Times New Roman" w:eastAsia="Times New Roman" w:hint="default"/>
        </w:rPr>
        <w:t>28,439,774.90</w:t>
      </w:r>
      <w:r>
        <w:rPr/>
        <w:t>元，同时以股本溢价形成的资本公积向全体股东每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日召开的公司</w:t>
      </w:r>
      <w:r>
        <w:rPr>
          <w:rFonts w:ascii="Times New Roman" w:hAnsi="Times New Roman" w:cs="Times New Roman" w:eastAsia="Times New Roman" w:hint="default"/>
        </w:rPr>
        <w:t>2016</w:t>
      </w:r>
      <w:r>
        <w:rPr/>
        <w:t>年度股东大 会审议批准了该议案。截至报告期末，该方案已实施完毕，公司总股本由</w:t>
      </w:r>
      <w:r>
        <w:rPr>
          <w:rFonts w:ascii="Times New Roman" w:hAnsi="Times New Roman" w:cs="Times New Roman" w:eastAsia="Times New Roman" w:hint="default"/>
        </w:rPr>
        <w:t>568,795,498</w:t>
      </w:r>
      <w:r>
        <w:rPr/>
        <w:t>股增至</w:t>
      </w:r>
      <w:r>
        <w:rPr>
          <w:rFonts w:ascii="Times New Roman" w:hAnsi="Times New Roman" w:cs="Times New Roman" w:eastAsia="Times New Roman" w:hint="default"/>
        </w:rPr>
        <w:t>1,251,350,095</w:t>
      </w:r>
      <w:r>
        <w:rPr/>
        <w:t>股。</w:t>
      </w:r>
    </w:p>
    <w:p>
      <w:pPr>
        <w:pStyle w:val="BodyText"/>
        <w:spacing w:line="240" w:lineRule="auto" w:before="52"/>
        <w:ind w:left="154" w:right="0"/>
        <w:jc w:val="left"/>
      </w:pPr>
      <w:r>
        <w:rPr/>
        <w:t>股份变动的过户情况</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截至报告期末，公司</w:t>
      </w:r>
      <w:r>
        <w:rPr>
          <w:rFonts w:ascii="Times New Roman" w:hAnsi="Times New Roman" w:cs="Times New Roman" w:eastAsia="Times New Roman" w:hint="default"/>
          <w:spacing w:val="-2"/>
        </w:rPr>
        <w:t>2016</w:t>
      </w:r>
      <w:r>
        <w:rPr>
          <w:spacing w:val="-2"/>
        </w:rPr>
        <w:t>年度利润分配及资本公积转增股本事宜已实施完毕，详见公司披露于《中国证券报》、《上海</w:t>
      </w:r>
    </w:p>
    <w:p>
      <w:pPr>
        <w:pStyle w:val="BodyText"/>
        <w:spacing w:line="230" w:lineRule="exact"/>
        <w:ind w:right="0"/>
        <w:jc w:val="left"/>
      </w:pPr>
      <w:r>
        <w:rPr/>
        <w:t>证券报》、《证券时报》、《证券日报》和公司指定信息披露网站巨潮资讯网（</w:t>
      </w:r>
      <w:hyperlink r:id="rId12">
        <w:r>
          <w:rPr>
            <w:rFonts w:ascii="Times New Roman" w:hAnsi="Times New Roman" w:cs="Times New Roman" w:eastAsia="Times New Roman" w:hint="default"/>
          </w:rPr>
          <w:t>http://www.cninfo.com.cn</w:t>
        </w:r>
      </w:hyperlink>
      <w:r>
        <w:rPr/>
        <w:t>）的《</w:t>
      </w:r>
      <w:r>
        <w:rPr>
          <w:rFonts w:ascii="Times New Roman" w:hAnsi="Times New Roman" w:cs="Times New Roman" w:eastAsia="Times New Roman" w:hint="default"/>
        </w:rPr>
        <w:t>2016</w:t>
      </w:r>
      <w:r>
        <w:rPr/>
        <w:t>年年度</w:t>
      </w:r>
    </w:p>
    <w:p>
      <w:pPr>
        <w:pStyle w:val="BodyText"/>
        <w:spacing w:line="340" w:lineRule="auto" w:before="63"/>
        <w:ind w:left="154" w:right="0"/>
        <w:jc w:val="left"/>
      </w:pPr>
      <w:r>
        <w:rPr>
          <w:spacing w:val="-2"/>
        </w:rPr>
        <w:t>权益分派实施公告》（公告编号：</w:t>
      </w:r>
      <w:r>
        <w:rPr>
          <w:rFonts w:ascii="Times New Roman" w:hAnsi="Times New Roman" w:cs="Times New Roman" w:eastAsia="Times New Roman" w:hint="default"/>
          <w:spacing w:val="-2"/>
        </w:rPr>
        <w:t>2017-062</w:t>
      </w:r>
      <w:r>
        <w:rPr>
          <w:spacing w:val="-2"/>
        </w:rPr>
        <w:t>）。上述权益分派实施完毕后，公司总股本由</w:t>
      </w:r>
      <w:r>
        <w:rPr>
          <w:rFonts w:ascii="Times New Roman" w:hAnsi="Times New Roman" w:cs="Times New Roman" w:eastAsia="Times New Roman" w:hint="default"/>
          <w:spacing w:val="-2"/>
        </w:rPr>
        <w:t>568,795,498</w:t>
      </w:r>
      <w:r>
        <w:rPr>
          <w:spacing w:val="-2"/>
        </w:rPr>
        <w:t>股增至</w:t>
      </w:r>
      <w:r>
        <w:rPr>
          <w:rFonts w:ascii="Times New Roman" w:hAnsi="Times New Roman" w:cs="Times New Roman" w:eastAsia="Times New Roman" w:hint="default"/>
          <w:spacing w:val="-2"/>
        </w:rPr>
        <w:t>1,251,350,095</w:t>
      </w:r>
      <w:r>
        <w:rPr>
          <w:spacing w:val="-2"/>
        </w:rPr>
        <w:t>股。</w:t>
      </w:r>
      <w:r>
        <w:rPr>
          <w:spacing w:val="-47"/>
        </w:rPr>
        <w:t> </w:t>
      </w:r>
      <w:r>
        <w:rPr/>
        <w:t>股份变动对最近一年和最近一期基本每股收益和稀释每股收益、归属于公司普通股股东的每股净资产等财务指标的影响</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pPr>
      <w:r>
        <w:rPr/>
        <w:t>按新股本</w:t>
      </w:r>
      <w:r>
        <w:rPr>
          <w:rFonts w:ascii="Times New Roman" w:hAnsi="Times New Roman" w:cs="Times New Roman" w:eastAsia="Times New Roman" w:hint="default"/>
        </w:rPr>
        <w:t>1,251,350,095</w:t>
      </w:r>
      <w:r>
        <w:rPr/>
        <w:t>股摊薄计算，公司</w:t>
      </w:r>
      <w:r>
        <w:rPr>
          <w:rFonts w:ascii="Times New Roman" w:hAnsi="Times New Roman" w:cs="Times New Roman" w:eastAsia="Times New Roman" w:hint="default"/>
        </w:rPr>
        <w:t>2016</w:t>
      </w:r>
      <w:r>
        <w:rPr/>
        <w:t>年度每股收益为</w:t>
      </w:r>
      <w:r>
        <w:rPr>
          <w:rFonts w:ascii="Times New Roman" w:hAnsi="Times New Roman" w:cs="Times New Roman" w:eastAsia="Times New Roman" w:hint="default"/>
        </w:rPr>
        <w:t>0.19</w:t>
      </w:r>
      <w:r>
        <w:rPr/>
        <w:t>元。</w:t>
      </w:r>
    </w:p>
    <w:p>
      <w:pPr>
        <w:pStyle w:val="BodyText"/>
        <w:spacing w:line="240" w:lineRule="auto" w:before="92"/>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489.359985pt;margin-top:58.331711pt;width:45.75pt;height:25.4pt;mso-position-horizontal-relative:page;mso-position-vertical-relative:paragraph;z-index:-1394728" coordorigin="9787,1167" coordsize="915,508">
            <v:group style="position:absolute;left:9787;top:1167;width:915;height:156" coordorigin="9787,1167" coordsize="915,156">
              <v:shape style="position:absolute;left:9787;top:1167;width:915;height:156" coordorigin="9787,1167" coordsize="915,156" path="m9787,1323l10702,1323,10702,1167,9787,1167,9787,1323xe" filled="true" fillcolor="#ffffff" stroked="false">
                <v:path arrowok="t"/>
                <v:fill type="solid"/>
              </v:shape>
            </v:group>
            <v:group style="position:absolute;left:9810;top:1323;width:868;height:352" coordorigin="9810,1323" coordsize="868,352">
              <v:shape style="position:absolute;left:9810;top:1323;width:868;height:352" coordorigin="9810,1323" coordsize="868,352" path="m9810,1674l10678,1674,10678,1323,9810,1323,9810,1674xe" filled="true" fillcolor="#ffffff" stroked="false">
                <v:path arrowok="t"/>
                <v:fill type="solid"/>
              </v:shape>
            </v:group>
            <w10:wrap type="none"/>
          </v:group>
        </w:pict>
      </w: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1134"/>
        <w:gridCol w:w="992"/>
        <w:gridCol w:w="883"/>
        <w:gridCol w:w="1810"/>
        <w:gridCol w:w="924"/>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5" w:right="77"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6" w:right="96" w:hanging="180"/>
              <w:jc w:val="left"/>
              <w:rPr>
                <w:rFonts w:ascii="宋体" w:hAnsi="宋体" w:cs="宋体" w:eastAsia="宋体" w:hint="default"/>
                <w:sz w:val="18"/>
                <w:szCs w:val="18"/>
              </w:rPr>
            </w:pPr>
            <w:r>
              <w:rPr>
                <w:rFonts w:ascii="宋体" w:hAnsi="宋体" w:cs="宋体" w:eastAsia="宋体" w:hint="default"/>
                <w:sz w:val="18"/>
                <w:szCs w:val="18"/>
              </w:rPr>
              <w:t>解除限售 日期</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128,222,828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199,852,238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153,867,394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82,237,984</w:t>
            </w:r>
          </w:p>
        </w:tc>
        <w:tc>
          <w:tcPr>
            <w:tcW w:w="181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pacing w:val="-14"/>
                <w:sz w:val="18"/>
                <w:szCs w:val="18"/>
              </w:rPr>
              <w:t>根据《业绩补偿协议》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博升优势继续锁定</w:t>
            </w:r>
            <w:r>
              <w:rPr>
                <w:rFonts w:ascii="宋体" w:hAnsi="宋体" w:cs="宋体" w:eastAsia="宋体" w:hint="default"/>
                <w:sz w:val="18"/>
                <w:szCs w:val="18"/>
              </w:rPr>
              <w:t> </w:t>
            </w:r>
            <w:r>
              <w:rPr>
                <w:rFonts w:ascii="Times New Roman" w:hAnsi="Times New Roman" w:cs="Times New Roman" w:eastAsia="Times New Roman" w:hint="default"/>
                <w:sz w:val="18"/>
                <w:szCs w:val="18"/>
              </w:rPr>
              <w:t>82,237,984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w:t>
            </w:r>
          </w:p>
        </w:tc>
        <w:tc>
          <w:tcPr>
            <w:tcW w:w="924"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42,740,942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94,030,072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51,289,130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24,711,322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54,364,908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29,653,586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华融天泽投资有限公司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15,637,216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34,401,875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18,764,659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北京东富新投投资管理中心（有限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11,727,912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25,801,406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14,073,494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西部利得基金管理有限公司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11,141,516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24,511,335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13,369,819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中信建投基金管理有限公司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10,203,283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22,447,223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12,243,940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博时基金管理有限公司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9,437,846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20,763,262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11,325,416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北信瑞丰基金管理有限公司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7,544,956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16,598,903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9,053,947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天治基金管理有限公司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7,427,677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16,340,889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8,913,212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64,575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高管个人增持</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268,795,498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3"/>
                <w:sz w:val="18"/>
              </w:rPr>
              <w:t>509,112,111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322,619,172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82,302,559</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日，本公司</w:t>
      </w:r>
      <w:r>
        <w:rPr>
          <w:rFonts w:ascii="Times New Roman" w:hAnsi="Times New Roman" w:cs="Times New Roman" w:eastAsia="Times New Roman" w:hint="default"/>
          <w:spacing w:val="-2"/>
        </w:rPr>
        <w:t>2016</w:t>
      </w:r>
      <w:r>
        <w:rPr>
          <w:spacing w:val="-2"/>
        </w:rPr>
        <w:t>年度权益分派方案（以股本溢价形成的资本公积向全体股东每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股）实施完毕，公</w:t>
      </w:r>
      <w:r>
        <w:rPr>
          <w:spacing w:val="-51"/>
        </w:rPr>
        <w:t> </w:t>
      </w:r>
      <w:r>
        <w:rPr>
          <w:spacing w:val="-51"/>
        </w:rPr>
      </w:r>
      <w:r>
        <w:rPr/>
        <w:t>司总股本由</w:t>
      </w:r>
      <w:r>
        <w:rPr>
          <w:rFonts w:ascii="Times New Roman" w:hAnsi="Times New Roman" w:cs="Times New Roman" w:eastAsia="Times New Roman" w:hint="default"/>
        </w:rPr>
        <w:t>568,795,498</w:t>
      </w:r>
      <w:r>
        <w:rPr/>
        <w:t>股增为</w:t>
      </w:r>
      <w:r>
        <w:rPr>
          <w:rFonts w:ascii="Times New Roman" w:hAnsi="Times New Roman" w:cs="Times New Roman" w:eastAsia="Times New Roman" w:hint="default"/>
        </w:rPr>
        <w:t>1,251,350,095</w:t>
      </w:r>
      <w:r>
        <w:rPr/>
        <w:t>股。</w:t>
      </w:r>
    </w:p>
    <w:p>
      <w:pPr>
        <w:pStyle w:val="BodyText"/>
        <w:spacing w:line="300" w:lineRule="auto"/>
        <w:ind w:right="113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月和</w:t>
      </w:r>
      <w:r>
        <w:rPr>
          <w:rFonts w:ascii="Times New Roman" w:hAnsi="Times New Roman" w:cs="Times New Roman" w:eastAsia="Times New Roman" w:hint="default"/>
        </w:rPr>
        <w:t>11</w:t>
      </w:r>
      <w:r>
        <w:rPr/>
        <w:t>月，公司对</w:t>
      </w:r>
      <w:r>
        <w:rPr>
          <w:rFonts w:ascii="Times New Roman" w:hAnsi="Times New Roman" w:cs="Times New Roman" w:eastAsia="Times New Roman" w:hint="default"/>
        </w:rPr>
        <w:t>2016</w:t>
      </w:r>
      <w:r>
        <w:rPr/>
        <w:t>年完成的非公开发行部分限售股份解除了限售，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月，公司董事、副总裁兼董事会 秘书周建孚先生个人增持公司股份</w:t>
      </w:r>
      <w:r>
        <w:rPr>
          <w:rFonts w:ascii="Times New Roman" w:hAnsi="Times New Roman" w:cs="Times New Roman" w:eastAsia="Times New Roman" w:hint="default"/>
        </w:rPr>
        <w:t>86,100</w:t>
      </w:r>
      <w:r>
        <w:rPr/>
        <w:t>股，其中</w:t>
      </w:r>
      <w:r>
        <w:rPr>
          <w:rFonts w:ascii="Times New Roman" w:hAnsi="Times New Roman" w:cs="Times New Roman" w:eastAsia="Times New Roman" w:hint="default"/>
        </w:rPr>
        <w:t>64,575</w:t>
      </w:r>
      <w:r>
        <w:rPr/>
        <w:t>股作为高管锁定股被锁定为限售股份。综上，报告期初公司限售股 为</w:t>
      </w:r>
      <w:r>
        <w:rPr>
          <w:rFonts w:ascii="Times New Roman" w:hAnsi="Times New Roman" w:cs="Times New Roman" w:eastAsia="Times New Roman" w:hint="default"/>
        </w:rPr>
        <w:t>268,795,498</w:t>
      </w:r>
      <w:r>
        <w:rPr/>
        <w:t>股，报告期末公司限售股为</w:t>
      </w:r>
      <w:r>
        <w:rPr>
          <w:rFonts w:ascii="Times New Roman" w:hAnsi="Times New Roman" w:cs="Times New Roman" w:eastAsia="Times New Roman" w:hint="default"/>
        </w:rPr>
        <w:t>82,302,559</w:t>
      </w:r>
      <w:r>
        <w:rPr/>
        <w:t>股。</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1008"/>
        <w:gridCol w:w="117"/>
        <w:gridCol w:w="875"/>
        <w:gridCol w:w="298"/>
        <w:gridCol w:w="696"/>
        <w:gridCol w:w="524"/>
        <w:gridCol w:w="610"/>
        <w:gridCol w:w="563"/>
        <w:gridCol w:w="287"/>
        <w:gridCol w:w="920"/>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16,196</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15,641</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9" w:right="47"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8"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北京博升优势科 技发展有限公司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22.54%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282,090,222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153,867,394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82,237,984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199,852,238</w:t>
            </w:r>
          </w:p>
        </w:tc>
        <w:tc>
          <w:tcPr>
            <w:tcW w:w="850" w:type="dxa"/>
            <w:gridSpan w:val="2"/>
            <w:tcBorders>
              <w:top w:val="single" w:sz="48" w:space="0" w:color="D2D2D2"/>
              <w:left w:val="single" w:sz="4" w:space="0" w:color="000000"/>
              <w:bottom w:val="single" w:sz="4" w:space="0" w:color="000000"/>
              <w:right w:val="single" w:sz="4" w:space="0" w:color="000000"/>
            </w:tcBorders>
          </w:tcPr>
          <w:p>
            <w:pPr/>
          </w:p>
        </w:tc>
        <w:tc>
          <w:tcPr>
            <w:tcW w:w="920"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青岛海立控股有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19.32%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241,775,600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131,877,600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241,775,600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60,229,000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银联商务股份有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7.51%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94,030,072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51,289,130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94,030,072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青岛天晨投资有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7.12%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89,100,000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48,600,000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89,100,000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10,010,000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深圳市华美达一 </w:t>
            </w:r>
            <w:r>
              <w:rPr>
                <w:rFonts w:ascii="宋体" w:hAnsi="宋体" w:cs="宋体" w:eastAsia="宋体" w:hint="default"/>
                <w:spacing w:val="-4"/>
                <w:sz w:val="18"/>
                <w:szCs w:val="18"/>
              </w:rPr>
              <w:t>号投资中心（有限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62,442,380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34,059,480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62,442,380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中国移动通信集 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4.34%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54,364,908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29,653,586</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54,364,908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华融天泽投资有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34,401,875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18,764,659</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34,401,875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34,401,875</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北京东富新投投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25,801,406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14,073,494</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25,801,406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41"/>
              <w:jc w:val="left"/>
              <w:rPr>
                <w:rFonts w:ascii="宋体" w:hAnsi="宋体" w:cs="宋体" w:eastAsia="宋体" w:hint="default"/>
                <w:sz w:val="18"/>
                <w:szCs w:val="18"/>
              </w:rPr>
            </w:pPr>
            <w:r>
              <w:rPr>
                <w:rFonts w:ascii="宋体" w:hAnsi="宋体" w:cs="宋体" w:eastAsia="宋体" w:hint="default"/>
                <w:sz w:val="18"/>
                <w:szCs w:val="18"/>
              </w:rPr>
              <w:t>西部利得基金－ 民生银行－云南 国际信托－晟昱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号集合资金信托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1.96%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24,511,335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13,369,819</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24,511,335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1008"/>
        <w:gridCol w:w="992"/>
        <w:gridCol w:w="994"/>
        <w:gridCol w:w="208"/>
        <w:gridCol w:w="927"/>
        <w:gridCol w:w="422"/>
        <w:gridCol w:w="427"/>
        <w:gridCol w:w="92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中信建投基金－ 广发银行－云南 信托－云南信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22,447,223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12,243,940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22,447,223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9"/>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截至报告期末，公司前十名股东中华融天泽投资有限公司、北京东富新投投资管理中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心（有限合伙）、西部利得基金及中信建投基金所持公司股份均来自于公司在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8" w:lineRule="exact"/>
              <w:ind w:left="15" w:right="0"/>
              <w:jc w:val="left"/>
              <w:rPr>
                <w:rFonts w:ascii="宋体" w:hAnsi="宋体" w:cs="宋体" w:eastAsia="宋体" w:hint="default"/>
                <w:sz w:val="18"/>
                <w:szCs w:val="18"/>
              </w:rPr>
            </w:pPr>
            <w:r>
              <w:rPr>
                <w:rFonts w:ascii="宋体" w:hAnsi="宋体" w:cs="宋体" w:eastAsia="宋体" w:hint="default"/>
                <w:sz w:val="18"/>
                <w:szCs w:val="18"/>
              </w:rPr>
              <w:t>度非公开发行新股，该部分新增股份的上市日为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日，限售期为股份</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日解除限售并上市流通。</w:t>
            </w:r>
          </w:p>
        </w:tc>
      </w:tr>
      <w:tr>
        <w:trPr>
          <w:trHeight w:val="1016"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9"/>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9"/>
            <w:vMerge/>
            <w:tcBorders>
              <w:left w:val="single" w:sz="10" w:space="0" w:color="D2D2D2"/>
              <w:bottom w:val="single" w:sz="4" w:space="0" w:color="000000"/>
              <w:right w:val="single" w:sz="4" w:space="0" w:color="000000"/>
            </w:tcBorders>
          </w:tcPr>
          <w:p>
            <w:pP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9"/>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岛天晨投资有限公司的控股股东孙震是父子、母子关系，两公司属一致行动人。除以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上情况外，公司未知上述股东中的其他股东是否存在关联关系，也未知是否属于一致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9"/>
            <w:vMerge/>
            <w:tcBorders>
              <w:left w:val="single" w:sz="10"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9"/>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241,775,600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241,775,600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199,852,238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199,852,238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94,030,072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94,030,072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89,100,000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深圳市华美达一号投资中心（有限合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62,442,380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62,442,380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54,364,908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54,364,908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华融天泽投资有限公司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34,401,875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34,401,875</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北京东富新投投资管理中心（有限合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25,801,406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25,801,406</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西部利得基金－民生银行－云南国 际信托－晟昱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 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24,511,335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24,511,335</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中信建投基金－广发银行－云南信 托－云南信托</w:t>
            </w:r>
            <w:r>
              <w:rPr>
                <w:rFonts w:ascii="Times New Roman" w:hAnsi="Times New Roman" w:cs="Times New Roman" w:eastAsia="Times New Roman" w:hint="default"/>
                <w:sz w:val="18"/>
                <w:szCs w:val="18"/>
              </w:rPr>
              <w:t>·</w:t>
            </w:r>
            <w:r>
              <w:rPr>
                <w:rFonts w:ascii="宋体" w:hAnsi="宋体" w:cs="宋体" w:eastAsia="宋体" w:hint="default"/>
                <w:sz w:val="18"/>
                <w:szCs w:val="18"/>
              </w:rPr>
              <w:t>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 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22,447,223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22,447,223</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9"/>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岛天晨投资有限公司的控股股东孙震是父子、母子关系，两公司属一致行动人。除以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上情况外，公司未知上述股东中的其他股东是否存在关联关系，也未知是否属于一致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6"/>
          <w:pgSz w:w="11910" w:h="16840"/>
          <w:pgMar w:footer="979" w:header="747"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694"/>
        <w:gridCol w:w="1132"/>
        <w:gridCol w:w="1894"/>
        <w:gridCol w:w="1935"/>
        <w:gridCol w:w="1914"/>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0" w:right="85"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1"/>
              <w:jc w:val="righ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91370282756908799L</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以自有资金对外投资。</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121"/>
      <w:bookmarkEnd w:id="12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截止报告期末，刘国平女士主要职务情况请见本报告第八节</w:t>
            </w: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 刘国平个人简历部分；孙刚先生：中国国籍，无境外永久居留权，男，</w:t>
            </w:r>
            <w:r>
              <w:rPr>
                <w:rFonts w:ascii="Times New Roman" w:hAnsi="Times New Roman" w:cs="Times New Roman" w:eastAsia="Times New Roman" w:hint="default"/>
                <w:sz w:val="18"/>
                <w:szCs w:val="18"/>
              </w:rPr>
              <w:t>1960 </w:t>
            </w:r>
            <w:r>
              <w:rPr>
                <w:rFonts w:ascii="宋体" w:hAnsi="宋体" w:cs="宋体" w:eastAsia="宋体" w:hint="default"/>
                <w:spacing w:val="-1"/>
                <w:sz w:val="18"/>
                <w:szCs w:val="18"/>
              </w:rPr>
              <w:t>年出生，大专学历，经济师。曾任海立钢制品董事长。现任海立控股执行董事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兼总经理、博苑地产、海立源执行董事、海基置业执行董事兼总经理。</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footerReference w:type="default" r:id="rId17"/>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106" w:lineRule="exact"/>
        <w:ind w:left="1995"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802957" cy="260746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3802957" cy="2607468"/>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1140"/>
        <w:jc w:val="right"/>
      </w:pPr>
      <w:r>
        <w:rPr/>
        <w:pict>
          <v:shape style="position:absolute;margin-left:56.459999pt;margin-top:-36.598282pt;width:479.2pt;height:149.9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274"/>
                    <w:gridCol w:w="1134"/>
                    <w:gridCol w:w="1276"/>
                    <w:gridCol w:w="4890"/>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法人股东名 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72" w:right="65"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50"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227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北京博升优 势科技发展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伍雯弘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13,000.6723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
                          <w:jc w:val="left"/>
                          <w:rPr>
                            <w:rFonts w:ascii="宋体" w:hAnsi="宋体" w:cs="宋体" w:eastAsia="宋体" w:hint="default"/>
                            <w:sz w:val="18"/>
                            <w:szCs w:val="18"/>
                          </w:rPr>
                        </w:pPr>
                        <w:r>
                          <w:rPr>
                            <w:rFonts w:ascii="宋体" w:hAnsi="宋体" w:cs="宋体" w:eastAsia="宋体" w:hint="default"/>
                            <w:spacing w:val="-5"/>
                            <w:sz w:val="18"/>
                            <w:szCs w:val="18"/>
                          </w:rPr>
                          <w:t>因特网信息服务业务（除新闻、出版、教育、医疗保健、药品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医疗器械和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以外的内容</w:t>
                        </w:r>
                        <w:r>
                          <w:rPr>
                            <w:rFonts w:ascii="Times New Roman" w:hAnsi="Times New Roman" w:cs="Times New Roman" w:eastAsia="Times New Roman" w:hint="default"/>
                            <w:sz w:val="18"/>
                            <w:szCs w:val="18"/>
                          </w:rPr>
                          <w:t>)</w:t>
                        </w:r>
                        <w:r>
                          <w:rPr>
                            <w:rFonts w:ascii="宋体" w:hAnsi="宋体" w:cs="宋体" w:eastAsia="宋体" w:hint="default"/>
                            <w:sz w:val="18"/>
                            <w:szCs w:val="18"/>
                          </w:rPr>
                          <w:t>；第二类增值电信业务中的信息 </w:t>
                        </w:r>
                        <w:r>
                          <w:rPr>
                            <w:rFonts w:ascii="宋体" w:hAnsi="宋体" w:cs="宋体" w:eastAsia="宋体" w:hint="default"/>
                            <w:spacing w:val="-4"/>
                            <w:sz w:val="18"/>
                            <w:szCs w:val="18"/>
                          </w:rPr>
                          <w:t>服务业务（仅含移动网增值电信业务）；计算机软硬件技术开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发；计算机网络的技术开发、技术转让、技术咨询、技术服务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计算机系统集成；电脑动画设计；承办展览展示活动；计算机</w:t>
                        </w:r>
                        <w:r>
                          <w:rPr>
                            <w:rFonts w:ascii="宋体" w:hAnsi="宋体" w:cs="宋体" w:eastAsia="宋体" w:hint="default"/>
                            <w:sz w:val="18"/>
                            <w:szCs w:val="18"/>
                          </w:rPr>
                          <w:t> </w:t>
                        </w:r>
                        <w:r>
                          <w:rPr>
                            <w:rFonts w:ascii="宋体" w:hAnsi="宋体" w:cs="宋体" w:eastAsia="宋体" w:hint="default"/>
                            <w:spacing w:val="-4"/>
                            <w:sz w:val="18"/>
                            <w:szCs w:val="18"/>
                          </w:rPr>
                          <w:t>技术培训；销售计算机、软件及辅助设备。（依法须经批准的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项目，经相关部门批准后依批准的内容开展经营活动。）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4"/>
      <w:bookmarkEnd w:id="124"/>
      <w:r>
        <w:rPr>
          <w:b w:val="0"/>
          <w:bCs w:val="0"/>
        </w:rPr>
      </w:r>
      <w:bookmarkStart w:name="_bookmark5" w:id="125"/>
      <w:bookmarkEnd w:id="12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6"/>
      <w:bookmarkEnd w:id="126"/>
      <w:r>
        <w:rPr>
          <w:b w:val="0"/>
          <w:bCs w:val="0"/>
        </w:rPr>
      </w:r>
      <w:bookmarkStart w:name="_bookmark6" w:id="127"/>
      <w:bookmarkEnd w:id="12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吴鹰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张斌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董事、执 行总裁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洪晓明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周建孚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董事、董 秘、副总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86,100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86,100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徐勇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徐国亮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朱宏伟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张鹏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杨良刚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3"/>
              <w:jc w:val="right"/>
              <w:rPr>
                <w:rFonts w:ascii="宋体" w:hAnsi="宋体" w:cs="宋体" w:eastAsia="宋体" w:hint="default"/>
                <w:sz w:val="18"/>
                <w:szCs w:val="18"/>
              </w:rPr>
            </w:pPr>
            <w:r>
              <w:rPr>
                <w:rFonts w:ascii="宋体" w:hAnsi="宋体" w:cs="宋体" w:eastAsia="宋体" w:hint="default"/>
                <w:sz w:val="18"/>
                <w:szCs w:val="18"/>
              </w:rPr>
              <w:t>于铁军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副总裁、 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3"/>
              <w:jc w:val="right"/>
              <w:rPr>
                <w:rFonts w:ascii="宋体" w:hAnsi="宋体" w:cs="宋体" w:eastAsia="宋体" w:hint="default"/>
                <w:sz w:val="18"/>
                <w:szCs w:val="18"/>
              </w:rPr>
            </w:pPr>
            <w:r>
              <w:rPr>
                <w:rFonts w:ascii="宋体" w:hAnsi="宋体" w:cs="宋体" w:eastAsia="宋体" w:hint="default"/>
                <w:sz w:val="18"/>
                <w:szCs w:val="18"/>
              </w:rPr>
              <w:t>王明伟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86,100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86,100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274"/>
        <w:gridCol w:w="2268"/>
        <w:gridCol w:w="3898"/>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杨良刚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报告期内增补监事</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王明伟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报告期内公司原监事主动辞去监事职务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right="0"/>
        <w:jc w:val="left"/>
      </w:pPr>
      <w:r>
        <w:rPr>
          <w:rFonts w:ascii="Times New Roman" w:hAnsi="Times New Roman" w:cs="Times New Roman" w:eastAsia="Times New Roman" w:hint="default"/>
        </w:rPr>
        <w:t>1</w:t>
      </w:r>
      <w:r>
        <w:rPr/>
        <w:t>、董事简介</w:t>
      </w:r>
    </w:p>
    <w:p>
      <w:pPr>
        <w:pStyle w:val="BodyText"/>
        <w:spacing w:line="312" w:lineRule="auto" w:before="63"/>
        <w:ind w:right="1130" w:firstLine="360"/>
        <w:jc w:val="both"/>
      </w:pPr>
      <w:r>
        <w:rPr>
          <w:spacing w:val="-2"/>
        </w:rPr>
        <w:t>刘国平女士：中国国籍，无境外永久居留权，女，</w:t>
      </w:r>
      <w:r>
        <w:rPr>
          <w:rFonts w:ascii="Times New Roman" w:hAnsi="Times New Roman" w:cs="Times New Roman" w:eastAsia="Times New Roman" w:hint="default"/>
          <w:spacing w:val="-2"/>
        </w:rPr>
        <w:t>1963</w:t>
      </w:r>
      <w:r>
        <w:rPr>
          <w:spacing w:val="-2"/>
        </w:rPr>
        <w:t>年出生，中共党员，经济师。曾任青岛海立钢制品有限公司总经</w:t>
      </w:r>
      <w:r>
        <w:rPr/>
        <w:t> </w:t>
      </w:r>
      <w:r>
        <w:rPr>
          <w:spacing w:val="-2"/>
        </w:rPr>
        <w:t>理、监事，青岛海立美达钢制品有限公司董事长兼总经理。现任本公司董事长兼总裁、青岛海立控股有限公司监事、青岛海</w:t>
      </w:r>
      <w:r>
        <w:rPr>
          <w:spacing w:val="-66"/>
        </w:rPr>
        <w:t> </w:t>
      </w:r>
      <w:r>
        <w:rPr>
          <w:spacing w:val="-66"/>
        </w:rPr>
      </w:r>
      <w:r>
        <w:rPr>
          <w:spacing w:val="-2"/>
        </w:rPr>
        <w:t>立美达电机有限公司执行董事、青岛海立达冲压件有限公司执行董事、青岛海立美达精密机械制造有限公司执行董事、湖南</w:t>
      </w:r>
      <w:r>
        <w:rPr>
          <w:spacing w:val="-66"/>
        </w:rPr>
        <w:t> </w:t>
      </w:r>
      <w:r>
        <w:rPr>
          <w:spacing w:val="-66"/>
        </w:rPr>
      </w:r>
      <w:r>
        <w:rPr>
          <w:spacing w:val="-2"/>
        </w:rPr>
        <w:t>海立美达钢板加工配送有限公司执行董事、青岛海立美达模具有限公司执行董事、宁波泰鸿机电有限公司董事长、宁波泰鸿</w:t>
      </w:r>
      <w:r>
        <w:rPr>
          <w:spacing w:val="-66"/>
        </w:rPr>
        <w:t> </w:t>
      </w:r>
      <w:r>
        <w:rPr>
          <w:spacing w:val="-66"/>
        </w:rPr>
      </w:r>
      <w:r>
        <w:rPr>
          <w:spacing w:val="-2"/>
        </w:rPr>
        <w:t>冲压件有限公司执行董事、湖北海立田汽车部件有限公司董事、湖北海立美达汽车有限公司董事。刘国平女士持有公司控股</w:t>
      </w:r>
      <w:r>
        <w:rPr>
          <w:spacing w:val="-67"/>
        </w:rPr>
        <w:t> </w:t>
      </w:r>
      <w:r>
        <w:rPr>
          <w:spacing w:val="-67"/>
        </w:rPr>
      </w:r>
      <w:r>
        <w:rPr>
          <w:spacing w:val="-1"/>
        </w:rPr>
        <w:t>股东青岛海立控股有限公司</w:t>
      </w:r>
      <w:r>
        <w:rPr>
          <w:rFonts w:ascii="Times New Roman" w:hAnsi="Times New Roman" w:cs="Times New Roman" w:eastAsia="Times New Roman" w:hint="default"/>
          <w:spacing w:val="-1"/>
        </w:rPr>
        <w:t>50%</w:t>
      </w:r>
      <w:r>
        <w:rPr>
          <w:spacing w:val="-1"/>
        </w:rPr>
        <w:t>股权，与孙刚先生（持有公司控股股东青岛海立控股有限公司</w:t>
      </w:r>
      <w:r>
        <w:rPr>
          <w:rFonts w:ascii="Times New Roman" w:hAnsi="Times New Roman" w:cs="Times New Roman" w:eastAsia="Times New Roman" w:hint="default"/>
          <w:spacing w:val="-1"/>
        </w:rPr>
        <w:t>50%</w:t>
      </w:r>
      <w:r>
        <w:rPr>
          <w:spacing w:val="-1"/>
        </w:rPr>
        <w:t>股权）为本公司实际控制</w:t>
      </w:r>
      <w:r>
        <w:rPr>
          <w:spacing w:val="-58"/>
        </w:rPr>
        <w:t> </w:t>
      </w:r>
      <w:r>
        <w:rPr>
          <w:spacing w:val="-58"/>
        </w:rPr>
      </w:r>
      <w:r>
        <w:rPr/>
        <w:t>人，其在本公司任董事长兼总裁的任期自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w:t>
      </w:r>
    </w:p>
    <w:p>
      <w:pPr>
        <w:pStyle w:val="BodyText"/>
        <w:spacing w:line="307" w:lineRule="auto" w:before="3"/>
        <w:ind w:right="1129" w:firstLine="360"/>
        <w:jc w:val="both"/>
      </w:pPr>
      <w:r>
        <w:rPr>
          <w:spacing w:val="-2"/>
        </w:rPr>
        <w:t>吴鹰先生：中国国籍，无境外永久居留权，男，</w:t>
      </w:r>
      <w:r>
        <w:rPr>
          <w:rFonts w:ascii="Times New Roman" w:hAnsi="Times New Roman" w:cs="Times New Roman" w:eastAsia="Times New Roman" w:hint="default"/>
          <w:spacing w:val="-2"/>
        </w:rPr>
        <w:t>1959</w:t>
      </w:r>
      <w:r>
        <w:rPr>
          <w:spacing w:val="-2"/>
        </w:rPr>
        <w:t>年出生，研究生学历。现任中泽嘉盟投资有限公司董事长、北京中</w:t>
      </w:r>
      <w:r>
        <w:rPr/>
        <w:t> </w:t>
      </w:r>
      <w:r>
        <w:rPr>
          <w:spacing w:val="-2"/>
        </w:rPr>
        <w:t>泽启天投资中心（有限合伙）执行事务合伙人、上海稳实投资管理中心（普通合伙）执行事务合伙人、北京博升优势科技发</w:t>
      </w:r>
      <w:r>
        <w:rPr>
          <w:spacing w:val="-67"/>
        </w:rPr>
        <w:t> </w:t>
      </w:r>
      <w:r>
        <w:rPr>
          <w:spacing w:val="-67"/>
        </w:rPr>
      </w:r>
      <w:r>
        <w:rPr>
          <w:spacing w:val="-2"/>
        </w:rPr>
        <w:t>展有限公司董事长，同时兼任九阳股份有限公司董事、茂业通信网络股份有限公司董事长、中诚信征信有限公司董事，</w:t>
      </w:r>
      <w:r>
        <w:rPr>
          <w:rFonts w:ascii="Times New Roman" w:hAnsi="Times New Roman" w:cs="Times New Roman" w:eastAsia="Times New Roman" w:hint="default"/>
          <w:spacing w:val="-2"/>
        </w:rPr>
        <w:t>TCL</w:t>
      </w:r>
      <w:r>
        <w:rPr>
          <w:rFonts w:ascii="Times New Roman" w:hAnsi="Times New Roman" w:cs="Times New Roman" w:eastAsia="Times New Roman" w:hint="default"/>
        </w:rPr>
        <w:t> </w:t>
      </w:r>
      <w:r>
        <w:rPr>
          <w:spacing w:val="-2"/>
        </w:rPr>
        <w:t>集团股份有限公司、卓尔集团股份有限公司、广州达意隆包装机械股份有限公司、众安在线财产保险股份有限公司的独立董</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hanging="360"/>
        <w:jc w:val="left"/>
      </w:pPr>
      <w:r>
        <w:rPr/>
        <w:t>事、华谊兄弟传媒股份有限公司监事会主席，其在本公司董事职务任期自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 </w:t>
      </w:r>
      <w:r>
        <w:rPr>
          <w:spacing w:val="-2"/>
        </w:rPr>
        <w:t>张斌先生：中国国籍，持有美国永久居留权，男，</w:t>
      </w:r>
      <w:r>
        <w:rPr>
          <w:rFonts w:ascii="宋体" w:hAnsi="宋体" w:cs="宋体" w:eastAsia="宋体" w:hint="default"/>
          <w:spacing w:val="-2"/>
        </w:rPr>
        <w:t>1971</w:t>
      </w:r>
      <w:r>
        <w:rPr>
          <w:spacing w:val="-2"/>
        </w:rPr>
        <w:t>年出生，研究生毕业。现任中诚信征信有限公司董事长，北京博</w:t>
      </w:r>
    </w:p>
    <w:p>
      <w:pPr>
        <w:pStyle w:val="BodyText"/>
        <w:spacing w:line="316" w:lineRule="auto" w:before="31"/>
        <w:ind w:right="0"/>
        <w:jc w:val="left"/>
      </w:pPr>
      <w:r>
        <w:rPr>
          <w:spacing w:val="-2"/>
        </w:rPr>
        <w:t>升优势科技发展有限公司董事，无锡中感微股份有限公司独立董事，北京长城金点股份有限公司董事，其在本公司任董事任</w:t>
      </w:r>
      <w:r>
        <w:rPr>
          <w:spacing w:val="-66"/>
        </w:rPr>
        <w:t> </w:t>
      </w:r>
      <w:r>
        <w:rPr>
          <w:spacing w:val="-66"/>
        </w:rPr>
      </w:r>
      <w:r>
        <w:rPr/>
        <w:t>期自</w:t>
      </w:r>
      <w:r>
        <w:rPr>
          <w:rFonts w:ascii="宋体" w:hAnsi="宋体" w:cs="宋体" w:eastAsia="宋体" w:hint="default"/>
        </w:rPr>
        <w:t>2016</w:t>
      </w:r>
      <w:r>
        <w:rPr/>
        <w:t>年</w:t>
      </w:r>
      <w:r>
        <w:rPr>
          <w:rFonts w:ascii="宋体" w:hAnsi="宋体" w:cs="宋体" w:eastAsia="宋体" w:hint="default"/>
        </w:rPr>
        <w:t>12</w:t>
      </w:r>
      <w:r>
        <w:rPr/>
        <w:t>月至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w:t>
      </w:r>
      <w:r>
        <w:rPr/>
        <w:t>日，执行总裁职务任期自</w:t>
      </w:r>
      <w:r>
        <w:rPr>
          <w:rFonts w:ascii="宋体" w:hAnsi="宋体" w:cs="宋体" w:eastAsia="宋体" w:hint="default"/>
        </w:rPr>
        <w:t>2016</w:t>
      </w:r>
      <w:r>
        <w:rPr/>
        <w:t>年</w:t>
      </w:r>
      <w:r>
        <w:rPr>
          <w:rFonts w:ascii="宋体" w:hAnsi="宋体" w:cs="宋体" w:eastAsia="宋体" w:hint="default"/>
        </w:rPr>
        <w:t>11</w:t>
      </w:r>
      <w:r>
        <w:rPr/>
        <w:t>月至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w:t>
      </w:r>
      <w:r>
        <w:rPr/>
        <w:t>日。</w:t>
      </w:r>
    </w:p>
    <w:p>
      <w:pPr>
        <w:pStyle w:val="BodyText"/>
        <w:spacing w:line="309" w:lineRule="auto" w:before="19"/>
        <w:ind w:right="1131" w:firstLine="360"/>
        <w:jc w:val="both"/>
      </w:pPr>
      <w:r>
        <w:rPr>
          <w:spacing w:val="-2"/>
        </w:rPr>
        <w:t>洪晓明女士：中国国籍，无境外永久居留权，女，</w:t>
      </w:r>
      <w:r>
        <w:rPr>
          <w:rFonts w:ascii="Times New Roman" w:hAnsi="Times New Roman" w:cs="Times New Roman" w:eastAsia="Times New Roman" w:hint="default"/>
          <w:spacing w:val="-2"/>
        </w:rPr>
        <w:t>1963</w:t>
      </w:r>
      <w:r>
        <w:rPr>
          <w:spacing w:val="-2"/>
        </w:rPr>
        <w:t>年出生，中共党员，工商管理硕士，非执业注册会计师。曾任青</w:t>
      </w:r>
      <w:r>
        <w:rPr/>
        <w:t> </w:t>
      </w:r>
      <w:r>
        <w:rPr>
          <w:spacing w:val="-2"/>
        </w:rPr>
        <w:t>岛海尔股份有限公司财务总监、中联重科股份有限公司副总裁兼财务负责人、青岛碱业股份有限公司独立董事。现任青岛康</w:t>
      </w:r>
      <w:r>
        <w:rPr>
          <w:spacing w:val="-66"/>
        </w:rPr>
        <w:t> </w:t>
      </w:r>
      <w:r>
        <w:rPr>
          <w:spacing w:val="-66"/>
        </w:rPr>
      </w:r>
      <w:r>
        <w:rPr/>
        <w:t>普顿科技股份有限公司独立董事，本公司董事、财务总监、副总裁，任期自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00" w:lineRule="auto" w:before="5"/>
        <w:ind w:left="154" w:right="1210" w:firstLine="360"/>
        <w:jc w:val="both"/>
      </w:pPr>
      <w:r>
        <w:rPr/>
        <w:t>周建孚先生：中国国籍，无境外永久居留权，男，</w:t>
      </w:r>
      <w:r>
        <w:rPr>
          <w:rFonts w:ascii="Times New Roman" w:hAnsi="Times New Roman" w:cs="Times New Roman" w:eastAsia="Times New Roman" w:hint="default"/>
        </w:rPr>
        <w:t>1977</w:t>
      </w:r>
      <w:r>
        <w:rPr/>
        <w:t>年出生，大学学历。历任</w:t>
      </w:r>
      <w:r>
        <w:rPr>
          <w:rFonts w:ascii="Times New Roman" w:hAnsi="Times New Roman" w:cs="Times New Roman" w:eastAsia="Times New Roman" w:hint="default"/>
        </w:rPr>
        <w:t>METAL ONE</w:t>
      </w:r>
      <w:r>
        <w:rPr>
          <w:rFonts w:ascii="Times New Roman" w:hAnsi="Times New Roman" w:cs="Times New Roman" w:eastAsia="Times New Roman" w:hint="default"/>
          <w:spacing w:val="-3"/>
        </w:rPr>
        <w:t> </w:t>
      </w:r>
      <w:r>
        <w:rPr>
          <w:rFonts w:ascii="Times New Roman" w:hAnsi="Times New Roman" w:cs="Times New Roman" w:eastAsia="Times New Roman" w:hint="default"/>
        </w:rPr>
        <w:t>CORPORATION</w:t>
      </w:r>
      <w:r>
        <w:rPr/>
        <w:t>青岛事 务所营业经理，</w:t>
      </w:r>
      <w:r>
        <w:rPr>
          <w:rFonts w:ascii="Times New Roman" w:hAnsi="Times New Roman" w:cs="Times New Roman" w:eastAsia="Times New Roman" w:hint="default"/>
        </w:rPr>
        <w:t>METAL ONE</w:t>
      </w:r>
      <w:r>
        <w:rPr>
          <w:rFonts w:ascii="Times New Roman" w:hAnsi="Times New Roman" w:cs="Times New Roman" w:eastAsia="Times New Roman" w:hint="default"/>
          <w:spacing w:val="-3"/>
        </w:rPr>
        <w:t> </w:t>
      </w:r>
      <w:r>
        <w:rPr>
          <w:rFonts w:ascii="Times New Roman" w:hAnsi="Times New Roman" w:cs="Times New Roman" w:eastAsia="Times New Roman" w:hint="default"/>
        </w:rPr>
        <w:t>CORPORATION</w:t>
      </w:r>
      <w:r>
        <w:rPr/>
        <w:t>薄板电机钢材部主任。现任本公司董事、董事会秘书、副总裁，本公司董事 任期自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月至今，董事会秘书任期自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日至今，副总裁任期自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w:t>
      </w:r>
    </w:p>
    <w:p>
      <w:pPr>
        <w:pStyle w:val="BodyText"/>
        <w:spacing w:line="300" w:lineRule="auto" w:before="13"/>
        <w:ind w:left="154" w:right="0" w:firstLine="360"/>
        <w:jc w:val="left"/>
      </w:pPr>
      <w:r>
        <w:rPr>
          <w:spacing w:val="-2"/>
        </w:rPr>
        <w:t>徐勇先生：中国国籍，男，</w:t>
      </w:r>
      <w:r>
        <w:rPr>
          <w:rFonts w:ascii="Times New Roman" w:hAnsi="Times New Roman" w:cs="Times New Roman" w:eastAsia="Times New Roman" w:hint="default"/>
          <w:spacing w:val="-2"/>
        </w:rPr>
        <w:t>1978</w:t>
      </w:r>
      <w:r>
        <w:rPr>
          <w:spacing w:val="-2"/>
        </w:rPr>
        <w:t>年出生，本科学历。历任青石股权投资基金管理有限公司副总裁、中科创金融控股集团</w:t>
      </w:r>
      <w:r>
        <w:rPr/>
        <w:t> 有限公司副总裁，现任深圳市汉华投资有限公司总裁、本公司董事，本公司任期自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00" w:lineRule="auto" w:before="13"/>
        <w:ind w:right="0" w:firstLine="360"/>
        <w:jc w:val="left"/>
      </w:pPr>
      <w:r>
        <w:rPr>
          <w:spacing w:val="-2"/>
        </w:rPr>
        <w:t>徐国亮先生：中国国籍，无境外永久居留权，男，</w:t>
      </w:r>
      <w:r>
        <w:rPr>
          <w:rFonts w:ascii="Times New Roman" w:hAnsi="Times New Roman" w:cs="Times New Roman" w:eastAsia="Times New Roman" w:hint="default"/>
          <w:spacing w:val="-2"/>
        </w:rPr>
        <w:t>1963</w:t>
      </w:r>
      <w:r>
        <w:rPr>
          <w:spacing w:val="-2"/>
        </w:rPr>
        <w:t>年出生，中共党员，博士后学历。曾任山东大学社会发展学院副</w:t>
      </w:r>
      <w:r>
        <w:rPr/>
        <w:t> 院长，现任山东大学道德与法律教研室主任、本公司独立董事，本公司任期自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00" w:lineRule="auto" w:before="13"/>
        <w:ind w:left="154" w:right="0" w:firstLine="360"/>
        <w:jc w:val="left"/>
      </w:pPr>
      <w:r>
        <w:rPr>
          <w:spacing w:val="-2"/>
        </w:rPr>
        <w:t>朱宏伟先生：中国国籍，有境外永久居留权，男，</w:t>
      </w:r>
      <w:r>
        <w:rPr>
          <w:rFonts w:ascii="Times New Roman" w:hAnsi="Times New Roman" w:cs="Times New Roman" w:eastAsia="Times New Roman" w:hint="default"/>
          <w:spacing w:val="-2"/>
        </w:rPr>
        <w:t>1967</w:t>
      </w:r>
      <w:r>
        <w:rPr>
          <w:spacing w:val="-2"/>
        </w:rPr>
        <w:t>年出生，曾任美国普拉戈电动科技有限公司总经理、青岛普拉戈</w:t>
      </w:r>
      <w:r>
        <w:rPr/>
        <w:t> 工程系统有限公司总经理，现任山东省智慧机器人研究所所长、本公司独立董事，本公司任期自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00" w:lineRule="auto" w:before="13"/>
        <w:ind w:right="0" w:firstLine="360"/>
        <w:jc w:val="left"/>
      </w:pPr>
      <w:r>
        <w:rPr>
          <w:spacing w:val="-2"/>
        </w:rPr>
        <w:t>张鹏女士：中国国籍，无境外永久居留权，女，</w:t>
      </w:r>
      <w:r>
        <w:rPr>
          <w:rFonts w:ascii="Times New Roman" w:hAnsi="Times New Roman" w:cs="Times New Roman" w:eastAsia="Times New Roman" w:hint="default"/>
          <w:spacing w:val="-2"/>
        </w:rPr>
        <w:t>1964</w:t>
      </w:r>
      <w:r>
        <w:rPr>
          <w:spacing w:val="-2"/>
        </w:rPr>
        <w:t>年出生，硕士学历，非执业注册会计师，自</w:t>
      </w:r>
      <w:r>
        <w:rPr>
          <w:rFonts w:ascii="Times New Roman" w:hAnsi="Times New Roman" w:cs="Times New Roman" w:eastAsia="Times New Roman" w:hint="default"/>
          <w:spacing w:val="-2"/>
        </w:rPr>
        <w:t>1985</w:t>
      </w:r>
      <w:r>
        <w:rPr>
          <w:spacing w:val="-2"/>
        </w:rPr>
        <w:t>年以来于青岛大学</w:t>
      </w:r>
      <w:r>
        <w:rPr/>
        <w:t> 经济学院任教师、副教授，本公司独立董事，本公司任期自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240" w:lineRule="auto" w:before="53"/>
        <w:ind w:right="0"/>
        <w:jc w:val="left"/>
      </w:pPr>
      <w:r>
        <w:rPr>
          <w:rFonts w:ascii="Times New Roman" w:hAnsi="Times New Roman" w:cs="Times New Roman" w:eastAsia="Times New Roman" w:hint="default"/>
        </w:rPr>
        <w:t>2</w:t>
      </w:r>
      <w:r>
        <w:rPr/>
        <w:t>、监事简介</w:t>
      </w:r>
    </w:p>
    <w:p>
      <w:pPr>
        <w:pStyle w:val="BodyText"/>
        <w:spacing w:line="316" w:lineRule="auto" w:before="102"/>
        <w:ind w:right="1033" w:firstLine="360"/>
        <w:jc w:val="left"/>
      </w:pPr>
      <w:r>
        <w:rPr/>
        <w:t>杨良刚：中国国籍，男，</w:t>
      </w:r>
      <w:r>
        <w:rPr>
          <w:rFonts w:ascii="宋体" w:hAnsi="宋体" w:cs="宋体" w:eastAsia="宋体" w:hint="default"/>
        </w:rPr>
        <w:t>1968</w:t>
      </w:r>
      <w:r>
        <w:rPr/>
        <w:t>年出生，大学本科学历，无境外永久居留权。曾任中泽嘉盟投资有限公司投资部总经理、 </w:t>
      </w:r>
      <w:r>
        <w:rPr>
          <w:spacing w:val="-2"/>
        </w:rPr>
        <w:t>软银中国创业投资有限公司投资总监，现任北京博升优势科技发展有限公司副总裁、北京创世漫道科技有限公司监事、本公</w:t>
      </w:r>
      <w:r>
        <w:rPr>
          <w:spacing w:val="-66"/>
        </w:rPr>
        <w:t> </w:t>
      </w:r>
      <w:r>
        <w:rPr>
          <w:spacing w:val="-66"/>
        </w:rPr>
      </w:r>
      <w:r>
        <w:rPr/>
        <w:t>司监事会主席，本公司监事会主席任期自</w:t>
      </w:r>
      <w:r>
        <w:rPr>
          <w:rFonts w:ascii="宋体" w:hAnsi="宋体" w:cs="宋体" w:eastAsia="宋体" w:hint="default"/>
        </w:rPr>
        <w:t>2017</w:t>
      </w:r>
      <w:r>
        <w:rPr/>
        <w:t>年</w:t>
      </w:r>
      <w:r>
        <w:rPr>
          <w:rFonts w:ascii="宋体" w:hAnsi="宋体" w:cs="宋体" w:eastAsia="宋体" w:hint="default"/>
        </w:rPr>
        <w:t>4</w:t>
      </w:r>
      <w:r>
        <w:rPr/>
        <w:t>月至今。</w:t>
      </w:r>
    </w:p>
    <w:p>
      <w:pPr>
        <w:pStyle w:val="BodyText"/>
        <w:spacing w:line="338" w:lineRule="auto" w:before="60"/>
        <w:ind w:right="1132" w:firstLine="360"/>
        <w:jc w:val="right"/>
      </w:pPr>
      <w:r>
        <w:rPr>
          <w:spacing w:val="-2"/>
        </w:rPr>
        <w:t>王治军，中国国籍，男，</w:t>
      </w:r>
      <w:r>
        <w:rPr>
          <w:rFonts w:ascii="宋体" w:hAnsi="宋体" w:cs="宋体" w:eastAsia="宋体" w:hint="default"/>
          <w:spacing w:val="-2"/>
        </w:rPr>
        <w:t>1974</w:t>
      </w:r>
      <w:r>
        <w:rPr>
          <w:spacing w:val="-2"/>
        </w:rPr>
        <w:t>年出生，本科学历。曾任浙江吉利控股集团高级项目经理，现任本公司监事，青岛海立达</w:t>
      </w:r>
      <w:r>
        <w:rPr/>
        <w:t> 冲压件有限公司监事，青岛海立美达电机有限公司监事，青岛海立美达模具有限公司监事，本公司任期自</w:t>
      </w:r>
      <w:r>
        <w:rPr>
          <w:rFonts w:ascii="宋体" w:hAnsi="宋体" w:cs="宋体" w:eastAsia="宋体" w:hint="default"/>
        </w:rPr>
        <w:t>2015</w:t>
      </w:r>
      <w:r>
        <w:rPr/>
        <w:t>年</w:t>
      </w:r>
      <w:r>
        <w:rPr>
          <w:rFonts w:ascii="宋体" w:hAnsi="宋体" w:cs="宋体" w:eastAsia="宋体" w:hint="default"/>
        </w:rPr>
        <w:t>9</w:t>
      </w:r>
      <w:r>
        <w:rPr/>
        <w:t>月至今。 </w:t>
      </w:r>
      <w:r>
        <w:rPr>
          <w:spacing w:val="-2"/>
        </w:rPr>
        <w:t>王晶，中国国籍，无境外永久居留权，女，</w:t>
      </w:r>
      <w:r>
        <w:rPr>
          <w:rFonts w:ascii="Times New Roman" w:hAnsi="Times New Roman" w:cs="Times New Roman" w:eastAsia="Times New Roman" w:hint="default"/>
          <w:spacing w:val="-2"/>
        </w:rPr>
        <w:t>1981</w:t>
      </w:r>
      <w:r>
        <w:rPr>
          <w:spacing w:val="-2"/>
        </w:rPr>
        <w:t>年出生，本科学历，曾任宁波泰鸿机电有限公司综合办主任，现任本公</w:t>
      </w:r>
    </w:p>
    <w:p>
      <w:pPr>
        <w:pStyle w:val="BodyText"/>
        <w:spacing w:line="231" w:lineRule="exact"/>
        <w:ind w:right="0"/>
        <w:jc w:val="left"/>
      </w:pPr>
      <w:r>
        <w:rPr/>
        <w:t>司监事，本公司任期自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52" w:lineRule="auto" w:before="103"/>
        <w:ind w:left="514" w:right="6252" w:hanging="360"/>
        <w:jc w:val="left"/>
      </w:pPr>
      <w:r>
        <w:rPr>
          <w:rFonts w:ascii="Times New Roman" w:hAnsi="Times New Roman" w:cs="Times New Roman" w:eastAsia="Times New Roman" w:hint="default"/>
        </w:rPr>
        <w:t>3</w:t>
      </w:r>
      <w:r>
        <w:rPr/>
        <w:t>、高级管理人员简介 刘国平，现任本公司总裁，详见董事会成员简介。 张斌，现任本公司执行总裁，详见董事会成员简介。 洪晓明，现任本公司副总裁，详见董事会成员简介。 周建孚，现任本公司副总裁，详见董事会成员简介。</w:t>
      </w:r>
    </w:p>
    <w:p>
      <w:pPr>
        <w:pStyle w:val="BodyText"/>
        <w:spacing w:line="309" w:lineRule="auto" w:before="30"/>
        <w:ind w:right="1033" w:firstLine="360"/>
        <w:jc w:val="left"/>
      </w:pPr>
      <w:r>
        <w:rPr>
          <w:spacing w:val="-2"/>
        </w:rPr>
        <w:t>于铁军，中国国籍，无境外永久居留权，男，</w:t>
      </w:r>
      <w:r>
        <w:rPr>
          <w:rFonts w:ascii="Times New Roman" w:hAnsi="Times New Roman" w:cs="Times New Roman" w:eastAsia="Times New Roman" w:hint="default"/>
          <w:spacing w:val="-2"/>
        </w:rPr>
        <w:t>1978</w:t>
      </w:r>
      <w:r>
        <w:rPr>
          <w:spacing w:val="-2"/>
        </w:rPr>
        <w:t>年出生，物流工程硕士，曾任吉利集团部件公司经理助理，现任本公</w:t>
      </w:r>
      <w:r>
        <w:rPr/>
        <w:t> 司副总裁，青岛海立达冲压件有限公司总经理、青岛海立美达模具有限公司总经理、上海海众实业发展有限公司执行董事。 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00" w:lineRule="auto" w:before="44"/>
        <w:ind w:left="154" w:right="0" w:firstLine="360"/>
        <w:jc w:val="left"/>
      </w:pPr>
      <w:r>
        <w:rPr/>
        <w:t>李贲，中国国籍，无境外永久居留权，男，</w:t>
      </w:r>
      <w:r>
        <w:rPr>
          <w:rFonts w:ascii="Times New Roman" w:hAnsi="Times New Roman" w:cs="Times New Roman" w:eastAsia="Times New Roman" w:hint="default"/>
        </w:rPr>
        <w:t>1973</w:t>
      </w:r>
      <w:r>
        <w:rPr/>
        <w:t>年出生，拥有北京理工大学工学学士学位和北京大学国家发展研究院 </w:t>
      </w:r>
      <w:r>
        <w:rPr>
          <w:rFonts w:ascii="Times New Roman" w:hAnsi="Times New Roman" w:cs="Times New Roman" w:eastAsia="Times New Roman" w:hint="default"/>
          <w:spacing w:val="-2"/>
        </w:rPr>
        <w:t>EMBA</w:t>
      </w:r>
      <w:r>
        <w:rPr>
          <w:spacing w:val="-2"/>
        </w:rPr>
        <w:t>硕士学位。现任本公司副总裁，联动优势科技有限公司首席运营官、联动优势电子商务有限公司常务副总裁，同时兼</w:t>
      </w:r>
      <w:r>
        <w:rPr>
          <w:spacing w:val="-45"/>
        </w:rPr>
        <w:t> </w:t>
      </w:r>
      <w:r>
        <w:rPr>
          <w:spacing w:val="-45"/>
        </w:rPr>
      </w:r>
      <w:r>
        <w:rPr/>
        <w:t>任青岛万金通达经济信息服务有限公司董事，本公司任期自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w:t>
      </w:r>
    </w:p>
    <w:p>
      <w:pPr>
        <w:pStyle w:val="BodyText"/>
        <w:spacing w:line="302" w:lineRule="auto" w:before="51"/>
        <w:ind w:right="0" w:firstLine="360"/>
        <w:jc w:val="left"/>
      </w:pPr>
      <w:r>
        <w:rPr>
          <w:spacing w:val="-2"/>
        </w:rPr>
        <w:t>鲁浩，中国国籍，无境外永久居留权，男，</w:t>
      </w:r>
      <w:r>
        <w:rPr>
          <w:rFonts w:ascii="Times New Roman" w:hAnsi="Times New Roman" w:cs="Times New Roman" w:eastAsia="Times New Roman" w:hint="default"/>
          <w:spacing w:val="-2"/>
        </w:rPr>
        <w:t>1974</w:t>
      </w:r>
      <w:r>
        <w:rPr>
          <w:spacing w:val="-2"/>
        </w:rPr>
        <w:t>年出生，中共党员，本科学历。曾任力源集团公司副总经理，现任本公</w:t>
      </w:r>
      <w:r>
        <w:rPr/>
        <w:t> 司副总裁、人力资源总监，副总裁任期自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240" w:lineRule="auto" w:before="51"/>
        <w:ind w:left="154" w:right="0"/>
        <w:jc w:val="left"/>
      </w:pPr>
      <w:r>
        <w:rPr/>
        <w:t>在股东单位任职情况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82"/>
        <w:gridCol w:w="3260"/>
        <w:gridCol w:w="1271"/>
        <w:gridCol w:w="1847"/>
        <w:gridCol w:w="712"/>
        <w:gridCol w:w="1474"/>
      </w:tblGrid>
      <w:tr>
        <w:trPr>
          <w:trHeight w:val="402"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9" w:right="0"/>
              <w:jc w:val="left"/>
              <w:rPr>
                <w:rFonts w:ascii="宋体" w:hAnsi="宋体" w:cs="宋体" w:eastAsia="宋体" w:hint="default"/>
                <w:sz w:val="18"/>
                <w:szCs w:val="18"/>
              </w:rPr>
            </w:pPr>
            <w:r>
              <w:rPr>
                <w:rFonts w:ascii="宋体" w:hAnsi="宋体" w:cs="宋体" w:eastAsia="宋体" w:hint="default"/>
                <w:sz w:val="18"/>
                <w:szCs w:val="18"/>
              </w:rPr>
              <w:t>任职人员姓</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0" w:right="0"/>
              <w:jc w:val="left"/>
              <w:rPr>
                <w:rFonts w:ascii="宋体" w:hAnsi="宋体" w:cs="宋体" w:eastAsia="宋体" w:hint="default"/>
                <w:sz w:val="18"/>
                <w:szCs w:val="18"/>
              </w:rPr>
            </w:pPr>
            <w:r>
              <w:rPr>
                <w:rFonts w:ascii="宋体" w:hAnsi="宋体" w:cs="宋体" w:eastAsia="宋体" w:hint="default"/>
                <w:sz w:val="18"/>
                <w:szCs w:val="18"/>
              </w:rPr>
              <w:t>在股东单位担</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任期终</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在股东单位是否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3260"/>
        <w:gridCol w:w="1271"/>
        <w:gridCol w:w="1848"/>
        <w:gridCol w:w="712"/>
        <w:gridCol w:w="1484"/>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名</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0" w:right="0"/>
              <w:jc w:val="left"/>
              <w:rPr>
                <w:rFonts w:ascii="宋体" w:hAnsi="宋体" w:cs="宋体" w:eastAsia="宋体" w:hint="default"/>
                <w:sz w:val="18"/>
                <w:szCs w:val="18"/>
              </w:rPr>
            </w:pPr>
            <w:r>
              <w:rPr>
                <w:rFonts w:ascii="宋体" w:hAnsi="宋体" w:cs="宋体" w:eastAsia="宋体" w:hint="default"/>
                <w:sz w:val="18"/>
                <w:szCs w:val="18"/>
              </w:rPr>
              <w:t>任的职务</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0" w:right="0"/>
              <w:jc w:val="left"/>
              <w:rPr>
                <w:rFonts w:ascii="宋体" w:hAnsi="宋体" w:cs="宋体" w:eastAsia="宋体" w:hint="default"/>
                <w:sz w:val="18"/>
                <w:szCs w:val="18"/>
              </w:rPr>
            </w:pPr>
            <w:r>
              <w:rPr>
                <w:rFonts w:ascii="宋体" w:hAnsi="宋体" w:cs="宋体" w:eastAsia="宋体" w:hint="default"/>
                <w:sz w:val="18"/>
                <w:szCs w:val="18"/>
              </w:rPr>
              <w:t>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深圳市华美达一号投资中心（有限合伙）</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5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中泽嘉盟投资有限公司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北京中泽启天投资中心（有限合伙）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上海稳实投资管理中心（普通合伙）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九阳股份有限公司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 </w:t>
            </w:r>
            <w:r>
              <w:rPr>
                <w:rFonts w:ascii="宋体" w:hAnsi="宋体" w:cs="宋体" w:eastAsia="宋体" w:hint="default"/>
                <w:sz w:val="18"/>
                <w:szCs w:val="18"/>
              </w:rPr>
              <w:t>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卓尔集团股份有限公司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广州达意隆包装机械股份有限公司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众安在线财产保险股份有限公司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华谊兄弟传媒股份有限公司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无锡中感微股份有限公司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北京长城金点股份有限公司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青岛康普顿科技股份有限公司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深圳市汉华投资有限公司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山东省智慧机器人研究所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left="154" w:right="1132" w:firstLine="360"/>
        <w:jc w:val="both"/>
      </w:pPr>
      <w:r>
        <w:rPr>
          <w:rFonts w:ascii="Times New Roman" w:hAnsi="Times New Roman" w:cs="Times New Roman" w:eastAsia="Times New Roman" w:hint="default"/>
        </w:rPr>
        <w:t>1</w:t>
      </w:r>
      <w:r>
        <w:rPr/>
        <w:t>、决策程序：公司董事、监事和高级管理人员的年度报酬的决策是由公司董事会薪酬与考核委员会严格按照《青岛海 </w:t>
      </w:r>
      <w:r>
        <w:rPr>
          <w:spacing w:val="-2"/>
        </w:rPr>
        <w:t>立美达股份有限公司董事会薪酬与考核委员会实施细则》的相关规定来执行，制定董事及高级管理人员薪酬计划并提交董事</w:t>
      </w:r>
      <w:r>
        <w:rPr>
          <w:spacing w:val="-64"/>
        </w:rPr>
        <w:t> </w:t>
      </w:r>
      <w:r>
        <w:rPr>
          <w:spacing w:val="-64"/>
        </w:rPr>
      </w:r>
      <w:r>
        <w:rPr/>
        <w:t>会及股东大会来决策实施。</w:t>
      </w:r>
    </w:p>
    <w:p>
      <w:pPr>
        <w:pStyle w:val="BodyText"/>
        <w:spacing w:line="304" w:lineRule="auto" w:before="64"/>
        <w:ind w:right="1033" w:firstLine="360"/>
        <w:jc w:val="left"/>
      </w:pPr>
      <w:r>
        <w:rPr>
          <w:rFonts w:ascii="Times New Roman" w:hAnsi="Times New Roman" w:cs="Times New Roman" w:eastAsia="Times New Roman" w:hint="default"/>
          <w:spacing w:val="-2"/>
        </w:rPr>
        <w:t>2</w:t>
      </w:r>
      <w:r>
        <w:rPr>
          <w:spacing w:val="-2"/>
        </w:rPr>
        <w:t>、确定依据：</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日，公司第一届董事会第五次会议制定并通过了《青岛海立美达股份有限公司董事会薪酬与</w:t>
      </w:r>
      <w:r>
        <w:rPr/>
        <w:t> 考核委员会实施细则》，自公司</w:t>
      </w:r>
      <w:r>
        <w:rPr>
          <w:rFonts w:ascii="Times New Roman" w:hAnsi="Times New Roman" w:cs="Times New Roman" w:eastAsia="Times New Roman" w:hint="default"/>
        </w:rPr>
        <w:t>2009</w:t>
      </w:r>
      <w:r>
        <w:rPr/>
        <w:t>年度股东大会决议设立公司董事会专门委员会之日起施行；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日，公司第一 </w:t>
      </w:r>
      <w:r>
        <w:rPr>
          <w:spacing w:val="-2"/>
        </w:rPr>
        <w:t>届董事会第八次会议审议通过的《关于调整公司独立董事津贴的议案》，确定了公司第一届董事会独立董事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w:t>
      </w:r>
      <w:r>
        <w:rPr>
          <w:spacing w:val="-59"/>
        </w:rPr>
        <w:t> </w:t>
      </w:r>
      <w:r>
        <w:rPr>
          <w:spacing w:val="-2"/>
        </w:rPr>
        <w:t>的薪酬；</w:t>
      </w:r>
      <w:r>
        <w:rPr>
          <w:rFonts w:ascii="Times New Roman" w:hAnsi="Times New Roman" w:cs="Times New Roman" w:eastAsia="Times New Roman" w:hint="default"/>
          <w:spacing w:val="-2"/>
        </w:rPr>
        <w:t>2012</w:t>
      </w:r>
      <w:r>
        <w:rPr>
          <w:spacing w:val="-2"/>
        </w:rPr>
        <w:t>年度，公司新修订了《青岛海立美达股份有限公司薪酬管理办法》，</w:t>
      </w:r>
      <w:r>
        <w:rPr>
          <w:rFonts w:ascii="Times New Roman" w:hAnsi="Times New Roman" w:cs="Times New Roman" w:eastAsia="Times New Roman" w:hint="default"/>
          <w:spacing w:val="-2"/>
        </w:rPr>
        <w:t>2014</w:t>
      </w:r>
      <w:r>
        <w:rPr>
          <w:spacing w:val="-2"/>
        </w:rPr>
        <w:t>年度，公司人力资源部制定了《青岛</w:t>
      </w:r>
      <w:r>
        <w:rPr>
          <w:spacing w:val="-62"/>
        </w:rPr>
        <w:t> </w:t>
      </w:r>
      <w:r>
        <w:rPr>
          <w:spacing w:val="-62"/>
        </w:rPr>
      </w:r>
      <w:r>
        <w:rPr>
          <w:spacing w:val="-2"/>
        </w:rPr>
        <w:t>海立美达股份有限公司岗位薪级调整管理办法》、《青岛海立美达股份有限公司岗位分段分级管理制度》，公司薪酬与考核</w:t>
      </w:r>
      <w:r>
        <w:rPr>
          <w:spacing w:val="-65"/>
        </w:rPr>
        <w:t> </w:t>
      </w:r>
      <w:r>
        <w:rPr>
          <w:spacing w:val="-65"/>
        </w:rPr>
      </w:r>
      <w:r>
        <w:rPr/>
        <w:t>委员会对此进行了审议；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日，公司第三届董事会第六次会议审议通过了《关于调整公司独立董事津贴的议案》， </w:t>
      </w:r>
      <w:r>
        <w:rPr>
          <w:spacing w:val="-2"/>
        </w:rPr>
        <w:t>确定了公司第三届董事会独立董事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日起的薪酬，</w:t>
      </w:r>
      <w:r>
        <w:rPr>
          <w:rFonts w:ascii="Times New Roman" w:hAnsi="Times New Roman" w:cs="Times New Roman" w:eastAsia="Times New Roman" w:hint="default"/>
          <w:spacing w:val="-2"/>
        </w:rPr>
        <w:t>2017</w:t>
      </w:r>
      <w:r>
        <w:rPr>
          <w:spacing w:val="-2"/>
        </w:rPr>
        <w:t>年，公司人力资源部对《绩效考核管理制度》、《新客户开</w:t>
      </w:r>
      <w:r>
        <w:rPr>
          <w:spacing w:val="-58"/>
        </w:rPr>
        <w:t> </w:t>
      </w:r>
      <w:r>
        <w:rPr>
          <w:spacing w:val="-58"/>
        </w:rPr>
      </w:r>
      <w:r>
        <w:rPr>
          <w:spacing w:val="-2"/>
        </w:rPr>
        <w:t>发激励方案》进行了修订，并经公司董事会薪酬与考核委员会审议准予实施。以上作为公司董事、监事、高级管理人员的年</w:t>
      </w:r>
      <w:r>
        <w:rPr>
          <w:spacing w:val="-66"/>
        </w:rPr>
        <w:t> </w:t>
      </w:r>
      <w:r>
        <w:rPr>
          <w:spacing w:val="-66"/>
        </w:rPr>
      </w:r>
      <w:r>
        <w:rPr/>
        <w:t>度报酬确定依据，被严格执行。</w:t>
      </w:r>
    </w:p>
    <w:p>
      <w:pPr>
        <w:pStyle w:val="BodyText"/>
        <w:spacing w:line="240" w:lineRule="auto" w:before="67"/>
        <w:ind w:right="0"/>
        <w:jc w:val="left"/>
      </w:pPr>
      <w:r>
        <w:rPr/>
        <w:t>公司报告期内董事、监事和高级管理人员报酬情况</w:t>
      </w:r>
    </w:p>
    <w:p>
      <w:pPr>
        <w:pStyle w:val="BodyText"/>
        <w:spacing w:line="240" w:lineRule="auto" w:before="116"/>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2317"/>
        <w:gridCol w:w="992"/>
        <w:gridCol w:w="792"/>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副总裁、原董事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415.61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42,630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3,576</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0"/>
        <w:jc w:val="left"/>
      </w:pPr>
      <w:r>
        <w:rPr/>
        <w:t>公平性原则：公司通过实施系统科学的职位评估，形成了公司的内部职级体系，体现按岗位价值付薪的理念。 </w:t>
      </w:r>
      <w:r>
        <w:rPr>
          <w:spacing w:val="-2"/>
        </w:rPr>
        <w:t>竞争性原则：公司通过不定期参与市场薪酬调研，参照目标市场的薪酬数据和公司的实际状况来定位公司的薪酬水平，确保</w:t>
      </w:r>
    </w:p>
    <w:p>
      <w:pPr>
        <w:pStyle w:val="BodyText"/>
        <w:spacing w:line="225" w:lineRule="exact"/>
        <w:ind w:right="0"/>
        <w:jc w:val="left"/>
      </w:pPr>
      <w:r>
        <w:rPr/>
        <w:t>公司薪酬在市场上的竞争力。</w:t>
      </w:r>
    </w:p>
    <w:p>
      <w:pPr>
        <w:pStyle w:val="BodyText"/>
        <w:spacing w:line="302" w:lineRule="auto" w:before="115"/>
        <w:ind w:right="0"/>
        <w:jc w:val="left"/>
      </w:pPr>
      <w:r>
        <w:rPr/>
        <w:t>全面薪酬原则：公司倡导全面薪酬的理念，即薪酬不但包括直接的货币形式</w:t>
      </w:r>
      <w:r>
        <w:rPr>
          <w:rFonts w:ascii="Times New Roman" w:hAnsi="Times New Roman" w:cs="Times New Roman" w:eastAsia="Times New Roman" w:hint="default"/>
        </w:rPr>
        <w:t>(</w:t>
      </w:r>
      <w:r>
        <w:rPr/>
        <w:t>直接薪酬</w:t>
      </w:r>
      <w:r>
        <w:rPr>
          <w:rFonts w:ascii="Times New Roman" w:hAnsi="Times New Roman" w:cs="Times New Roman" w:eastAsia="Times New Roman" w:hint="default"/>
        </w:rPr>
        <w:t>)</w:t>
      </w:r>
      <w:r>
        <w:rPr/>
        <w:t>和可转化为货币的其他形式</w:t>
      </w:r>
      <w:r>
        <w:rPr>
          <w:rFonts w:ascii="Times New Roman" w:hAnsi="Times New Roman" w:cs="Times New Roman" w:eastAsia="Times New Roman" w:hint="default"/>
        </w:rPr>
        <w:t>(</w:t>
      </w:r>
      <w:r>
        <w:rPr/>
        <w:t>间接薪</w:t>
      </w:r>
      <w:r>
        <w:rPr>
          <w:spacing w:val="3"/>
        </w:rPr>
        <w:t> </w:t>
      </w:r>
      <w:r>
        <w:rPr/>
        <w:t>酬</w:t>
      </w:r>
      <w:r>
        <w:rPr>
          <w:rFonts w:ascii="Times New Roman" w:hAnsi="Times New Roman" w:cs="Times New Roman" w:eastAsia="Times New Roman" w:hint="default"/>
        </w:rPr>
        <w:t>)</w:t>
      </w:r>
      <w:r>
        <w:rPr/>
        <w:t>，还包括较舒适的办公环境、良好的职业发展机会、富有挑战性和成就感的工作等难以用货币来衡量的形式。</w:t>
      </w:r>
    </w:p>
    <w:p>
      <w:pPr>
        <w:spacing w:line="240" w:lineRule="auto" w:before="10"/>
        <w:rPr>
          <w:rFonts w:ascii="宋体" w:hAnsi="宋体" w:cs="宋体" w:eastAsia="宋体" w:hint="default"/>
          <w:sz w:val="21"/>
          <w:szCs w:val="21"/>
        </w:rPr>
      </w:pPr>
    </w:p>
    <w:p>
      <w:pPr>
        <w:pStyle w:val="Heading3"/>
        <w:spacing w:line="240" w:lineRule="auto"/>
        <w:ind w:left="153" w:right="0"/>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122"/>
        <w:jc w:val="left"/>
      </w:pPr>
      <w:r>
        <w:rPr/>
        <w:t>（</w:t>
      </w:r>
      <w:r>
        <w:rPr>
          <w:rFonts w:ascii="Times New Roman" w:hAnsi="Times New Roman" w:cs="Times New Roman" w:eastAsia="Times New Roman" w:hint="default"/>
        </w:rPr>
        <w:t>1</w:t>
      </w:r>
      <w:r>
        <w:rPr/>
        <w:t>）管理类培训：后备人才培训培养项目，新晋经理培训培养项目，领导力提升培训培养项目，中高层、高层领导力研讨</w:t>
      </w:r>
      <w:r>
        <w:rPr>
          <w:spacing w:val="-83"/>
        </w:rPr>
        <w:t> </w:t>
      </w:r>
      <w:r>
        <w:rPr>
          <w:spacing w:val="-83"/>
        </w:rPr>
      </w:r>
      <w:r>
        <w:rPr/>
        <w:t>项目。</w:t>
      </w:r>
    </w:p>
    <w:p>
      <w:pPr>
        <w:pStyle w:val="BodyText"/>
        <w:spacing w:line="240" w:lineRule="auto" w:before="31"/>
        <w:ind w:left="154" w:right="0"/>
        <w:jc w:val="left"/>
      </w:pPr>
      <w:r>
        <w:rPr/>
        <w:t>（</w:t>
      </w:r>
      <w:r>
        <w:rPr>
          <w:rFonts w:ascii="Times New Roman" w:hAnsi="Times New Roman" w:cs="Times New Roman" w:eastAsia="Times New Roman" w:hint="default"/>
        </w:rPr>
        <w:t>2</w:t>
      </w:r>
      <w:r>
        <w:rPr/>
        <w:t>）专业类培训：金融科技领域、智能制造领域各自细分行业专业培训。</w:t>
      </w:r>
    </w:p>
    <w:p>
      <w:pPr>
        <w:pStyle w:val="BodyText"/>
        <w:spacing w:line="240" w:lineRule="auto" w:before="63"/>
        <w:ind w:right="0"/>
        <w:jc w:val="left"/>
      </w:pPr>
      <w:r>
        <w:rPr/>
        <w:t>（</w:t>
      </w:r>
      <w:r>
        <w:rPr>
          <w:rFonts w:ascii="Times New Roman" w:hAnsi="Times New Roman" w:cs="Times New Roman" w:eastAsia="Times New Roman" w:hint="default"/>
        </w:rPr>
        <w:t>3</w:t>
      </w:r>
      <w:r>
        <w:rPr/>
        <w:t>）其他类：新员工培训、企业文化落地类项目、内训师培养等。</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32,505,402.48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37"/>
      <w:bookmarkEnd w:id="137"/>
      <w:r>
        <w:rPr>
          <w:b w:val="0"/>
          <w:bCs w:val="0"/>
        </w:rPr>
      </w:r>
      <w:bookmarkStart w:name="_bookmark7"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130" w:firstLine="360"/>
        <w:jc w:val="both"/>
      </w:pPr>
      <w:r>
        <w:rPr>
          <w:spacing w:val="-2"/>
        </w:rPr>
        <w:t>报告期内，公司严格按照《公司法》、《证券法》、《上市公司治理准则》、《深圳证券交易所股票上市规则》、《深</w:t>
      </w:r>
      <w:r>
        <w:rPr>
          <w:spacing w:val="1"/>
        </w:rPr>
        <w:t> </w:t>
      </w:r>
      <w:r>
        <w:rPr>
          <w:spacing w:val="-2"/>
        </w:rPr>
        <w:t>圳证券交易所中小企业板上市公司规范运作指引》和中国证监会有关法律法规等的要求，不断完善公司治理结构，建立健全</w:t>
      </w:r>
      <w:r>
        <w:rPr>
          <w:spacing w:val="-66"/>
        </w:rPr>
        <w:t> </w:t>
      </w:r>
      <w:r>
        <w:rPr>
          <w:spacing w:val="-66"/>
        </w:rPr>
      </w:r>
      <w:r>
        <w:rPr/>
        <w:t>内部管理和控制制度，持续深入开展公司治理活动，以进一步规范公司运作，提高了公司治理水平。</w:t>
      </w:r>
    </w:p>
    <w:p>
      <w:pPr>
        <w:pStyle w:val="BodyText"/>
        <w:spacing w:line="340" w:lineRule="auto" w:before="19"/>
        <w:ind w:right="1049" w:firstLine="360"/>
        <w:jc w:val="both"/>
      </w:pPr>
      <w:r>
        <w:rPr/>
        <w:t>报告期内，公司除及时修订了《公司章程》外，还于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日新制定了《现金管理制度》，并披露于巨潮资讯网。 公司治理的实际状况与中国证监会发布的有关上市公司治理的规范性文件是否存在重大差异</w:t>
      </w:r>
    </w:p>
    <w:p>
      <w:pPr>
        <w:pStyle w:val="BodyText"/>
        <w:spacing w:line="338" w:lineRule="auto" w:before="41"/>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公司自成立以来，严格按照《公司法》、《证券法》等有关法律、法规和《公司章程》的要求规范运作，与控股股东在</w:t>
      </w:r>
      <w:r>
        <w:rPr/>
        <w:t> 业务、人员、资产、机构、财务等方面完全分开，具有独立完整的业务及自主经营能力。</w:t>
      </w:r>
    </w:p>
    <w:p>
      <w:pPr>
        <w:pStyle w:val="BodyText"/>
        <w:spacing w:line="309" w:lineRule="auto" w:before="56"/>
        <w:ind w:left="154" w:right="1133" w:firstLine="360"/>
        <w:jc w:val="both"/>
      </w:pPr>
      <w:r>
        <w:rPr>
          <w:rFonts w:ascii="Times New Roman" w:hAnsi="Times New Roman" w:cs="Times New Roman" w:eastAsia="Times New Roman" w:hint="default"/>
        </w:rPr>
        <w:t>1</w:t>
      </w:r>
      <w:r>
        <w:rPr/>
        <w:t>、业务独立情况：公司业务独立于控股股东及其下属企业，拥有独立完整的供应、生产和销售系统，独立开展业务， </w:t>
      </w:r>
      <w:r>
        <w:rPr>
          <w:spacing w:val="-2"/>
        </w:rPr>
        <w:t>不依赖于股东或其它任何关联方。公司股东及其他关联方目前业务均与本公司不同，而且向本公司出具了《避免同业竞争的</w:t>
      </w:r>
      <w:r>
        <w:rPr>
          <w:spacing w:val="-66"/>
        </w:rPr>
        <w:t> </w:t>
      </w:r>
      <w:r>
        <w:rPr>
          <w:spacing w:val="-66"/>
        </w:rPr>
      </w:r>
      <w:r>
        <w:rPr/>
        <w:t>承诺函》。</w:t>
      </w:r>
    </w:p>
    <w:p>
      <w:pPr>
        <w:pStyle w:val="BodyText"/>
        <w:spacing w:line="302" w:lineRule="auto" w:before="63"/>
        <w:ind w:left="154" w:right="1139" w:firstLine="360"/>
        <w:jc w:val="both"/>
      </w:pPr>
      <w:r>
        <w:rPr>
          <w:rFonts w:ascii="Times New Roman" w:hAnsi="Times New Roman" w:cs="Times New Roman" w:eastAsia="Times New Roman" w:hint="default"/>
        </w:rPr>
        <w:t>2</w:t>
      </w:r>
      <w:r>
        <w:rPr/>
        <w:t>、人员独立情况：公司人员、劳动、人事及工资完全独立。公司总经理、副总经理、董事会秘书、财务负责人等高级 管理人员均在公司工作并领取薪酬，未在控股股东及其下属企业担任职务和领取报酬。</w:t>
      </w:r>
    </w:p>
    <w:p>
      <w:pPr>
        <w:pStyle w:val="BodyText"/>
        <w:spacing w:line="302" w:lineRule="auto" w:before="68"/>
        <w:ind w:left="154" w:right="1140" w:firstLine="360"/>
        <w:jc w:val="both"/>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w:t>
      </w:r>
    </w:p>
    <w:p>
      <w:pPr>
        <w:pStyle w:val="BodyText"/>
        <w:spacing w:line="240" w:lineRule="auto" w:before="70"/>
        <w:ind w:left="513" w:right="0"/>
        <w:jc w:val="left"/>
      </w:pPr>
      <w:r>
        <w:rPr>
          <w:rFonts w:ascii="Times New Roman" w:hAnsi="Times New Roman" w:cs="Times New Roman" w:eastAsia="Times New Roman" w:hint="default"/>
        </w:rPr>
        <w:t>4</w:t>
      </w:r>
      <w:r>
        <w:rPr/>
        <w:t>、机构独立情况：公司设立了健全的组织机构体系，独立运作，不存在与控股股东或其职能部门之间的从属关系。</w:t>
      </w:r>
    </w:p>
    <w:p>
      <w:pPr>
        <w:pStyle w:val="BodyText"/>
        <w:spacing w:line="302" w:lineRule="auto" w:before="101"/>
        <w:ind w:left="154" w:right="1139" w:firstLine="360"/>
        <w:jc w:val="both"/>
      </w:pPr>
      <w:r>
        <w:rPr>
          <w:rFonts w:ascii="Times New Roman" w:hAnsi="Times New Roman" w:cs="Times New Roman" w:eastAsia="Times New Roman" w:hint="default"/>
        </w:rPr>
        <w:t>5</w:t>
      </w:r>
      <w:r>
        <w:rPr/>
        <w:t>、财务独立情况：公司有独立的财务会计部门，建立了独立的会计核算体系和财务管理制度，独立进行财务决策。公 司独立开设银行账户，独立纳税。</w:t>
      </w:r>
    </w:p>
    <w:p>
      <w:pPr>
        <w:spacing w:line="240" w:lineRule="auto" w:before="5"/>
        <w:rPr>
          <w:rFonts w:ascii="宋体" w:hAnsi="宋体" w:cs="宋体" w:eastAsia="宋体" w:hint="default"/>
          <w:sz w:val="21"/>
          <w:szCs w:val="21"/>
        </w:rPr>
      </w:pPr>
    </w:p>
    <w:p>
      <w:pPr>
        <w:pStyle w:val="Heading2"/>
        <w:spacing w:line="240" w:lineRule="auto"/>
        <w:ind w:left="154" w:right="0"/>
        <w:jc w:val="left"/>
        <w:rPr>
          <w:b w:val="0"/>
          <w:bCs w:val="0"/>
        </w:rPr>
      </w:pPr>
      <w:bookmarkStart w:name="三、同业竞争情况" w:id="141"/>
      <w:bookmarkEnd w:id="141"/>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1417"/>
        <w:gridCol w:w="1134"/>
        <w:gridCol w:w="994"/>
        <w:gridCol w:w="4037"/>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1"/>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1"/>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00" w:lineRule="auto"/>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2"/>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w:t>
            </w:r>
            <w:r>
              <w:rPr>
                <w:rFonts w:ascii="宋体" w:hAnsi="宋体" w:cs="宋体" w:eastAsia="宋体" w:hint="default"/>
                <w:sz w:val="18"/>
                <w:szCs w:val="18"/>
              </w:rPr>
              <w:t> 券日报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1"/>
                  <w:sz w:val="18"/>
                  <w:szCs w:val="18"/>
                </w:rPr>
                <w:t>om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2017-055</w:t>
            </w:r>
            <w:r>
              <w:rPr>
                <w:rFonts w:ascii="宋体" w:hAnsi="宋体" w:cs="宋体" w:eastAsia="宋体" w:hint="default"/>
                <w:sz w:val="18"/>
                <w:szCs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3"/>
              <w:jc w:val="center"/>
              <w:rPr>
                <w:rFonts w:ascii="宋体" w:hAnsi="宋体" w:cs="宋体" w:eastAsia="宋体" w:hint="default"/>
                <w:sz w:val="18"/>
                <w:szCs w:val="18"/>
              </w:rPr>
            </w:pPr>
            <w:r>
              <w:rPr>
                <w:rFonts w:ascii="宋体" w:hAnsi="宋体" w:cs="宋体" w:eastAsia="宋体" w:hint="default"/>
                <w:sz w:val="18"/>
                <w:szCs w:val="18"/>
              </w:rPr>
              <w:t>临时股东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1417"/>
        <w:gridCol w:w="1134"/>
        <w:gridCol w:w="994"/>
        <w:gridCol w:w="4037"/>
      </w:tblGrid>
      <w:tr>
        <w:trPr>
          <w:trHeight w:val="98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1"/>
              <w:jc w:val="left"/>
              <w:rPr>
                <w:rFonts w:ascii="宋体" w:hAnsi="宋体" w:cs="宋体" w:eastAsia="宋体" w:hint="default"/>
                <w:sz w:val="18"/>
                <w:szCs w:val="18"/>
              </w:rPr>
            </w:pPr>
            <w:r>
              <w:rPr>
                <w:rFonts w:ascii="宋体" w:hAnsi="宋体" w:cs="宋体" w:eastAsia="宋体" w:hint="default"/>
                <w:sz w:val="18"/>
                <w:szCs w:val="18"/>
              </w:rPr>
              <w:t>次临时股东 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1"/>
                  <w:sz w:val="18"/>
                  <w:szCs w:val="18"/>
                </w:rPr>
                <w:t>om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2017-090</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left="154"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1131" w:firstLine="360"/>
        <w:jc w:val="both"/>
      </w:pPr>
      <w:r>
        <w:rPr>
          <w:spacing w:val="-2"/>
        </w:rPr>
        <w:t>现任三位独立董事在报告期内均对公司进行了实地现场考察，了解公司的生产经营情况和财务状况，董事会决议执行情</w:t>
      </w:r>
      <w:r>
        <w:rPr/>
        <w:t> </w:t>
      </w:r>
      <w:r>
        <w:rPr>
          <w:spacing w:val="-2"/>
        </w:rPr>
        <w:t>况等，重点关注了公司法人治理、业务发展、规范运作、内部控制、财务管理、关联往来、对外投资、重大担保等情况，并</w:t>
      </w:r>
      <w:r>
        <w:rPr>
          <w:spacing w:val="-69"/>
        </w:rPr>
        <w:t> </w:t>
      </w:r>
      <w:r>
        <w:rPr>
          <w:spacing w:val="-69"/>
        </w:rPr>
      </w:r>
      <w:r>
        <w:rPr>
          <w:spacing w:val="-2"/>
        </w:rPr>
        <w:t>通过电话和邮件，与公司其他董事、高管人员及相关工作人员保持密切联系，了解公司发展动态，关注宏观环境及市场变化</w:t>
      </w:r>
      <w:r>
        <w:rPr>
          <w:spacing w:val="-66"/>
        </w:rPr>
        <w:t> </w:t>
      </w:r>
      <w:r>
        <w:rPr>
          <w:spacing w:val="-66"/>
        </w:rPr>
      </w:r>
      <w:r>
        <w:rPr>
          <w:spacing w:val="-2"/>
        </w:rPr>
        <w:t>对公司的影响，同时也时刻关注电视、报纸和网络等媒介有关公司的宣传和报道，及时获悉公司信息，从而为公司经营发展</w:t>
      </w:r>
      <w:r>
        <w:rPr>
          <w:spacing w:val="-66"/>
        </w:rPr>
        <w:t> </w:t>
      </w:r>
      <w:r>
        <w:rPr>
          <w:spacing w:val="-66"/>
        </w:rPr>
      </w:r>
      <w:r>
        <w:rPr/>
        <w:t>提出建设性意见，公司采纳了相关建议，并运用于公司经营业务发展。</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、董事会战略委员会履职情况</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7" w:lineRule="auto" w:before="44"/>
        <w:ind w:right="1042" w:firstLine="290"/>
        <w:jc w:val="both"/>
      </w:pPr>
      <w:r>
        <w:rPr>
          <w:rFonts w:ascii="Times New Roman" w:hAnsi="Times New Roman" w:cs="Times New Roman" w:eastAsia="Times New Roman" w:hint="default"/>
        </w:rPr>
        <w:t>2017</w:t>
      </w:r>
      <w:r>
        <w:rPr/>
        <w:t>年度，公司第三届董事会战略委员会共召开了</w:t>
      </w:r>
      <w:r>
        <w:rPr>
          <w:rFonts w:ascii="Times New Roman" w:hAnsi="Times New Roman" w:cs="Times New Roman" w:eastAsia="Times New Roman" w:hint="default"/>
        </w:rPr>
        <w:t>2</w:t>
      </w:r>
      <w:r>
        <w:rPr/>
        <w:t>次会议：</w:t>
      </w:r>
      <w:r>
        <w:rPr>
          <w:rFonts w:ascii="Times New Roman" w:hAnsi="Times New Roman" w:cs="Times New Roman" w:eastAsia="Times New Roman" w:hint="default"/>
        </w:rPr>
        <w:t>1</w:t>
      </w:r>
      <w:r>
        <w:rPr/>
        <w:t>）基于“全球视野、客户导向、创新驱动、价值多赢”的 </w:t>
      </w:r>
      <w:r>
        <w:rPr>
          <w:spacing w:val="-2"/>
        </w:rPr>
        <w:t>战略目标，公司董事会战略委员会在年初制定了坚持金融科技板块重点发力第三方支付及数据业务、制造板块以乘用车为主</w:t>
      </w:r>
      <w:r>
        <w:rPr>
          <w:spacing w:val="-64"/>
        </w:rPr>
        <w:t> </w:t>
      </w:r>
      <w:r>
        <w:rPr>
          <w:spacing w:val="-64"/>
        </w:rPr>
      </w:r>
      <w:r>
        <w:rPr/>
        <w:t>力的经营方针，同时给出了建设性意见；</w:t>
      </w:r>
      <w:r>
        <w:rPr>
          <w:rFonts w:ascii="Times New Roman" w:hAnsi="Times New Roman" w:cs="Times New Roman" w:eastAsia="Times New Roman" w:hint="default"/>
        </w:rPr>
        <w:t>2</w:t>
      </w:r>
      <w:r>
        <w:rPr/>
        <w:t>）针对国内经济政策变化，半年度召开了一次战略委员会，就公司金融科技板块 </w:t>
      </w:r>
      <w:r>
        <w:rPr>
          <w:spacing w:val="-4"/>
        </w:rPr>
        <w:t>募集资金投资项目的实施提出了谨慎、聚焦的指导性意见，同时针对智能制造板块提出了聚焦精品、智能化发展的战略方针。</w:t>
      </w:r>
    </w:p>
    <w:p>
      <w:pPr>
        <w:pStyle w:val="Heading4"/>
        <w:spacing w:line="240" w:lineRule="auto" w:before="10"/>
        <w:ind w:right="0"/>
        <w:jc w:val="left"/>
        <w:rPr>
          <w:b w:val="0"/>
          <w:bCs w:val="0"/>
        </w:rPr>
      </w:pPr>
      <w:r>
        <w:rPr>
          <w:rFonts w:ascii="Times New Roman" w:hAnsi="Times New Roman" w:cs="Times New Roman" w:eastAsia="Times New Roman" w:hint="default"/>
        </w:rPr>
        <w:t>2</w:t>
      </w:r>
      <w:r>
        <w:rPr/>
        <w:t>、董事会审计委员会履职情况</w:t>
      </w:r>
      <w:r>
        <w:rPr>
          <w:b w:val="0"/>
          <w:bCs w:val="0"/>
        </w:rPr>
      </w:r>
    </w:p>
    <w:p>
      <w:pPr>
        <w:pStyle w:val="BodyText"/>
        <w:spacing w:line="300" w:lineRule="auto" w:before="92"/>
        <w:ind w:left="154" w:right="1130" w:firstLine="360"/>
        <w:jc w:val="both"/>
      </w:pPr>
      <w:r>
        <w:rPr>
          <w:rFonts w:ascii="Times New Roman" w:hAnsi="Times New Roman" w:cs="Times New Roman" w:eastAsia="Times New Roman" w:hint="default"/>
        </w:rPr>
        <w:t>2017</w:t>
      </w:r>
      <w:r>
        <w:rPr/>
        <w:t>年度，公司董事会审计委员会共召开了</w:t>
      </w:r>
      <w:r>
        <w:rPr>
          <w:rFonts w:ascii="Times New Roman" w:hAnsi="Times New Roman" w:cs="Times New Roman" w:eastAsia="Times New Roman" w:hint="default"/>
        </w:rPr>
        <w:t>5</w:t>
      </w:r>
      <w:r>
        <w:rPr/>
        <w:t>次会议，对公司</w:t>
      </w:r>
      <w:r>
        <w:rPr>
          <w:rFonts w:ascii="Times New Roman" w:hAnsi="Times New Roman" w:cs="Times New Roman" w:eastAsia="Times New Roman" w:hint="default"/>
        </w:rPr>
        <w:t>2017</w:t>
      </w:r>
      <w:r>
        <w:rPr/>
        <w:t>年度审计及聘请外部审计机构等事项给予了合理的建 </w:t>
      </w:r>
      <w:r>
        <w:rPr>
          <w:spacing w:val="-2"/>
        </w:rPr>
        <w:t>议，对</w:t>
      </w:r>
      <w:r>
        <w:rPr>
          <w:rFonts w:ascii="Times New Roman" w:hAnsi="Times New Roman" w:cs="Times New Roman" w:eastAsia="Times New Roman" w:hint="default"/>
          <w:spacing w:val="-2"/>
        </w:rPr>
        <w:t>2016</w:t>
      </w:r>
      <w:r>
        <w:rPr>
          <w:spacing w:val="-2"/>
        </w:rPr>
        <w:t>年度审计工作进行了部署，另外就公司审计部提报的一季度、半年度、三季度内部审计报表及募集资金进行了审</w:t>
      </w:r>
      <w:r>
        <w:rPr>
          <w:spacing w:val="-62"/>
        </w:rPr>
        <w:t> </w:t>
      </w:r>
      <w:r>
        <w:rPr>
          <w:spacing w:val="-62"/>
        </w:rPr>
      </w:r>
      <w:r>
        <w:rPr/>
        <w:t>议，并将决议报告报公司董事会。</w:t>
      </w:r>
    </w:p>
    <w:p>
      <w:pPr>
        <w:pStyle w:val="Heading4"/>
        <w:spacing w:line="240" w:lineRule="auto" w:before="55"/>
        <w:ind w:left="556" w:right="0"/>
        <w:jc w:val="left"/>
        <w:rPr>
          <w:b w:val="0"/>
          <w:bCs w:val="0"/>
        </w:rPr>
      </w:pPr>
      <w:r>
        <w:rPr>
          <w:rFonts w:ascii="Times New Roman" w:hAnsi="Times New Roman" w:cs="Times New Roman" w:eastAsia="Times New Roman" w:hint="default"/>
        </w:rPr>
        <w:t>3</w:t>
      </w:r>
      <w:r>
        <w:rPr/>
        <w:t>、薪酬与考核委员会履职情况</w:t>
      </w:r>
      <w:r>
        <w:rPr>
          <w:b w:val="0"/>
          <w:bCs w:val="0"/>
        </w:rPr>
      </w:r>
    </w:p>
    <w:p>
      <w:pPr>
        <w:pStyle w:val="BodyText"/>
        <w:spacing w:line="309" w:lineRule="auto" w:before="92"/>
        <w:ind w:left="154" w:right="0" w:firstLine="480"/>
        <w:jc w:val="left"/>
      </w:pPr>
      <w:r>
        <w:rPr>
          <w:rFonts w:ascii="Times New Roman" w:hAnsi="Times New Roman" w:cs="Times New Roman" w:eastAsia="Times New Roman" w:hint="default"/>
        </w:rPr>
        <w:t>2017</w:t>
      </w:r>
      <w:r>
        <w:rPr/>
        <w:t>年度，公司第三届董事会薪酬与考核委员会共召开了</w:t>
      </w:r>
      <w:r>
        <w:rPr>
          <w:rFonts w:ascii="Times New Roman" w:hAnsi="Times New Roman" w:cs="Times New Roman" w:eastAsia="Times New Roman" w:hint="default"/>
        </w:rPr>
        <w:t>1</w:t>
      </w:r>
      <w:r>
        <w:rPr/>
        <w:t>次会议。公司人力资源部根据实际需要对《绩效考核管理 </w:t>
      </w:r>
      <w:r>
        <w:rPr>
          <w:spacing w:val="-4"/>
        </w:rPr>
        <w:t>制度》、《新客户开发激励方案》作了进一步完善，以最大化适用不同岗位不同部门的实际需求，从而服务于公司业务发展，</w:t>
      </w:r>
      <w:r>
        <w:rPr>
          <w:spacing w:val="-44"/>
        </w:rPr>
        <w:t> </w:t>
      </w:r>
      <w:r>
        <w:rPr>
          <w:spacing w:val="-44"/>
        </w:rPr>
      </w:r>
      <w:r>
        <w:rPr/>
        <w:t>公司第三届董事会薪酬与考核委员会对此进行了审议。</w:t>
      </w:r>
    </w:p>
    <w:p>
      <w:pPr>
        <w:spacing w:line="240" w:lineRule="auto" w:before="13"/>
        <w:rPr>
          <w:rFonts w:ascii="宋体" w:hAnsi="宋体" w:cs="宋体" w:eastAsia="宋体" w:hint="default"/>
          <w:sz w:val="20"/>
          <w:szCs w:val="20"/>
        </w:rPr>
      </w:pPr>
    </w:p>
    <w:p>
      <w:pPr>
        <w:pStyle w:val="Heading2"/>
        <w:spacing w:line="240" w:lineRule="auto"/>
        <w:ind w:left="154" w:right="0"/>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公司建立了完善的高级管理人员绩效考评体系和薪酬制度，报告期内，公司人力资源部对《绩效考核管理制度》、《新</w:t>
      </w:r>
      <w:r>
        <w:rPr/>
        <w:t> </w:t>
      </w:r>
      <w:r>
        <w:rPr>
          <w:spacing w:val="-4"/>
        </w:rPr>
        <w:t>客户开发激励方案》作了进一步完善，根据制定的《人工成本管控原则框架》、《调薪指导原则框架》对高级管理人员考评，</w:t>
      </w:r>
      <w:r>
        <w:rPr>
          <w:spacing w:val="-48"/>
        </w:rPr>
        <w:t> </w:t>
      </w:r>
      <w:r>
        <w:rPr>
          <w:spacing w:val="-48"/>
        </w:rPr>
      </w:r>
      <w:r>
        <w:rPr>
          <w:spacing w:val="-2"/>
        </w:rPr>
        <w:t>董事会薪酬与考核委员会负责对高级管理人员的工作能力、履职情况、责任目标完成情况等进行年终考评，制定薪酬方案报</w:t>
      </w:r>
      <w:r>
        <w:rPr>
          <w:spacing w:val="-66"/>
        </w:rPr>
        <w:t> </w:t>
      </w:r>
      <w:r>
        <w:rPr>
          <w:spacing w:val="-66"/>
        </w:rPr>
      </w:r>
      <w:r>
        <w:rPr/>
        <w:t>公司董事会审批。</w:t>
      </w:r>
    </w:p>
    <w:p>
      <w:pPr>
        <w:spacing w:line="240" w:lineRule="auto" w:before="6"/>
        <w:rPr>
          <w:rFonts w:ascii="宋体" w:hAnsi="宋体" w:cs="宋体" w:eastAsia="宋体" w:hint="default"/>
          <w:sz w:val="20"/>
          <w:szCs w:val="20"/>
        </w:rPr>
      </w:pPr>
    </w:p>
    <w:p>
      <w:pPr>
        <w:pStyle w:val="Heading2"/>
        <w:spacing w:line="240" w:lineRule="auto"/>
        <w:ind w:left="154" w:right="0"/>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3"/>
        <w:gridCol w:w="6374"/>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内部控制评价报告全文披露索引巨潮资讯</w:t>
            </w:r>
            <w:r>
              <w:rPr>
                <w:rFonts w:ascii="宋体" w:hAnsi="宋体" w:cs="宋体" w:eastAsia="宋体" w:hint="default"/>
                <w:spacing w:val="-33"/>
                <w:sz w:val="18"/>
                <w:szCs w:val="18"/>
              </w:rPr>
              <w:t>网</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pacing w:val="-124"/>
                <w:sz w:val="18"/>
                <w:szCs w:val="18"/>
              </w:rPr>
              <w:t>，</w:t>
            </w:r>
            <w:r>
              <w:rPr>
                <w:rFonts w:ascii="宋体" w:hAnsi="宋体" w:cs="宋体" w:eastAsia="宋体" w:hint="default"/>
                <w:sz w:val="18"/>
                <w:szCs w:val="18"/>
              </w:rPr>
              <w:t>《海联金</w:t>
            </w:r>
            <w:r>
              <w:rPr>
                <w:rFonts w:ascii="宋体" w:hAnsi="宋体" w:cs="宋体" w:eastAsia="宋体" w:hint="default"/>
                <w:sz w:val="18"/>
                <w:szCs w:val="18"/>
              </w:rPr>
              <w:t> 汇科技股份有限公司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vMerge/>
            <w:tcBorders>
              <w:left w:val="single" w:sz="9"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7" w:lineRule="auto"/>
              <w:ind w:left="16" w:right="23"/>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外部审计发现当期财务报告 存在重大错报，公司在运行过程中未能发 现该错报；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公司审计委员会和审计部对 内部控制的监督无效；</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 和高级管理人员舞弊行为；</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公司更正已 公布的财务报告；</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其他可能影响财务报 告使用者正确判断的缺陷。重要缺陷：</w:t>
            </w:r>
            <w:r>
              <w:rPr>
                <w:rFonts w:ascii="Times New Roman" w:hAnsi="Times New Roman" w:cs="Times New Roman" w:eastAsia="Times New Roman" w:hint="default"/>
                <w:sz w:val="18"/>
                <w:szCs w:val="18"/>
              </w:rPr>
              <w:t>1. </w:t>
            </w:r>
            <w:r>
              <w:rPr>
                <w:rFonts w:ascii="宋体" w:hAnsi="宋体" w:cs="宋体" w:eastAsia="宋体" w:hint="default"/>
                <w:sz w:val="18"/>
                <w:szCs w:val="18"/>
              </w:rPr>
              <w:t>未依照《企业会计准则》及相关规定选择 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 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 务处理没有建立相应的控制机制或没有实 施且没有相应的补偿性控制；</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 财务报告过程的控制存在一项或多项缺陷 且不能合理保证编制的财务报表达到真 实、完整的目标。一般缺陷：除上述重大 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重大缺陷：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内部控制评价的结果是重</w:t>
            </w:r>
            <w:r>
              <w:rPr>
                <w:rFonts w:ascii="宋体" w:hAnsi="宋体" w:cs="宋体" w:eastAsia="宋体" w:hint="default"/>
                <w:spacing w:val="-74"/>
                <w:sz w:val="18"/>
                <w:szCs w:val="18"/>
              </w:rPr>
              <w:t> </w:t>
            </w:r>
            <w:r>
              <w:rPr>
                <w:rFonts w:ascii="宋体" w:hAnsi="宋体" w:cs="宋体" w:eastAsia="宋体" w:hint="default"/>
                <w:spacing w:val="-2"/>
                <w:sz w:val="18"/>
                <w:szCs w:val="18"/>
              </w:rPr>
              <w:t>大缺陷未得到整改；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重要业务缺乏制</w:t>
            </w:r>
            <w:r>
              <w:rPr>
                <w:rFonts w:ascii="宋体" w:hAnsi="宋体" w:cs="宋体" w:eastAsia="宋体" w:hint="default"/>
                <w:spacing w:val="-74"/>
                <w:sz w:val="18"/>
                <w:szCs w:val="18"/>
              </w:rPr>
              <w:t> </w:t>
            </w:r>
            <w:r>
              <w:rPr>
                <w:rFonts w:ascii="宋体" w:hAnsi="宋体" w:cs="宋体" w:eastAsia="宋体" w:hint="default"/>
                <w:spacing w:val="-2"/>
                <w:sz w:val="18"/>
                <w:szCs w:val="18"/>
              </w:rPr>
              <w:t>度控制或制度系统性失效；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负面消息</w:t>
            </w:r>
            <w:r>
              <w:rPr>
                <w:rFonts w:ascii="宋体" w:hAnsi="宋体" w:cs="宋体" w:eastAsia="宋体" w:hint="default"/>
                <w:spacing w:val="-74"/>
                <w:sz w:val="18"/>
                <w:szCs w:val="18"/>
              </w:rPr>
              <w:t> </w:t>
            </w:r>
            <w:r>
              <w:rPr>
                <w:rFonts w:ascii="宋体" w:hAnsi="宋体" w:cs="宋体" w:eastAsia="宋体" w:hint="default"/>
                <w:spacing w:val="-4"/>
                <w:sz w:val="18"/>
                <w:szCs w:val="18"/>
              </w:rPr>
              <w:t>在全国主要媒体流传，对企业声誉造成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重大损害且未澄清；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受到国家政府部</w:t>
            </w:r>
            <w:r>
              <w:rPr>
                <w:rFonts w:ascii="宋体" w:hAnsi="宋体" w:cs="宋体" w:eastAsia="宋体" w:hint="default"/>
                <w:spacing w:val="-74"/>
                <w:sz w:val="18"/>
                <w:szCs w:val="18"/>
              </w:rPr>
              <w:t> </w:t>
            </w:r>
            <w:r>
              <w:rPr>
                <w:rFonts w:ascii="宋体" w:hAnsi="宋体" w:cs="宋体" w:eastAsia="宋体" w:hint="default"/>
                <w:spacing w:val="-4"/>
                <w:sz w:val="18"/>
                <w:szCs w:val="18"/>
              </w:rPr>
              <w:t>门处罚，或严重违规并被处以重罚或承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担刑事责任；</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其他对公司影响重大的</w:t>
            </w:r>
            <w:r>
              <w:rPr>
                <w:rFonts w:ascii="宋体" w:hAnsi="宋体" w:cs="宋体" w:eastAsia="宋体" w:hint="default"/>
                <w:spacing w:val="-74"/>
                <w:sz w:val="18"/>
                <w:szCs w:val="18"/>
              </w:rPr>
              <w:t> </w:t>
            </w:r>
            <w:r>
              <w:rPr>
                <w:rFonts w:ascii="宋体" w:hAnsi="宋体" w:cs="宋体" w:eastAsia="宋体" w:hint="default"/>
                <w:spacing w:val="-10"/>
                <w:sz w:val="18"/>
                <w:szCs w:val="18"/>
              </w:rPr>
              <w:t>情形。重要缺陷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内部控制评价的结果 </w:t>
            </w:r>
            <w:r>
              <w:rPr>
                <w:rFonts w:ascii="宋体" w:hAnsi="宋体" w:cs="宋体" w:eastAsia="宋体" w:hint="default"/>
                <w:spacing w:val="-2"/>
                <w:sz w:val="18"/>
                <w:szCs w:val="18"/>
              </w:rPr>
              <w:t>是重要缺陷未得到整改；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重要业务制</w:t>
            </w:r>
            <w:r>
              <w:rPr>
                <w:rFonts w:ascii="宋体" w:hAnsi="宋体" w:cs="宋体" w:eastAsia="宋体" w:hint="default"/>
                <w:spacing w:val="-74"/>
                <w:sz w:val="18"/>
                <w:szCs w:val="18"/>
              </w:rPr>
              <w:t> </w:t>
            </w:r>
            <w:r>
              <w:rPr>
                <w:rFonts w:ascii="宋体" w:hAnsi="宋体" w:cs="宋体" w:eastAsia="宋体" w:hint="default"/>
                <w:spacing w:val="-2"/>
                <w:sz w:val="18"/>
                <w:szCs w:val="18"/>
              </w:rPr>
              <w:t>度控制或制度系统性存在缺陷；</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负面</w:t>
            </w:r>
            <w:r>
              <w:rPr>
                <w:rFonts w:ascii="宋体" w:hAnsi="宋体" w:cs="宋体" w:eastAsia="宋体" w:hint="default"/>
                <w:spacing w:val="-74"/>
                <w:sz w:val="18"/>
                <w:szCs w:val="18"/>
              </w:rPr>
              <w:t> </w:t>
            </w:r>
            <w:r>
              <w:rPr>
                <w:rFonts w:ascii="宋体" w:hAnsi="宋体" w:cs="宋体" w:eastAsia="宋体" w:hint="default"/>
                <w:sz w:val="18"/>
                <w:szCs w:val="18"/>
              </w:rPr>
              <w:t>消息在某一区域媒体流传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 </w:t>
            </w:r>
            <w:r>
              <w:rPr>
                <w:rFonts w:ascii="宋体" w:hAnsi="宋体" w:cs="宋体" w:eastAsia="宋体" w:hint="default"/>
                <w:spacing w:val="-2"/>
                <w:sz w:val="18"/>
                <w:szCs w:val="18"/>
              </w:rPr>
              <w:t>造成较大损害且未澄清；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一般违规并</w:t>
            </w:r>
            <w:r>
              <w:rPr>
                <w:rFonts w:ascii="宋体" w:hAnsi="宋体" w:cs="宋体" w:eastAsia="宋体" w:hint="default"/>
                <w:spacing w:val="-74"/>
                <w:sz w:val="18"/>
                <w:szCs w:val="18"/>
              </w:rPr>
              <w:t> </w:t>
            </w:r>
            <w:r>
              <w:rPr>
                <w:rFonts w:ascii="宋体" w:hAnsi="宋体" w:cs="宋体" w:eastAsia="宋体" w:hint="default"/>
                <w:sz w:val="18"/>
                <w:szCs w:val="18"/>
              </w:rPr>
              <w:t>被处罚；</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其他对公司影响重大的情 </w:t>
            </w:r>
            <w:r>
              <w:rPr>
                <w:rFonts w:ascii="宋体" w:hAnsi="宋体" w:cs="宋体" w:eastAsia="宋体" w:hint="default"/>
                <w:spacing w:val="-2"/>
                <w:sz w:val="18"/>
                <w:szCs w:val="18"/>
              </w:rPr>
              <w:t>形。一般缺陷：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重要业务制度控制或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制度系统性需完善；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负面消息在公司</w:t>
            </w:r>
            <w:r>
              <w:rPr>
                <w:rFonts w:ascii="宋体" w:hAnsi="宋体" w:cs="宋体" w:eastAsia="宋体" w:hint="default"/>
                <w:spacing w:val="-74"/>
                <w:sz w:val="18"/>
                <w:szCs w:val="18"/>
              </w:rPr>
              <w:t> </w:t>
            </w:r>
            <w:r>
              <w:rPr>
                <w:rFonts w:ascii="宋体" w:hAnsi="宋体" w:cs="宋体" w:eastAsia="宋体" w:hint="default"/>
                <w:sz w:val="18"/>
                <w:szCs w:val="18"/>
              </w:rPr>
              <w:t>层面流传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对企业声誉没有造成较大影 响；</w:t>
            </w:r>
            <w:r>
              <w:rPr>
                <w:rFonts w:ascii="Times New Roman" w:hAnsi="Times New Roman" w:cs="Times New Roman" w:eastAsia="Times New Roman" w:hint="default"/>
                <w:sz w:val="18"/>
                <w:szCs w:val="18"/>
              </w:rPr>
              <w:t>3.</w:t>
            </w:r>
            <w:r>
              <w:rPr>
                <w:rFonts w:ascii="宋体" w:hAnsi="宋体" w:cs="宋体" w:eastAsia="宋体" w:hint="default"/>
                <w:sz w:val="18"/>
                <w:szCs w:val="18"/>
              </w:rPr>
              <w:t>轻微违规并已整改；</w:t>
            </w:r>
            <w:r>
              <w:rPr>
                <w:rFonts w:ascii="Times New Roman" w:hAnsi="Times New Roman" w:cs="Times New Roman" w:eastAsia="Times New Roman" w:hint="default"/>
                <w:sz w:val="18"/>
                <w:szCs w:val="18"/>
              </w:rPr>
              <w:t>4.</w:t>
            </w:r>
            <w:r>
              <w:rPr>
                <w:rFonts w:ascii="宋体" w:hAnsi="宋体" w:cs="宋体" w:eastAsia="宋体" w:hint="default"/>
                <w:sz w:val="18"/>
                <w:szCs w:val="18"/>
              </w:rPr>
              <w:t>除上述重 大缺陷、重要缺陷之外的其他控制缺 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81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78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43"/>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资 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。一</w:t>
            </w:r>
            <w:r>
              <w:rPr>
                <w:rFonts w:ascii="宋体" w:hAnsi="宋体" w:cs="宋体" w:eastAsia="宋体" w:hint="default"/>
                <w:spacing w:val="-23"/>
                <w:sz w:val="18"/>
                <w:szCs w:val="18"/>
              </w:rPr>
              <w:t> </w:t>
            </w: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w:t>
            </w:r>
            <w:r>
              <w:rPr>
                <w:rFonts w:ascii="宋体" w:hAnsi="宋体" w:cs="宋体" w:eastAsia="宋体" w:hint="default"/>
                <w:w w:val="99"/>
                <w:sz w:val="18"/>
                <w:szCs w:val="18"/>
              </w:rPr>
              <w:t> </w:t>
            </w:r>
            <w:r>
              <w:rPr>
                <w:rFonts w:ascii="宋体" w:hAnsi="宋体" w:cs="宋体" w:eastAsia="宋体" w:hint="default"/>
                <w:sz w:val="18"/>
                <w:szCs w:val="18"/>
              </w:rPr>
              <w:t>额</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差错金额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w:t>
            </w:r>
            <w:r>
              <w:rPr>
                <w:rFonts w:ascii="宋体" w:hAnsi="宋体" w:cs="宋体" w:eastAsia="宋体" w:hint="default"/>
                <w:w w:val="99"/>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78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海联金汇按照《企业内部控制基本规范》及相关规定于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 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15"/>
                <w:sz w:val="18"/>
                <w:szCs w:val="18"/>
              </w:rPr>
              <w:t>网</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hyperlink>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《海联金汇科技股份有限公司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 制鉴证报告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6"/>
      <w:bookmarkEnd w:id="156"/>
      <w:r>
        <w:rPr>
          <w:b w:val="0"/>
          <w:bCs w:val="0"/>
        </w:rPr>
      </w:r>
      <w:bookmarkStart w:name="_bookmark8"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8"/>
      <w:bookmarkEnd w:id="158"/>
      <w:r>
        <w:rPr>
          <w:b w:val="0"/>
          <w:bCs w:val="0"/>
        </w:rPr>
      </w:r>
      <w:bookmarkStart w:name="_bookmark9"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XYZH/2018JNA10016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路清、刘玉显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Heading6"/>
        <w:spacing w:line="561" w:lineRule="auto"/>
        <w:ind w:left="153" w:right="0"/>
        <w:jc w:val="left"/>
        <w:rPr>
          <w:b w:val="0"/>
          <w:bCs w:val="0"/>
        </w:rPr>
      </w:pPr>
      <w:r>
        <w:rPr>
          <w:w w:val="95"/>
        </w:rPr>
        <w:t>海联金汇科技股份有限公司全体股东：</w:t>
      </w:r>
      <w:r>
        <w:rPr>
          <w:spacing w:val="64"/>
          <w:w w:val="95"/>
        </w:rPr>
        <w:t> </w:t>
      </w:r>
      <w:r>
        <w:rPr>
          <w:spacing w:val="64"/>
          <w:w w:val="95"/>
        </w:rPr>
      </w:r>
      <w:r>
        <w:rPr/>
        <w:t>一、审计意见</w:t>
      </w:r>
      <w:r>
        <w:rPr>
          <w:b w:val="0"/>
          <w:bCs w:val="0"/>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224" w:space="1056"/>
            <w:col w:w="6650"/>
          </w:cols>
        </w:sectPr>
      </w:pPr>
    </w:p>
    <w:p>
      <w:pPr>
        <w:pStyle w:val="BodyText"/>
        <w:spacing w:line="300" w:lineRule="auto" w:before="75"/>
        <w:ind w:right="0" w:firstLine="440"/>
        <w:jc w:val="left"/>
      </w:pPr>
      <w:r>
        <w:rPr/>
        <w:t>我们审计了海联金汇科技股份有限公司（以下简称海联金汇）财务报表，包括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 </w:t>
      </w:r>
      <w:r>
        <w:rPr>
          <w:spacing w:val="-4"/>
        </w:rPr>
        <w:t>债表，</w:t>
      </w:r>
      <w:r>
        <w:rPr>
          <w:rFonts w:ascii="Times New Roman" w:hAnsi="Times New Roman" w:cs="Times New Roman" w:eastAsia="Times New Roman" w:hint="default"/>
          <w:spacing w:val="-4"/>
        </w:rPr>
        <w:t>2017</w:t>
      </w:r>
      <w:r>
        <w:rPr>
          <w:spacing w:val="-4"/>
        </w:rPr>
        <w:t>年度的合并及母公司利润表、合并及母公司现金流量表、合并及母公司股东权益变动表，以及相关财务报表附注。</w:t>
      </w:r>
    </w:p>
    <w:p>
      <w:pPr>
        <w:spacing w:line="240" w:lineRule="auto" w:before="4"/>
        <w:rPr>
          <w:rFonts w:ascii="宋体" w:hAnsi="宋体" w:cs="宋体" w:eastAsia="宋体" w:hint="default"/>
          <w:sz w:val="19"/>
          <w:szCs w:val="19"/>
        </w:rPr>
      </w:pPr>
    </w:p>
    <w:p>
      <w:pPr>
        <w:pStyle w:val="BodyText"/>
        <w:spacing w:line="300" w:lineRule="auto"/>
        <w:ind w:right="0" w:firstLine="440"/>
        <w:jc w:val="left"/>
      </w:pPr>
      <w:r>
        <w:rPr/>
        <w:t>我们认为，后附的财务报表在所有重大方面按照企业会计准则的规定编制，公允反映了海联金汇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552" w:lineRule="exact" w:before="22"/>
        <w:ind w:left="594" w:right="0" w:hanging="441"/>
        <w:jc w:val="left"/>
      </w:pPr>
      <w:r>
        <w:rPr>
          <w:rFonts w:ascii="宋体" w:hAnsi="宋体" w:cs="宋体" w:eastAsia="宋体" w:hint="default"/>
          <w:b/>
          <w:bCs/>
        </w:rPr>
        <w:t>二、形成审计意见的基础</w:t>
      </w:r>
      <w:r>
        <w:rPr>
          <w:rFonts w:ascii="宋体" w:hAnsi="宋体" w:cs="宋体" w:eastAsia="宋体" w:hint="default"/>
          <w:b/>
          <w:bCs/>
          <w:spacing w:val="1"/>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步阐述了我们在这些准则下的责任。按照中国注册会计师职业道德守则，我们独立于海联金汇，并履行了职业道德方面的其</w:t>
      </w:r>
      <w:r>
        <w:rPr>
          <w:spacing w:val="-66"/>
        </w:rPr>
        <w:t> </w:t>
      </w:r>
      <w:r>
        <w:rPr>
          <w:spacing w:val="-66"/>
        </w:rPr>
      </w:r>
      <w:r>
        <w:rPr/>
        <w:t>他责任。我们相信，我们获取的审计证据是充分、适当的，为发表审计意见提供了基础。</w:t>
      </w:r>
    </w:p>
    <w:p>
      <w:pPr>
        <w:spacing w:line="240" w:lineRule="auto" w:before="10"/>
        <w:rPr>
          <w:rFonts w:ascii="宋体" w:hAnsi="宋体" w:cs="宋体" w:eastAsia="宋体" w:hint="default"/>
          <w:sz w:val="19"/>
          <w:szCs w:val="19"/>
        </w:rPr>
      </w:pPr>
    </w:p>
    <w:p>
      <w:pPr>
        <w:pStyle w:val="Heading6"/>
        <w:spacing w:line="240" w:lineRule="auto"/>
        <w:ind w:left="153" w:right="0"/>
        <w:jc w:val="left"/>
        <w:rPr>
          <w:b w:val="0"/>
          <w:bCs w:val="0"/>
        </w:rPr>
      </w:pPr>
      <w:r>
        <w:rPr/>
        <w:t>三、关键审计事项</w:t>
      </w:r>
      <w:r>
        <w:rPr>
          <w:b w:val="0"/>
          <w:bCs w:val="0"/>
        </w:rPr>
      </w:r>
    </w:p>
    <w:p>
      <w:pPr>
        <w:spacing w:line="240" w:lineRule="auto" w:before="2"/>
        <w:rPr>
          <w:rFonts w:ascii="宋体" w:hAnsi="宋体" w:cs="宋体" w:eastAsia="宋体" w:hint="default"/>
          <w:b/>
          <w:bCs/>
          <w:sz w:val="24"/>
          <w:szCs w:val="24"/>
        </w:rPr>
      </w:pPr>
    </w:p>
    <w:p>
      <w:pPr>
        <w:pStyle w:val="BodyText"/>
        <w:spacing w:line="316" w:lineRule="auto"/>
        <w:ind w:right="0" w:firstLine="440"/>
        <w:jc w:val="left"/>
      </w:pPr>
      <w:r>
        <w:rPr/>
        <w:t>关键审计事项是我们根据职业判断，认为对本期财务报表审计最为重要的事项。这些事项的应对以对财务报表整体进 行审计并形成审计意见为背景，我们不对这些事项单独发表意见。</w:t>
      </w:r>
    </w:p>
    <w:tbl>
      <w:tblPr>
        <w:tblW w:w="0" w:type="auto"/>
        <w:jc w:val="left"/>
        <w:tblInd w:w="146" w:type="dxa"/>
        <w:tblLayout w:type="fixed"/>
        <w:tblCellMar>
          <w:top w:w="0" w:type="dxa"/>
          <w:left w:w="0" w:type="dxa"/>
          <w:bottom w:w="0" w:type="dxa"/>
          <w:right w:w="0" w:type="dxa"/>
        </w:tblCellMar>
        <w:tblLook w:val="01E0"/>
      </w:tblPr>
      <w:tblGrid>
        <w:gridCol w:w="4954"/>
        <w:gridCol w:w="4658"/>
      </w:tblGrid>
      <w:tr>
        <w:trPr>
          <w:trHeight w:val="347" w:hRule="exact"/>
        </w:trPr>
        <w:tc>
          <w:tcPr>
            <w:tcW w:w="96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348"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843"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相关信息披露详见财务报表附注六、</w:t>
            </w:r>
            <w:r>
              <w:rPr>
                <w:rFonts w:ascii="Times New Roman" w:hAnsi="Times New Roman" w:cs="Times New Roman" w:eastAsia="Times New Roman" w:hint="default"/>
                <w:sz w:val="18"/>
                <w:szCs w:val="18"/>
              </w:rPr>
              <w:t>38 </w:t>
            </w:r>
            <w:r>
              <w:rPr>
                <w:rFonts w:ascii="宋体" w:hAnsi="宋体" w:cs="宋体" w:eastAsia="宋体" w:hint="default"/>
                <w:spacing w:val="2"/>
                <w:sz w:val="18"/>
                <w:szCs w:val="18"/>
              </w:rPr>
              <w:t>集团主营业务含金融科技产业和智能制造产业，金融科技产业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主要从事移动信息服务、第三方支付服务、大数据服务、运营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商计费结算服务及跨境电商服务业务，智能制造产业主要从事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汽车及配件、家电配件、电机及配件和模具业务。 </w:t>
            </w:r>
            <w:r>
              <w:rPr>
                <w:rFonts w:ascii="宋体" w:hAnsi="宋体" w:cs="宋体" w:eastAsia="宋体" w:hint="default"/>
                <w:spacing w:val="2"/>
                <w:sz w:val="18"/>
                <w:szCs w:val="18"/>
              </w:rPr>
              <w:t>由于收入是海联金汇的关键业绩指标之一，从而存在管理层为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了达到特定目标或期望而操纵收入确认时点的固有风险，我们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将海联金汇的收入确认识别为关键审计事项。</w:t>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）了解和评价管理层与收入确认相关的关键内部控制的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设计和运行有效性；</w:t>
            </w:r>
          </w:p>
          <w:p>
            <w:pPr>
              <w:pStyle w:val="TableParagraph"/>
              <w:spacing w:line="309" w:lineRule="auto" w:before="3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）选取样本检查销售合同，识别与商品所有权上的风险</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和报酬转移相关的合同条款与条件，评价海联金汇的收入确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认时点是否符合企业会计准则的要求；</w:t>
            </w:r>
          </w:p>
          <w:p>
            <w:pPr>
              <w:pStyle w:val="TableParagraph"/>
              <w:spacing w:line="309" w:lineRule="auto" w:before="24"/>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）对本年记录的收入交易选取样本，核对发票、销售合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同及出库单，评价相关收入确认是否符合海联金汇收入确认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的会计政策；</w:t>
            </w:r>
          </w:p>
          <w:p>
            <w:pPr>
              <w:pStyle w:val="TableParagraph"/>
              <w:spacing w:line="240" w:lineRule="auto" w:before="24"/>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）就资产负债表日前后记录的收入交易，选取样本，核</w:t>
            </w:r>
          </w:p>
        </w:tc>
      </w:tr>
    </w:tbl>
    <w:p>
      <w:pPr>
        <w:spacing w:after="0" w:line="240"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954"/>
        <w:gridCol w:w="4658"/>
      </w:tblGrid>
      <w:tr>
        <w:trPr>
          <w:trHeight w:val="1283" w:hRule="exact"/>
        </w:trPr>
        <w:tc>
          <w:tcPr>
            <w:tcW w:w="4954" w:type="dxa"/>
            <w:tcBorders>
              <w:top w:val="single" w:sz="6" w:space="0" w:color="000000"/>
              <w:left w:val="single" w:sz="6" w:space="0" w:color="000000"/>
              <w:bottom w:val="single" w:sz="6" w:space="0" w:color="000000"/>
              <w:right w:val="single" w:sz="6" w:space="0" w:color="000000"/>
            </w:tcBorders>
          </w:tcPr>
          <w:p>
            <w:pP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对出库单及其他支持性文件，以评价收入是否被记录于恰当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的会计期间；</w:t>
            </w:r>
          </w:p>
          <w:p>
            <w:pPr>
              <w:pStyle w:val="TableParagraph"/>
              <w:spacing w:line="300" w:lineRule="auto" w:before="19"/>
              <w:ind w:left="2" w:right="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）检查本年度重大或满足其他特定风险标准的与收入确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认相关的手工会计分录的相关支持性文件。</w:t>
            </w:r>
          </w:p>
        </w:tc>
      </w:tr>
      <w:tr>
        <w:trPr>
          <w:trHeight w:val="347" w:hRule="exact"/>
        </w:trPr>
        <w:tc>
          <w:tcPr>
            <w:tcW w:w="96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商誉减值</w:t>
            </w:r>
            <w:r>
              <w:rPr>
                <w:rFonts w:ascii="宋体" w:hAnsi="宋体" w:cs="宋体" w:eastAsia="宋体" w:hint="default"/>
                <w:sz w:val="18"/>
                <w:szCs w:val="18"/>
              </w:rPr>
            </w:r>
          </w:p>
        </w:tc>
      </w:tr>
      <w:tr>
        <w:trPr>
          <w:trHeight w:val="347"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468"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7"/>
              <w:jc w:val="left"/>
              <w:rPr>
                <w:rFonts w:ascii="宋体" w:hAnsi="宋体" w:cs="宋体" w:eastAsia="宋体" w:hint="default"/>
                <w:sz w:val="18"/>
                <w:szCs w:val="18"/>
              </w:rPr>
            </w:pPr>
            <w:r>
              <w:rPr>
                <w:rFonts w:ascii="宋体" w:hAnsi="宋体" w:cs="宋体" w:eastAsia="宋体" w:hint="default"/>
                <w:sz w:val="18"/>
                <w:szCs w:val="18"/>
              </w:rPr>
              <w:t>相关信息披露详见财务报表附注六、</w:t>
            </w:r>
            <w:r>
              <w:rPr>
                <w:rFonts w:ascii="Times New Roman" w:hAnsi="Times New Roman" w:cs="Times New Roman" w:eastAsia="Times New Roman" w:hint="default"/>
                <w:sz w:val="18"/>
                <w:szCs w:val="18"/>
              </w:rPr>
              <w:t>14 </w:t>
            </w: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日，海联金汇的商誉余额为</w:t>
            </w:r>
            <w:r>
              <w:rPr>
                <w:rFonts w:ascii="Times New Roman" w:hAnsi="Times New Roman" w:cs="Times New Roman" w:eastAsia="Times New Roman" w:hint="default"/>
                <w:spacing w:val="-3"/>
                <w:sz w:val="18"/>
                <w:szCs w:val="18"/>
              </w:rPr>
              <w:t>2,502,769,649.74</w:t>
            </w:r>
            <w:r>
              <w:rPr>
                <w:rFonts w:ascii="宋体" w:hAnsi="宋体" w:cs="宋体" w:eastAsia="宋体" w:hint="default"/>
                <w:spacing w:val="-3"/>
                <w:sz w:val="18"/>
                <w:szCs w:val="18"/>
              </w:rPr>
              <w:t>元，</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管理层对商誉至少每年进行减值测试。减值测试要求估计包含</w:t>
            </w:r>
            <w:r>
              <w:rPr>
                <w:rFonts w:ascii="宋体" w:hAnsi="宋体" w:cs="宋体" w:eastAsia="宋体" w:hint="default"/>
                <w:sz w:val="18"/>
                <w:szCs w:val="18"/>
              </w:rPr>
              <w:t> 商誉的相关资产组的可收回金额，即相关资产组的公允价值减 去处置费用后的净额与相关资产组预计未来现金流量的现值两 者之中的较高者。在确定相关资产组预计未来现金流量的现值 时，需要恰当的预测相关资产组未来现金流的长期平均增长率 和合理的确定计算相关资产组预计未来现金流量现值所采用的 折现率，这涉及管理层运用重大会计估计和判断，同时考虑商 誉对于财务报表整体的重要性，因此我们将商誉减值作为关键 审计事项。</w:t>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）了解海联金汇商誉减值测试的控制程序，包括了解海 联金汇划分的资产组及海联金汇对资产组价值的判定；</w:t>
            </w:r>
          </w:p>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）评估商誉减值测试的估值方法；</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）评价商誉减值测试关键假设的适当性；</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）评价测试所引用参数的合理性。</w:t>
            </w:r>
          </w:p>
        </w:tc>
      </w:tr>
      <w:tr>
        <w:trPr>
          <w:trHeight w:val="347" w:hRule="exact"/>
        </w:trPr>
        <w:tc>
          <w:tcPr>
            <w:tcW w:w="96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存货减值</w:t>
            </w:r>
            <w:r>
              <w:rPr>
                <w:rFonts w:ascii="宋体" w:hAnsi="宋体" w:cs="宋体" w:eastAsia="宋体" w:hint="default"/>
                <w:sz w:val="18"/>
                <w:szCs w:val="18"/>
              </w:rPr>
            </w:r>
          </w:p>
        </w:tc>
      </w:tr>
      <w:tr>
        <w:trPr>
          <w:trHeight w:val="347"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220"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75"/>
              <w:jc w:val="left"/>
              <w:rPr>
                <w:rFonts w:ascii="宋体" w:hAnsi="宋体" w:cs="宋体" w:eastAsia="宋体" w:hint="default"/>
                <w:sz w:val="18"/>
                <w:szCs w:val="18"/>
              </w:rPr>
            </w:pPr>
            <w:r>
              <w:rPr>
                <w:rFonts w:ascii="宋体" w:hAnsi="宋体" w:cs="宋体" w:eastAsia="宋体" w:hint="default"/>
                <w:sz w:val="18"/>
                <w:szCs w:val="18"/>
              </w:rPr>
              <w:t>相关信息披露详见财务报表附注六、</w:t>
            </w:r>
            <w:r>
              <w:rPr>
                <w:rFonts w:ascii="Times New Roman" w:hAnsi="Times New Roman" w:cs="Times New Roman" w:eastAsia="Times New Roman" w:hint="default"/>
                <w:sz w:val="18"/>
                <w:szCs w:val="18"/>
              </w:rPr>
              <w:t>8 </w:t>
            </w:r>
            <w:r>
              <w:rPr>
                <w:rFonts w:ascii="宋体" w:hAnsi="宋体" w:cs="宋体" w:eastAsia="宋体" w:hint="default"/>
                <w:sz w:val="18"/>
                <w:szCs w:val="18"/>
              </w:rPr>
              <w:t>存货跌价准备的提取，取决于对存货可变现净值的估计。存货 的可变现净值的确定，要求管理层对存货的售价，至实现销售 时将要发生的成本、销售费用以及相关税费的金额进行估计。 由于本期钢材本期价格上涨幅度较大，而客户的定价还维持上 年的价格，可能存在存货减值风险，我们将其列为关键审计事 项</w:t>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）了解计提存货跌价准备的流程并评价其内部控制；</w:t>
            </w:r>
          </w:p>
          <w:p>
            <w:pPr>
              <w:pStyle w:val="TableParagraph"/>
              <w:spacing w:line="240" w:lineRule="auto" w:before="63"/>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）对存货盘点进行监盘并关注残次存货是否被识别；</w:t>
            </w:r>
          </w:p>
          <w:p>
            <w:pPr>
              <w:pStyle w:val="TableParagraph"/>
              <w:spacing w:line="240" w:lineRule="auto" w:before="63"/>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）通过检查原始凭证对于存货库龄的划分进行测试；</w:t>
            </w:r>
          </w:p>
          <w:p>
            <w:pPr>
              <w:pStyle w:val="TableParagraph"/>
              <w:spacing w:line="309" w:lineRule="auto" w:before="63"/>
              <w:ind w:left="2" w:right="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）对管理层计算的可变现净值所涉及的重要假设进行评 </w:t>
            </w:r>
            <w:r>
              <w:rPr>
                <w:rFonts w:ascii="宋体" w:hAnsi="宋体" w:cs="宋体" w:eastAsia="宋体" w:hint="default"/>
                <w:spacing w:val="-2"/>
                <w:sz w:val="18"/>
                <w:szCs w:val="18"/>
              </w:rPr>
              <w:t>价，例如检查销售价格和至完工时发生的成本、销售费用以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及相关税金等。</w:t>
            </w:r>
          </w:p>
        </w:tc>
      </w:tr>
    </w:tbl>
    <w:p>
      <w:pPr>
        <w:spacing w:line="240" w:lineRule="auto" w:before="10"/>
        <w:rPr>
          <w:rFonts w:ascii="宋体" w:hAnsi="宋体" w:cs="宋体" w:eastAsia="宋体" w:hint="default"/>
          <w:sz w:val="15"/>
          <w:szCs w:val="15"/>
        </w:rPr>
      </w:pPr>
    </w:p>
    <w:p>
      <w:pPr>
        <w:pStyle w:val="Heading6"/>
        <w:spacing w:line="240" w:lineRule="auto" w:before="44"/>
        <w:ind w:left="154" w:right="0"/>
        <w:jc w:val="left"/>
        <w:rPr>
          <w:b w:val="0"/>
          <w:bCs w:val="0"/>
        </w:rPr>
      </w:pPr>
      <w:r>
        <w:rPr/>
        <w:t>四、其他信息</w:t>
      </w:r>
      <w:r>
        <w:rPr>
          <w:b w:val="0"/>
          <w:bCs w:val="0"/>
        </w:rPr>
      </w:r>
    </w:p>
    <w:p>
      <w:pPr>
        <w:spacing w:line="240" w:lineRule="auto" w:before="2"/>
        <w:rPr>
          <w:rFonts w:ascii="宋体" w:hAnsi="宋体" w:cs="宋体" w:eastAsia="宋体" w:hint="default"/>
          <w:b/>
          <w:bCs/>
          <w:sz w:val="24"/>
          <w:szCs w:val="24"/>
        </w:rPr>
      </w:pPr>
    </w:p>
    <w:p>
      <w:pPr>
        <w:pStyle w:val="BodyText"/>
        <w:spacing w:line="300" w:lineRule="auto"/>
        <w:ind w:right="1193" w:firstLine="440"/>
        <w:jc w:val="left"/>
      </w:pPr>
      <w:r>
        <w:rPr/>
        <w:t>海联金汇管理层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对其他信息负责。其他信息包括海联金汇</w:t>
      </w:r>
      <w:r>
        <w:rPr>
          <w:rFonts w:ascii="Times New Roman" w:hAnsi="Times New Roman" w:cs="Times New Roman" w:eastAsia="Times New Roman" w:hint="default"/>
        </w:rPr>
        <w:t>2017</w:t>
      </w:r>
      <w:r>
        <w:rPr/>
        <w:t>年年度报告中涵盖的信息，但不包括 财务报表和我们的审计报告。</w:t>
      </w:r>
    </w:p>
    <w:p>
      <w:pPr>
        <w:pStyle w:val="BodyText"/>
        <w:spacing w:line="552" w:lineRule="exact" w:before="40"/>
        <w:ind w:left="594" w:right="1132"/>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227" w:lineRule="exact"/>
        <w:ind w:right="0"/>
        <w:jc w:val="left"/>
      </w:pPr>
      <w:r>
        <w:rPr/>
        <w:t>过程中了解到的情况存在重大不一致或者似乎存在重大错报。</w:t>
      </w:r>
    </w:p>
    <w:p>
      <w:pPr>
        <w:spacing w:line="240" w:lineRule="auto" w:before="2"/>
        <w:rPr>
          <w:rFonts w:ascii="宋体" w:hAnsi="宋体" w:cs="宋体" w:eastAsia="宋体" w:hint="default"/>
          <w:sz w:val="24"/>
          <w:szCs w:val="24"/>
        </w:rPr>
      </w:pPr>
    </w:p>
    <w:p>
      <w:pPr>
        <w:pStyle w:val="BodyText"/>
        <w:spacing w:line="316" w:lineRule="auto"/>
        <w:ind w:right="1118" w:firstLine="440"/>
        <w:jc w:val="left"/>
      </w:pPr>
      <w:r>
        <w:rPr/>
        <w:t>基于我们已执行的工作，如果我们确定其他信息存在重大错报，我们应当报告该事实。在这方面，我们无任何事项需 要报告。</w:t>
      </w:r>
    </w:p>
    <w:p>
      <w:pPr>
        <w:spacing w:line="552" w:lineRule="exact" w:before="27"/>
        <w:ind w:left="594" w:right="1132" w:hanging="44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227" w:lineRule="exact"/>
        <w:ind w:right="0"/>
        <w:jc w:val="left"/>
      </w:pPr>
      <w:r>
        <w:rPr/>
        <w:t>财务报表不存在由于舞弊或错误导致的重大错报。</w:t>
      </w:r>
    </w:p>
    <w:p>
      <w:pPr>
        <w:spacing w:after="0" w:line="227"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33" w:right="1133" w:firstLine="440"/>
        <w:jc w:val="both"/>
      </w:pPr>
      <w:r>
        <w:rPr/>
        <w:t>在编制财务报表时，管理层负责评估海联金汇的持续经营能力，披露与持续经营相关的事项（如适用），并运用持续 经营假设，除非管理层计划清算海联金汇、终止运营或别无其他现实的选择。</w:t>
      </w:r>
    </w:p>
    <w:p>
      <w:pPr>
        <w:spacing w:line="240" w:lineRule="auto" w:before="10"/>
        <w:rPr>
          <w:rFonts w:ascii="宋体" w:hAnsi="宋体" w:cs="宋体" w:eastAsia="宋体" w:hint="default"/>
          <w:sz w:val="19"/>
          <w:szCs w:val="19"/>
        </w:rPr>
      </w:pPr>
    </w:p>
    <w:p>
      <w:pPr>
        <w:spacing w:line="564" w:lineRule="auto" w:before="0"/>
        <w:ind w:left="234" w:right="6892" w:firstLine="440"/>
        <w:jc w:val="left"/>
        <w:rPr>
          <w:rFonts w:ascii="宋体" w:hAnsi="宋体" w:cs="宋体" w:eastAsia="宋体" w:hint="default"/>
          <w:sz w:val="18"/>
          <w:szCs w:val="18"/>
        </w:rPr>
      </w:pPr>
      <w:r>
        <w:rPr>
          <w:rFonts w:ascii="宋体" w:hAnsi="宋体" w:cs="宋体" w:eastAsia="宋体" w:hint="default"/>
          <w:sz w:val="18"/>
          <w:szCs w:val="18"/>
        </w:rPr>
        <w:t>治理层负责监督海联金汇的财务报告过程。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73"/>
        <w:ind w:left="234" w:right="1131" w:firstLine="44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10"/>
        <w:rPr>
          <w:rFonts w:ascii="宋体" w:hAnsi="宋体" w:cs="宋体" w:eastAsia="宋体" w:hint="default"/>
          <w:sz w:val="19"/>
          <w:szCs w:val="19"/>
        </w:rPr>
      </w:pPr>
    </w:p>
    <w:p>
      <w:pPr>
        <w:pStyle w:val="BodyText"/>
        <w:spacing w:line="240" w:lineRule="auto"/>
        <w:ind w:left="674" w:right="0"/>
        <w:jc w:val="left"/>
      </w:pPr>
      <w:r>
        <w:rPr/>
        <w:t>在按照审计准则执行审计工作的过程中，我们运用职业判断，并保持职业怀疑。同时，我们也执行以下工作：</w:t>
      </w:r>
    </w:p>
    <w:p>
      <w:pPr>
        <w:spacing w:line="240" w:lineRule="auto" w:before="2"/>
        <w:rPr>
          <w:rFonts w:ascii="宋体" w:hAnsi="宋体" w:cs="宋体" w:eastAsia="宋体" w:hint="default"/>
          <w:sz w:val="24"/>
          <w:szCs w:val="24"/>
        </w:rPr>
      </w:pPr>
    </w:p>
    <w:p>
      <w:pPr>
        <w:pStyle w:val="BodyText"/>
        <w:spacing w:line="309" w:lineRule="auto"/>
        <w:ind w:left="233" w:right="1130" w:firstLine="145"/>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spacing w:line="240" w:lineRule="auto" w:before="3"/>
        <w:rPr>
          <w:rFonts w:ascii="宋体" w:hAnsi="宋体" w:cs="宋体" w:eastAsia="宋体" w:hint="default"/>
          <w:sz w:val="20"/>
          <w:szCs w:val="20"/>
        </w:rPr>
      </w:pPr>
    </w:p>
    <w:p>
      <w:pPr>
        <w:pStyle w:val="BodyText"/>
        <w:spacing w:line="240" w:lineRule="auto"/>
        <w:ind w:left="379" w:right="0"/>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2"/>
        <w:rPr>
          <w:rFonts w:ascii="宋体" w:hAnsi="宋体" w:cs="宋体" w:eastAsia="宋体" w:hint="default"/>
          <w:sz w:val="23"/>
          <w:szCs w:val="23"/>
        </w:rPr>
      </w:pPr>
    </w:p>
    <w:p>
      <w:pPr>
        <w:pStyle w:val="BodyText"/>
        <w:spacing w:line="240" w:lineRule="auto"/>
        <w:ind w:left="379"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2"/>
        <w:rPr>
          <w:rFonts w:ascii="宋体" w:hAnsi="宋体" w:cs="宋体" w:eastAsia="宋体" w:hint="default"/>
          <w:sz w:val="23"/>
          <w:szCs w:val="23"/>
        </w:rPr>
      </w:pPr>
    </w:p>
    <w:p>
      <w:pPr>
        <w:pStyle w:val="BodyText"/>
        <w:spacing w:line="312" w:lineRule="auto"/>
        <w:ind w:left="233" w:right="1132" w:firstLine="145"/>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）对管理层使用持续经营假设的恰当性得出结论。同时，根据获取的审计证据，就可能导致对海联金汇持续经营能力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截至审计报告日可获得的信息。然而，未来的事项或情况可能导致海联金汇不能持续经营。</w:t>
      </w:r>
    </w:p>
    <w:p>
      <w:pPr>
        <w:spacing w:line="240" w:lineRule="auto" w:before="1"/>
        <w:rPr>
          <w:rFonts w:ascii="宋体" w:hAnsi="宋体" w:cs="宋体" w:eastAsia="宋体" w:hint="default"/>
          <w:sz w:val="20"/>
          <w:szCs w:val="20"/>
        </w:rPr>
      </w:pPr>
    </w:p>
    <w:p>
      <w:pPr>
        <w:pStyle w:val="BodyText"/>
        <w:spacing w:line="240" w:lineRule="auto"/>
        <w:ind w:left="379"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2"/>
        <w:rPr>
          <w:rFonts w:ascii="宋体" w:hAnsi="宋体" w:cs="宋体" w:eastAsia="宋体" w:hint="default"/>
          <w:sz w:val="23"/>
          <w:szCs w:val="23"/>
        </w:rPr>
      </w:pPr>
    </w:p>
    <w:p>
      <w:pPr>
        <w:pStyle w:val="BodyText"/>
        <w:spacing w:line="300" w:lineRule="auto"/>
        <w:ind w:left="233" w:right="1043" w:firstLine="145"/>
        <w:jc w:val="both"/>
      </w:pPr>
      <w:r>
        <w:rPr>
          <w:spacing w:val="-1"/>
        </w:rPr>
        <w:t>（</w:t>
      </w:r>
      <w:r>
        <w:rPr>
          <w:rFonts w:ascii="Times New Roman" w:hAnsi="Times New Roman" w:cs="Times New Roman" w:eastAsia="Times New Roman" w:hint="default"/>
          <w:spacing w:val="-1"/>
        </w:rPr>
        <w:t>6</w:t>
      </w:r>
      <w:r>
        <w:rPr>
          <w:spacing w:val="-1"/>
        </w:rPr>
        <w:t>）就海联金汇中实体或业务活动的财务信息获取充分、适当的审计证据，以对财务报表发表审计意见。我们负责指导、</w:t>
      </w:r>
      <w:r>
        <w:rPr/>
        <w:t> 监督和执行集团审计，并对审计意见承担全部责任。</w:t>
      </w:r>
    </w:p>
    <w:p>
      <w:pPr>
        <w:spacing w:line="240" w:lineRule="auto" w:before="10"/>
        <w:rPr>
          <w:rFonts w:ascii="宋体" w:hAnsi="宋体" w:cs="宋体" w:eastAsia="宋体" w:hint="default"/>
          <w:sz w:val="20"/>
          <w:szCs w:val="20"/>
        </w:rPr>
      </w:pPr>
    </w:p>
    <w:p>
      <w:pPr>
        <w:pStyle w:val="BodyText"/>
        <w:spacing w:line="316" w:lineRule="auto"/>
        <w:ind w:left="234" w:right="1133" w:firstLine="440"/>
        <w:jc w:val="both"/>
      </w:pPr>
      <w:r>
        <w:rPr/>
        <w:t>我们与治理层就计划的审计范围、时间安排和重大审计发现等事项进行沟通，包括沟通我们在审计中识别出的值得关 注的内部控制缺陷。</w:t>
      </w:r>
    </w:p>
    <w:p>
      <w:pPr>
        <w:spacing w:line="240" w:lineRule="auto" w:before="10"/>
        <w:rPr>
          <w:rFonts w:ascii="宋体" w:hAnsi="宋体" w:cs="宋体" w:eastAsia="宋体" w:hint="default"/>
          <w:sz w:val="19"/>
          <w:szCs w:val="19"/>
        </w:rPr>
      </w:pPr>
    </w:p>
    <w:p>
      <w:pPr>
        <w:pStyle w:val="BodyText"/>
        <w:spacing w:line="316" w:lineRule="auto"/>
        <w:ind w:left="234" w:right="1133" w:firstLine="440"/>
        <w:jc w:val="both"/>
      </w:pPr>
      <w:r>
        <w:rPr/>
        <w:t>我们还就已遵守与独立性相关的职业道德要求向治理层提供声明，并与治理层沟通可能被合理认为影响我们独立性的 所有关系和其他事项，以及相关的防范措施（如适用）。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316" w:lineRule="auto"/>
        <w:ind w:left="234" w:right="1133" w:firstLine="44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4279"/>
        <w:gridCol w:w="3223"/>
      </w:tblGrid>
      <w:tr>
        <w:trPr>
          <w:trHeight w:val="190"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3223" w:type="dxa"/>
            <w:tcBorders>
              <w:top w:val="nil" w:sz="6" w:space="0" w:color="auto"/>
              <w:left w:val="nil" w:sz="6" w:space="0" w:color="auto"/>
              <w:bottom w:val="nil" w:sz="6" w:space="0" w:color="auto"/>
              <w:right w:val="nil" w:sz="6" w:space="0" w:color="auto"/>
            </w:tcBorders>
          </w:tcPr>
          <w:p>
            <w:pPr>
              <w:pStyle w:val="TableParagraph"/>
              <w:spacing w:line="180" w:lineRule="exact"/>
              <w:ind w:left="1080" w:right="0"/>
              <w:jc w:val="left"/>
              <w:rPr>
                <w:rFonts w:ascii="宋体" w:hAnsi="宋体" w:cs="宋体" w:eastAsia="宋体" w:hint="default"/>
                <w:sz w:val="18"/>
                <w:szCs w:val="18"/>
              </w:rPr>
            </w:pPr>
            <w:r>
              <w:rPr>
                <w:rFonts w:ascii="宋体" w:hAnsi="宋体" w:cs="宋体" w:eastAsia="宋体" w:hint="default"/>
                <w:sz w:val="18"/>
                <w:szCs w:val="18"/>
              </w:rPr>
              <w:t>中国注册会计师：路</w:t>
            </w:r>
            <w:r>
              <w:rPr>
                <w:rFonts w:ascii="宋体" w:hAnsi="宋体" w:cs="宋体" w:eastAsia="宋体" w:hint="default"/>
                <w:spacing w:val="52"/>
                <w:sz w:val="18"/>
                <w:szCs w:val="18"/>
              </w:rPr>
              <w:t> </w:t>
            </w:r>
            <w:r>
              <w:rPr>
                <w:rFonts w:ascii="宋体" w:hAnsi="宋体" w:cs="宋体" w:eastAsia="宋体" w:hint="default"/>
                <w:sz w:val="18"/>
                <w:szCs w:val="18"/>
              </w:rPr>
              <w:t>清</w:t>
            </w:r>
          </w:p>
        </w:tc>
      </w:tr>
    </w:tbl>
    <w:p>
      <w:pPr>
        <w:spacing w:after="0" w:line="180" w:lineRule="exact"/>
        <w:jc w:val="left"/>
        <w:rPr>
          <w:rFonts w:ascii="宋体" w:hAnsi="宋体" w:cs="宋体" w:eastAsia="宋体" w:hint="default"/>
          <w:sz w:val="18"/>
          <w:szCs w:val="18"/>
        </w:rPr>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1601" w:type="dxa"/>
        <w:tblLayout w:type="fixed"/>
        <w:tblCellMar>
          <w:top w:w="0" w:type="dxa"/>
          <w:left w:w="0" w:type="dxa"/>
          <w:bottom w:w="0" w:type="dxa"/>
          <w:right w:w="0" w:type="dxa"/>
        </w:tblCellMar>
        <w:tblLook w:val="01E0"/>
      </w:tblPr>
      <w:tblGrid>
        <w:gridCol w:w="2423"/>
        <w:gridCol w:w="3550"/>
      </w:tblGrid>
      <w:tr>
        <w:trPr>
          <w:trHeight w:val="422" w:hRule="exact"/>
        </w:trPr>
        <w:tc>
          <w:tcPr>
            <w:tcW w:w="2423" w:type="dxa"/>
            <w:tcBorders>
              <w:top w:val="nil" w:sz="6" w:space="0" w:color="auto"/>
              <w:left w:val="nil" w:sz="6" w:space="0" w:color="auto"/>
              <w:bottom w:val="nil" w:sz="6" w:space="0" w:color="auto"/>
              <w:right w:val="nil" w:sz="6" w:space="0" w:color="auto"/>
            </w:tcBorders>
          </w:tcPr>
          <w:p>
            <w:pPr/>
          </w:p>
        </w:tc>
        <w:tc>
          <w:tcPr>
            <w:tcW w:w="3550" w:type="dxa"/>
            <w:tcBorders>
              <w:top w:val="nil" w:sz="6" w:space="0" w:color="auto"/>
              <w:left w:val="nil" w:sz="6" w:space="0" w:color="auto"/>
              <w:bottom w:val="nil" w:sz="6" w:space="0" w:color="auto"/>
              <w:right w:val="nil" w:sz="6" w:space="0" w:color="auto"/>
            </w:tcBorders>
          </w:tcPr>
          <w:p>
            <w:pPr>
              <w:pStyle w:val="TableParagraph"/>
              <w:spacing w:line="180" w:lineRule="exact"/>
              <w:ind w:left="1371" w:right="0"/>
              <w:jc w:val="left"/>
              <w:rPr>
                <w:rFonts w:ascii="宋体" w:hAnsi="宋体" w:cs="宋体" w:eastAsia="宋体" w:hint="default"/>
                <w:sz w:val="18"/>
                <w:szCs w:val="18"/>
              </w:rPr>
            </w:pPr>
            <w:r>
              <w:rPr>
                <w:rFonts w:ascii="宋体" w:hAnsi="宋体" w:cs="宋体" w:eastAsia="宋体" w:hint="default"/>
                <w:sz w:val="18"/>
                <w:szCs w:val="18"/>
              </w:rPr>
              <w:t>中国注册会计师：刘玉显</w:t>
            </w:r>
          </w:p>
        </w:tc>
      </w:tr>
      <w:tr>
        <w:trPr>
          <w:trHeight w:val="422" w:hRule="exact"/>
        </w:trPr>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30"/>
                <w:sz w:val="18"/>
                <w:szCs w:val="18"/>
              </w:rPr>
              <w:t> </w:t>
            </w:r>
            <w:r>
              <w:rPr>
                <w:rFonts w:ascii="宋体" w:hAnsi="宋体" w:cs="宋体" w:eastAsia="宋体" w:hint="default"/>
                <w:sz w:val="18"/>
                <w:szCs w:val="18"/>
              </w:rPr>
              <w:t>北京</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43" w:right="0"/>
              <w:jc w:val="left"/>
              <w:rPr>
                <w:rFonts w:ascii="宋体" w:hAnsi="宋体" w:cs="宋体" w:eastAsia="宋体" w:hint="default"/>
                <w:sz w:val="18"/>
                <w:szCs w:val="18"/>
              </w:rPr>
            </w:pPr>
            <w:r>
              <w:rPr>
                <w:rFonts w:ascii="宋体" w:hAnsi="宋体" w:cs="宋体" w:eastAsia="宋体" w:hint="default"/>
                <w:sz w:val="18"/>
                <w:szCs w:val="18"/>
              </w:rPr>
              <w:t>二○一八年四月二日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before="26"/>
        <w:ind w:left="154" w:right="0"/>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编制单位：海联金汇科技股份有限公司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2,124,762,581.14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2,431,954,008.02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10,376,208,706.10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5,813,564,020.99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287,353,223.73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223,832,965.71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969,155,701.05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724,486,893.75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246,026,870.00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234,967,133.21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18,973.15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27,056,935.86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27,223,577.27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544,587,206.48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553,491,444.11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340,598,791.99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153,959,369.74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14,915,768,989.50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10,163,479,412.80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72,415,092.20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734,477,018.23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774,673,910.66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89,868,225.13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141,223,858.55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364,889,691.17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397,846,572.90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2,502,319,150.02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2,630,678,296.41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20,843,293.78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5,518,002.93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24,211,047.12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219,817,970.02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35,431,578.21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4,045,028,549.67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4,081,998,358.98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18,960,797,539.17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14,245,477,771.78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208,954,500.00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399,700,703.71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605,689,712.04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324,680,649.65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328,117,810.00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42,224,202.52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36,006,420.38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78,785,173.11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63,209,785.08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46,073,774.35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62,339,507.90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1,561,295.49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1,449,516.88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70,479,913.21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100,206,245.32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134,083,281.48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5,055,199.66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10,595,101,208.36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5,976,203,387.86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11,808,287,752.51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7,456,044,534.49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1,453,317.51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17,264,947.12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1,258,851.84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32,764,166.75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40,375,204.81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149,029,113.87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43,087,374.16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11,957,316,866.38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7,499,131,908.65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1,251,350,095.00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568,795,498.00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4,707,104,896.60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5,389,659,493.60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-1,596,209.06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797,215.93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47,424,431.35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40,476,007.89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963,196,408.72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584,638,791.22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6,967,479,622.61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6,584,367,006.64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36,001,050.18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161,978,856.49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7,003,480,672.79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6,746,345,863.13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18,960,797,539.17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14,245,477,771.78</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法定代表人：刘国平</w:t>
        <w:tab/>
        <w:t>主管会计工作负责人：洪晓明</w:t>
        <w:tab/>
        <w:t>会计机构负责人：姜春梅</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921,165,711.24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1,275,809,363.50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79,893,158.50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64,279,312.46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270,001,354.58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118,002,489.30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197,919,863.33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124,745,100.95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111,849,838.83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509,502,202.41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342,307,552.44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162,307,180.57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97,443,178.69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4,456,872.75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66,021,204.50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2,145,246,343.38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2,200,458,040.67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4,463,396,857.76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4,546,996,857.76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10,565,240.88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11,881,137.06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2,479,136.55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3,009,062.15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2,833,378.86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1,147,799.36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190,459,100.00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4,683,051,324.12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4,566,293,661.39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6,828,297,667.50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6,766,751,702.06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289,973,979.66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315,790,986.65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20,992,904.76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18,926,766.73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13,666,328.13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6,821,552.30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448,651.51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208,167.08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7,809,343.59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2,707,382.93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167,635.42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65,822,013.71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143,924,495.34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409,880,856.78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488,379,351.03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508,880,856.78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488,379,351.03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1,251,350,095.00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568,795,498.00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4,689,853,515.05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5,372,408,112.05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47,424,431.35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40,476,007.89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330,788,769.32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296,692,733.09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6,319,416,810.72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6,278,372,351.03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6,828,297,667.50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6,766,751,702.06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3,996,047,149.80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2,634,295,194.85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3,996,047,149.80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2,634,295,194.85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01.219971pt;width:157.7pt;height:19.650pt;mso-position-horizontal-relative:page;mso-position-vertical-relative:page;z-index:-1394680"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r>
        <w:rPr/>
        <w:pict>
          <v:group style="position:absolute;margin-left:212.119995pt;margin-top:637.419983pt;width:157.7pt;height:19.650pt;mso-position-horizontal-relative:page;mso-position-vertical-relative:page;z-index:-1394656" coordorigin="4242,12748" coordsize="3154,393">
            <v:shape style="position:absolute;left:4242;top:12748;width:3154;height:393" coordorigin="4242,12748" coordsize="3154,393" path="m4242,13141l7396,13141,7396,12748,4242,12748,4242,1314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3,501,876,424.81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2,379,003,077.14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2,845,541,953.97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2,013,851,108.72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22,456,607.88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20,942,734.70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140,856,037.71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88,592,756.82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504,538,477.42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245,087,176.18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-44,270,285.62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13,097,215.15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32,753,633.45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-2,567,914.43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-837,744.27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670,435.26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657,838.22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-1,403,830.57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815,945.73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494,806,764.67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254,558,722.40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42,029,824.31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58,494,266.47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3,637,974.89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12,809,419.90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533,198,614.09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300,243,568.97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88,677,063.45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39,462,376.91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444,521,550.64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260,781,192.06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444,521,550.64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260,781,192.06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413,945,815.86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232,922,577.80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30,575,734.78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27,858,614.26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-2,393,424.99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600,655.50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-2,393,424.99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600,655.50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-2,393,424.99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600,655.50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-2,393,424.99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600,655.50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442,128,125.65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261,381,847.56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411,552,390.87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233,523,233.30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30,575,734.78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27,858,614.26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法定代表人：刘国平</w:t>
        <w:tab/>
        <w:t>主管会计工作负责人：洪晓明</w:t>
        <w:tab/>
        <w:t>会计机构负责人：姜春梅</w:t>
      </w:r>
    </w:p>
    <w:p>
      <w:pPr>
        <w:spacing w:after="0" w:line="62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1,253,494,132.63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697,164,635.60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1,145,118,793.53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647,720,253.95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1,506,445.37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2,498,269.02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17,442,846.17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15,323,529.99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17,735,462.76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18,622,973.37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-30,923,254.21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2,142,288.48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7,035,723.90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-4,181,156.98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-5,304,555.05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137,175,001.56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-12,754.66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-626,629.78</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90,260,805.40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151,586,849.55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3,216,927.60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45,043.87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350,958.88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4,363,021.12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93,126,774.12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147,268,872.30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23,642,539.53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2,666,789.73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69,484,234.59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144,602,082.57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69,484,234.59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144,602,082.57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69,484,234.59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144,602,082.57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2,703,244,403.64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2,128,989,721.67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8,715,711.35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3,876,665.82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569,152,712.75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312,884,828.15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3,281,112,827.74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2,445,751,215.64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2,128,247,125.59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1,295,037,395.30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483,622,154.82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262,103,261.89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233,622,094.36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156,096,133.74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593,558,264.57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298,896,686.44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3,439,049,639.34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2,012,133,477.37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-157,936,811.60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433,617,738.27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670,435.26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2,257,243.65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24,913,966.86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186,333,347.60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2,729,632.19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535,243,262.84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196,590,591.25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563,557,297.15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139,899,357.16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109,158,567.47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271,748,600.00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467,194.18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412,115,151.34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110,358,567.47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-215,524,560.09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453,198,729.68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1,835,304,525.67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8,357,600.00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422,437,600.00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2,116,014,525.67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192,063,455.93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412,908,549.20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54,328,455.26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63,475,573.63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317,174,161.32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253,391,911.19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793,558,284.15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169,045,688.81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1,322,456,241.52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-2,995,629.60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1,201,186.50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-207,411,312.48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2,210,473,895.97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2,309,451,375.00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98,977,479.03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2,102,040,062.52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2,309,451,375.00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1,027,238,975.30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712,711,894.86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1,983,731.41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290,615.26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258,475,928.51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62,800,452.14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1,287,698,635.22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775,802,962.26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970,009,868.29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533,607,274.34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15,135,616.78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13,471,601.22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27,878,696.27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8,975,495.24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660,329,759.47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150,286,415.41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1,673,353,940.81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706,340,786.21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-385,655,305.59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69,462,176.05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190,695,444.95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3,717,700.58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59,159,763.83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1,332,726.72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309,891,960.92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5,050,427.30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598,152.66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359,601,021.66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526,389,380.00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359,908,341.35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586,987,532.66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-50,016,380.43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-581,937,105.36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1,835,304,525.67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1,915,304,525.67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28,561,691.57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3,845,495.60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6,449,451.32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28,561,691.57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190,294,946.92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81,438,308.43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1,725,009,578.75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-410,274.67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298,883.34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-354,643,652.26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1,212,833,532.78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1,275,809,363.50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62,975,830.72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921,165,711.24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1,275,809,363.50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568,79</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5,389,6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59,493.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797,215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007.89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584,638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,791.22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161,978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,856.49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568,79</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5,389,6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59,493.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797,215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007.89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584,638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,791.22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161,978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,856.49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4,597.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-2,393,4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378,557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,617.50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7,806.3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257,134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,809.66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-2,393,4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413,945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30,575,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734.78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442,128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,125.65</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3,541.0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3,541.0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0"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3,541.0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3,541.0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13"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42"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-35,388,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198.36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774.90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774.90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774.90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4,597.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4,597.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350,09</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4,707,1</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04,896.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-1,596,2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431.35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963,196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,408.72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050.18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7,003,4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301,23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779,381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,429.24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196,560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26,015,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799.63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366,176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,421.68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250,242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,943.54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43,154.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301,23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779,381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196,560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26,015,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799.63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366,176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,421.68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250,242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,943.54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43,154.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600,655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208.26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218,462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,369.54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-88,264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,087.05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600,655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232,922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,577.80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27,858,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614.26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261,381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,847.56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-87,517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,288.78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26,273.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59,774.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10,083,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787.81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-87,517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,288.78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-77,433,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500.97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208.26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208.26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-70,479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,913.21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-70,479,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913.21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208.26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208.26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-70,479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,913.21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-70,479,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913.21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41,874,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500.68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41,874,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500.68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568,79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59,493.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797,215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007.89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584,638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,791.22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161,978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,856.49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568,795,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5,372,408</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,112.05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40,476,00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296,692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,733.09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6,278,372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,351.03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568,795,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5,372,408</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,112.05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40,476,00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296,692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,733.09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6,278,372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,351.03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597.00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34,096,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036.23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41,044,45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9.69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-35,388,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198.36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-28,439,7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23.46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774.90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-28,439,7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1,251,35</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0,095.00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4,689,853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,515.05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47,424,43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330,788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,769.32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6,319,416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,810.72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15"/>
        <w:gridCol w:w="653"/>
        <w:gridCol w:w="665"/>
        <w:gridCol w:w="654"/>
        <w:gridCol w:w="809"/>
        <w:gridCol w:w="797"/>
        <w:gridCol w:w="798"/>
        <w:gridCol w:w="798"/>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301,230,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771,878,5</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26,015,79</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166,550</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1,265,675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,858.78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,189.75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301,230,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771,878,5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26,015,79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166,550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,858.78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1,265,675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,189.75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267,565,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4,600,529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,580.71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14,460,20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130,141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,874.31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5,012,697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,161.28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144,602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,082.57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144,602,0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267,565,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4,600,529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,580.71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4,868,095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,078.71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267,565,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4,600,194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,276.55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4,867,759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,774.55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335,304.1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14,460,20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208.26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14,460,20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208.26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568,795,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5,372,408</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,112.05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40,476,00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296,692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,733.09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6,278,372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,351.03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70"/>
      <w:bookmarkEnd w:id="17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440"/>
        <w:jc w:val="left"/>
      </w:pPr>
      <w:r>
        <w:rPr>
          <w:spacing w:val="-2"/>
        </w:rPr>
        <w:t>海联金汇科技股份有限公司（以下简称本公司，在包含子公司时统称本集团）初始成立于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日，注册地为青</w:t>
      </w:r>
      <w:r>
        <w:rPr/>
        <w:t> 岛即墨，总部办公地址为青岛即墨市青威路</w:t>
      </w:r>
      <w:r>
        <w:rPr>
          <w:rFonts w:ascii="Times New Roman" w:hAnsi="Times New Roman" w:cs="Times New Roman" w:eastAsia="Times New Roman" w:hint="default"/>
        </w:rPr>
        <w:t>1626</w:t>
      </w:r>
      <w:r>
        <w:rPr/>
        <w:t>号。</w:t>
      </w:r>
    </w:p>
    <w:p>
      <w:pPr>
        <w:spacing w:line="240" w:lineRule="auto" w:before="4"/>
        <w:rPr>
          <w:rFonts w:ascii="宋体" w:hAnsi="宋体" w:cs="宋体" w:eastAsia="宋体" w:hint="default"/>
          <w:sz w:val="19"/>
          <w:szCs w:val="19"/>
        </w:rPr>
      </w:pPr>
    </w:p>
    <w:p>
      <w:pPr>
        <w:pStyle w:val="BodyText"/>
        <w:spacing w:line="300" w:lineRule="auto"/>
        <w:ind w:right="1043" w:firstLine="44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日，本公司召开</w:t>
      </w:r>
      <w:r>
        <w:rPr>
          <w:rFonts w:ascii="Times New Roman" w:hAnsi="Times New Roman" w:cs="Times New Roman" w:eastAsia="Times New Roman" w:hint="default"/>
        </w:rPr>
        <w:t>2016</w:t>
      </w:r>
      <w:r>
        <w:rPr/>
        <w:t>年年度股东大会，审议通过了《公司</w:t>
      </w:r>
      <w:r>
        <w:rPr>
          <w:rFonts w:ascii="Times New Roman" w:hAnsi="Times New Roman" w:cs="Times New Roman" w:eastAsia="Times New Roman" w:hint="default"/>
        </w:rPr>
        <w:t>2016</w:t>
      </w:r>
      <w:r>
        <w:rPr/>
        <w:t>年度利润分配及资本公积转增股本议案》， 以公司现有总股本</w:t>
      </w:r>
      <w:r>
        <w:rPr>
          <w:rFonts w:ascii="Times New Roman" w:hAnsi="Times New Roman" w:cs="Times New Roman" w:eastAsia="Times New Roman" w:hint="default"/>
        </w:rPr>
        <w:t>568,795,498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0.5000</w:t>
      </w:r>
      <w:r>
        <w:rPr/>
        <w:t>元人民币现金，同时，以资本公积金向全体股东每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12</w:t>
      </w:r>
      <w:r>
        <w:rPr/>
        <w:t>股。本次权益分派方案实施后，公司总股本由</w:t>
      </w:r>
      <w:r>
        <w:rPr>
          <w:rFonts w:ascii="Times New Roman" w:hAnsi="Times New Roman" w:cs="Times New Roman" w:eastAsia="Times New Roman" w:hint="default"/>
        </w:rPr>
        <w:t>568,795,498</w:t>
      </w:r>
      <w:r>
        <w:rPr/>
        <w:t>股增加为</w:t>
      </w:r>
      <w:r>
        <w:rPr>
          <w:rFonts w:ascii="Times New Roman" w:hAnsi="Times New Roman" w:cs="Times New Roman" w:eastAsia="Times New Roman" w:hint="default"/>
        </w:rPr>
        <w:t>1,251,350,095</w:t>
      </w:r>
      <w:r>
        <w:rPr/>
        <w:t>股。</w:t>
      </w:r>
    </w:p>
    <w:p>
      <w:pPr>
        <w:spacing w:line="240" w:lineRule="auto" w:before="4"/>
        <w:rPr>
          <w:rFonts w:ascii="宋体" w:hAnsi="宋体" w:cs="宋体" w:eastAsia="宋体" w:hint="default"/>
          <w:sz w:val="19"/>
          <w:szCs w:val="19"/>
        </w:rPr>
      </w:pPr>
    </w:p>
    <w:p>
      <w:pPr>
        <w:pStyle w:val="BodyText"/>
        <w:spacing w:line="532" w:lineRule="auto"/>
        <w:ind w:left="594" w:right="3382"/>
        <w:jc w:val="left"/>
      </w:pPr>
      <w:r>
        <w:rPr/>
        <w:pict>
          <v:shape style="position:absolute;margin-left:56.34pt;margin-top:42.671707pt;width:471.7pt;height:179.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2"/>
                    <w:gridCol w:w="3647"/>
                    <w:gridCol w:w="1913"/>
                    <w:gridCol w:w="2016"/>
                    <w:gridCol w:w="1068"/>
                  </w:tblGrid>
                  <w:tr>
                    <w:trPr>
                      <w:trHeight w:val="360" w:hRule="exact"/>
                    </w:trPr>
                    <w:tc>
                      <w:tcPr>
                        <w:tcW w:w="77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1003" w:right="0"/>
                          <w:jc w:val="left"/>
                          <w:rPr>
                            <w:rFonts w:ascii="宋体" w:hAnsi="宋体" w:cs="宋体" w:eastAsia="宋体" w:hint="default"/>
                            <w:sz w:val="18"/>
                            <w:szCs w:val="18"/>
                          </w:rPr>
                        </w:pPr>
                        <w:r>
                          <w:rPr>
                            <w:rFonts w:ascii="宋体" w:hAnsi="宋体" w:cs="宋体" w:eastAsia="宋体" w:hint="default"/>
                            <w:b/>
                            <w:bCs/>
                            <w:sz w:val="18"/>
                            <w:szCs w:val="18"/>
                          </w:rPr>
                          <w:t>发起人（股东）名称</w:t>
                        </w:r>
                        <w:r>
                          <w:rPr>
                            <w:rFonts w:ascii="宋体" w:hAnsi="宋体" w:cs="宋体" w:eastAsia="宋体" w:hint="default"/>
                            <w:sz w:val="18"/>
                            <w:szCs w:val="18"/>
                          </w:rPr>
                        </w:r>
                      </w:p>
                    </w:tc>
                    <w:tc>
                      <w:tcPr>
                        <w:tcW w:w="191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43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所持股份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0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68"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7"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241,775,600</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19.32</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非限售</w:t>
                        </w:r>
                      </w:p>
                    </w:tc>
                  </w:tr>
                  <w:tr>
                    <w:trPr>
                      <w:trHeight w:val="358"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89,100,000</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7.12</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非限售</w:t>
                        </w:r>
                      </w:p>
                    </w:tc>
                  </w:tr>
                  <w:tr>
                    <w:trPr>
                      <w:trHeight w:val="356"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社会公众普通股</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489,924,718</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39.16</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非限售</w:t>
                        </w:r>
                      </w:p>
                    </w:tc>
                  </w:tr>
                  <w:tr>
                    <w:trPr>
                      <w:trHeight w:val="358"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社会公众普通股</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64,575</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0.01</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限售</w:t>
                        </w:r>
                      </w:p>
                    </w:tc>
                  </w:tr>
                  <w:tr>
                    <w:trPr>
                      <w:trHeight w:val="372"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5</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54,364,908</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4.34</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非限售</w:t>
                        </w:r>
                      </w:p>
                    </w:tc>
                  </w:tr>
                  <w:tr>
                    <w:trPr>
                      <w:trHeight w:val="356"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6</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94,030,072</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7.51</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非限售</w:t>
                        </w:r>
                      </w:p>
                    </w:tc>
                  </w:tr>
                  <w:tr>
                    <w:trPr>
                      <w:trHeight w:val="358"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7</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199,852,238</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15.97</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非限售</w:t>
                        </w:r>
                      </w:p>
                    </w:tc>
                  </w:tr>
                  <w:tr>
                    <w:trPr>
                      <w:trHeight w:val="356" w:hRule="exact"/>
                    </w:trPr>
                    <w:tc>
                      <w:tcPr>
                        <w:tcW w:w="7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8</w:t>
                        </w: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82,237,984</w:t>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6.57</w:t>
                        </w:r>
                      </w:p>
                    </w:tc>
                    <w:tc>
                      <w:tcPr>
                        <w:tcW w:w="10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限售</w:t>
                        </w:r>
                      </w:p>
                    </w:tc>
                  </w:tr>
                  <w:tr>
                    <w:trPr>
                      <w:trHeight w:val="348" w:hRule="exact"/>
                    </w:trPr>
                    <w:tc>
                      <w:tcPr>
                        <w:tcW w:w="772" w:type="dxa"/>
                        <w:tcBorders>
                          <w:top w:val="single" w:sz="8" w:space="0" w:color="000000"/>
                          <w:left w:val="single" w:sz="6" w:space="0" w:color="000000"/>
                          <w:bottom w:val="single" w:sz="8" w:space="0" w:color="000000"/>
                          <w:right w:val="single" w:sz="6" w:space="0" w:color="000000"/>
                        </w:tcBorders>
                      </w:tcPr>
                      <w:p>
                        <w:pPr/>
                      </w:p>
                    </w:tc>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b/>
                            <w:spacing w:val="-1"/>
                            <w:sz w:val="18"/>
                          </w:rPr>
                          <w:t>1,251,350,095</w:t>
                        </w:r>
                        <w:r>
                          <w:rPr>
                            <w:rFonts w:ascii="Times New Roman"/>
                            <w:spacing w:val="-1"/>
                            <w:sz w:val="18"/>
                          </w:rPr>
                        </w:r>
                      </w:p>
                    </w:tc>
                    <w:tc>
                      <w:tcPr>
                        <w:tcW w:w="20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68" w:type="dxa"/>
                        <w:tcBorders>
                          <w:top w:val="single" w:sz="8" w:space="0" w:color="000000"/>
                          <w:left w:val="single" w:sz="6" w:space="0" w:color="000000"/>
                          <w:bottom w:val="single" w:sz="8"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月本公司名称由青岛海立美达股份有限公司变更为海联金汇科技股份有限公司。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日，本公司股本结构为：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00" w:lineRule="auto" w:before="44"/>
        <w:ind w:right="0" w:firstLine="44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日，本公司总股本为</w:t>
      </w:r>
      <w:r>
        <w:rPr>
          <w:rFonts w:ascii="Times New Roman" w:hAnsi="Times New Roman" w:cs="Times New Roman" w:eastAsia="Times New Roman" w:hint="default"/>
        </w:rPr>
        <w:t>1,251,350,095</w:t>
      </w:r>
      <w:r>
        <w:rPr/>
        <w:t>股，其中有限售条件股份</w:t>
      </w:r>
      <w:r>
        <w:rPr>
          <w:rFonts w:ascii="Times New Roman" w:hAnsi="Times New Roman" w:cs="Times New Roman" w:eastAsia="Times New Roman" w:hint="default"/>
        </w:rPr>
        <w:t>82,302,559</w:t>
      </w:r>
      <w:r>
        <w:rPr/>
        <w:t>股，占总股本的</w:t>
      </w:r>
      <w:r>
        <w:rPr>
          <w:rFonts w:ascii="Times New Roman" w:hAnsi="Times New Roman" w:cs="Times New Roman" w:eastAsia="Times New Roman" w:hint="default"/>
        </w:rPr>
        <w:t>6.58%</w:t>
      </w:r>
      <w:r>
        <w:rPr/>
        <w:t>；无限</w:t>
      </w:r>
      <w:r>
        <w:rPr>
          <w:spacing w:val="1"/>
        </w:rPr>
        <w:t> </w:t>
      </w:r>
      <w:r>
        <w:rPr/>
        <w:t>售条件股份</w:t>
      </w:r>
      <w:r>
        <w:rPr>
          <w:rFonts w:ascii="Times New Roman" w:hAnsi="Times New Roman" w:cs="Times New Roman" w:eastAsia="Times New Roman" w:hint="default"/>
        </w:rPr>
        <w:t>1,169,047,536</w:t>
      </w:r>
      <w:r>
        <w:rPr/>
        <w:t>股，占总股本的</w:t>
      </w:r>
      <w:r>
        <w:rPr>
          <w:rFonts w:ascii="Times New Roman" w:hAnsi="Times New Roman" w:cs="Times New Roman" w:eastAsia="Times New Roman" w:hint="default"/>
        </w:rPr>
        <w:t>93.42%</w:t>
      </w:r>
      <w:r>
        <w:rPr/>
        <w:t>。</w:t>
      </w:r>
    </w:p>
    <w:p>
      <w:pPr>
        <w:spacing w:line="240" w:lineRule="auto" w:before="4"/>
        <w:rPr>
          <w:rFonts w:ascii="宋体" w:hAnsi="宋体" w:cs="宋体" w:eastAsia="宋体" w:hint="default"/>
          <w:sz w:val="19"/>
          <w:szCs w:val="19"/>
        </w:rPr>
      </w:pPr>
    </w:p>
    <w:p>
      <w:pPr>
        <w:pStyle w:val="BodyText"/>
        <w:spacing w:line="300" w:lineRule="auto"/>
        <w:ind w:right="0" w:firstLine="440"/>
        <w:jc w:val="left"/>
      </w:pPr>
      <w:r>
        <w:rPr/>
        <w:t>本公司统一社会信用代码：</w:t>
      </w:r>
      <w:r>
        <w:rPr>
          <w:rFonts w:ascii="Times New Roman" w:hAnsi="Times New Roman" w:cs="Times New Roman" w:eastAsia="Times New Roman" w:hint="default"/>
        </w:rPr>
        <w:t>91370200766733419J</w:t>
      </w:r>
      <w:r>
        <w:rPr/>
        <w:t>；法定代表人：刘国平；住所：青岛即墨区青威路</w:t>
      </w:r>
      <w:r>
        <w:rPr>
          <w:rFonts w:ascii="Times New Roman" w:hAnsi="Times New Roman" w:cs="Times New Roman" w:eastAsia="Times New Roman" w:hint="default"/>
        </w:rPr>
        <w:t>1626</w:t>
      </w:r>
      <w:r>
        <w:rPr/>
        <w:t>号；总部办公 地址为：青岛即墨区青威路</w:t>
      </w:r>
      <w:r>
        <w:rPr>
          <w:rFonts w:ascii="Times New Roman" w:hAnsi="Times New Roman" w:cs="Times New Roman" w:eastAsia="Times New Roman" w:hint="default"/>
        </w:rPr>
        <w:t>1626</w:t>
      </w:r>
      <w:r>
        <w:rPr/>
        <w:t>号。</w:t>
      </w:r>
    </w:p>
    <w:p>
      <w:pPr>
        <w:spacing w:line="240" w:lineRule="auto" w:before="4"/>
        <w:rPr>
          <w:rFonts w:ascii="宋体" w:hAnsi="宋体" w:cs="宋体" w:eastAsia="宋体" w:hint="default"/>
          <w:sz w:val="19"/>
          <w:szCs w:val="19"/>
        </w:rPr>
      </w:pPr>
    </w:p>
    <w:p>
      <w:pPr>
        <w:pStyle w:val="BodyText"/>
        <w:spacing w:line="314" w:lineRule="auto"/>
        <w:ind w:left="154" w:right="0" w:firstLine="440"/>
        <w:jc w:val="left"/>
      </w:pPr>
      <w:r>
        <w:rPr>
          <w:spacing w:val="-2"/>
        </w:rPr>
        <w:t>本公司属金属结构制造业，经营范围为：钢板的剪切、冲压加工，彩涂钢板、钢制零部件、模具的开发与生产，电机、</w:t>
      </w:r>
      <w:r>
        <w:rPr/>
        <w:t> </w:t>
      </w:r>
      <w:r>
        <w:rPr>
          <w:spacing w:val="-2"/>
        </w:rPr>
        <w:t>电机元件及电机零部件的开发与生产，高档五金件、水暖器材的开发与生产；自有资金对外投资；货物及技术进出口。（依</w:t>
      </w:r>
      <w:r>
        <w:rPr>
          <w:spacing w:val="-65"/>
        </w:rPr>
        <w:t> </w:t>
      </w:r>
      <w:r>
        <w:rPr>
          <w:spacing w:val="-65"/>
        </w:rPr>
      </w:r>
      <w:r>
        <w:rPr>
          <w:spacing w:val="-2"/>
        </w:rPr>
        <w:t>法须经批准的项目，经相关部门批准后方可展开经营活动）。本集团主要产品包括：移动运营商计费结算服务、移动信息服</w:t>
      </w:r>
      <w:r>
        <w:rPr>
          <w:spacing w:val="-66"/>
        </w:rPr>
        <w:t> </w:t>
      </w:r>
      <w:r>
        <w:rPr>
          <w:spacing w:val="-66"/>
        </w:rPr>
      </w:r>
      <w:r>
        <w:rPr/>
        <w:t>务业务、第三方支付业务、</w:t>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+”O2O</w:t>
      </w:r>
      <w:r>
        <w:rPr/>
        <w:t>业务、大数据业务及其他业务、汽车及配件类产品、家电配件类产品、电机及配件</w:t>
      </w:r>
      <w:r>
        <w:rPr>
          <w:spacing w:val="-71"/>
        </w:rPr>
        <w:t> </w:t>
      </w:r>
      <w:r>
        <w:rPr>
          <w:spacing w:val="-71"/>
        </w:rPr>
      </w:r>
      <w:r>
        <w:rPr/>
        <w:t>类产品、模具类产品及其他产品。</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40"/>
        <w:jc w:val="both"/>
      </w:pPr>
      <w:r>
        <w:rPr/>
        <w:t>本集团最终控制人为孙刚先生、刘国平女士夫妇。股东大会是本公司的权力机构，依法行使公司经营方针、筹资、投 </w:t>
      </w:r>
      <w:r>
        <w:rPr>
          <w:spacing w:val="-2"/>
        </w:rPr>
        <w:t>资、利润分配等重大事项决议权。董事会对股东大会负责，依法行使公司的经营决策权；经理层负责组织实施股东大会、董</w:t>
      </w:r>
      <w:r>
        <w:rPr>
          <w:spacing w:val="-66"/>
        </w:rPr>
        <w:t> </w:t>
      </w:r>
      <w:r>
        <w:rPr>
          <w:spacing w:val="-66"/>
        </w:rPr>
      </w:r>
      <w:r>
        <w:rPr/>
        <w:t>事会决议事项，主持企业的生产经营管理工作。</w:t>
      </w:r>
    </w:p>
    <w:p>
      <w:pPr>
        <w:spacing w:line="240" w:lineRule="auto" w:before="11"/>
        <w:rPr>
          <w:rFonts w:ascii="宋体" w:hAnsi="宋体" w:cs="宋体" w:eastAsia="宋体" w:hint="default"/>
          <w:sz w:val="19"/>
          <w:szCs w:val="19"/>
        </w:rPr>
      </w:pPr>
    </w:p>
    <w:p>
      <w:pPr>
        <w:pStyle w:val="BodyText"/>
        <w:spacing w:line="240" w:lineRule="auto"/>
        <w:ind w:left="594" w:right="0"/>
        <w:jc w:val="left"/>
      </w:pPr>
      <w:r>
        <w:rPr/>
        <w:t>本公司组织结构如下：</w:t>
      </w:r>
    </w:p>
    <w:p>
      <w:pPr>
        <w:spacing w:line="240" w:lineRule="auto" w:before="1"/>
        <w:rPr>
          <w:rFonts w:ascii="宋体" w:hAnsi="宋体" w:cs="宋体" w:eastAsia="宋体" w:hint="default"/>
          <w:sz w:val="16"/>
          <w:szCs w:val="16"/>
        </w:rPr>
      </w:pPr>
    </w:p>
    <w:p>
      <w:pPr>
        <w:spacing w:line="7195" w:lineRule="exact"/>
        <w:ind w:left="154" w:right="0" w:firstLine="0"/>
        <w:rPr>
          <w:rFonts w:ascii="宋体" w:hAnsi="宋体" w:cs="宋体" w:eastAsia="宋体" w:hint="default"/>
          <w:sz w:val="20"/>
          <w:szCs w:val="20"/>
        </w:rPr>
      </w:pPr>
      <w:r>
        <w:rPr>
          <w:rFonts w:ascii="宋体" w:hAnsi="宋体" w:cs="宋体" w:eastAsia="宋体" w:hint="default"/>
          <w:position w:val="-143"/>
          <w:sz w:val="20"/>
          <w:szCs w:val="20"/>
        </w:rPr>
        <w:drawing>
          <wp:inline distT="0" distB="0" distL="0" distR="0">
            <wp:extent cx="5424938" cy="4569237"/>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5424938" cy="4569237"/>
                    </a:xfrm>
                    <a:prstGeom prst="rect">
                      <a:avLst/>
                    </a:prstGeom>
                  </pic:spPr>
                </pic:pic>
              </a:graphicData>
            </a:graphic>
          </wp:inline>
        </w:drawing>
      </w:r>
      <w:r>
        <w:rPr>
          <w:rFonts w:ascii="宋体" w:hAnsi="宋体" w:cs="宋体" w:eastAsia="宋体" w:hint="default"/>
          <w:position w:val="-143"/>
          <w:sz w:val="20"/>
          <w:szCs w:val="20"/>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right="1168" w:firstLine="399"/>
        <w:jc w:val="both"/>
      </w:pPr>
      <w:r>
        <w:rPr>
          <w:spacing w:val="-1"/>
        </w:rPr>
        <w:t>本公司财务报表以持续经营为基础，根据实际发生的交易和事项，按照财政部颁布的《企业会计准则》及</w:t>
      </w:r>
      <w:r>
        <w:rPr>
          <w:w w:val="100"/>
        </w:rPr>
        <w:t> </w:t>
      </w:r>
      <w:r>
        <w:rPr/>
        <w:t>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10"/>
        <w:rPr>
          <w:rFonts w:ascii="宋体" w:hAnsi="宋体" w:cs="宋体" w:eastAsia="宋体" w:hint="default"/>
          <w:sz w:val="21"/>
          <w:szCs w:val="21"/>
        </w:rPr>
      </w:pPr>
    </w:p>
    <w:p>
      <w:pPr>
        <w:pStyle w:val="Heading3"/>
        <w:spacing w:line="240" w:lineRule="auto"/>
        <w:ind w:left="153" w:right="0"/>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553" w:right="0"/>
        <w:jc w:val="left"/>
      </w:pPr>
      <w:r>
        <w:rPr/>
        <w:t>本公司自本报告期末起</w:t>
      </w:r>
      <w:r>
        <w:rPr>
          <w:rFonts w:ascii="宋体" w:hAnsi="宋体" w:cs="宋体" w:eastAsia="宋体" w:hint="default"/>
        </w:rPr>
        <w:t>12</w:t>
      </w:r>
      <w:r>
        <w:rPr/>
        <w:t>个月内不存在对本公司持续经营能力产生重大疑虑的事项或情况。</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具体会计政策和会计估计提示：</w:t>
      </w:r>
    </w:p>
    <w:p>
      <w:pPr>
        <w:spacing w:line="240" w:lineRule="auto" w:before="11"/>
        <w:rPr>
          <w:rFonts w:ascii="宋体" w:hAnsi="宋体" w:cs="宋体" w:eastAsia="宋体" w:hint="default"/>
          <w:sz w:val="22"/>
          <w:szCs w:val="22"/>
        </w:rPr>
      </w:pPr>
    </w:p>
    <w:p>
      <w:pPr>
        <w:pStyle w:val="Heading5"/>
        <w:spacing w:line="285" w:lineRule="auto"/>
        <w:ind w:right="1132" w:firstLine="441"/>
        <w:jc w:val="both"/>
      </w:pPr>
      <w:r>
        <w:rPr>
          <w:spacing w:val="-1"/>
        </w:rPr>
        <w:t>本集团根据实际生产经营特点制定的具体会计政策和会计估计包括应收款项坏账准备的确认和计量、发出</w:t>
      </w:r>
      <w:r>
        <w:rPr>
          <w:w w:val="100"/>
        </w:rPr>
        <w:t> </w:t>
      </w:r>
      <w:r>
        <w:rPr/>
        <w:t>存货计量、固定资产分类及折旧方法、无形资产摊销、研发费用资本化条件、收入确认和计量等。</w:t>
      </w:r>
    </w:p>
    <w:p>
      <w:pPr>
        <w:spacing w:line="240" w:lineRule="auto" w:before="4"/>
        <w:rPr>
          <w:rFonts w:ascii="宋体" w:hAnsi="宋体" w:cs="宋体" w:eastAsia="宋体" w:hint="default"/>
          <w:sz w:val="23"/>
          <w:szCs w:val="23"/>
        </w:rPr>
      </w:pPr>
    </w:p>
    <w:p>
      <w:pPr>
        <w:pStyle w:val="Heading3"/>
        <w:spacing w:line="240" w:lineRule="auto"/>
        <w:ind w:left="153" w:right="0"/>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right="1169" w:firstLine="399"/>
        <w:jc w:val="both"/>
      </w:pPr>
      <w:r>
        <w:rPr>
          <w:spacing w:val="-1"/>
        </w:rPr>
        <w:t>本公司编制的财务报表符合企业会计准则的要求，真实、完整地反映了本公司及本集团的财务状况、经营</w:t>
      </w:r>
      <w:r>
        <w:rPr>
          <w:w w:val="100"/>
        </w:rPr>
        <w:t> </w:t>
      </w:r>
      <w:r>
        <w:rPr/>
        <w:t>成果和现金流量等有关信息。</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594" w:right="0"/>
        <w:jc w:val="left"/>
      </w:pPr>
      <w:r>
        <w:rPr/>
        <w:t>本集团的会计期间为公历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2" w:firstLine="360"/>
        <w:jc w:val="both"/>
      </w:pPr>
      <w:r>
        <w:rPr/>
        <w:t>正常营业周期是指本公司从购买用于加工的资产起至实现现金或现金等价物的期间。本公司以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40"/>
        <w:jc w:val="both"/>
      </w:pPr>
      <w:r>
        <w:rPr/>
        <w:t>本集团除海立美达香港有限公司、安派国际控股有限公司、安派国际美国有限责任公司以美元为记账本位币、联动优 势科技（加拿大）有限公司以加元为记账本位币以外，本公司及其他子公司以人民币为记账本位币。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40"/>
        <w:jc w:val="both"/>
      </w:pPr>
      <w:r>
        <w:rPr/>
        <w:t>本集团作为合并方，在同一控制下企业合并中取得的资产和负债，在合并日按被合并方在最终控制方合并报表中的账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6"/>
        </w:rPr>
        <w:t> </w:t>
      </w:r>
      <w:r>
        <w:rPr>
          <w:spacing w:val="-66"/>
        </w:rPr>
      </w:r>
      <w:r>
        <w:rPr/>
        <w:t>益。</w:t>
      </w:r>
    </w:p>
    <w:p>
      <w:pPr>
        <w:spacing w:line="240" w:lineRule="auto" w:before="10"/>
        <w:rPr>
          <w:rFonts w:ascii="宋体" w:hAnsi="宋体" w:cs="宋体" w:eastAsia="宋体" w:hint="default"/>
          <w:sz w:val="19"/>
          <w:szCs w:val="19"/>
        </w:rPr>
      </w:pPr>
    </w:p>
    <w:p>
      <w:pPr>
        <w:pStyle w:val="BodyText"/>
        <w:spacing w:line="316" w:lineRule="auto"/>
        <w:ind w:left="154" w:right="1130" w:firstLine="440"/>
        <w:jc w:val="both"/>
      </w:pPr>
      <w:r>
        <w:rPr/>
        <w:t>在非同一控制下企业合并中取得的被购买方可辨认资产、负债及或有负债在收购日以公允价值计量。合并成本为本集 </w:t>
      </w:r>
      <w:r>
        <w:rPr>
          <w:spacing w:val="-2"/>
        </w:rPr>
        <w:t>团在购买日为取得对被购买方的控制权而支付的现金或非现金资产、发行或承担的负债、发行的权益性证券等的公允价值以</w:t>
      </w:r>
      <w:r>
        <w:rPr>
          <w:spacing w:val="-63"/>
        </w:rPr>
        <w:t> </w:t>
      </w:r>
      <w:r>
        <w:rPr>
          <w:spacing w:val="-63"/>
        </w:rPr>
      </w:r>
      <w:r>
        <w:rPr/>
        <w:t>及在企业合并中发生的各项直接相关费用之和（通过多次交易分步实现的企业合并，其合并成本为每一单项交易的成本之</w:t>
      </w:r>
      <w:r>
        <w:rPr>
          <w:spacing w:val="-9"/>
        </w:rPr>
        <w:t> </w:t>
      </w:r>
      <w:r>
        <w:rPr>
          <w:spacing w:val="-9"/>
        </w:rPr>
      </w:r>
      <w:r>
        <w:rPr>
          <w:spacing w:val="-2"/>
        </w:rPr>
        <w:t>和）。合并成本大于合并中取得的被购买方可辨认净资产公允价值份额的差额，确认为商誉；合并成本小于合并中取得的被</w:t>
      </w:r>
      <w:r>
        <w:rPr>
          <w:spacing w:val="-66"/>
        </w:rPr>
        <w:t> </w:t>
      </w:r>
      <w:r>
        <w:rPr>
          <w:spacing w:val="-66"/>
        </w:rPr>
      </w:r>
      <w:r>
        <w:rPr>
          <w:spacing w:val="-2"/>
        </w:rPr>
        <w:t>购买方可辨认净资产公允价值份额的，首先对合并中取得的各项可辨认资产、负债及或有负债的公允价值、以及合并对价的</w:t>
      </w:r>
      <w:r>
        <w:rPr>
          <w:spacing w:val="-66"/>
        </w:rPr>
        <w:t> </w:t>
      </w:r>
      <w:r>
        <w:rPr>
          <w:spacing w:val="-66"/>
        </w:rPr>
      </w:r>
      <w:r>
        <w:rPr>
          <w:spacing w:val="-2"/>
        </w:rPr>
        <w:t>非现金资产或发行的权益性证券等的公允价值进行复核，经复核后，合并成本仍小于合并中取得的被购买方可辨认净资产公</w:t>
      </w:r>
      <w:r>
        <w:rPr>
          <w:spacing w:val="-64"/>
        </w:rPr>
        <w:t> </w:t>
      </w:r>
      <w:r>
        <w:rPr>
          <w:spacing w:val="-64"/>
        </w:rPr>
      </w:r>
      <w:r>
        <w:rPr/>
        <w:t>允价值份额的，将其差额计入合并当期营业外收入。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50" w:lineRule="atLeast" w:before="32"/>
        <w:ind w:left="594" w:right="1132"/>
        <w:jc w:val="left"/>
      </w:pPr>
      <w:r>
        <w:rPr/>
        <w:t>本集团将所有控制的子公司及结构化主体纳入合并财务报表范围。 对于同一控制下企业合并取得的子公司，其经营成果和现金流量自合并当期期初纳入合并财务报表。编制比较合并财</w:t>
      </w:r>
    </w:p>
    <w:p>
      <w:pPr>
        <w:pStyle w:val="BodyText"/>
        <w:spacing w:line="561" w:lineRule="auto" w:before="76"/>
        <w:ind w:left="594" w:right="1132" w:hanging="441"/>
        <w:jc w:val="left"/>
      </w:pPr>
      <w:r>
        <w:rPr/>
        <w:t>务报表时，对上年财务报表的相关项目进行调整，视同合并后形成的报告主体自最终控制方开始控制时点起一直存在。 通过多次交易分步取得同一控制下被投资单位的股权，最终形成企业合并的，应在取得控制权的报告期，补充披露在</w:t>
      </w:r>
    </w:p>
    <w:p>
      <w:pPr>
        <w:spacing w:after="0" w:line="561"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合并财务报表中的处理方法。例如：通过多次交易分步取得同一控制下被投资单位的股权，最终形成企业合并，编制合并报</w:t>
      </w:r>
      <w:r>
        <w:rPr>
          <w:spacing w:val="-66"/>
        </w:rPr>
        <w:t> </w:t>
      </w:r>
      <w:r>
        <w:rPr>
          <w:spacing w:val="-66"/>
        </w:rPr>
      </w:r>
      <w:r>
        <w:rPr>
          <w:spacing w:val="-2"/>
        </w:rPr>
        <w:t>表时，视同在最终控制方开始控制时即以目前的状态存在进行调整，在编制比较报表时，以不早于本集团和被合并方同处于</w:t>
      </w:r>
      <w:r>
        <w:rPr>
          <w:spacing w:val="-66"/>
        </w:rPr>
        <w:t> </w:t>
      </w:r>
      <w:r>
        <w:rPr>
          <w:spacing w:val="-66"/>
        </w:rPr>
      </w:r>
      <w:r>
        <w:rPr>
          <w:spacing w:val="-2"/>
        </w:rPr>
        <w:t>最终控制方的控制之下的时点为限，将被合并方的有关资产、负债并入本集团合并财务报表的比较报表中，并将合并而增加</w:t>
      </w:r>
      <w:r>
        <w:rPr>
          <w:spacing w:val="-66"/>
        </w:rPr>
        <w:t> </w:t>
      </w:r>
      <w:r>
        <w:rPr>
          <w:spacing w:val="-66"/>
        </w:rPr>
      </w:r>
      <w:r>
        <w:rPr>
          <w:spacing w:val="-2"/>
        </w:rPr>
        <w:t>的净资产在比较报表中调整所有者权益项下的相关项目。为避免对被合并方净资产的价值进行重复计算，本集团在达到合并</w:t>
      </w:r>
      <w:r>
        <w:rPr>
          <w:spacing w:val="-64"/>
        </w:rPr>
        <w:t> </w:t>
      </w:r>
      <w:r>
        <w:rPr>
          <w:spacing w:val="-64"/>
        </w:rPr>
      </w:r>
      <w:r>
        <w:rPr>
          <w:spacing w:val="-2"/>
        </w:rPr>
        <w:t>之前持有的长期股权投资，在取得原股权之日与本集团和被合并方处于同一方最终控制之日孰晚日起至合并日之间已确认有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spacing w:line="240" w:lineRule="auto" w:before="10"/>
        <w:rPr>
          <w:rFonts w:ascii="宋体" w:hAnsi="宋体" w:cs="宋体" w:eastAsia="宋体" w:hint="default"/>
          <w:sz w:val="19"/>
          <w:szCs w:val="19"/>
        </w:rPr>
      </w:pPr>
    </w:p>
    <w:p>
      <w:pPr>
        <w:pStyle w:val="BodyText"/>
        <w:spacing w:line="316" w:lineRule="auto"/>
        <w:ind w:right="0" w:firstLine="440"/>
        <w:jc w:val="left"/>
      </w:pPr>
      <w:r>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6" w:lineRule="auto"/>
        <w:ind w:right="1033" w:firstLine="440"/>
        <w:jc w:val="left"/>
      </w:pPr>
      <w:r>
        <w:rPr/>
        <w:t>通过多次交易分步取得非同一控制下被投资单位的股权，最终形成企业合并的，应在取得控制权的报告期，补充披露 </w:t>
      </w: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6"/>
        </w:rPr>
        <w:t> </w:t>
      </w:r>
      <w:r>
        <w:rPr>
          <w:spacing w:val="-66"/>
        </w:rPr>
      </w:r>
      <w:r>
        <w:rPr/>
        <w:t>的差额计入当期投资收益；与其相关的购买日之前持有的被购买方的股权涉及权益法核算下的其他综合收益以及除净损益、 </w:t>
      </w:r>
      <w:r>
        <w:rPr>
          <w:spacing w:val="-2"/>
        </w:rPr>
        <w:t>其他综合收益和利润分配外的其他所有者权益变动，在购买日所属当期转为投资损益，由于被投资方重新计量设定受益计划</w:t>
      </w:r>
      <w:r>
        <w:rPr>
          <w:spacing w:val="-64"/>
        </w:rPr>
        <w:t> </w:t>
      </w:r>
      <w:r>
        <w:rPr>
          <w:spacing w:val="-64"/>
        </w:rPr>
      </w:r>
      <w:r>
        <w:rPr/>
        <w:t>净负债或净资产变动而产生的其他综合收益除外。</w:t>
      </w:r>
    </w:p>
    <w:p>
      <w:pPr>
        <w:spacing w:line="240" w:lineRule="auto" w:before="10"/>
        <w:rPr>
          <w:rFonts w:ascii="宋体" w:hAnsi="宋体" w:cs="宋体" w:eastAsia="宋体" w:hint="default"/>
          <w:sz w:val="19"/>
          <w:szCs w:val="19"/>
        </w:rPr>
      </w:pPr>
    </w:p>
    <w:p>
      <w:pPr>
        <w:pStyle w:val="BodyText"/>
        <w:spacing w:line="316" w:lineRule="auto"/>
        <w:ind w:right="1132" w:firstLine="441"/>
        <w:jc w:val="both"/>
      </w:pPr>
      <w:r>
        <w:rPr/>
        <w:t>本集团在不丧失控制权的情况下部分处置对子公司的长期股权投资，在合并财务报表中，处置价款与处置长期股权投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0" w:firstLine="441"/>
        <w:jc w:val="left"/>
      </w:pPr>
      <w:r>
        <w:rPr/>
        <w:t>本集团因处置部分股权投资等原因丧失了对被投资方的控制权的，在编制合并财务报表时，对于剩余股权，按照其在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6"/>
        </w:rPr>
        <w:t> </w:t>
      </w:r>
      <w:r>
        <w:rPr>
          <w:spacing w:val="-66"/>
        </w:rPr>
      </w:r>
      <w:r>
        <w:rPr/>
        <w:t>有子公司股权投资相关的其他综合收益等，在丧失控制权时转为当期投资损益。 </w:t>
      </w:r>
      <w:r>
        <w:rPr>
          <w:spacing w:val="-2"/>
        </w:rPr>
        <w:t>本集团通过多次交易分步处置对子公司股权投资直至丧失控制权的，如果处置对子公司股权投资直至丧失控制权的各项交易</w:t>
      </w:r>
      <w:r>
        <w:rPr>
          <w:spacing w:val="-64"/>
        </w:rPr>
        <w:t> </w:t>
      </w:r>
      <w:r>
        <w:rPr>
          <w:spacing w:val="-64"/>
        </w:rPr>
      </w:r>
      <w:r>
        <w:rPr>
          <w:spacing w:val="-2"/>
        </w:rPr>
        <w:t>属于一揽子交易的，应当将各项交易作为一项处置子公司并丧失控制权的交易进行会计处理；但是，在丧失控制权之前每一</w:t>
      </w:r>
      <w:r>
        <w:rPr>
          <w:spacing w:val="-66"/>
        </w:rPr>
        <w:t> </w:t>
      </w:r>
      <w:r>
        <w:rPr>
          <w:spacing w:val="-66"/>
        </w:rPr>
      </w:r>
      <w:r>
        <w:rPr>
          <w:spacing w:val="-2"/>
        </w:rPr>
        <w:t>次处置价款与处置投资对应的享有该子公司净资产份额的差额，在合并财务报表中确认为其他综合收益，在丧失控制权时一</w:t>
      </w:r>
      <w:r>
        <w:rPr>
          <w:spacing w:val="-64"/>
        </w:rPr>
        <w:t> </w:t>
      </w:r>
      <w:r>
        <w:rPr>
          <w:spacing w:val="-64"/>
        </w:rPr>
      </w:r>
      <w:r>
        <w:rPr/>
        <w:t>并转入丧失控制权当期的投资损益。</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41"/>
        <w:jc w:val="both"/>
      </w:pPr>
      <w:r>
        <w:rPr/>
        <w:t>本集团的合营安排包括共同经营和合营企业。对于共同经营项目，本集团作为共同经营中的合营方确认单独持有的资 </w:t>
      </w:r>
      <w:r>
        <w:rPr>
          <w:spacing w:val="-2"/>
        </w:rPr>
        <w:t>产和承担的负债，以及按份额确认持有的资产和承担的负债，根据相关约定单独或按份额确认相关的收入和费用。与共同经</w:t>
      </w:r>
      <w:r>
        <w:rPr>
          <w:spacing w:val="-66"/>
        </w:rPr>
        <w:t> </w:t>
      </w:r>
      <w:r>
        <w:rPr>
          <w:spacing w:val="-66"/>
        </w:rPr>
      </w:r>
      <w:r>
        <w:rPr/>
        <w:t>营发生购买、销售不构成业务的资产交易的，仅确认因该交易产生的损益中归属于共同经营其他参与方的部分。</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41"/>
        <w:jc w:val="left"/>
      </w:pPr>
      <w:r>
        <w:rPr/>
        <w:t>本集团现金流量表之现金指库存现金以及可以随时用于支付的存款。现金流量表之现金等价物指持有期限不超过</w:t>
      </w:r>
      <w:r>
        <w:rPr>
          <w:rFonts w:ascii="宋体" w:hAnsi="宋体" w:cs="宋体" w:eastAsia="宋体" w:hint="default"/>
        </w:rPr>
        <w:t>3</w:t>
      </w:r>
      <w:r>
        <w:rPr/>
        <w:t>个 月、流动性强、易于转换为已知金额现金且价值变动风险很小的投资。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561" w:lineRule="auto"/>
        <w:ind w:left="595" w:right="1118"/>
        <w:jc w:val="left"/>
      </w:pPr>
      <w:r>
        <w:rPr/>
        <w:t>（</w:t>
      </w:r>
      <w:r>
        <w:rPr>
          <w:rFonts w:ascii="宋体" w:hAnsi="宋体" w:cs="宋体" w:eastAsia="宋体" w:hint="default"/>
        </w:rPr>
        <w:t>1</w:t>
      </w:r>
      <w:r>
        <w:rPr/>
        <w:t>）外币交易 </w:t>
      </w:r>
      <w:r>
        <w:rPr>
          <w:spacing w:val="-2"/>
        </w:rPr>
        <w:t>本集团外币交易按发生当月</w:t>
      </w:r>
      <w:r>
        <w:rPr>
          <w:rFonts w:ascii="宋体" w:hAnsi="宋体" w:cs="宋体" w:eastAsia="宋体" w:hint="default"/>
          <w:spacing w:val="-2"/>
        </w:rPr>
        <w:t>1</w:t>
      </w:r>
      <w:r>
        <w:rPr>
          <w:spacing w:val="-2"/>
        </w:rPr>
        <w:t>日的中国人民银行公布的市场汇价（中间价）将外币金额折算为人民币金额。于资产负债</w:t>
      </w:r>
    </w:p>
    <w:p>
      <w:pPr>
        <w:spacing w:after="0" w:line="561"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表日，外币货币性项目采用资产负债表日的即期汇率折算为人民币，所产生的折算差额除了为购建或生产符合资本化条件的</w:t>
      </w:r>
      <w:r>
        <w:rPr>
          <w:spacing w:val="-64"/>
        </w:rPr>
        <w:t> </w:t>
      </w:r>
      <w:r>
        <w:rPr>
          <w:spacing w:val="-64"/>
        </w:rPr>
      </w:r>
      <w:r>
        <w:rPr/>
        <w:t>资产而借入的外币专门借款产生的汇兑差额按资本化的原则处理外，直接计入当期损益。</w:t>
      </w:r>
    </w:p>
    <w:p>
      <w:pPr>
        <w:pStyle w:val="BodyText"/>
        <w:spacing w:line="552" w:lineRule="exact" w:before="27"/>
        <w:ind w:left="595" w:right="1131"/>
        <w:jc w:val="left"/>
      </w:pPr>
      <w:r>
        <w:rPr/>
        <w:t>（</w:t>
      </w:r>
      <w:r>
        <w:rPr>
          <w:rFonts w:ascii="宋体" w:hAnsi="宋体" w:cs="宋体" w:eastAsia="宋体" w:hint="default"/>
        </w:rPr>
        <w:t>2</w:t>
      </w:r>
      <w:r>
        <w:rPr/>
        <w:t>）外币财务报表的折算 外币资产负债表中资产、负债类项目采用资产负债表日的即期汇率折算；所有者权益类项目除“未分配利润”外，均</w:t>
      </w:r>
    </w:p>
    <w:p>
      <w:pPr>
        <w:pStyle w:val="BodyText"/>
        <w:spacing w:line="316" w:lineRule="auto"/>
        <w:ind w:right="1130"/>
        <w:jc w:val="both"/>
      </w:pPr>
      <w:r>
        <w:rPr/>
        <w:t>按业务发生时的即期汇率折算；利润表中的收入与费用项目，采用交易发生当月</w:t>
      </w:r>
      <w:r>
        <w:rPr>
          <w:rFonts w:ascii="宋体" w:hAnsi="宋体" w:cs="宋体" w:eastAsia="宋体" w:hint="default"/>
        </w:rPr>
        <w:t>1</w:t>
      </w:r>
      <w:r>
        <w:rPr/>
        <w:t>日的中国人民银行公布的市场汇价（中间</w:t>
      </w:r>
      <w:r>
        <w:rPr>
          <w:spacing w:val="-82"/>
        </w:rPr>
        <w:t> </w:t>
      </w:r>
      <w:r>
        <w:rPr>
          <w:spacing w:val="-82"/>
        </w:rPr>
      </w:r>
      <w:r>
        <w:rPr/>
        <w:t>价）折算。上述折算产生的外币报表折算差额，在其他综合收益项目中列示。外币现金流量采用现金流量发生当月</w:t>
      </w:r>
      <w:r>
        <w:rPr>
          <w:rFonts w:ascii="宋体" w:hAnsi="宋体" w:cs="宋体" w:eastAsia="宋体" w:hint="default"/>
        </w:rPr>
        <w:t>1</w:t>
      </w:r>
      <w:r>
        <w:rPr/>
        <w:t>日的中</w:t>
      </w:r>
      <w:r>
        <w:rPr>
          <w:spacing w:val="-83"/>
        </w:rPr>
        <w:t> </w:t>
      </w:r>
      <w:r>
        <w:rPr>
          <w:spacing w:val="-83"/>
        </w:rPr>
      </w:r>
      <w:r>
        <w:rPr/>
        <w:t>国人民银行公布的市场汇价（中间价）折算。汇率变动对现金的影响额，在现金流量表中单独列示。</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561" w:lineRule="auto"/>
        <w:ind w:left="514" w:right="9042" w:hanging="6"/>
        <w:jc w:val="left"/>
      </w:pPr>
      <w:r>
        <w:rPr/>
        <w:t>（</w:t>
      </w:r>
      <w:r>
        <w:rPr>
          <w:rFonts w:ascii="宋体" w:hAnsi="宋体" w:cs="宋体" w:eastAsia="宋体" w:hint="default"/>
        </w:rPr>
        <w:t>1</w:t>
      </w:r>
      <w:r>
        <w:rPr/>
        <w:t>）金融资产 </w:t>
      </w:r>
      <w:r>
        <w:rPr>
          <w:rFonts w:ascii="宋体" w:hAnsi="宋体" w:cs="宋体" w:eastAsia="宋体" w:hint="default"/>
        </w:rPr>
        <w:t>1</w:t>
      </w:r>
      <w:r>
        <w:rPr/>
        <w:t>）金融资产分类</w:t>
      </w:r>
    </w:p>
    <w:p>
      <w:pPr>
        <w:pStyle w:val="BodyText"/>
        <w:spacing w:line="316" w:lineRule="auto" w:before="75"/>
        <w:ind w:left="154" w:right="1133" w:firstLine="478"/>
        <w:jc w:val="both"/>
      </w:pPr>
      <w:r>
        <w:rPr>
          <w:spacing w:val="-1"/>
        </w:rPr>
        <w:t>本集团按投资目的和经济实质对拥有的金融资产分为以公允价值计量且其变动计入当期损益的金融资产、持有至到期</w:t>
      </w:r>
      <w:r>
        <w:rPr/>
        <w:t> 投资、贷款和应收款项及可供出售金融资产四大类。</w:t>
      </w:r>
    </w:p>
    <w:p>
      <w:pPr>
        <w:spacing w:line="240" w:lineRule="auto" w:before="10"/>
        <w:rPr>
          <w:rFonts w:ascii="宋体" w:hAnsi="宋体" w:cs="宋体" w:eastAsia="宋体" w:hint="default"/>
          <w:sz w:val="19"/>
          <w:szCs w:val="19"/>
        </w:rPr>
      </w:pPr>
    </w:p>
    <w:p>
      <w:pPr>
        <w:pStyle w:val="BodyText"/>
        <w:spacing w:line="316" w:lineRule="auto"/>
        <w:ind w:left="154" w:right="1133" w:firstLine="478"/>
        <w:jc w:val="both"/>
      </w:pPr>
      <w:r>
        <w:rPr>
          <w:spacing w:val="-1"/>
        </w:rPr>
        <w:t>以公允价值计量且其变动计入当期损益的金融资产是指持有的主要目的为短期内出售的金融资产，在资产负债表中以</w:t>
      </w:r>
      <w:r>
        <w:rPr/>
        <w:t> 交易性金融资产列示。</w:t>
      </w:r>
    </w:p>
    <w:p>
      <w:pPr>
        <w:pStyle w:val="BodyText"/>
        <w:tabs>
          <w:tab w:pos="9183" w:val="left" w:leader="none"/>
        </w:tabs>
        <w:spacing w:line="552" w:lineRule="exact" w:before="27"/>
        <w:ind w:left="632" w:right="1043"/>
        <w:jc w:val="left"/>
      </w:pPr>
      <w:r>
        <w:rPr>
          <w:spacing w:val="-3"/>
        </w:rPr>
        <w:t>持有至到期投资是指到期日固定、回收金额固定或可确定，且管理层有明确意图和能力持有至到期的非衍生金融资产。</w:t>
      </w:r>
      <w:r>
        <w:rPr>
          <w:spacing w:val="-46"/>
        </w:rPr>
        <w:t> </w:t>
      </w:r>
      <w:r>
        <w:rPr>
          <w:spacing w:val="-46"/>
        </w:rPr>
      </w:r>
      <w:r>
        <w:rPr/>
        <w:t>贷款和应收款项是指在活跃市场中没有报价，回收金额固定或可确定的非衍生金融资产。 可供出售金融资产包括初始确认时即被指定为可供出售的非衍生金融资产及未被划分为其他类的金融资产</w:t>
        <w:tab/>
      </w:r>
      <w:r>
        <w:rPr>
          <w:rFonts w:ascii="宋体" w:hAnsi="宋体" w:cs="宋体" w:eastAsia="宋体" w:hint="default"/>
          <w:spacing w:val="-6"/>
        </w:rPr>
        <w:t>2</w:t>
      </w:r>
      <w:r>
        <w:rPr>
          <w:spacing w:val="-6"/>
        </w:rPr>
        <w:t>）金融</w:t>
      </w:r>
    </w:p>
    <w:p>
      <w:pPr>
        <w:pStyle w:val="BodyText"/>
        <w:spacing w:line="227" w:lineRule="exact"/>
        <w:ind w:left="154" w:right="0"/>
        <w:jc w:val="both"/>
      </w:pPr>
      <w:r>
        <w:rPr/>
        <w:t>资产确认与计量</w:t>
      </w:r>
    </w:p>
    <w:p>
      <w:pPr>
        <w:spacing w:line="240" w:lineRule="auto" w:before="2"/>
        <w:rPr>
          <w:rFonts w:ascii="宋体" w:hAnsi="宋体" w:cs="宋体" w:eastAsia="宋体" w:hint="default"/>
          <w:sz w:val="24"/>
          <w:szCs w:val="24"/>
        </w:rPr>
      </w:pPr>
    </w:p>
    <w:p>
      <w:pPr>
        <w:pStyle w:val="BodyText"/>
        <w:spacing w:line="316" w:lineRule="auto"/>
        <w:ind w:left="154" w:right="1133" w:firstLine="478"/>
        <w:jc w:val="both"/>
      </w:pPr>
      <w:r>
        <w:rPr>
          <w:spacing w:val="-1"/>
        </w:rPr>
        <w:t>金融资产于本集团成为金融工具合同的一方时，按公允价值在资产负债表内确认。以公允价值计量且其变动计入当期</w:t>
      </w:r>
      <w:r>
        <w:rPr/>
        <w:t> 损益的金融资产，取得时发生的相关交易费用计入当期损益，其他金融资产的相关交易费用计入初始确认金额。</w:t>
      </w:r>
    </w:p>
    <w:p>
      <w:pPr>
        <w:spacing w:line="240" w:lineRule="auto" w:before="10"/>
        <w:rPr>
          <w:rFonts w:ascii="宋体" w:hAnsi="宋体" w:cs="宋体" w:eastAsia="宋体" w:hint="default"/>
          <w:sz w:val="19"/>
          <w:szCs w:val="19"/>
        </w:rPr>
      </w:pPr>
    </w:p>
    <w:p>
      <w:pPr>
        <w:pStyle w:val="BodyText"/>
        <w:spacing w:line="316" w:lineRule="auto"/>
        <w:ind w:left="154" w:right="1133" w:firstLine="478"/>
        <w:jc w:val="both"/>
      </w:pPr>
      <w:r>
        <w:rPr>
          <w:spacing w:val="-1"/>
        </w:rPr>
        <w:t>以公允价值计量且其变动计入当期损益的金融资产和可供出售金融资产按照公允价值进行后续计量；贷款和应收款项</w:t>
      </w:r>
      <w:r>
        <w:rPr/>
        <w:t> 以及持有至到期投资采用实际利率法，以摊余成本列示。</w:t>
      </w:r>
    </w:p>
    <w:p>
      <w:pPr>
        <w:spacing w:line="240" w:lineRule="auto" w:before="10"/>
        <w:rPr>
          <w:rFonts w:ascii="宋体" w:hAnsi="宋体" w:cs="宋体" w:eastAsia="宋体" w:hint="default"/>
          <w:sz w:val="19"/>
          <w:szCs w:val="19"/>
        </w:rPr>
      </w:pPr>
    </w:p>
    <w:p>
      <w:pPr>
        <w:pStyle w:val="BodyText"/>
        <w:spacing w:line="316" w:lineRule="auto"/>
        <w:ind w:left="154" w:right="1131" w:firstLine="478"/>
        <w:jc w:val="both"/>
      </w:pPr>
      <w:r>
        <w:rPr>
          <w:spacing w:val="-1"/>
        </w:rPr>
        <w:t>以公允价值计量且其变动计入当期损益的金融资产的公允价值变动计入公允价值变动损益；在资产持有期间所取得的</w:t>
      </w:r>
      <w:r>
        <w:rPr/>
        <w:t> </w:t>
      </w:r>
      <w:r>
        <w:rPr>
          <w:spacing w:val="-2"/>
        </w:rPr>
        <w:t>利息或现金股利，确认为投资收益；处置时，其公允价值与初始入账金额之间的差额确认为投资损益，同时调整公允价值变</w:t>
      </w:r>
      <w:r>
        <w:rPr>
          <w:spacing w:val="-66"/>
        </w:rPr>
        <w:t> </w:t>
      </w:r>
      <w:r>
        <w:rPr>
          <w:spacing w:val="-66"/>
        </w:rPr>
      </w:r>
      <w:r>
        <w:rPr/>
        <w:t>动损益。</w:t>
      </w:r>
    </w:p>
    <w:p>
      <w:pPr>
        <w:spacing w:line="240" w:lineRule="auto" w:before="10"/>
        <w:rPr>
          <w:rFonts w:ascii="宋体" w:hAnsi="宋体" w:cs="宋体" w:eastAsia="宋体" w:hint="default"/>
          <w:sz w:val="19"/>
          <w:szCs w:val="19"/>
        </w:rPr>
      </w:pPr>
    </w:p>
    <w:p>
      <w:pPr>
        <w:pStyle w:val="BodyText"/>
        <w:spacing w:line="316" w:lineRule="auto"/>
        <w:ind w:left="154" w:right="1132" w:firstLine="478"/>
        <w:jc w:val="both"/>
      </w:pPr>
      <w:r>
        <w:rPr>
          <w:spacing w:val="-1"/>
        </w:rPr>
        <w:t>除减值损失及外币货币性金融资产形成的汇兑损益外，可供出售金融资产公允价值变动直接计入股东权益，待该金融</w:t>
      </w:r>
      <w:r>
        <w:rPr/>
        <w:t> </w:t>
      </w:r>
      <w:r>
        <w:rPr>
          <w:spacing w:val="-2"/>
        </w:rPr>
        <w:t>资产终止确认时，原直接计入权益的公允价值变动累计额转入当期损益。可供出售债务工具投资在持有期间按实际利率法计</w:t>
      </w:r>
      <w:r>
        <w:rPr>
          <w:spacing w:val="-64"/>
        </w:rPr>
        <w:t> </w:t>
      </w:r>
      <w:r>
        <w:rPr>
          <w:spacing w:val="-64"/>
        </w:rPr>
      </w:r>
      <w:r>
        <w:rPr/>
        <w:t>算的利息，以及被投资单位宣告发放的与可供出售权益工具投资相关的现金股利，作为投资收益计入当期损益。</w:t>
      </w:r>
    </w:p>
    <w:p>
      <w:pPr>
        <w:pStyle w:val="BodyText"/>
        <w:spacing w:line="552" w:lineRule="exact" w:before="28"/>
        <w:ind w:left="632" w:right="0" w:hanging="119"/>
        <w:jc w:val="left"/>
      </w:pPr>
      <w:r>
        <w:rPr>
          <w:rFonts w:ascii="宋体" w:hAnsi="宋体" w:cs="宋体" w:eastAsia="宋体" w:hint="default"/>
        </w:rPr>
        <w:t>3</w:t>
      </w:r>
      <w:r>
        <w:rPr/>
        <w:t>）金融资产减值 </w:t>
      </w:r>
      <w:r>
        <w:rPr>
          <w:spacing w:val="2"/>
        </w:rPr>
        <w:t>除以公允价值计量且其变动计入当期损益的金融资产外，本集团于资产负债表日对其他金融资产的账面价值进行检</w:t>
      </w:r>
    </w:p>
    <w:p>
      <w:pPr>
        <w:pStyle w:val="BodyText"/>
        <w:spacing w:line="227" w:lineRule="exact"/>
        <w:ind w:left="154" w:right="0"/>
        <w:jc w:val="both"/>
      </w:pPr>
      <w:r>
        <w:rPr/>
        <w:t>查，如果有客观证据表明某项金融资产发生减值的，计提减值准备。</w:t>
      </w:r>
    </w:p>
    <w:p>
      <w:pPr>
        <w:spacing w:after="0" w:line="227"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78"/>
        <w:jc w:val="both"/>
      </w:pP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现值低于账面价值的</w:t>
      </w:r>
      <w:r>
        <w:rPr/>
        <w:t> </w:t>
      </w:r>
      <w:r>
        <w:rPr>
          <w:spacing w:val="-2"/>
        </w:rPr>
        <w:t>差额，计提减值准备。如果有客观证据表明该金融资产价值已恢复，且客观上与确认该损失后发生的事项有关，原确认的减</w:t>
      </w:r>
      <w:r>
        <w:rPr>
          <w:spacing w:val="-66"/>
        </w:rPr>
        <w:t> </w:t>
      </w:r>
      <w:r>
        <w:rPr>
          <w:spacing w:val="-66"/>
        </w:rPr>
      </w:r>
      <w:r>
        <w:rPr/>
        <w:t>值损失予以转回，计入当期损益。</w:t>
      </w:r>
    </w:p>
    <w:p>
      <w:pPr>
        <w:spacing w:line="240" w:lineRule="auto" w:before="11"/>
        <w:rPr>
          <w:rFonts w:ascii="宋体" w:hAnsi="宋体" w:cs="宋体" w:eastAsia="宋体" w:hint="default"/>
          <w:sz w:val="19"/>
          <w:szCs w:val="19"/>
        </w:rPr>
      </w:pPr>
    </w:p>
    <w:p>
      <w:pPr>
        <w:pStyle w:val="BodyText"/>
        <w:spacing w:line="316" w:lineRule="auto"/>
        <w:ind w:left="154" w:right="1132" w:firstLine="478"/>
        <w:jc w:val="both"/>
      </w:pPr>
      <w:r>
        <w:rPr/>
        <w:t>当可供出售金融资产的公允价值下降</w:t>
      </w:r>
      <w:r>
        <w:rPr>
          <w:rFonts w:ascii="宋体" w:hAnsi="宋体" w:cs="宋体" w:eastAsia="宋体" w:hint="default"/>
        </w:rPr>
        <w:t>10%</w:t>
      </w:r>
      <w:r>
        <w:rPr/>
        <w:t>以上或未来</w:t>
      </w:r>
      <w:r>
        <w:rPr>
          <w:rFonts w:ascii="宋体" w:hAnsi="宋体" w:cs="宋体" w:eastAsia="宋体" w:hint="default"/>
        </w:rPr>
        <w:t>12</w:t>
      </w:r>
      <w:r>
        <w:rPr/>
        <w:t>个月内不能恢复的非暂时性下降，原直接计入股东权益的因公 </w:t>
      </w:r>
      <w:r>
        <w:rPr>
          <w:spacing w:val="-2"/>
        </w:rPr>
        <w:t>允价值下降形成的累计损失予以转出并计入减值损失。对已确认减值损失的可供出售债务工具投资，在期后公允价值上升且</w:t>
      </w:r>
      <w:r>
        <w:rPr>
          <w:spacing w:val="-64"/>
        </w:rPr>
        <w:t> </w:t>
      </w:r>
      <w:r>
        <w:rPr>
          <w:spacing w:val="-64"/>
        </w:rPr>
      </w:r>
      <w:r>
        <w:rPr>
          <w:spacing w:val="-2"/>
        </w:rPr>
        <w:t>客观上与确认原减值损失后发生的事项有关的，原确认的减值损失予以转回并计入当期损益。对已确认减值损失的可供出售</w:t>
      </w:r>
      <w:r>
        <w:rPr>
          <w:spacing w:val="-64"/>
        </w:rPr>
        <w:t> </w:t>
      </w:r>
      <w:r>
        <w:rPr>
          <w:spacing w:val="-64"/>
        </w:rPr>
      </w:r>
      <w:r>
        <w:rPr/>
        <w:t>权益工具投资，期后公允价值上升直接计入股东权益。</w:t>
      </w:r>
    </w:p>
    <w:p>
      <w:pPr>
        <w:pStyle w:val="BodyText"/>
        <w:spacing w:line="552" w:lineRule="exact" w:before="27"/>
        <w:ind w:left="632" w:right="1094" w:hanging="29"/>
        <w:jc w:val="left"/>
      </w:pPr>
      <w:r>
        <w:rPr>
          <w:rFonts w:ascii="宋体" w:hAnsi="宋体" w:cs="宋体" w:eastAsia="宋体" w:hint="default"/>
        </w:rPr>
        <w:t>4</w:t>
      </w:r>
      <w:r>
        <w:rPr/>
        <w:t>）金融资产转移 金融资产满足下列条件之一的，予以终止确认：①收取该金融资产现金流量的合同权利终止；②该金融资产已转移，</w:t>
      </w:r>
    </w:p>
    <w:p>
      <w:pPr>
        <w:pStyle w:val="BodyText"/>
        <w:spacing w:line="316" w:lineRule="auto"/>
        <w:ind w:left="154" w:right="1130"/>
        <w:jc w:val="both"/>
      </w:pPr>
      <w:r>
        <w:rPr>
          <w:spacing w:val="-2"/>
        </w:rPr>
        <w:t>且本集团将金融资产所有权上几乎所有的风险和报酬转移给转入方；③该金融资产已转移，虽然本集团既没有转移也没有保</w:t>
      </w:r>
      <w:r>
        <w:rPr>
          <w:spacing w:val="-63"/>
        </w:rPr>
        <w:t> </w:t>
      </w:r>
      <w:r>
        <w:rPr>
          <w:spacing w:val="-63"/>
        </w:rPr>
      </w:r>
      <w:r>
        <w:rPr/>
        <w:t>留金融资产所有权上几乎所有的风险和报酬，但是放弃了对该金融资产控制。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right="1133" w:firstLine="478"/>
        <w:jc w:val="both"/>
      </w:pPr>
      <w:r>
        <w:rPr>
          <w:spacing w:val="-1"/>
        </w:rPr>
        <w:t>企业既没有转移也没有保留金融资产所有权上几乎所有的风险和报酬，且未放弃对该金融资产控制的，则按照其继续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spacing w:line="240" w:lineRule="auto" w:before="10"/>
        <w:rPr>
          <w:rFonts w:ascii="宋体" w:hAnsi="宋体" w:cs="宋体" w:eastAsia="宋体" w:hint="default"/>
          <w:sz w:val="19"/>
          <w:szCs w:val="19"/>
        </w:rPr>
      </w:pPr>
    </w:p>
    <w:p>
      <w:pPr>
        <w:pStyle w:val="BodyText"/>
        <w:spacing w:line="316" w:lineRule="auto"/>
        <w:ind w:right="1133" w:firstLine="478"/>
        <w:jc w:val="both"/>
      </w:pPr>
      <w:r>
        <w:rPr>
          <w:spacing w:val="-1"/>
        </w:rPr>
        <w:t>金融资产整体转移满足终止确认条件的，将所转移金融资产的账面价值，与因转移而收到的对价及原计入其他综合收</w:t>
      </w:r>
      <w:r>
        <w:rPr/>
        <w:t> 益的公允价值变动累计额之和的差额计入当期损益。</w:t>
      </w:r>
    </w:p>
    <w:p>
      <w:pPr>
        <w:spacing w:line="240" w:lineRule="auto" w:before="10"/>
        <w:rPr>
          <w:rFonts w:ascii="宋体" w:hAnsi="宋体" w:cs="宋体" w:eastAsia="宋体" w:hint="default"/>
          <w:sz w:val="19"/>
          <w:szCs w:val="19"/>
        </w:rPr>
      </w:pPr>
    </w:p>
    <w:p>
      <w:pPr>
        <w:pStyle w:val="BodyText"/>
        <w:spacing w:line="319" w:lineRule="auto"/>
        <w:ind w:right="0" w:firstLine="478"/>
        <w:jc w:val="left"/>
      </w:pPr>
      <w:r>
        <w:rPr>
          <w:spacing w:val="-3"/>
        </w:rPr>
        <w:t>金融资产部分转移满足终止确认条件的，将所转移金融资产整体的账面价值，在终止确认部分和未终止确认部分之间，</w:t>
      </w:r>
      <w:r>
        <w:rPr/>
        <w:t>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spacing w:line="552" w:lineRule="exact" w:before="25"/>
        <w:ind w:left="632" w:right="1118" w:hanging="209"/>
        <w:jc w:val="left"/>
      </w:pPr>
      <w:r>
        <w:rPr/>
        <w:t>（</w:t>
      </w:r>
      <w:r>
        <w:rPr>
          <w:rFonts w:ascii="宋体" w:hAnsi="宋体" w:cs="宋体" w:eastAsia="宋体" w:hint="default"/>
        </w:rPr>
        <w:t>2</w:t>
      </w:r>
      <w:r>
        <w:rPr/>
        <w:t>）金融负债 本集团的金融负债于初始确认时分类为以公允价值计量且其变动计入当期损益的金融负债和其他金融负债。 </w:t>
      </w:r>
      <w:r>
        <w:rPr>
          <w:spacing w:val="-1"/>
        </w:rPr>
        <w:t>以公允价值计量且其变动计入当期损益的金融负债，包括交易性金融负债和初始确认时指定为以公允价值计量且其变</w:t>
      </w:r>
    </w:p>
    <w:p>
      <w:pPr>
        <w:pStyle w:val="BodyText"/>
        <w:spacing w:line="316" w:lineRule="auto"/>
        <w:ind w:right="1131"/>
        <w:jc w:val="both"/>
      </w:pPr>
      <w:r>
        <w:rPr>
          <w:spacing w:val="-2"/>
        </w:rPr>
        <w:t>动计入当期损益的金融负债，按照公允价值进行后续计量，公允价值变动形成的利得或损失以及与该金融负债相关的股利和</w:t>
      </w:r>
      <w:r>
        <w:rPr>
          <w:spacing w:val="-64"/>
        </w:rPr>
        <w:t> </w:t>
      </w:r>
      <w:r>
        <w:rPr>
          <w:spacing w:val="-64"/>
        </w:rPr>
      </w:r>
      <w:r>
        <w:rPr/>
        <w:t>利息支出计入当期损益。</w:t>
      </w:r>
    </w:p>
    <w:p>
      <w:pPr>
        <w:pStyle w:val="BodyText"/>
        <w:spacing w:line="552" w:lineRule="exact" w:before="27"/>
        <w:ind w:left="632" w:right="0"/>
        <w:jc w:val="left"/>
      </w:pPr>
      <w:r>
        <w:rPr/>
        <w:t>其他金融负债采用实际利率法，按照摊余成本进行后续计量。 </w:t>
      </w:r>
      <w:r>
        <w:rPr>
          <w:spacing w:val="-1"/>
        </w:rPr>
        <w:t>当金融负债的现时义务全部或部分已经解除时，终止确认该金融负债或义务已解除的部分。终止确认部分的账面价值</w:t>
      </w:r>
    </w:p>
    <w:p>
      <w:pPr>
        <w:pStyle w:val="BodyText"/>
        <w:spacing w:line="227" w:lineRule="exact"/>
        <w:ind w:right="0"/>
        <w:jc w:val="both"/>
      </w:pPr>
      <w:r>
        <w:rPr/>
        <w:t>与支付的对价之间的差额，计入当期损益。</w:t>
      </w:r>
    </w:p>
    <w:p>
      <w:pPr>
        <w:pStyle w:val="BodyText"/>
        <w:spacing w:line="550" w:lineRule="atLeast" w:before="2"/>
        <w:ind w:left="632" w:right="0" w:hanging="209"/>
        <w:jc w:val="left"/>
      </w:pPr>
      <w:r>
        <w:rPr/>
        <w:t>（</w:t>
      </w:r>
      <w:r>
        <w:rPr>
          <w:rFonts w:ascii="宋体" w:hAnsi="宋体" w:cs="宋体" w:eastAsia="宋体" w:hint="default"/>
        </w:rPr>
        <w:t>3</w:t>
      </w:r>
      <w:r>
        <w:rPr/>
        <w:t>）金融资产和金融负债的公允价值确定方法 </w:t>
      </w:r>
      <w:r>
        <w:rPr>
          <w:rFonts w:ascii="宋体" w:hAnsi="宋体" w:cs="宋体" w:eastAsia="宋体" w:hint="default"/>
        </w:rPr>
        <w:t>1</w:t>
      </w:r>
      <w:r>
        <w:rPr/>
        <w:t>）金融工具存在活跃市场的，活跃市场中的市场报价用于确定其公允价值。在活跃市场上，本集团已持有的金融资</w:t>
      </w:r>
    </w:p>
    <w:p>
      <w:pPr>
        <w:pStyle w:val="BodyText"/>
        <w:spacing w:line="319" w:lineRule="auto" w:before="76"/>
        <w:ind w:left="154" w:right="1130"/>
        <w:jc w:val="both"/>
      </w:pPr>
      <w:r>
        <w:rPr>
          <w:spacing w:val="-2"/>
        </w:rPr>
        <w:t>产或拟承担的金融负债以现行出价作为相应资产或负债的公允价值；本集团拟购入的金融资产或已承担的金融负债以现行要</w:t>
      </w:r>
      <w:r>
        <w:rPr>
          <w:spacing w:val="-63"/>
        </w:rPr>
        <w:t> </w:t>
      </w:r>
      <w:r>
        <w:rPr>
          <w:spacing w:val="-63"/>
        </w:rPr>
      </w:r>
      <w:r>
        <w:rPr>
          <w:spacing w:val="-2"/>
        </w:rPr>
        <w:t>价作为相应资产或负债的公允价值。金融资产或金融负债没有现行出价和要价，但最近交易日后经济环境没有发生重大变化</w:t>
      </w:r>
      <w:r>
        <w:rPr>
          <w:spacing w:val="-64"/>
        </w:rPr>
        <w:t> </w:t>
      </w:r>
      <w:r>
        <w:rPr>
          <w:spacing w:val="-64"/>
        </w:rPr>
      </w:r>
      <w:r>
        <w:rPr>
          <w:spacing w:val="-2"/>
        </w:rPr>
        <w:t>的，则采用最近交易的市场报价确定该金融资产或金融负债的公允价值。最近交易日后经济环境发生了重大变化时，参考类</w:t>
      </w:r>
      <w:r>
        <w:rPr>
          <w:spacing w:val="-66"/>
        </w:rPr>
        <w:t> </w:t>
      </w:r>
      <w:r>
        <w:rPr>
          <w:spacing w:val="-66"/>
        </w:rPr>
      </w:r>
      <w:r>
        <w:rPr>
          <w:spacing w:val="-2"/>
        </w:rPr>
        <w:t>似金融资产或金融负债的现行价格或利率，调整最近交易的市场报价，以确定该金融资产或金融负债的公允价值。本集团有</w:t>
      </w:r>
      <w:r>
        <w:rPr>
          <w:spacing w:val="-66"/>
        </w:rPr>
        <w:t> </w:t>
      </w:r>
      <w:r>
        <w:rPr>
          <w:spacing w:val="-66"/>
        </w:rPr>
      </w:r>
      <w:r>
        <w:rPr>
          <w:spacing w:val="-2"/>
        </w:rPr>
        <w:t>足够的证据表明最近交易的市场报价不是公允价值的，对最近交易的市场报价作出适当调整，以确定该金融资产或金融负债</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的公允价值。</w:t>
      </w:r>
    </w:p>
    <w:p>
      <w:pPr>
        <w:spacing w:line="240" w:lineRule="auto" w:before="2"/>
        <w:rPr>
          <w:rFonts w:ascii="宋体" w:hAnsi="宋体" w:cs="宋体" w:eastAsia="宋体" w:hint="default"/>
          <w:sz w:val="24"/>
          <w:szCs w:val="24"/>
        </w:rPr>
      </w:pPr>
    </w:p>
    <w:p>
      <w:pPr>
        <w:pStyle w:val="BodyText"/>
        <w:spacing w:line="316" w:lineRule="auto"/>
        <w:ind w:right="0" w:firstLine="478"/>
        <w:jc w:val="left"/>
      </w:pPr>
      <w:r>
        <w:rPr>
          <w:rFonts w:ascii="宋体" w:hAnsi="宋体" w:cs="宋体" w:eastAsia="宋体" w:hint="default"/>
        </w:rPr>
        <w:t>2</w:t>
      </w:r>
      <w:r>
        <w:rPr/>
        <w:t>）金融工具不存在活跃市场的，采用估值技术确定其公允价值。估值技术包括参考熟悉情况并自愿交易的各方最近 进行的市场交易中使用的价格、参照实质上相同的其他金融资产的当前公允价值、现金流量折现法和期权定价模型等。</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1、应收款项" w:id="185"/>
      <w:bookmarkEnd w:id="18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单项金额超过占应收款项总额的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以上或者金额位列前五 名的应收款项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备付金组合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33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本公司及其子公司（除联动优势科技有限公司及其子公司）应收账款和其他应收款在各账龄段计提坏账准备的比例具体如下：</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联动优势科技有限公司及其子公司应收账款和其他应收款在各账龄段计提坏账准备的比例具体如下：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备付金组合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款项，按账龄分析法计提的坏账准备不能反映实际情况，本 公司单独进行减值测试。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spacing w:line="240" w:lineRule="auto" w:before="6"/>
        <w:rPr>
          <w:rFonts w:ascii="宋体" w:hAnsi="宋体" w:cs="宋体" w:eastAsia="宋体" w:hint="default"/>
          <w:sz w:val="17"/>
          <w:szCs w:val="17"/>
        </w:rPr>
      </w:pPr>
    </w:p>
    <w:p>
      <w:pPr>
        <w:pStyle w:val="BodyText"/>
        <w:spacing w:line="240" w:lineRule="auto"/>
        <w:ind w:left="594" w:right="0"/>
        <w:jc w:val="left"/>
      </w:pPr>
      <w:r>
        <w:rPr/>
        <w:t>本集团存货主要包括原材料、包装物、低值易耗品、在产品、自制半成品、委托加工物资、库存商品及虚拟商品等。</w:t>
      </w:r>
    </w:p>
    <w:p>
      <w:pPr>
        <w:spacing w:line="240" w:lineRule="auto" w:before="1"/>
        <w:rPr>
          <w:rFonts w:ascii="宋体" w:hAnsi="宋体" w:cs="宋体" w:eastAsia="宋体" w:hint="default"/>
          <w:sz w:val="24"/>
          <w:szCs w:val="24"/>
        </w:rPr>
      </w:pPr>
    </w:p>
    <w:p>
      <w:pPr>
        <w:pStyle w:val="BodyText"/>
        <w:spacing w:line="316" w:lineRule="auto"/>
        <w:ind w:right="0" w:firstLine="440"/>
        <w:jc w:val="left"/>
      </w:pPr>
      <w:r>
        <w:rPr/>
        <w:t>存货实行永续盘存制，存货在取得时按实际成本计价；领用或发出存货，采用加权平均法确定其实际成本。低值易耗 品和包装物采用一次转销法进行摊销。</w:t>
      </w:r>
    </w:p>
    <w:p>
      <w:pPr>
        <w:spacing w:line="240" w:lineRule="auto" w:before="10"/>
        <w:rPr>
          <w:rFonts w:ascii="宋体" w:hAnsi="宋体" w:cs="宋体" w:eastAsia="宋体" w:hint="default"/>
          <w:sz w:val="19"/>
          <w:szCs w:val="19"/>
        </w:rPr>
      </w:pPr>
    </w:p>
    <w:p>
      <w:pPr>
        <w:pStyle w:val="BodyText"/>
        <w:spacing w:line="316" w:lineRule="auto"/>
        <w:ind w:right="0" w:firstLine="478"/>
        <w:jc w:val="left"/>
      </w:pPr>
      <w:r>
        <w:rPr>
          <w:spacing w:val="-3"/>
        </w:rPr>
        <w:t>期末存货按成本与可变现净值孰低原则计价，对于存货因遭受毁损、全部或部分陈旧过时或销售价格低于成本等原因，</w:t>
      </w:r>
      <w:r>
        <w:rPr/>
        <w:t>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 </w:t>
      </w:r>
      <w:r>
        <w:rPr>
          <w:spacing w:val="-2"/>
        </w:rPr>
        <w:t>库存商品、虚拟商品、在产品和用于出售的材料等直接用于出售的商品存货，其可变现净值按该存货的估计售价减去估计的</w:t>
      </w:r>
      <w:r>
        <w:rPr>
          <w:spacing w:val="-66"/>
        </w:rPr>
        <w:t> </w:t>
      </w:r>
      <w:r>
        <w:rPr>
          <w:spacing w:val="-66"/>
        </w:rPr>
      </w:r>
      <w:r>
        <w:rPr>
          <w:spacing w:val="-2"/>
        </w:rPr>
        <w:t>销售费用和相关税费后的金额确定；用于生产而持有的材料存货，其可变现净值按所生产的产成品的估计售价减去至完工时</w:t>
      </w:r>
      <w:r>
        <w:rPr>
          <w:spacing w:val="-63"/>
        </w:rPr>
        <w:t> </w:t>
      </w:r>
      <w:r>
        <w:rPr>
          <w:spacing w:val="-63"/>
        </w:rPr>
      </w:r>
      <w:r>
        <w:rPr/>
        <w:t>估计将要发生的成本、估计的销售费用和相关税费后的金额确定。</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3、持有待售资产" w:id="190"/>
      <w:bookmarkEnd w:id="19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4" w:right="0" w:hanging="360"/>
        <w:jc w:val="left"/>
      </w:pPr>
      <w:r>
        <w:rPr/>
        <w:t>（</w:t>
      </w:r>
      <w:r>
        <w:rPr>
          <w:rFonts w:ascii="宋体" w:hAnsi="宋体" w:cs="宋体" w:eastAsia="宋体" w:hint="default"/>
        </w:rPr>
        <w:t>1</w:t>
      </w:r>
      <w:r>
        <w:rPr/>
        <w:t>）持有待售类别的确认标准 </w:t>
      </w:r>
      <w:r>
        <w:rPr>
          <w:spacing w:val="-2"/>
        </w:rPr>
        <w:t>本集团主要通过出售（包括具有商业实质的非货币性资产交换，下同）而非持续使用一项非流动资产或处置组收回其账</w:t>
      </w:r>
    </w:p>
    <w:p>
      <w:pPr>
        <w:pStyle w:val="BodyText"/>
        <w:spacing w:line="316" w:lineRule="auto" w:before="19"/>
        <w:ind w:left="244" w:right="2652" w:hanging="90"/>
        <w:jc w:val="left"/>
      </w:pPr>
      <w:r>
        <w:rPr/>
        <w:t>面价值的，将其划分为持有待售类别。非流动资产或处置组划分为持有待售类别，同时满足下列条件： </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19"/>
        <w:ind w:right="0" w:firstLine="90"/>
        <w:jc w:val="left"/>
      </w:pPr>
      <w:r>
        <w:rPr>
          <w:rFonts w:ascii="宋体" w:hAnsi="宋体" w:cs="宋体" w:eastAsia="宋体" w:hint="default"/>
        </w:rPr>
        <w:t>2</w:t>
      </w:r>
      <w:r>
        <w:rPr/>
        <w:t>）出售极可能发生，即本集团已经就一项出售计划作出决议且获得确定的购买承诺，预计出售将在一年内完成。有关规 </w:t>
      </w:r>
      <w:r>
        <w:rPr>
          <w:spacing w:val="-2"/>
        </w:rPr>
        <w:t>定要求本集团相关权力机构或者监管部门批准后方可出售的，应当已经获得批准。确定的购买承诺，是指本集团与其他方签</w:t>
      </w:r>
      <w:r>
        <w:rPr>
          <w:spacing w:val="-66"/>
        </w:rPr>
        <w:t> </w:t>
      </w:r>
      <w:r>
        <w:rPr>
          <w:spacing w:val="-66"/>
        </w:rPr>
      </w:r>
      <w:r>
        <w:rPr>
          <w:spacing w:val="-2"/>
        </w:rPr>
        <w:t>订的具有法律约束力的购买协议，该协议包含交易价格、时间和足够严厉的违约惩罚等重要条款，使协议出现重大调整或者</w:t>
      </w:r>
      <w:r>
        <w:rPr>
          <w:spacing w:val="-66"/>
        </w:rPr>
        <w:t> </w:t>
      </w:r>
      <w:r>
        <w:rPr>
          <w:spacing w:val="-66"/>
        </w:rPr>
      </w:r>
      <w:r>
        <w:rPr/>
        <w:t>撤销的可能性极小。</w:t>
      </w:r>
    </w:p>
    <w:p>
      <w:pPr>
        <w:pStyle w:val="BodyText"/>
        <w:spacing w:line="316" w:lineRule="auto" w:before="19"/>
        <w:ind w:left="154" w:right="0" w:firstLine="360"/>
        <w:jc w:val="left"/>
      </w:pPr>
      <w:r>
        <w:rPr>
          <w:spacing w:val="-2"/>
        </w:rPr>
        <w:t>本集团专为转售而取得的非流动资产或处置组，在取得日满足“预计出售将在一年内完成”的规定条件，且短期（通常</w:t>
      </w:r>
      <w:r>
        <w:rPr/>
        <w:t> 为</w:t>
      </w:r>
      <w:r>
        <w:rPr>
          <w:rFonts w:ascii="宋体" w:hAnsi="宋体" w:cs="宋体" w:eastAsia="宋体" w:hint="default"/>
        </w:rPr>
        <w:t>3</w:t>
      </w:r>
      <w:r>
        <w:rPr/>
        <w:t>个月）内很可能满足持有待售类别的其他划分条件的，在取得日将其划分为持有待售类别。</w:t>
      </w:r>
    </w:p>
    <w:p>
      <w:pPr>
        <w:pStyle w:val="BodyText"/>
        <w:spacing w:line="316" w:lineRule="auto" w:before="19"/>
        <w:ind w:right="0" w:firstLine="360"/>
        <w:jc w:val="left"/>
      </w:pPr>
      <w:r>
        <w:rPr>
          <w:spacing w:val="-2"/>
        </w:rPr>
        <w:t>处置组，是指在一项交易中作为整体通过出售或其他方式一并处置的一组资产，以及在该交易中转让的与这些资产直接</w:t>
      </w:r>
      <w:r>
        <w:rPr/>
        <w:t> </w:t>
      </w:r>
      <w:r>
        <w:rPr>
          <w:spacing w:val="-2"/>
        </w:rPr>
        <w:t>相关的负债。处置组所属的资产组或资产组组合按照《企业会计准则第</w:t>
      </w:r>
      <w:r>
        <w:rPr>
          <w:rFonts w:ascii="宋体" w:hAnsi="宋体" w:cs="宋体" w:eastAsia="宋体" w:hint="default"/>
          <w:spacing w:val="-2"/>
        </w:rPr>
        <w:t>8</w:t>
      </w:r>
      <w:r>
        <w:rPr>
          <w:spacing w:val="-2"/>
        </w:rPr>
        <w:t>号——资产减值》分摊了企业合并中取得的商誉的，</w:t>
      </w:r>
      <w:r>
        <w:rPr>
          <w:spacing w:val="-64"/>
        </w:rPr>
        <w:t> </w:t>
      </w:r>
      <w:r>
        <w:rPr>
          <w:spacing w:val="-64"/>
        </w:rPr>
      </w:r>
      <w:r>
        <w:rPr/>
        <w:t>该处置组应当包含分摊至处置组的商誉。</w:t>
      </w:r>
    </w:p>
    <w:p>
      <w:pPr>
        <w:pStyle w:val="BodyText"/>
        <w:spacing w:line="240" w:lineRule="auto" w:before="19"/>
        <w:ind w:left="154" w:right="0"/>
        <w:jc w:val="left"/>
      </w:pPr>
      <w:r>
        <w:rPr/>
        <w:t>（</w:t>
      </w:r>
      <w:r>
        <w:rPr>
          <w:rFonts w:ascii="宋体" w:hAnsi="宋体" w:cs="宋体" w:eastAsia="宋体" w:hint="default"/>
        </w:rPr>
        <w:t>2</w:t>
      </w:r>
      <w:r>
        <w:rPr/>
        <w:t>）持有待售类别的会计处理方法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本集团对于被分类为持有待售类别的非流动资产和处置组，以账面价值与公允价值减去处置费用后的净额孰低进行初始</w:t>
      </w:r>
      <w:r>
        <w:rPr/>
        <w:t> </w:t>
      </w:r>
      <w:r>
        <w:rPr>
          <w:spacing w:val="-2"/>
        </w:rPr>
        <w:t>计量或重新计量。公允价值减去处置费用后的净额低于原账面价值的，其差额确认为资产减值损失计入当期损益，同时计提</w:t>
      </w:r>
      <w:r>
        <w:rPr>
          <w:spacing w:val="-66"/>
        </w:rPr>
        <w:t> </w:t>
      </w:r>
      <w:r>
        <w:rPr>
          <w:spacing w:val="-66"/>
        </w:rPr>
      </w:r>
      <w:r>
        <w:rPr>
          <w:spacing w:val="-2"/>
        </w:rPr>
        <w:t>持有待售资产减值准备；对于持有待售的处置组确认的资产减值损失金额，先抵减处置组中商誉的账面价值，再根据处置组</w:t>
      </w:r>
      <w:r>
        <w:rPr>
          <w:spacing w:val="-65"/>
        </w:rPr>
        <w:t> </w:t>
      </w:r>
      <w:r>
        <w:rPr>
          <w:spacing w:val="-65"/>
        </w:rPr>
      </w:r>
      <w:r>
        <w:rPr>
          <w:spacing w:val="-2"/>
        </w:rPr>
        <w:t>中适用持有待售类别计量规定的各项非流动资产账面价值所占比重，按比例抵减其账面价值。后续资产负债表日持有待售的</w:t>
      </w:r>
      <w:r>
        <w:rPr>
          <w:spacing w:val="-64"/>
        </w:rPr>
        <w:t> </w:t>
      </w:r>
      <w:r>
        <w:rPr>
          <w:spacing w:val="-64"/>
        </w:rPr>
      </w:r>
      <w:r>
        <w:rPr>
          <w:spacing w:val="-2"/>
        </w:rPr>
        <w:t>非流动资产公允价值减去出售费用后的净额增加的，以前减记的金额予以恢复，并在划分为持有待售类别后确认的资产减值</w:t>
      </w:r>
      <w:r>
        <w:rPr>
          <w:spacing w:val="-64"/>
        </w:rPr>
        <w:t> </w:t>
      </w:r>
      <w:r>
        <w:rPr>
          <w:spacing w:val="-64"/>
        </w:rPr>
      </w:r>
      <w:r>
        <w:rPr>
          <w:spacing w:val="-2"/>
        </w:rPr>
        <w:t>损失金额内转回，转回金额计入当期损益。划分为持有待售类别前确认的资产减值损失不予转回。后续资产负债表日持有待</w:t>
      </w:r>
      <w:r>
        <w:rPr>
          <w:spacing w:val="-66"/>
        </w:rPr>
        <w:t> </w:t>
      </w:r>
      <w:r>
        <w:rPr>
          <w:spacing w:val="-66"/>
        </w:rPr>
      </w:r>
      <w:r>
        <w:rPr>
          <w:spacing w:val="-2"/>
        </w:rPr>
        <w:t>售的处置组公允价值减去出售费用后的净额增加的，以前减记的金额予以恢复，并在划分为持有待售类别后适用持有待售类</w:t>
      </w:r>
      <w:r>
        <w:rPr>
          <w:spacing w:val="-64"/>
        </w:rPr>
        <w:t> </w:t>
      </w:r>
      <w:r>
        <w:rPr>
          <w:spacing w:val="-64"/>
        </w:rPr>
      </w:r>
      <w:r>
        <w:rPr>
          <w:spacing w:val="-2"/>
        </w:rPr>
        <w:t>别计量规定的非流动资产确认的资产减值损失金额内转回，转回金额计入当期损益。已抵减的商誉账面价值，以及适用持有</w:t>
      </w:r>
      <w:r>
        <w:rPr>
          <w:spacing w:val="-66"/>
        </w:rPr>
        <w:t> </w:t>
      </w:r>
      <w:r>
        <w:rPr>
          <w:spacing w:val="-66"/>
        </w:rPr>
      </w:r>
      <w:r>
        <w:rPr>
          <w:spacing w:val="-2"/>
        </w:rPr>
        <w:t>待售类别计量规定的非流动资产在划分为持有待售类别前确认的资产减值损失不予转回。持有待售的处置组确认的资产减值</w:t>
      </w:r>
      <w:r>
        <w:rPr>
          <w:spacing w:val="-64"/>
        </w:rPr>
        <w:t> </w:t>
      </w:r>
      <w:r>
        <w:rPr>
          <w:spacing w:val="-64"/>
        </w:rPr>
      </w:r>
      <w:r>
        <w:rPr>
          <w:spacing w:val="-2"/>
        </w:rPr>
        <w:t>损失后续转回金额，根据处置组中除商誉外适用持有待售类别计量规定的各项非流动资产账面价值所占比重，按比例增加其</w:t>
      </w:r>
      <w:r>
        <w:rPr>
          <w:spacing w:val="-64"/>
        </w:rPr>
        <w:t> </w:t>
      </w:r>
      <w:r>
        <w:rPr>
          <w:spacing w:val="-64"/>
        </w:rPr>
      </w:r>
      <w:r>
        <w:rPr>
          <w:spacing w:val="-2"/>
        </w:rPr>
        <w:t>账面价值。持有待售的非流动资产或处置组中的非流动资产不计提折旧或摊销，持有待售的处置组中负债的利息和其他费用</w:t>
      </w:r>
      <w:r>
        <w:rPr>
          <w:spacing w:val="-64"/>
        </w:rPr>
        <w:t> </w:t>
      </w:r>
      <w:r>
        <w:rPr>
          <w:spacing w:val="-64"/>
        </w:rPr>
      </w:r>
      <w:r>
        <w:rPr/>
        <w:t>继续予以确认。</w:t>
      </w:r>
    </w:p>
    <w:p>
      <w:pPr>
        <w:pStyle w:val="BodyText"/>
        <w:spacing w:line="316" w:lineRule="auto" w:before="19"/>
        <w:ind w:right="1130" w:firstLine="360"/>
        <w:jc w:val="both"/>
      </w:pPr>
      <w:r>
        <w:rPr>
          <w:spacing w:val="-2"/>
        </w:rPr>
        <w:t>递延所得税资产、《企业会计准则第</w:t>
      </w:r>
      <w:r>
        <w:rPr>
          <w:rFonts w:ascii="宋体" w:hAnsi="宋体" w:cs="宋体" w:eastAsia="宋体" w:hint="default"/>
          <w:spacing w:val="-2"/>
        </w:rPr>
        <w:t>22</w:t>
      </w:r>
      <w:r>
        <w:rPr>
          <w:spacing w:val="-2"/>
        </w:rPr>
        <w:t>号——金融工具确认和计量》规范的金融资产、以公允价值计量的投资性房地产</w:t>
      </w:r>
      <w:r>
        <w:rPr/>
        <w:t> </w:t>
      </w:r>
      <w:r>
        <w:rPr>
          <w:spacing w:val="-2"/>
        </w:rPr>
        <w:t>和生物资产、保险合同中产生的合同权利、从职工福利中所产生的资产不适用于持有待售类别的计量方法，而是根据相关准</w:t>
      </w:r>
      <w:r>
        <w:rPr>
          <w:spacing w:val="-66"/>
        </w:rPr>
        <w:t> </w:t>
      </w:r>
      <w:r>
        <w:rPr>
          <w:spacing w:val="-66"/>
        </w:rPr>
      </w:r>
      <w:r>
        <w:rPr>
          <w:spacing w:val="-2"/>
        </w:rPr>
        <w:t>则或本集团制定的相应会计政策进行计量。处置组包含适用持有待售类别的计量方法的非流动资产的，持有待售类别的计量</w:t>
      </w:r>
      <w:r>
        <w:rPr>
          <w:spacing w:val="-64"/>
        </w:rPr>
        <w:t> </w:t>
      </w:r>
      <w:r>
        <w:rPr>
          <w:spacing w:val="-64"/>
        </w:rPr>
      </w:r>
      <w:r>
        <w:rPr/>
        <w:t>方法适用于整个处置组。处置组中负债的计量适用相关会计准则。</w:t>
      </w:r>
    </w:p>
    <w:p>
      <w:pPr>
        <w:pStyle w:val="BodyText"/>
        <w:spacing w:line="316" w:lineRule="auto" w:before="19"/>
        <w:ind w:right="0" w:firstLine="360"/>
        <w:jc w:val="left"/>
      </w:pPr>
      <w:r>
        <w:rPr/>
        <w:t>非流动资产或处置组因不再满足持有待售类别的划分条件而不再继续划分为持有待售类别或非流动资产从持有待售的 </w:t>
      </w:r>
      <w:r>
        <w:rPr>
          <w:spacing w:val="-2"/>
        </w:rPr>
        <w:t>处置组中移除时，按照以下两者孰低计量：①划分为持有待售类别前的账面价值，按照假定不划分为持有待售类别情况下本</w:t>
      </w:r>
      <w:r>
        <w:rPr>
          <w:spacing w:val="-66"/>
        </w:rPr>
        <w:t> </w:t>
      </w:r>
      <w:r>
        <w:rPr>
          <w:spacing w:val="-66"/>
        </w:rPr>
      </w:r>
      <w:r>
        <w:rPr/>
        <w:t>应确认的折旧、摊销或减值等进行调整后的金额；②可收回金额。</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410" w:lineRule="atLeast" w:before="172"/>
        <w:ind w:left="574" w:right="0" w:firstLine="20"/>
        <w:jc w:val="left"/>
      </w:pPr>
      <w:r>
        <w:rPr/>
        <w:t>本集团长期股权投资主要是对子公司的投资、对联营企业的投资和对合营企业的投资。 本集团对共同控制的判断依据是所有参与方或参与方组合集体控制该安排，并且该安排相关活动的政策必须经过这些</w:t>
      </w:r>
    </w:p>
    <w:p>
      <w:pPr>
        <w:pStyle w:val="BodyText"/>
        <w:spacing w:line="240" w:lineRule="auto" w:before="75"/>
        <w:ind w:left="154" w:right="0"/>
        <w:jc w:val="left"/>
      </w:pPr>
      <w:r>
        <w:rPr/>
        <w:t>集体控制该安排的参与方一致同意。</w:t>
      </w:r>
    </w:p>
    <w:p>
      <w:pPr>
        <w:spacing w:line="240" w:lineRule="auto" w:before="7"/>
        <w:rPr>
          <w:rFonts w:ascii="宋体" w:hAnsi="宋体" w:cs="宋体" w:eastAsia="宋体" w:hint="default"/>
          <w:sz w:val="13"/>
          <w:szCs w:val="13"/>
        </w:rPr>
      </w:pPr>
    </w:p>
    <w:p>
      <w:pPr>
        <w:pStyle w:val="BodyText"/>
        <w:spacing w:line="307" w:lineRule="auto"/>
        <w:ind w:left="154" w:right="1130" w:firstLine="420"/>
        <w:jc w:val="both"/>
      </w:pPr>
      <w:r>
        <w:rPr/>
        <w:t>本集团直接或通过子公司间接拥有被投资单位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％的表决权时，通常认为对被投资单位具有重 </w:t>
      </w:r>
      <w:r>
        <w:rPr>
          <w:spacing w:val="-1"/>
        </w:rPr>
        <w:t>大影响。持有被投资单位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w:t>
      </w:r>
      <w:r>
        <w:rPr>
          <w:spacing w:val="-86"/>
        </w:rPr>
        <w:t> </w:t>
      </w:r>
      <w:r>
        <w:rPr>
          <w:spacing w:val="-86"/>
        </w:rPr>
      </w:r>
      <w:r>
        <w:rPr>
          <w:spacing w:val="-2"/>
        </w:rPr>
        <w:t>投资单位财务和经营政策制定过程、或与被投资单位之间发生重要交易、或向被投资单位派出管理人员、或向被投资单位提</w:t>
      </w:r>
      <w:r>
        <w:rPr>
          <w:spacing w:val="-66"/>
        </w:rPr>
        <w:t> </w:t>
      </w:r>
      <w:r>
        <w:rPr>
          <w:spacing w:val="-66"/>
        </w:rPr>
      </w:r>
      <w:r>
        <w:rPr/>
        <w:t>供关键技术资料等事实和情况判断对被投资单位具有重大影响。</w:t>
      </w:r>
    </w:p>
    <w:p>
      <w:pPr>
        <w:pStyle w:val="BodyText"/>
        <w:spacing w:line="316" w:lineRule="auto" w:before="127"/>
        <w:ind w:left="154" w:right="1131" w:firstLine="420"/>
        <w:jc w:val="both"/>
      </w:pPr>
      <w:r>
        <w:rPr/>
        <w:t>对被投资单位形成控制的，为本集团的子公司。通过同一控制下的企业合并取得的长期股权投资，在合并日按照取得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19"/>
        <w:ind w:left="154" w:right="1131" w:firstLine="420"/>
        <w:jc w:val="both"/>
      </w:pPr>
      <w:r>
        <w:rPr/>
        <w:t>通过多次交易分步取得同一控制下被投资单位的股权，最终形成企业合并的，应在取得控制权的报告期，补充披露在 </w:t>
      </w:r>
      <w:r>
        <w:rPr>
          <w:spacing w:val="-2"/>
        </w:rPr>
        <w:t>母公司财务报表中的长期股权投资的处理方法。例如：通过多次交易分步取得同一控制下被投资单位的股权，最终形成企业</w:t>
      </w:r>
      <w:r>
        <w:rPr>
          <w:spacing w:val="-66"/>
        </w:rPr>
        <w:t> </w:t>
      </w:r>
      <w:r>
        <w:rPr>
          <w:spacing w:val="-66"/>
        </w:rPr>
      </w:r>
      <w:r>
        <w:rPr>
          <w:spacing w:val="-2"/>
        </w:rPr>
        <w:t>合并，属于一揽子交易的，本集团将各项交易作为一项取得控制权的交易进行会计处理。不属于一览交易的，在合并日，根</w:t>
      </w:r>
      <w:r>
        <w:rPr>
          <w:spacing w:val="-66"/>
        </w:rPr>
        <w:t> </w:t>
      </w:r>
      <w:r>
        <w:rPr>
          <w:spacing w:val="-66"/>
        </w:rPr>
      </w:r>
      <w:r>
        <w:rPr>
          <w:spacing w:val="-2"/>
        </w:rPr>
        <w:t>据合并后享有被合并方净资产在最终控制方合并财务报表中的账面价值的份额作为长期股权投资的的初始投资成本。初始投</w:t>
      </w:r>
      <w:r>
        <w:rPr>
          <w:spacing w:val="-64"/>
        </w:rPr>
        <w:t> </w:t>
      </w:r>
      <w:r>
        <w:rPr>
          <w:spacing w:val="-64"/>
        </w:rPr>
      </w:r>
      <w:r>
        <w:rPr/>
        <w:t>资成本与达到合并前的长期股权投资账面价值加上合并日进一步取得股份新支付对价的账面价值之和的差额，调整资本公</w:t>
      </w:r>
      <w:r>
        <w:rPr>
          <w:spacing w:val="-9"/>
        </w:rPr>
        <w:t> </w:t>
      </w:r>
      <w:r>
        <w:rPr>
          <w:spacing w:val="-9"/>
        </w:rPr>
      </w:r>
      <w:r>
        <w:rPr/>
        <w:t>积，资本公积不足冲减的，冲减留存收益。</w:t>
      </w:r>
    </w:p>
    <w:p>
      <w:pPr>
        <w:pStyle w:val="BodyText"/>
        <w:spacing w:line="240" w:lineRule="auto" w:before="119"/>
        <w:ind w:left="574" w:right="0"/>
        <w:jc w:val="left"/>
      </w:pPr>
      <w:r>
        <w:rPr/>
        <w:t>通过非同一控制下的企业合并取得的长期股权投资，以合并成本作为初始投资成本。</w:t>
      </w:r>
    </w:p>
    <w:p>
      <w:pPr>
        <w:spacing w:line="240" w:lineRule="auto" w:before="8"/>
        <w:rPr>
          <w:rFonts w:ascii="宋体" w:hAnsi="宋体" w:cs="宋体" w:eastAsia="宋体" w:hint="default"/>
          <w:sz w:val="13"/>
          <w:szCs w:val="13"/>
        </w:rPr>
      </w:pPr>
    </w:p>
    <w:p>
      <w:pPr>
        <w:pStyle w:val="BodyText"/>
        <w:spacing w:line="316" w:lineRule="auto"/>
        <w:ind w:right="1131" w:firstLine="420"/>
        <w:jc w:val="both"/>
      </w:pPr>
      <w:r>
        <w:rPr/>
        <w:t>通过多次交易分步取得非同一控制下被投资单位的股权，最终形成企业合并的，应在取得控制权的报告期，补充披露 </w:t>
      </w:r>
      <w:r>
        <w:rPr>
          <w:spacing w:val="-2"/>
        </w:rPr>
        <w:t>在母公司财务报表中的长期股权投资成本处理方法。例如：通过多次交易分步取得非同一控制下被投资单位的股权，最终形</w:t>
      </w:r>
      <w:r>
        <w:rPr>
          <w:spacing w:val="-66"/>
        </w:rPr>
        <w:t> </w:t>
      </w:r>
      <w:r>
        <w:rPr>
          <w:spacing w:val="-66"/>
        </w:rPr>
      </w:r>
      <w:r>
        <w:rPr>
          <w:spacing w:val="-2"/>
        </w:rPr>
        <w:t>成企业合并，属于一揽子交易的，本集团将各项交易作为一项取得控制权的交易进行会计处理。不属于一览交易的，按照原</w:t>
      </w:r>
      <w:r>
        <w:rPr>
          <w:spacing w:val="-66"/>
        </w:rPr>
        <w:t> </w:t>
      </w:r>
      <w:r>
        <w:rPr>
          <w:spacing w:val="-66"/>
        </w:rPr>
      </w:r>
      <w:r>
        <w:rPr>
          <w:spacing w:val="-2"/>
        </w:rPr>
        <w:t>持有的股权投资账面价值加上新增投资成本之和，作为改按成本法核算的初始投资成本。购买日之前持有的股权采用权益法</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pStyle w:val="BodyText"/>
        <w:spacing w:line="316" w:lineRule="auto" w:before="119"/>
        <w:ind w:right="1033" w:firstLine="440"/>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w:t>
      </w:r>
      <w:r>
        <w:rPr>
          <w:spacing w:val="-2"/>
        </w:rPr>
        <w:t>按照投资合同或协议约定的价值作为投资成本；公司如有以债务重组、非货币性资产交换等方式取得的长期股权投资，应根</w:t>
      </w:r>
      <w:r>
        <w:rPr>
          <w:spacing w:val="-65"/>
        </w:rPr>
        <w:t> </w:t>
      </w:r>
      <w:r>
        <w:rPr>
          <w:spacing w:val="-65"/>
        </w:rPr>
      </w:r>
      <w:r>
        <w:rPr/>
        <w:t>据相关企业会计准则的规定并结合公司的实际情况披露确定投资成本的方法。</w:t>
      </w:r>
    </w:p>
    <w:p>
      <w:pPr>
        <w:pStyle w:val="BodyText"/>
        <w:spacing w:line="240" w:lineRule="auto" w:before="119"/>
        <w:ind w:left="594" w:right="0"/>
        <w:jc w:val="left"/>
      </w:pPr>
      <w:r>
        <w:rPr/>
        <w:t>本集团对子公司投资采用成本法核算，对合营企业及联营企业投资采用权益法核算。</w:t>
      </w:r>
    </w:p>
    <w:p>
      <w:pPr>
        <w:spacing w:line="240" w:lineRule="auto" w:before="7"/>
        <w:rPr>
          <w:rFonts w:ascii="宋体" w:hAnsi="宋体" w:cs="宋体" w:eastAsia="宋体" w:hint="default"/>
          <w:sz w:val="13"/>
          <w:szCs w:val="13"/>
        </w:rPr>
      </w:pPr>
    </w:p>
    <w:p>
      <w:pPr>
        <w:pStyle w:val="BodyText"/>
        <w:spacing w:line="316" w:lineRule="auto"/>
        <w:ind w:left="154" w:right="1133" w:firstLine="440"/>
        <w:jc w:val="both"/>
      </w:pPr>
      <w:r>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BodyText"/>
        <w:spacing w:line="316" w:lineRule="auto" w:before="119"/>
        <w:ind w:right="1033" w:firstLine="440"/>
        <w:jc w:val="left"/>
      </w:pPr>
      <w:r>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w:t>
      </w:r>
      <w:r>
        <w:rPr>
          <w:spacing w:val="-2"/>
        </w:rPr>
        <w:t>按照本集团的会计政策及会计期间，并抵销与联营企业及合营企业之间发生的内部交易损益按照持股比例计算归属于投资企</w:t>
      </w:r>
      <w:r>
        <w:rPr>
          <w:spacing w:val="-64"/>
        </w:rPr>
        <w:t> </w:t>
      </w:r>
      <w:r>
        <w:rPr>
          <w:spacing w:val="-64"/>
        </w:rPr>
      </w:r>
      <w:r>
        <w:rPr/>
        <w:t>业的部分，对被投资单位的净利润进行调整后确认。</w:t>
      </w:r>
    </w:p>
    <w:p>
      <w:pPr>
        <w:pStyle w:val="BodyText"/>
        <w:spacing w:line="316" w:lineRule="auto" w:before="119"/>
        <w:ind w:right="1131" w:firstLine="440"/>
        <w:jc w:val="both"/>
      </w:pPr>
      <w:r>
        <w:rPr/>
        <w:t>处置长期股权投资，其账面价值与实际取得价款的差额，计入当期投资收益。采用权益法核算的长期股权投资，因被 </w:t>
      </w:r>
      <w:r>
        <w:rPr>
          <w:spacing w:val="-2"/>
        </w:rPr>
        <w:t>投资单位除净损益以外所有者权益的其他变动而计入所有者权益的，处置该项投资时将原计入所有者权益的部分按相应比例</w:t>
      </w:r>
      <w:r>
        <w:rPr>
          <w:spacing w:val="-64"/>
        </w:rPr>
        <w:t> </w:t>
      </w:r>
      <w:r>
        <w:rPr>
          <w:spacing w:val="-64"/>
        </w:rPr>
      </w:r>
      <w:r>
        <w:rPr/>
        <w:t>转入当期投资损益。</w:t>
      </w:r>
    </w:p>
    <w:p>
      <w:pPr>
        <w:spacing w:line="240" w:lineRule="auto" w:before="10"/>
        <w:rPr>
          <w:rFonts w:ascii="宋体" w:hAnsi="宋体" w:cs="宋体" w:eastAsia="宋体" w:hint="default"/>
          <w:sz w:val="19"/>
          <w:szCs w:val="19"/>
        </w:rPr>
      </w:pPr>
    </w:p>
    <w:p>
      <w:pPr>
        <w:pStyle w:val="BodyText"/>
        <w:spacing w:line="319" w:lineRule="auto"/>
        <w:ind w:right="1133" w:firstLine="440"/>
        <w:jc w:val="both"/>
      </w:pPr>
      <w:r>
        <w:rPr/>
        <w:t>因处置部分股权投资等原因丧失了对被投资单位的共同控制或重大影响的，处置后的剩余股权改按可供出售金融资产 </w:t>
      </w:r>
      <w:r>
        <w:rPr>
          <w:spacing w:val="-2"/>
        </w:rPr>
        <w:t>核算，剩余股权在丧失共同控制或重大影响之日的公允价值与账面价值之间的差额计入当期损益。原股权投资因采用权益法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t>理。</w:t>
      </w:r>
    </w:p>
    <w:p>
      <w:pPr>
        <w:pStyle w:val="BodyText"/>
        <w:spacing w:line="316" w:lineRule="auto" w:before="118"/>
        <w:ind w:left="154" w:right="1131" w:firstLine="440"/>
        <w:jc w:val="both"/>
      </w:pPr>
      <w:r>
        <w:rPr/>
        <w:t>因处置部分长期股权投资丧失了对被投资单位控制的，处置后的剩余股权能够对被投资单位实施共同控制或施加重大 </w:t>
      </w:r>
      <w:r>
        <w:rPr>
          <w:spacing w:val="-2"/>
        </w:rPr>
        <w:t>影响的，改按权益法核算，处置股权账面价值和处置对价的差额计入投资收益，并对该剩余股权视同自取得时即采用权益法</w:t>
      </w:r>
      <w:r>
        <w:rPr>
          <w:spacing w:val="-66"/>
        </w:rPr>
        <w:t> </w:t>
      </w:r>
      <w:r>
        <w:rPr>
          <w:spacing w:val="-66"/>
        </w:rPr>
      </w:r>
      <w:r>
        <w:rPr>
          <w:spacing w:val="-2"/>
        </w:rPr>
        <w:t>核算进行调整；处置后的剩余股权不能对被投资单位实施共同控制或施加重大影响的，改按可供出售金融资产的有关规定进</w:t>
      </w:r>
      <w:r>
        <w:rPr>
          <w:spacing w:val="-64"/>
        </w:rPr>
        <w:t> </w:t>
      </w:r>
      <w:r>
        <w:rPr>
          <w:spacing w:val="-64"/>
        </w:rPr>
      </w:r>
      <w:r>
        <w:rPr>
          <w:spacing w:val="-2"/>
        </w:rPr>
        <w:t>行会计处理，处置股权账面价值和处置对价的差额计入投资收益，剩余股权在丧失控制之日的公允价值与账面价值间的差额</w:t>
      </w:r>
      <w:r>
        <w:rPr>
          <w:spacing w:val="-64"/>
        </w:rPr>
        <w:t> </w:t>
      </w:r>
      <w:r>
        <w:rPr>
          <w:spacing w:val="-64"/>
        </w:rPr>
      </w:r>
      <w:r>
        <w:rPr/>
        <w:t>计入当期投资损益。</w:t>
      </w:r>
    </w:p>
    <w:p>
      <w:pPr>
        <w:pStyle w:val="BodyText"/>
        <w:spacing w:line="304" w:lineRule="auto" w:before="119"/>
        <w:ind w:right="1132" w:firstLine="440"/>
        <w:jc w:val="both"/>
      </w:pPr>
      <w:r>
        <w:rPr>
          <w:spacing w:val="-2"/>
        </w:rPr>
        <w:t>本集团对于分步处置股权至丧失控股权的各项交易不属于一揽子交易的，对每一项交易分别进行会计处理。属于</w:t>
      </w:r>
      <w:r>
        <w:rPr>
          <w:rFonts w:ascii="Times New Roman" w:hAnsi="Times New Roman" w:cs="Times New Roman" w:eastAsia="Times New Roman" w:hint="default"/>
          <w:spacing w:val="-2"/>
        </w:rPr>
        <w:t>“</w:t>
      </w:r>
      <w:r>
        <w:rPr>
          <w:spacing w:val="-2"/>
        </w:rPr>
        <w:t>一揽</w:t>
      </w:r>
      <w:r>
        <w:rPr/>
        <w:t>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7"/>
        </w:rPr>
        <w:t> </w:t>
      </w:r>
      <w:r>
        <w:rPr>
          <w:spacing w:val="-77"/>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spacing w:line="240" w:lineRule="auto" w:before="3"/>
        <w:rPr>
          <w:rFonts w:ascii="宋体" w:hAnsi="宋体" w:cs="宋体" w:eastAsia="宋体" w:hint="default"/>
          <w:sz w:val="17"/>
          <w:szCs w:val="17"/>
        </w:rPr>
      </w:pPr>
    </w:p>
    <w:p>
      <w:pPr>
        <w:pStyle w:val="BodyText"/>
        <w:spacing w:line="240" w:lineRule="auto"/>
        <w:ind w:left="594" w:right="0"/>
        <w:jc w:val="left"/>
      </w:pPr>
      <w:r>
        <w:rPr/>
        <w:t>本集团投资性房地产包括房屋及建筑物。采用成本价值模式计量。</w:t>
      </w:r>
    </w:p>
    <w:p>
      <w:pPr>
        <w:spacing w:line="240" w:lineRule="auto" w:before="2"/>
        <w:rPr>
          <w:rFonts w:ascii="宋体" w:hAnsi="宋体" w:cs="宋体" w:eastAsia="宋体" w:hint="default"/>
          <w:sz w:val="24"/>
          <w:szCs w:val="24"/>
        </w:rPr>
      </w:pPr>
    </w:p>
    <w:p>
      <w:pPr>
        <w:pStyle w:val="BodyText"/>
        <w:spacing w:line="300" w:lineRule="auto"/>
        <w:ind w:right="1129" w:firstLine="440"/>
        <w:jc w:val="both"/>
      </w:pPr>
      <w:r>
        <w:rPr/>
        <w:t>本集团投资性房地产采用平均年限法计提折旧或摊销。各类投资性房地产的预计使用寿命、净残值率及年折旧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 </w:t>
      </w:r>
      <w:r>
        <w:rPr/>
        <w:t>率如下：</w:t>
      </w:r>
    </w:p>
    <w:p>
      <w:pPr>
        <w:spacing w:after="0" w:line="300"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90"/>
        <w:gridCol w:w="2015"/>
        <w:gridCol w:w="2254"/>
        <w:gridCol w:w="1775"/>
      </w:tblGrid>
      <w:tr>
        <w:trPr>
          <w:trHeight w:val="349" w:hRule="exact"/>
        </w:trPr>
        <w:tc>
          <w:tcPr>
            <w:tcW w:w="249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75"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2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20</w:t>
            </w:r>
          </w:p>
        </w:tc>
        <w:tc>
          <w:tcPr>
            <w:tcW w:w="22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5.00-10.00</w:t>
            </w:r>
          </w:p>
        </w:tc>
        <w:tc>
          <w:tcPr>
            <w:tcW w:w="17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4.50-4.75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2" w:firstLine="360"/>
        <w:jc w:val="left"/>
      </w:pPr>
      <w:r>
        <w:rPr>
          <w:spacing w:val="-2"/>
        </w:rPr>
        <w:t>本集团固定资产是指同时具有以下特征，即为生产商品、提供劳务、出租或经营管理而持有的，使用年限超过一年的有</w:t>
      </w:r>
      <w:r>
        <w:rPr/>
        <w:t> </w:t>
      </w:r>
      <w:r>
        <w:rPr>
          <w:spacing w:val="-2"/>
        </w:rPr>
        <w:t>形资产。固定资产在与其有关的经济利益很可能流入本集团、且其成本能够可靠计量时予以确认。固定资产包括房屋及建筑</w:t>
      </w:r>
      <w:r>
        <w:rPr>
          <w:spacing w:val="-66"/>
        </w:rPr>
        <w:t> </w:t>
      </w:r>
      <w:r>
        <w:rPr>
          <w:spacing w:val="-66"/>
        </w:rPr>
      </w:r>
      <w:r>
        <w:rPr>
          <w:spacing w:val="-2"/>
        </w:rPr>
        <w:t>物、机器设备、运输设备、办公设备和模具，按其取得时的成本作为入账的价值，其中，外购的固定资产成本包括买价和进</w:t>
      </w:r>
      <w:r>
        <w:rPr>
          <w:spacing w:val="-67"/>
        </w:rPr>
        <w:t> </w:t>
      </w:r>
      <w:r>
        <w:rPr>
          <w:spacing w:val="-67"/>
        </w:rPr>
      </w:r>
      <w:r>
        <w:rPr>
          <w:spacing w:val="-2"/>
        </w:rPr>
        <w:t>口关税等相关税费，以及为使固定资产达到预定可使用状态前所发生的可直接归属于该资产的其他支出；自行建造固定资产</w:t>
      </w:r>
      <w:r>
        <w:rPr>
          <w:spacing w:val="-64"/>
        </w:rPr>
        <w:t> </w:t>
      </w:r>
      <w:r>
        <w:rPr>
          <w:spacing w:val="-64"/>
        </w:rPr>
      </w:r>
      <w:r>
        <w:rPr>
          <w:spacing w:val="-2"/>
        </w:rPr>
        <w:t>的成本，由建造该项资产达到预定可使用状态前所发生的必要支出构成；投资者投入的固定资产，按投资合同或协议约定的</w:t>
      </w:r>
      <w:r>
        <w:rPr>
          <w:spacing w:val="-66"/>
        </w:rPr>
        <w:t> </w:t>
      </w:r>
      <w:r>
        <w:rPr>
          <w:spacing w:val="-66"/>
        </w:rPr>
      </w:r>
      <w:r>
        <w:rPr>
          <w:spacing w:val="-2"/>
        </w:rPr>
        <w:t>价值作为入账价值，但合同或协议约定价值不公允的按公允价值入账；融资租赁租入的固定资产，按租赁开始日租赁资产公</w:t>
      </w:r>
      <w:r>
        <w:rPr>
          <w:spacing w:val="-66"/>
        </w:rPr>
        <w:t> </w:t>
      </w:r>
      <w:r>
        <w:rPr>
          <w:spacing w:val="-66"/>
        </w:rPr>
      </w:r>
      <w:r>
        <w:rPr/>
        <w:t>允价值与最低租赁付款额现值两者中较低者作为入账价值。与固定资产有关的后续支出，包括修理支出、更新改造支出等， </w:t>
      </w:r>
      <w:r>
        <w:rPr>
          <w:spacing w:val="-2"/>
        </w:rPr>
        <w:t>符合固定资产确认条件的，计入固定资产成本，对于被替换的部分，终止确认其账面价值；不符合固定资产确认条件的，于</w:t>
      </w:r>
      <w:r>
        <w:rPr>
          <w:spacing w:val="-66"/>
        </w:rPr>
        <w:t> </w:t>
      </w:r>
      <w:r>
        <w:rPr>
          <w:spacing w:val="-66"/>
        </w:rPr>
      </w:r>
      <w:r>
        <w:rPr/>
        <w:t>发生时计入当期损益。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4.50%-5.00%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18.00%-25.00%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18.00%-50.00%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）租赁开始日的最低租赁付款额现值，与该资产的公允价值不存在较大的差异。公司在承租开始</w:t>
      </w:r>
      <w:r>
        <w:rPr>
          <w:spacing w:val="-44"/>
        </w:rPr>
        <w:t> </w:t>
      </w:r>
      <w:r>
        <w:rPr>
          <w:spacing w:val="-44"/>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pStyle w:val="BodyText"/>
        <w:spacing w:line="240" w:lineRule="auto" w:before="67"/>
        <w:ind w:left="603" w:right="0"/>
        <w:jc w:val="left"/>
      </w:pPr>
      <w:r>
        <w:rPr/>
        <w:t>折旧方法：年限平均法。</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spacing w:line="240" w:lineRule="auto" w:before="6"/>
        <w:rPr>
          <w:rFonts w:ascii="宋体" w:hAnsi="宋体" w:cs="宋体" w:eastAsia="宋体" w:hint="default"/>
          <w:sz w:val="17"/>
          <w:szCs w:val="17"/>
        </w:rPr>
      </w:pPr>
    </w:p>
    <w:p>
      <w:pPr>
        <w:pStyle w:val="BodyText"/>
        <w:spacing w:line="316" w:lineRule="auto"/>
        <w:ind w:left="154" w:right="1131" w:firstLine="440"/>
        <w:jc w:val="both"/>
      </w:pPr>
      <w:r>
        <w:rPr/>
        <w:t>在建工程按实际发生的成本计量。自营建筑工程按直接材料、直接工资、直接施工费等计量；出包建筑工程按应支付 </w:t>
      </w:r>
      <w:r>
        <w:rPr>
          <w:spacing w:val="-2"/>
        </w:rPr>
        <w:t>的工程价款等计量；设备安装工程按所安装设备的价值、安装费用、工程试运转等所发生的支出等确定工程成本。在建工程</w:t>
      </w:r>
      <w:r>
        <w:rPr>
          <w:spacing w:val="-66"/>
        </w:rPr>
        <w:t> </w:t>
      </w:r>
      <w:r>
        <w:rPr>
          <w:spacing w:val="-66"/>
        </w:rPr>
      </w:r>
      <w:r>
        <w:rPr/>
        <w:t>成本还包括应当资本化的借款费用和汇兑损益。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440"/>
        <w:jc w:val="left"/>
      </w:pPr>
      <w:r>
        <w:rPr/>
        <w:t>在建工程在达到预定可使用状态之日起，根据工程预算、造价或工程实际成本等，按估计的价值结转固定资产，次月 起开始计提折旧，待办理了竣工决算手续后再对固定资产原值差异进行调整。</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firstLine="440"/>
        <w:jc w:val="left"/>
      </w:pPr>
      <w:r>
        <w:rPr>
          <w:spacing w:val="-2"/>
        </w:rPr>
        <w:t>发生的可直接归属于需要经过</w:t>
      </w:r>
      <w:r>
        <w:rPr>
          <w:rFonts w:ascii="Times New Roman" w:hAnsi="Times New Roman" w:cs="Times New Roman" w:eastAsia="Times New Roman" w:hint="default"/>
          <w:spacing w:val="-2"/>
        </w:rPr>
        <w:t>1</w:t>
      </w:r>
      <w:r>
        <w:rPr>
          <w:spacing w:val="-2"/>
        </w:rPr>
        <w:t>年以上的购建或者生产活动才能达到预定可使用或者可销售状态的固定资产、投资性房</w:t>
      </w:r>
      <w:r>
        <w:rPr/>
        <w:t> </w:t>
      </w:r>
      <w:r>
        <w:rPr>
          <w:spacing w:val="-2"/>
        </w:rPr>
        <w:t>地产和存货等的借款费用，在资产支出已经发生、借款费用已经发生、为使资产达到预定可使用或可销售状态所必要的购建</w:t>
      </w:r>
      <w:r>
        <w:rPr>
          <w:spacing w:val="-66"/>
        </w:rPr>
        <w:t> </w:t>
      </w:r>
      <w:r>
        <w:rPr>
          <w:spacing w:val="-66"/>
        </w:rPr>
      </w:r>
      <w:r>
        <w:rPr/>
        <w:t>或生产活动已经开始时，开始资本化；当购建或生产符合资本化条件的资产达到预定可使用或可销售状态时，停止资本化，</w:t>
      </w:r>
      <w:r>
        <w:rPr/>
        <w:t> </w:t>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line="240" w:lineRule="auto" w:before="5"/>
        <w:rPr>
          <w:rFonts w:ascii="宋体" w:hAnsi="宋体" w:cs="宋体" w:eastAsia="宋体" w:hint="default"/>
          <w:sz w:val="18"/>
          <w:szCs w:val="18"/>
        </w:rPr>
      </w:pPr>
    </w:p>
    <w:p>
      <w:pPr>
        <w:pStyle w:val="BodyText"/>
        <w:spacing w:line="316" w:lineRule="auto"/>
        <w:ind w:left="154" w:right="1130" w:firstLine="440"/>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3"/>
        </w:rPr>
        <w:t> </w:t>
      </w:r>
      <w:r>
        <w:rPr>
          <w:spacing w:val="-63"/>
        </w:rPr>
      </w:r>
      <w:r>
        <w:rPr/>
        <w:t>化率，确定资本化金额。资本化率根据一般借款加权平均利率计算确定。</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9、生物资产" w:id="199"/>
      <w:bookmarkEnd w:id="19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200"/>
      <w:bookmarkEnd w:id="20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201"/>
      <w:bookmarkEnd w:id="20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40"/>
        <w:jc w:val="both"/>
      </w:pPr>
      <w:r>
        <w:rPr/>
        <w:t>本集团无形资产包括土地使用权、专利技术、非专利技术、软件等，按取得时的实际成本计量，其中，购入的无形资 </w:t>
      </w:r>
      <w:r>
        <w:rPr>
          <w:spacing w:val="-2"/>
        </w:rPr>
        <w:t>产，按实际支付的价款和相关的其他支出作为实际成本；投资者投入的无形资产，按投资合同或协议约定的价值确定实际成</w:t>
      </w:r>
      <w:r>
        <w:rPr>
          <w:spacing w:val="-66"/>
        </w:rPr>
        <w:t> </w:t>
      </w:r>
      <w:r>
        <w:rPr>
          <w:spacing w:val="-66"/>
        </w:rPr>
      </w:r>
      <w:r>
        <w:rPr>
          <w:spacing w:val="-2"/>
        </w:rPr>
        <w:t>本，但合同或协议约定价值不公允的，按公允价值确定实际成本；对非同一控制下合并中取得被购买方拥有的但在其财务报</w:t>
      </w:r>
      <w:r>
        <w:rPr>
          <w:spacing w:val="-66"/>
        </w:rPr>
        <w:t> </w:t>
      </w:r>
      <w:r>
        <w:rPr>
          <w:spacing w:val="-66"/>
        </w:rPr>
      </w:r>
      <w:r>
        <w:rPr/>
        <w:t>表中未确认的无形资产，在对被购买方资产进行初始确认时，按公允价值确认为无形资产。</w:t>
      </w:r>
    </w:p>
    <w:p>
      <w:pPr>
        <w:spacing w:line="240" w:lineRule="auto" w:before="10"/>
        <w:rPr>
          <w:rFonts w:ascii="宋体" w:hAnsi="宋体" w:cs="宋体" w:eastAsia="宋体" w:hint="default"/>
          <w:sz w:val="19"/>
          <w:szCs w:val="19"/>
        </w:rPr>
      </w:pPr>
    </w:p>
    <w:p>
      <w:pPr>
        <w:pStyle w:val="BodyText"/>
        <w:spacing w:line="316" w:lineRule="auto"/>
        <w:ind w:left="154" w:right="1032" w:firstLine="440"/>
        <w:jc w:val="left"/>
      </w:pPr>
      <w:r>
        <w:rPr/>
        <w:t>土地使用权从出让起始日起，按其出让年限平均摊销；专利技术、非专利技术和其他无形资产按预计使用年限、合同 规定的受益年限和法律规定的有效年限三者中最短者分期平均摊销。摊销金额按其受益对象计入相关资产成本和当期损益。 对使用寿命有限的无形资产的预计使用寿命及摊销方法于每年年度终了进行复核，如发生改变，则作为会计估计变更处理。</w:t>
      </w:r>
    </w:p>
    <w:p>
      <w:pPr>
        <w:spacing w:line="240" w:lineRule="auto" w:before="10"/>
        <w:rPr>
          <w:rFonts w:ascii="宋体" w:hAnsi="宋体" w:cs="宋体" w:eastAsia="宋体" w:hint="default"/>
          <w:sz w:val="19"/>
          <w:szCs w:val="19"/>
        </w:rPr>
      </w:pPr>
    </w:p>
    <w:p>
      <w:pPr>
        <w:pStyle w:val="BodyText"/>
        <w:spacing w:line="316" w:lineRule="auto"/>
        <w:ind w:left="154" w:right="0" w:firstLine="440"/>
        <w:jc w:val="left"/>
      </w:pPr>
      <w:r>
        <w:rPr>
          <w:spacing w:val="-2"/>
        </w:rPr>
        <w:t>在每个会计期间对使用寿命不确定的无形资产的预计使用寿命进行复核，如有证据表明无形资产的使用寿命是有限的，</w:t>
      </w:r>
      <w:r>
        <w:rPr/>
        <w:t> 则估计其使用寿命并在预计使用寿命内摊销。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40"/>
        <w:jc w:val="left"/>
      </w:pPr>
      <w:r>
        <w:rPr/>
        <w:t>本集团内部研究开发项目支出根据其性质以及研发活动最终形成无形资产是否具有较大不确定性，分为研究阶段支出 和开发阶段支出。</w:t>
      </w:r>
    </w:p>
    <w:p>
      <w:pPr>
        <w:spacing w:line="240" w:lineRule="auto" w:before="10"/>
        <w:rPr>
          <w:rFonts w:ascii="宋体" w:hAnsi="宋体" w:cs="宋体" w:eastAsia="宋体" w:hint="default"/>
          <w:sz w:val="19"/>
          <w:szCs w:val="19"/>
        </w:rPr>
      </w:pPr>
    </w:p>
    <w:p>
      <w:pPr>
        <w:pStyle w:val="BodyText"/>
        <w:spacing w:line="316" w:lineRule="auto"/>
        <w:ind w:left="154" w:right="1132" w:firstLine="440"/>
        <w:jc w:val="left"/>
      </w:pPr>
      <w:r>
        <w:rPr/>
        <w:t>自行研究开发的无形资产，其研究阶段的支出，于发生时计入当期损益；其开发阶段的支出，同时满足下列条件的， 确认为无形资产：</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54" w:right="0"/>
        <w:jc w:val="left"/>
      </w:pPr>
      <w:r>
        <w:rPr>
          <w:rFonts w:ascii="宋体" w:hAnsi="宋体" w:cs="宋体" w:eastAsia="宋体" w:hint="default"/>
        </w:rPr>
        <w:t>1</w:t>
      </w:r>
      <w:r>
        <w:rPr/>
        <w:t>） 完成该无形资产以使其能够使用或出售在技术上具有可行性；</w:t>
      </w:r>
    </w:p>
    <w:p>
      <w:pPr>
        <w:pStyle w:val="BodyText"/>
        <w:spacing w:line="240" w:lineRule="auto" w:before="76"/>
        <w:ind w:left="653" w:right="0"/>
        <w:jc w:val="left"/>
      </w:pPr>
      <w:r>
        <w:rPr>
          <w:rFonts w:ascii="宋体" w:hAnsi="宋体" w:cs="宋体" w:eastAsia="宋体" w:hint="default"/>
        </w:rPr>
        <w:t>2</w:t>
      </w:r>
      <w:r>
        <w:rPr/>
        <w:t>）</w:t>
      </w:r>
      <w:r>
        <w:rPr>
          <w:spacing w:val="-4"/>
        </w:rPr>
        <w:t> </w:t>
      </w:r>
      <w:r>
        <w:rPr/>
        <w:t>具有完成该无形资产并使用或出售的意图；</w:t>
      </w:r>
    </w:p>
    <w:p>
      <w:pPr>
        <w:pStyle w:val="BodyText"/>
        <w:spacing w:line="240" w:lineRule="auto" w:before="76"/>
        <w:ind w:left="653" w:right="0"/>
        <w:jc w:val="left"/>
      </w:pPr>
      <w:r>
        <w:rPr>
          <w:rFonts w:ascii="宋体" w:hAnsi="宋体" w:cs="宋体" w:eastAsia="宋体" w:hint="default"/>
        </w:rPr>
        <w:t>3</w:t>
      </w:r>
      <w:r>
        <w:rPr/>
        <w:t>）</w:t>
      </w:r>
      <w:r>
        <w:rPr>
          <w:spacing w:val="-4"/>
        </w:rPr>
        <w:t> </w:t>
      </w:r>
      <w:r>
        <w:rPr/>
        <w:t>运用该无形资产生产的产品存在市场或无形资产自身存在市场；</w:t>
      </w:r>
    </w:p>
    <w:p>
      <w:pPr>
        <w:pStyle w:val="BodyText"/>
        <w:spacing w:line="240" w:lineRule="auto" w:before="76"/>
        <w:ind w:left="653" w:right="0"/>
        <w:jc w:val="left"/>
      </w:pPr>
      <w:r>
        <w:rPr>
          <w:rFonts w:ascii="宋体" w:hAnsi="宋体" w:cs="宋体" w:eastAsia="宋体" w:hint="default"/>
        </w:rPr>
        <w:t>4</w:t>
      </w:r>
      <w:r>
        <w:rPr/>
        <w:t>）</w:t>
      </w:r>
      <w:r>
        <w:rPr>
          <w:spacing w:val="-4"/>
        </w:rPr>
        <w:t> </w:t>
      </w:r>
      <w:r>
        <w:rPr/>
        <w:t>有足够的技术、财务资源和其他资源支持，以完成该无形资产的开发，并有能力使用或出售该无形资产；</w:t>
      </w:r>
    </w:p>
    <w:p>
      <w:pPr>
        <w:pStyle w:val="BodyText"/>
        <w:spacing w:line="240" w:lineRule="auto" w:before="77"/>
        <w:ind w:left="653" w:right="0"/>
        <w:jc w:val="left"/>
      </w:pPr>
      <w:r>
        <w:rPr>
          <w:rFonts w:ascii="宋体" w:hAnsi="宋体" w:cs="宋体" w:eastAsia="宋体" w:hint="default"/>
        </w:rPr>
        <w:t>5</w:t>
      </w:r>
      <w:r>
        <w:rPr/>
        <w:t>）</w:t>
      </w:r>
      <w:r>
        <w:rPr>
          <w:spacing w:val="-4"/>
        </w:rPr>
        <w:t> </w:t>
      </w:r>
      <w:r>
        <w:rPr/>
        <w:t>归属于该无形资产开发阶段的支出能够可靠地计量。</w:t>
      </w:r>
    </w:p>
    <w:p>
      <w:pPr>
        <w:spacing w:line="240" w:lineRule="auto" w:before="2"/>
        <w:rPr>
          <w:rFonts w:ascii="宋体" w:hAnsi="宋体" w:cs="宋体" w:eastAsia="宋体" w:hint="default"/>
          <w:sz w:val="24"/>
          <w:szCs w:val="24"/>
        </w:rPr>
      </w:pPr>
    </w:p>
    <w:p>
      <w:pPr>
        <w:pStyle w:val="BodyText"/>
        <w:spacing w:line="316" w:lineRule="auto"/>
        <w:ind w:right="0" w:firstLine="440"/>
        <w:jc w:val="left"/>
      </w:pPr>
      <w:r>
        <w:rPr>
          <w:spacing w:val="-2"/>
        </w:rPr>
        <w:t>不满足上述条件的开发阶段的支出，于发生时计入当期损益。前期已计入损益的开发支出在以后期间不再确认为资产。</w:t>
      </w:r>
      <w:r>
        <w:rPr/>
        <w:t> 已资本化的开发阶段的支出在资产负债表上列示为开发支出，自该项目达到预定可使用状态之日起转为无形资产列报。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2、长期资产减值" w:id="204"/>
      <w:bookmarkEnd w:id="20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98"/>
        <w:jc w:val="left"/>
      </w:pPr>
      <w:r>
        <w:rPr/>
        <w:t>本集团于每一资产负债表日对固定资产、在建工程、使用寿命有限的无形资产等项目进行检查，当存在减值迹象时，</w:t>
      </w:r>
      <w:r>
        <w:rPr>
          <w:spacing w:val="1"/>
        </w:rPr>
        <w:t> </w:t>
      </w:r>
      <w:r>
        <w:rPr/>
        <w:t>本集团进行减值测试。对商誉和使用寿命不确定的无形资产，无论是否存在减值迹象，每年末均进行减值测试。</w:t>
      </w:r>
    </w:p>
    <w:p>
      <w:pPr>
        <w:pStyle w:val="BodyText"/>
        <w:spacing w:line="316" w:lineRule="auto" w:before="119"/>
        <w:ind w:left="154" w:right="1114" w:firstLine="458"/>
        <w:jc w:val="left"/>
      </w:pPr>
      <w:r>
        <w:rPr/>
        <w:t>减值测试后，若该资产的账面价值超过其可收回金额，其差额确认为减值损失。资产的可收回金额是指资产的公允价 值减去处置费用后的净额与资产预计未来现金流量的现值两者之间的较高者。</w:t>
      </w:r>
    </w:p>
    <w:p>
      <w:pPr>
        <w:pStyle w:val="BodyText"/>
        <w:spacing w:line="240" w:lineRule="auto" w:before="119"/>
        <w:ind w:left="594" w:right="0"/>
        <w:jc w:val="left"/>
      </w:pPr>
      <w:r>
        <w:rPr/>
        <w:t>出现减值的迹象如下：</w:t>
      </w:r>
    </w:p>
    <w:p>
      <w:pPr>
        <w:spacing w:line="240" w:lineRule="auto" w:before="7"/>
        <w:rPr>
          <w:rFonts w:ascii="宋体" w:hAnsi="宋体" w:cs="宋体" w:eastAsia="宋体" w:hint="default"/>
          <w:sz w:val="13"/>
          <w:szCs w:val="13"/>
        </w:rPr>
      </w:pPr>
    </w:p>
    <w:p>
      <w:pPr>
        <w:pStyle w:val="BodyText"/>
        <w:spacing w:line="240" w:lineRule="auto"/>
        <w:ind w:left="612" w:right="0"/>
        <w:jc w:val="left"/>
      </w:pPr>
      <w:r>
        <w:rPr/>
        <w:t>（</w:t>
      </w:r>
      <w:r>
        <w:rPr>
          <w:rFonts w:ascii="宋体" w:hAnsi="宋体" w:cs="宋体" w:eastAsia="宋体" w:hint="default"/>
        </w:rPr>
        <w:t>1</w:t>
      </w:r>
      <w:r>
        <w:rPr/>
        <w:t>）资产的市价当期大幅度下跌，其跌幅明显高于因时间的推移或者正常使用而预计的下跌；</w:t>
      </w:r>
    </w:p>
    <w:p>
      <w:pPr>
        <w:spacing w:line="240" w:lineRule="auto" w:before="6"/>
        <w:rPr>
          <w:rFonts w:ascii="宋体" w:hAnsi="宋体" w:cs="宋体" w:eastAsia="宋体" w:hint="default"/>
          <w:sz w:val="13"/>
          <w:szCs w:val="13"/>
        </w:rPr>
      </w:pPr>
    </w:p>
    <w:p>
      <w:pPr>
        <w:pStyle w:val="BodyText"/>
        <w:spacing w:line="316" w:lineRule="auto"/>
        <w:ind w:left="154" w:right="1128" w:firstLine="458"/>
        <w:jc w:val="left"/>
      </w:pPr>
      <w:r>
        <w:rPr>
          <w:spacing w:val="-2"/>
        </w:rPr>
        <w:t>（</w:t>
      </w:r>
      <w:r>
        <w:rPr>
          <w:rFonts w:ascii="宋体" w:hAnsi="宋体" w:cs="宋体" w:eastAsia="宋体" w:hint="default"/>
          <w:spacing w:val="-2"/>
        </w:rPr>
        <w:t>2</w:t>
      </w:r>
      <w:r>
        <w:rPr>
          <w:spacing w:val="-2"/>
        </w:rPr>
        <w:t>）企业经营所处的经济、技术或者法律等环境以及资产所处的市场在当期或者将在近期发生重大变化，从而对企业</w:t>
      </w:r>
      <w:r>
        <w:rPr/>
        <w:t> 产生不利影响；</w:t>
      </w:r>
    </w:p>
    <w:p>
      <w:pPr>
        <w:pStyle w:val="BodyText"/>
        <w:spacing w:line="316" w:lineRule="auto" w:before="119"/>
        <w:ind w:left="154" w:right="1128" w:firstLine="458"/>
        <w:jc w:val="left"/>
      </w:pPr>
      <w:r>
        <w:rPr>
          <w:spacing w:val="-2"/>
        </w:rPr>
        <w:t>（</w:t>
      </w:r>
      <w:r>
        <w:rPr>
          <w:rFonts w:ascii="宋体" w:hAnsi="宋体" w:cs="宋体" w:eastAsia="宋体" w:hint="default"/>
          <w:spacing w:val="-2"/>
        </w:rPr>
        <w:t>3</w:t>
      </w:r>
      <w:r>
        <w:rPr>
          <w:spacing w:val="-2"/>
        </w:rPr>
        <w:t>）市场利率或者其他市场投资报酬率在当期已经提高，从而影响企业计算资产预计未来现金流量现值的折现率，导</w:t>
      </w:r>
      <w:r>
        <w:rPr/>
        <w:t> 致资产可收回金额大幅度降低；</w:t>
      </w:r>
    </w:p>
    <w:p>
      <w:pPr>
        <w:pStyle w:val="BodyText"/>
        <w:spacing w:line="240" w:lineRule="auto" w:before="120"/>
        <w:ind w:left="612" w:right="0"/>
        <w:jc w:val="left"/>
      </w:pPr>
      <w:r>
        <w:rPr/>
        <w:t>（</w:t>
      </w:r>
      <w:r>
        <w:rPr>
          <w:rFonts w:ascii="宋体" w:hAnsi="宋体" w:cs="宋体" w:eastAsia="宋体" w:hint="default"/>
        </w:rPr>
        <w:t>4</w:t>
      </w:r>
      <w:r>
        <w:rPr/>
        <w:t>）有证据表明资产已经陈旧过时或者其实体已经损坏；</w:t>
      </w:r>
    </w:p>
    <w:p>
      <w:pPr>
        <w:spacing w:line="240" w:lineRule="auto" w:before="6"/>
        <w:rPr>
          <w:rFonts w:ascii="宋体" w:hAnsi="宋体" w:cs="宋体" w:eastAsia="宋体" w:hint="default"/>
          <w:sz w:val="13"/>
          <w:szCs w:val="13"/>
        </w:rPr>
      </w:pPr>
    </w:p>
    <w:p>
      <w:pPr>
        <w:pStyle w:val="BodyText"/>
        <w:spacing w:line="240" w:lineRule="auto"/>
        <w:ind w:left="612" w:right="0"/>
        <w:jc w:val="left"/>
      </w:pPr>
      <w:r>
        <w:rPr/>
        <w:t>（</w:t>
      </w:r>
      <w:r>
        <w:rPr>
          <w:rFonts w:ascii="宋体" w:hAnsi="宋体" w:cs="宋体" w:eastAsia="宋体" w:hint="default"/>
        </w:rPr>
        <w:t>5</w:t>
      </w:r>
      <w:r>
        <w:rPr/>
        <w:t>）资产已经或者将被闲置、终止使用或者计划提前处置；</w:t>
      </w:r>
    </w:p>
    <w:p>
      <w:pPr>
        <w:spacing w:line="240" w:lineRule="auto" w:before="6"/>
        <w:rPr>
          <w:rFonts w:ascii="宋体" w:hAnsi="宋体" w:cs="宋体" w:eastAsia="宋体" w:hint="default"/>
          <w:sz w:val="13"/>
          <w:szCs w:val="13"/>
        </w:rPr>
      </w:pPr>
    </w:p>
    <w:p>
      <w:pPr>
        <w:pStyle w:val="BodyText"/>
        <w:spacing w:line="316" w:lineRule="auto"/>
        <w:ind w:left="154" w:right="1128" w:firstLine="458"/>
        <w:jc w:val="left"/>
      </w:pPr>
      <w:r>
        <w:rPr>
          <w:spacing w:val="-2"/>
        </w:rPr>
        <w:t>（</w:t>
      </w:r>
      <w:r>
        <w:rPr>
          <w:rFonts w:ascii="宋体" w:hAnsi="宋体" w:cs="宋体" w:eastAsia="宋体" w:hint="default"/>
          <w:spacing w:val="-2"/>
        </w:rPr>
        <w:t>6</w:t>
      </w:r>
      <w:r>
        <w:rPr>
          <w:spacing w:val="-2"/>
        </w:rPr>
        <w:t>）企业内部报告的证据表明资产的经济绩效已经低于或者将低于预期，如资产所创造的净现金流量或者实现的营业</w:t>
      </w:r>
      <w:r>
        <w:rPr/>
        <w:t> 利润（或者亏损）远远低于（或者高于）预计金额等；</w:t>
      </w:r>
    </w:p>
    <w:p>
      <w:pPr>
        <w:pStyle w:val="BodyText"/>
        <w:spacing w:line="412" w:lineRule="exact"/>
        <w:ind w:left="594" w:right="1132" w:firstLine="18"/>
        <w:jc w:val="left"/>
      </w:pPr>
      <w:r>
        <w:rPr/>
        <w:t>（</w:t>
      </w:r>
      <w:r>
        <w:rPr>
          <w:rFonts w:ascii="宋体" w:hAnsi="宋体" w:cs="宋体" w:eastAsia="宋体" w:hint="default"/>
        </w:rPr>
        <w:t>7</w:t>
      </w:r>
      <w:r>
        <w:rPr/>
        <w:t>）其他表明资产可能已经发生减值的迹象。 减值测试后，若该资产的账面价值超过其可收回金额，其差额确认为减值损失，上述资产的减值损失一经确认，在以</w:t>
      </w:r>
    </w:p>
    <w:p>
      <w:pPr>
        <w:pStyle w:val="BodyText"/>
        <w:spacing w:line="240" w:lineRule="auto" w:before="18"/>
        <w:ind w:left="154" w:right="0"/>
        <w:jc w:val="left"/>
      </w:pPr>
      <w:r>
        <w:rPr/>
        <w:t>后会计期间不予转回。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205"/>
      <w:bookmarkEnd w:id="20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58"/>
        <w:jc w:val="both"/>
      </w:pPr>
      <w:r>
        <w:rPr/>
        <w:t>本集团的长期待摊费用包括模具摊销费、工装费、装修费及软件服务费等费用。模具在受益期内按产量摊销，其他费 </w:t>
      </w:r>
      <w:r>
        <w:rPr>
          <w:spacing w:val="-2"/>
        </w:rPr>
        <w:t>用在受益期内平均摊销，如果长期待摊费用项目不能使以后会计期间受益，则将尚未摊销的该项目的摊余价值全部转入当期</w:t>
      </w:r>
      <w:r>
        <w:rPr>
          <w:spacing w:val="-64"/>
        </w:rPr>
        <w:t> </w:t>
      </w:r>
      <w:r>
        <w:rPr>
          <w:spacing w:val="-64"/>
        </w:rPr>
      </w:r>
      <w:r>
        <w:rPr/>
        <w:t>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职工薪酬" w:id="206"/>
      <w:bookmarkEnd w:id="20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7"/>
      <w:bookmarkEnd w:id="20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420" w:lineRule="auto"/>
        <w:ind w:left="612" w:right="1114"/>
        <w:jc w:val="left"/>
      </w:pPr>
      <w:r>
        <w:rPr/>
        <w:t>本公司职工薪酬包括短期薪酬、离职后福利、辞退福利和其他长期福利。 短期薪酬主要包括括工资、奖金、津贴和补贴、职工福利费、医疗保险费、生育保险费、工伤保险费、住房公积金、</w:t>
      </w:r>
    </w:p>
    <w:p>
      <w:pPr>
        <w:spacing w:after="0" w:line="42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工会经费和职工教育经费、非货币性福利等，在职工提供服务的会计期间，将实际发生的短期薪酬确认为负债，并按照受益</w:t>
      </w:r>
      <w:r>
        <w:rPr>
          <w:spacing w:val="-66"/>
        </w:rPr>
        <w:t> </w:t>
      </w:r>
      <w:r>
        <w:rPr>
          <w:spacing w:val="-66"/>
        </w:rPr>
      </w:r>
      <w:r>
        <w:rPr/>
        <w:t>对象计入当期损益或相关资产成本。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离职后福利的会计处理方法" w:id="208"/>
      <w:bookmarkEnd w:id="20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58"/>
        <w:jc w:val="both"/>
      </w:pPr>
      <w:r>
        <w:rPr/>
        <w:t>离职后福利主要包括设定提存计划。设定提存计划主要包括基本养老保险、失业保险，相应的应缴存金额于发生时计 入相关资产成本或当期损益。</w:t>
      </w:r>
    </w:p>
    <w:p>
      <w:pPr>
        <w:pStyle w:val="BodyText"/>
        <w:spacing w:line="316" w:lineRule="auto" w:before="119"/>
        <w:ind w:right="1131" w:firstLine="458"/>
        <w:jc w:val="both"/>
      </w:pPr>
      <w:r>
        <w:rPr/>
        <w:t>在职工劳动合同到期之前解除与职工的劳动关系，或为鼓励职工自愿接受裁减而提出给予补偿的建议，在本公司不能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辞退福利的会计处理方法" w:id="209"/>
      <w:bookmarkEnd w:id="20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58"/>
        <w:jc w:val="both"/>
      </w:pPr>
      <w:r>
        <w:rPr/>
        <w:t>辞退福利是本公司将自职工停止提供服务日至正常退休日的期间拟支付的内退人员工资和缴纳的社会保险费等，在符 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3" w:firstLine="458"/>
        <w:jc w:val="both"/>
      </w:pPr>
      <w:r>
        <w:rPr/>
        <w:t>本公司向职工提供的其他长期职工福利，符合设定提存计划的，按照设定提存计划进行会计处理，除此之外按照设定 收益计划进行会计处理。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预计负债" w:id="211"/>
      <w:bookmarkEnd w:id="21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78"/>
        <w:jc w:val="both"/>
      </w:pPr>
      <w:r>
        <w:rPr>
          <w:spacing w:val="-1"/>
        </w:rPr>
        <w:t>当与对外担保、商业承兑汇票贴现、未决诉讼或仲裁、产品质量保证等或有事项相关的业务同时符合以下条件时，本</w:t>
      </w:r>
      <w:r>
        <w:rPr/>
        <w:t> </w:t>
      </w:r>
      <w:r>
        <w:rPr>
          <w:spacing w:val="-2"/>
        </w:rPr>
        <w:t>集团将其确认为负债：该义务是本集团承担的现时义务；该义务的履行很可能导致经济利益流出企业；该义务的金额能够可</w:t>
      </w:r>
      <w:r>
        <w:rPr>
          <w:spacing w:val="-66"/>
        </w:rPr>
        <w:t> </w:t>
      </w:r>
      <w:r>
        <w:rPr>
          <w:spacing w:val="-66"/>
        </w:rPr>
      </w:r>
      <w:r>
        <w:rPr/>
        <w:t>靠地计量。</w:t>
      </w:r>
    </w:p>
    <w:p>
      <w:pPr>
        <w:spacing w:line="240" w:lineRule="auto" w:before="10"/>
        <w:rPr>
          <w:rFonts w:ascii="宋体" w:hAnsi="宋体" w:cs="宋体" w:eastAsia="宋体" w:hint="default"/>
          <w:sz w:val="19"/>
          <w:szCs w:val="19"/>
        </w:rPr>
      </w:pPr>
    </w:p>
    <w:p>
      <w:pPr>
        <w:pStyle w:val="BodyText"/>
        <w:spacing w:line="316" w:lineRule="auto"/>
        <w:ind w:left="154" w:right="1133" w:firstLine="440"/>
        <w:jc w:val="both"/>
      </w:pPr>
      <w:r>
        <w:rPr/>
        <w:t>预计负债按照履行相关现时义务所需支出的最佳估计数进行初始计量，并综合考虑与或有事项有关的风险、不确定性 </w:t>
      </w:r>
      <w:r>
        <w:rPr>
          <w:spacing w:val="-2"/>
        </w:rPr>
        <w:t>和货币时间价值等因素。货币时间价值影响重大的，通过对相关未来现金流出进行折现后确定最佳估计数。每个资产负债表</w:t>
      </w:r>
      <w:r>
        <w:rPr>
          <w:spacing w:val="-66"/>
        </w:rPr>
        <w:t> </w:t>
      </w:r>
      <w:r>
        <w:rPr>
          <w:spacing w:val="-66"/>
        </w:rPr>
      </w:r>
      <w:r>
        <w:rPr/>
        <w:t>日对预计负债的账面价值进行复核，如有改变则对账面价值进行调整以反映当前最佳估计数。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6、股份支付" w:id="212"/>
      <w:bookmarkEnd w:id="21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440"/>
        <w:jc w:val="both"/>
      </w:pPr>
      <w:r>
        <w:rPr/>
        <w:t>用以换取职工提供服务的以权益结算的股份支付，以授予职工权益工具在授予日的公允价值计量。该公允价值的金额 </w:t>
      </w: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9" w:lineRule="auto"/>
        <w:ind w:left="154" w:right="0" w:firstLine="440"/>
        <w:jc w:val="left"/>
      </w:pPr>
      <w:r>
        <w:rPr/>
        <w:t>以现金结算的股份支付，按照本集团承担的以股份或其他权益工具为基础确定的负债的公允价值计量。如授予后立即 </w:t>
      </w:r>
      <w:r>
        <w:rPr>
          <w:spacing w:val="-2"/>
        </w:rPr>
        <w:t>可行权，在授予日以承担负债的公允价值计入相关成本或费用，相应增加负债；如需完成等待期内的服务或达到规定业绩条</w:t>
      </w:r>
      <w:r>
        <w:rPr>
          <w:spacing w:val="-66"/>
        </w:rPr>
        <w:t> </w:t>
      </w:r>
      <w:r>
        <w:rPr>
          <w:spacing w:val="-66"/>
        </w:rPr>
      </w:r>
      <w:r>
        <w:rPr>
          <w:spacing w:val="-4"/>
        </w:rPr>
        <w:t>件以后才可行权，在等待期的每个资产负债表日，以对可行权情况的最佳估计为基础，按照本集团承担负债的公允价值金额，</w:t>
      </w:r>
      <w:r>
        <w:rPr>
          <w:spacing w:val="-44"/>
        </w:rPr>
        <w:t> </w:t>
      </w:r>
      <w:r>
        <w:rPr>
          <w:spacing w:val="-44"/>
        </w:rPr>
      </w:r>
      <w:r>
        <w:rPr/>
        <w:t>将当期取得的服务计入成本或费用，相应调整负债。</w:t>
      </w:r>
    </w:p>
    <w:p>
      <w:pPr>
        <w:spacing w:line="240" w:lineRule="auto" w:before="8"/>
        <w:rPr>
          <w:rFonts w:ascii="宋体" w:hAnsi="宋体" w:cs="宋体" w:eastAsia="宋体" w:hint="default"/>
          <w:sz w:val="19"/>
          <w:szCs w:val="19"/>
        </w:rPr>
      </w:pPr>
    </w:p>
    <w:p>
      <w:pPr>
        <w:pStyle w:val="BodyText"/>
        <w:spacing w:line="240" w:lineRule="auto"/>
        <w:ind w:left="594" w:right="0"/>
        <w:jc w:val="left"/>
      </w:pPr>
      <w:r>
        <w:rPr/>
        <w:t>在相关负债结算前的每个资产负债表日以及结算日，对负债的公允价值重新计量，其变动计入当期损益。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98"/>
        <w:jc w:val="left"/>
      </w:pPr>
      <w:r>
        <w:rPr/>
        <w:t>本集团在等待期内取消所授予权益工具的（因未满足可行权条件而被取消的除外），作为加速行权处理，即视同剩余</w:t>
      </w:r>
      <w:r>
        <w:rPr>
          <w:spacing w:val="1"/>
        </w:rPr>
        <w:t> </w:t>
      </w:r>
      <w:r>
        <w:rPr/>
        <w:t>等待期内的股权支付计划已经全部满足可行权条件，在取消所授予权益工具的当期确认剩余等待期内的所有费用。</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7、优先股、永续债等其他金融工具" w:id="213"/>
      <w:bookmarkEnd w:id="21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14"/>
      <w:bookmarkEnd w:id="21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spacing w:line="240" w:lineRule="auto" w:before="6"/>
        <w:rPr>
          <w:rFonts w:ascii="宋体" w:hAnsi="宋体" w:cs="宋体" w:eastAsia="宋体" w:hint="default"/>
          <w:sz w:val="17"/>
          <w:szCs w:val="17"/>
        </w:rPr>
      </w:pPr>
    </w:p>
    <w:p>
      <w:pPr>
        <w:pStyle w:val="BodyText"/>
        <w:spacing w:line="240" w:lineRule="auto"/>
        <w:ind w:left="594" w:right="0"/>
        <w:jc w:val="left"/>
      </w:pPr>
      <w:r>
        <w:rPr/>
        <w:t>（</w:t>
      </w:r>
      <w:r>
        <w:rPr>
          <w:rFonts w:ascii="Times New Roman" w:hAnsi="Times New Roman" w:cs="Times New Roman" w:eastAsia="Times New Roman" w:hint="default"/>
        </w:rPr>
        <w:t>1</w:t>
      </w:r>
      <w:r>
        <w:rPr/>
        <w:t>）本集团的营业收入主要包括销售商品收入、提供劳务收入、让渡资产使用权收入，收入确认政策如下：</w:t>
      </w:r>
    </w:p>
    <w:p>
      <w:pPr>
        <w:spacing w:line="240" w:lineRule="auto" w:before="1"/>
        <w:rPr>
          <w:rFonts w:ascii="宋体" w:hAnsi="宋体" w:cs="宋体" w:eastAsia="宋体" w:hint="default"/>
          <w:sz w:val="23"/>
          <w:szCs w:val="23"/>
        </w:rPr>
      </w:pPr>
    </w:p>
    <w:p>
      <w:pPr>
        <w:pStyle w:val="BodyText"/>
        <w:spacing w:line="309" w:lineRule="auto"/>
        <w:ind w:left="154" w:right="1131" w:firstLine="440"/>
        <w:jc w:val="both"/>
      </w:pPr>
      <w:r>
        <w:rPr>
          <w:rFonts w:ascii="Times New Roman" w:hAnsi="Times New Roman" w:cs="Times New Roman" w:eastAsia="Times New Roman" w:hint="default"/>
          <w:spacing w:val="-2"/>
        </w:rPr>
        <w:t>1</w:t>
      </w:r>
      <w:r>
        <w:rPr>
          <w:spacing w:val="-2"/>
        </w:rPr>
        <w:t>）销售商品收入：本集团在已将商品所有权上的主要风险和报酬转移给购货方、本集团既没有保留通常与所有权相联</w:t>
      </w:r>
      <w:r>
        <w:rPr/>
        <w:t> </w:t>
      </w:r>
      <w:r>
        <w:rPr>
          <w:spacing w:val="-2"/>
        </w:rPr>
        <w:t>系的继续管理权、也没有对已售出的商品实施有效控制、收入的金额能够可靠地计量、相关的经济利益很可能流入企业、相</w:t>
      </w:r>
      <w:r>
        <w:rPr>
          <w:spacing w:val="-66"/>
        </w:rPr>
        <w:t> </w:t>
      </w:r>
      <w:r>
        <w:rPr>
          <w:spacing w:val="-66"/>
        </w:rPr>
      </w:r>
      <w:r>
        <w:rPr/>
        <w:t>关的已发生或将发生的成本能够可靠地计量时，确认销售商品收入的实现。</w:t>
      </w:r>
    </w:p>
    <w:p>
      <w:pPr>
        <w:spacing w:line="240" w:lineRule="auto" w:before="3"/>
        <w:rPr>
          <w:rFonts w:ascii="宋体" w:hAnsi="宋体" w:cs="宋体" w:eastAsia="宋体" w:hint="default"/>
          <w:sz w:val="20"/>
          <w:szCs w:val="20"/>
        </w:rPr>
      </w:pPr>
    </w:p>
    <w:p>
      <w:pPr>
        <w:pStyle w:val="BodyText"/>
        <w:spacing w:line="240" w:lineRule="auto"/>
        <w:ind w:left="594" w:right="0"/>
        <w:jc w:val="left"/>
      </w:pPr>
      <w:r>
        <w:rPr/>
        <w:t>对于模具产品销售收入，以模具在客户处安装调试合格并取得客户签署的验收报告时确认销售收入。</w:t>
      </w:r>
    </w:p>
    <w:p>
      <w:pPr>
        <w:spacing w:line="240" w:lineRule="auto" w:before="2"/>
        <w:rPr>
          <w:rFonts w:ascii="宋体" w:hAnsi="宋体" w:cs="宋体" w:eastAsia="宋体" w:hint="default"/>
          <w:sz w:val="24"/>
          <w:szCs w:val="24"/>
        </w:rPr>
      </w:pPr>
    </w:p>
    <w:p>
      <w:pPr>
        <w:pStyle w:val="BodyText"/>
        <w:spacing w:line="314" w:lineRule="auto"/>
        <w:ind w:left="154" w:right="1032" w:firstLine="440"/>
        <w:jc w:val="left"/>
      </w:pPr>
      <w:r>
        <w:rPr>
          <w:rFonts w:ascii="Times New Roman" w:hAnsi="Times New Roman" w:cs="Times New Roman" w:eastAsia="Times New Roman" w:hint="default"/>
          <w:spacing w:val="-2"/>
        </w:rPr>
        <w:t>2</w:t>
      </w:r>
      <w:r>
        <w:rPr>
          <w:spacing w:val="-2"/>
        </w:rPr>
        <w:t>）提供劳务收入：提供劳务交易的结果在资产负债表日能够可靠估计的（同时满足收入的金额能够可靠地计量、相关</w:t>
      </w:r>
      <w:r>
        <w:rPr/>
        <w:t> </w:t>
      </w:r>
      <w:r>
        <w:rPr>
          <w:spacing w:val="-2"/>
        </w:rPr>
        <w:t>经济利益很可能流入、交易的完工进度能够可靠地确定、交易中已发生和将发生的成本能够可靠地计量），采用完工百分比</w:t>
      </w:r>
      <w:r>
        <w:rPr>
          <w:spacing w:val="-66"/>
        </w:rPr>
        <w:t> </w:t>
      </w:r>
      <w:r>
        <w:rPr>
          <w:spacing w:val="-66"/>
        </w:rPr>
      </w:r>
      <w:r>
        <w:rPr>
          <w:spacing w:val="-2"/>
        </w:rPr>
        <w:t>法确认提供劳务的收入，并按已经发生的成本占估计总成本的比例确定提供劳务交易的完工进度。提供劳务交易的结果在资</w:t>
      </w:r>
      <w:r>
        <w:rPr>
          <w:spacing w:val="-64"/>
        </w:rPr>
        <w:t> </w:t>
      </w:r>
      <w:r>
        <w:rPr>
          <w:spacing w:val="-64"/>
        </w:rPr>
      </w:r>
      <w:r>
        <w:rPr/>
        <w:t>产负债表日不能够可靠估计的，若已经发生的劳务成本预计能够得到补偿，按已经发生的劳务成本金额确认提供劳务收入， </w:t>
      </w:r>
      <w:r>
        <w:rPr>
          <w:spacing w:val="-2"/>
        </w:rPr>
        <w:t>并按相同金额结转劳务成本；若已经发生的劳务成本预计不能够得到补偿，将已经发生的劳务成本计入当期损益，不确认劳</w:t>
      </w:r>
      <w:r>
        <w:rPr>
          <w:spacing w:val="-66"/>
        </w:rPr>
        <w:t> </w:t>
      </w:r>
      <w:r>
        <w:rPr>
          <w:spacing w:val="-66"/>
        </w:rPr>
      </w:r>
      <w:r>
        <w:rPr/>
        <w:t>务收入。</w:t>
      </w:r>
    </w:p>
    <w:p>
      <w:pPr>
        <w:spacing w:line="240" w:lineRule="auto" w:before="12"/>
        <w:rPr>
          <w:rFonts w:ascii="宋体" w:hAnsi="宋体" w:cs="宋体" w:eastAsia="宋体" w:hint="default"/>
          <w:sz w:val="19"/>
          <w:szCs w:val="19"/>
        </w:rPr>
      </w:pPr>
    </w:p>
    <w:p>
      <w:pPr>
        <w:pStyle w:val="BodyText"/>
        <w:spacing w:line="300" w:lineRule="auto"/>
        <w:ind w:left="154" w:right="0" w:firstLine="440"/>
        <w:jc w:val="left"/>
      </w:pPr>
      <w:r>
        <w:rPr>
          <w:rFonts w:ascii="Times New Roman" w:hAnsi="Times New Roman" w:cs="Times New Roman" w:eastAsia="Times New Roman" w:hint="default"/>
          <w:spacing w:val="-2"/>
        </w:rPr>
        <w:t>3</w:t>
      </w:r>
      <w:r>
        <w:rPr>
          <w:spacing w:val="-2"/>
        </w:rPr>
        <w:t>）让渡资产使用权收入：与交易相关的经济利益很可能流入本集团、收入的金额能够可靠地计量时，确认让渡资产使</w:t>
      </w:r>
      <w:r>
        <w:rPr/>
        <w:t> 用权收入的实现。分别下列情况确定让渡资产使用权收入金额：</w:t>
      </w:r>
    </w:p>
    <w:p>
      <w:pPr>
        <w:pStyle w:val="BodyText"/>
        <w:spacing w:line="300" w:lineRule="auto" w:before="31"/>
        <w:ind w:left="595" w:right="4241"/>
        <w:jc w:val="left"/>
      </w:pPr>
      <w:r>
        <w:rPr>
          <w:rFonts w:ascii="Times New Roman" w:hAnsi="Times New Roman" w:cs="Times New Roman" w:eastAsia="Times New Roman" w:hint="default"/>
        </w:rPr>
        <w:t>A</w:t>
      </w:r>
      <w:r>
        <w:rPr/>
        <w:t>利息收入金额，按照他人使用本集团货币资金的时间和实际利率计算确定。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w:t>
      </w:r>
    </w:p>
    <w:p>
      <w:pPr>
        <w:pStyle w:val="BodyText"/>
        <w:spacing w:line="552" w:lineRule="exact" w:before="21"/>
        <w:ind w:left="594" w:right="0"/>
        <w:jc w:val="left"/>
      </w:pPr>
      <w:r>
        <w:rPr/>
        <w:t>（</w:t>
      </w:r>
      <w:r>
        <w:rPr>
          <w:rFonts w:ascii="Times New Roman" w:hAnsi="Times New Roman" w:cs="Times New Roman" w:eastAsia="Times New Roman" w:hint="default"/>
        </w:rPr>
        <w:t>2</w:t>
      </w:r>
      <w:r>
        <w:rPr/>
        <w:t>）本公司及其子公司（除联动优势科技有限公司及其子公司）收入确认具体政策： </w:t>
      </w:r>
      <w:r>
        <w:rPr>
          <w:spacing w:val="-2"/>
        </w:rPr>
        <w:t>本公司对客户实施信用等级管理，根据客户资质及规模确定信用额度，并划分为</w:t>
      </w:r>
      <w:r>
        <w:rPr>
          <w:rFonts w:ascii="Times New Roman" w:hAnsi="Times New Roman" w:cs="Times New Roman" w:eastAsia="Times New Roman" w:hint="default"/>
          <w:spacing w:val="-2"/>
        </w:rPr>
        <w:t>A</w:t>
      </w:r>
      <w:r>
        <w:rPr>
          <w:spacing w:val="-2"/>
        </w:rPr>
        <w:t>类、</w:t>
      </w:r>
      <w:r>
        <w:rPr>
          <w:rFonts w:ascii="Times New Roman" w:hAnsi="Times New Roman" w:cs="Times New Roman" w:eastAsia="Times New Roman" w:hint="default"/>
          <w:spacing w:val="-2"/>
        </w:rPr>
        <w:t>B</w:t>
      </w:r>
      <w:r>
        <w:rPr>
          <w:spacing w:val="-2"/>
        </w:rPr>
        <w:t>类、</w:t>
      </w:r>
      <w:r>
        <w:rPr>
          <w:rFonts w:ascii="Times New Roman" w:hAnsi="Times New Roman" w:cs="Times New Roman" w:eastAsia="Times New Roman" w:hint="default"/>
          <w:spacing w:val="-2"/>
        </w:rPr>
        <w:t>C</w:t>
      </w:r>
      <w:r>
        <w:rPr>
          <w:spacing w:val="-2"/>
        </w:rPr>
        <w:t>类、</w:t>
      </w:r>
      <w:r>
        <w:rPr>
          <w:rFonts w:ascii="Times New Roman" w:hAnsi="Times New Roman" w:cs="Times New Roman" w:eastAsia="Times New Roman" w:hint="default"/>
          <w:spacing w:val="-2"/>
        </w:rPr>
        <w:t>D</w:t>
      </w:r>
      <w:r>
        <w:rPr>
          <w:spacing w:val="-2"/>
        </w:rPr>
        <w:t>类。对</w:t>
      </w:r>
      <w:r>
        <w:rPr>
          <w:rFonts w:ascii="Times New Roman" w:hAnsi="Times New Roman" w:cs="Times New Roman" w:eastAsia="Times New Roman" w:hint="default"/>
          <w:spacing w:val="-2"/>
        </w:rPr>
        <w:t>A</w:t>
      </w:r>
      <w:r>
        <w:rPr>
          <w:spacing w:val="-2"/>
        </w:rPr>
        <w:t>类客户销</w:t>
      </w:r>
    </w:p>
    <w:p>
      <w:pPr>
        <w:pStyle w:val="BodyText"/>
        <w:spacing w:line="241" w:lineRule="exact"/>
        <w:ind w:right="0"/>
        <w:jc w:val="left"/>
      </w:pPr>
      <w:r>
        <w:rPr/>
        <w:t>售方式以赊销为主，对</w:t>
      </w:r>
      <w:r>
        <w:rPr>
          <w:rFonts w:ascii="Times New Roman" w:hAnsi="Times New Roman" w:cs="Times New Roman" w:eastAsia="Times New Roman" w:hint="default"/>
        </w:rPr>
        <w:t>B</w:t>
      </w:r>
      <w:r>
        <w:rPr/>
        <w:t>类及</w:t>
      </w:r>
      <w:r>
        <w:rPr>
          <w:rFonts w:ascii="Times New Roman" w:hAnsi="Times New Roman" w:cs="Times New Roman" w:eastAsia="Times New Roman" w:hint="default"/>
        </w:rPr>
        <w:t>C</w:t>
      </w:r>
      <w:r>
        <w:rPr/>
        <w:t>类客户销售方式以现款为主，预收款项为辅，对</w:t>
      </w:r>
      <w:r>
        <w:rPr>
          <w:rFonts w:ascii="Times New Roman" w:hAnsi="Times New Roman" w:cs="Times New Roman" w:eastAsia="Times New Roman" w:hint="default"/>
        </w:rPr>
        <w:t>D</w:t>
      </w:r>
      <w:r>
        <w:rPr/>
        <w:t>类客户销售方式以预收款项为主。</w:t>
      </w:r>
    </w:p>
    <w:p>
      <w:pPr>
        <w:pStyle w:val="BodyText"/>
        <w:spacing w:line="240" w:lineRule="auto" w:before="63"/>
        <w:ind w:left="595" w:right="0"/>
        <w:jc w:val="left"/>
      </w:pPr>
      <w:r>
        <w:rPr>
          <w:rFonts w:ascii="Times New Roman" w:hAnsi="Times New Roman" w:cs="Times New Roman" w:eastAsia="Times New Roman" w:hint="default"/>
        </w:rPr>
        <w:t>1</w:t>
      </w:r>
      <w:r>
        <w:rPr/>
        <w:t>）采取赊销方式的，本公司于客户验收货物并与客户对账获取确认文件或登录客户匹配端口查证后确认收入；</w:t>
      </w:r>
    </w:p>
    <w:p>
      <w:pPr>
        <w:pStyle w:val="BodyText"/>
        <w:spacing w:line="240" w:lineRule="auto" w:before="63"/>
        <w:ind w:left="595" w:right="0"/>
        <w:jc w:val="left"/>
      </w:pPr>
      <w:r>
        <w:rPr>
          <w:rFonts w:ascii="Times New Roman" w:hAnsi="Times New Roman" w:cs="Times New Roman" w:eastAsia="Times New Roman" w:hint="default"/>
        </w:rPr>
        <w:t>2</w:t>
      </w:r>
      <w:r>
        <w:rPr/>
        <w:t>）采取现款销售方式的，本公司于收到货款同时发出货物并经客户签收提</w:t>
      </w:r>
      <w:r>
        <w:rPr>
          <w:rFonts w:ascii="Times New Roman" w:hAnsi="Times New Roman" w:cs="Times New Roman" w:eastAsia="Times New Roman" w:hint="default"/>
        </w:rPr>
        <w:t>/</w:t>
      </w:r>
      <w:r>
        <w:rPr/>
        <w:t>送</w:t>
      </w:r>
      <w:r>
        <w:rPr>
          <w:rFonts w:ascii="Times New Roman" w:hAnsi="Times New Roman" w:cs="Times New Roman" w:eastAsia="Times New Roman" w:hint="default"/>
        </w:rPr>
        <w:t>/</w:t>
      </w:r>
      <w:r>
        <w:rPr/>
        <w:t>发货单时确认收入；</w:t>
      </w:r>
    </w:p>
    <w:p>
      <w:pPr>
        <w:pStyle w:val="BodyText"/>
        <w:spacing w:line="240" w:lineRule="auto" w:before="63"/>
        <w:ind w:left="595" w:right="0"/>
        <w:jc w:val="left"/>
      </w:pPr>
      <w:r>
        <w:rPr>
          <w:rFonts w:ascii="Times New Roman" w:hAnsi="Times New Roman" w:cs="Times New Roman" w:eastAsia="Times New Roman" w:hint="default"/>
        </w:rPr>
        <w:t>3</w:t>
      </w:r>
      <w:r>
        <w:rPr/>
        <w:t>）</w:t>
      </w:r>
      <w:r>
        <w:rPr>
          <w:spacing w:val="-20"/>
        </w:rPr>
        <w:t> </w:t>
      </w:r>
      <w:r>
        <w:rPr/>
        <w:t>采取预收货款销售方式的，本公司于货物发出并经客户签收提</w:t>
      </w:r>
      <w:r>
        <w:rPr>
          <w:rFonts w:ascii="Times New Roman" w:hAnsi="Times New Roman" w:cs="Times New Roman" w:eastAsia="Times New Roman" w:hint="default"/>
        </w:rPr>
        <w:t>/</w:t>
      </w:r>
      <w:r>
        <w:rPr/>
        <w:t>送</w:t>
      </w:r>
      <w:r>
        <w:rPr>
          <w:rFonts w:ascii="Times New Roman" w:hAnsi="Times New Roman" w:cs="Times New Roman" w:eastAsia="Times New Roman" w:hint="default"/>
        </w:rPr>
        <w:t>/</w:t>
      </w:r>
      <w:r>
        <w:rPr/>
        <w:t>发货单时确认收入；</w:t>
      </w:r>
    </w:p>
    <w:p>
      <w:pPr>
        <w:pStyle w:val="BodyText"/>
        <w:spacing w:line="240" w:lineRule="auto" w:before="63"/>
        <w:ind w:left="595" w:right="0"/>
        <w:jc w:val="left"/>
      </w:pPr>
      <w:r>
        <w:rPr>
          <w:rFonts w:ascii="Times New Roman" w:hAnsi="Times New Roman" w:cs="Times New Roman" w:eastAsia="Times New Roman" w:hint="default"/>
        </w:rPr>
        <w:t>4</w:t>
      </w:r>
      <w:r>
        <w:rPr/>
        <w:t>）直接出口业务按合同或协议约定完成出口报关手续并交运后确认收入。</w:t>
      </w:r>
    </w:p>
    <w:p>
      <w:pPr>
        <w:pStyle w:val="BodyText"/>
        <w:spacing w:line="552" w:lineRule="exact" w:before="71"/>
        <w:ind w:left="594" w:right="1123"/>
        <w:jc w:val="left"/>
      </w:pPr>
      <w:r>
        <w:rPr/>
        <w:t>（</w:t>
      </w:r>
      <w:r>
        <w:rPr>
          <w:rFonts w:ascii="Times New Roman" w:hAnsi="Times New Roman" w:cs="Times New Roman" w:eastAsia="Times New Roman" w:hint="default"/>
        </w:rPr>
        <w:t>3</w:t>
      </w:r>
      <w:r>
        <w:rPr/>
        <w:t>）联动优势科技及其子公司收入确认具体政策： 公司的收入主要包括：移动运营商计费结算服务收入、移动信息服务收入、第三方支付服务收入、</w:t>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+”O2O </w:t>
      </w:r>
      <w:r>
        <w:rPr>
          <w:rFonts w:ascii="Times New Roman" w:hAnsi="Times New Roman" w:cs="Times New Roman" w:eastAsia="Times New Roman" w:hint="default"/>
          <w:spacing w:val="28"/>
        </w:rPr>
        <w:t> </w:t>
      </w:r>
      <w:r>
        <w:rPr/>
        <w:t>业务</w:t>
      </w:r>
    </w:p>
    <w:p>
      <w:pPr>
        <w:pStyle w:val="BodyText"/>
        <w:spacing w:line="227" w:lineRule="exact"/>
        <w:ind w:right="0"/>
        <w:jc w:val="left"/>
      </w:pPr>
      <w:r>
        <w:rPr/>
        <w:t>收入、大数据业务收入、其他业务收入。具体确认方法为：</w:t>
      </w:r>
    </w:p>
    <w:p>
      <w:pPr>
        <w:spacing w:line="240" w:lineRule="auto" w:before="2"/>
        <w:rPr>
          <w:rFonts w:ascii="宋体" w:hAnsi="宋体" w:cs="宋体" w:eastAsia="宋体" w:hint="default"/>
          <w:sz w:val="24"/>
          <w:szCs w:val="24"/>
        </w:rPr>
      </w:pPr>
    </w:p>
    <w:p>
      <w:pPr>
        <w:pStyle w:val="BodyText"/>
        <w:spacing w:line="240" w:lineRule="auto"/>
        <w:ind w:left="546" w:right="0"/>
        <w:jc w:val="left"/>
      </w:pPr>
      <w:r>
        <w:rPr>
          <w:rFonts w:ascii="Times New Roman" w:hAnsi="Times New Roman" w:cs="Times New Roman" w:eastAsia="Times New Roman" w:hint="default"/>
        </w:rPr>
        <w:t>1</w:t>
      </w:r>
      <w:r>
        <w:rPr/>
        <w:t>）移动运营商计费结算服务收入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firstLine="440"/>
        <w:jc w:val="left"/>
      </w:pPr>
      <w:r>
        <w:rPr/>
        <w:t>移动运营商计费结算服务是指中国移动用户通过发送短信、网站或手机下单等方式购买商品时，采用手机话费、移动 积分等支付商品交易款项，中国移动将中国移动用户的商品交易款项收取后，将交易款扣除合同约定的比例后支付给公司， </w:t>
      </w:r>
      <w:r>
        <w:rPr>
          <w:spacing w:val="-2"/>
        </w:rPr>
        <w:t>公司根据协议约定比例向各商户结算；对于在整个交易中，公司仅提供款项收付及结算服务，不承担商品风险的交易，公司</w:t>
      </w:r>
      <w:r>
        <w:rPr>
          <w:spacing w:val="-66"/>
        </w:rPr>
        <w:t> </w:t>
      </w:r>
      <w:r>
        <w:rPr>
          <w:spacing w:val="-66"/>
        </w:rPr>
      </w:r>
      <w:r>
        <w:rPr>
          <w:spacing w:val="-2"/>
        </w:rPr>
        <w:t>按照应收取的交易款减去应支付给各商户的结算款之后的净额确认收入；对于公司需预先支付给商户款项以及本公司直接外</w:t>
      </w:r>
      <w:r>
        <w:rPr>
          <w:spacing w:val="-64"/>
        </w:rPr>
        <w:t> </w:t>
      </w:r>
      <w:r>
        <w:rPr>
          <w:spacing w:val="-64"/>
        </w:rPr>
      </w:r>
      <w:r>
        <w:rPr>
          <w:spacing w:val="-2"/>
        </w:rPr>
        <w:t>购商品在平台销售的交易，由于公司承担了交易的相关风险，因此公司按照商品购销业务全额确认收入和成本；本公司根据</w:t>
      </w:r>
      <w:r>
        <w:rPr>
          <w:spacing w:val="-66"/>
        </w:rPr>
        <w:t> </w:t>
      </w:r>
      <w:r>
        <w:rPr>
          <w:spacing w:val="-66"/>
        </w:rPr>
      </w:r>
      <w:r>
        <w:rPr/>
        <w:t>与客户签订的合同约定，移动运营商计费结算服务费在结算月根据上述原则确认收入。</w:t>
      </w:r>
    </w:p>
    <w:p>
      <w:pPr>
        <w:spacing w:line="240" w:lineRule="auto" w:before="10"/>
        <w:rPr>
          <w:rFonts w:ascii="宋体" w:hAnsi="宋体" w:cs="宋体" w:eastAsia="宋体" w:hint="default"/>
          <w:sz w:val="19"/>
          <w:szCs w:val="19"/>
        </w:rPr>
      </w:pPr>
    </w:p>
    <w:p>
      <w:pPr>
        <w:pStyle w:val="BodyText"/>
        <w:spacing w:line="240" w:lineRule="auto"/>
        <w:ind w:left="546" w:right="0"/>
        <w:jc w:val="left"/>
      </w:pPr>
      <w:r>
        <w:rPr>
          <w:rFonts w:ascii="Times New Roman" w:hAnsi="Times New Roman" w:cs="Times New Roman" w:eastAsia="Times New Roman" w:hint="default"/>
        </w:rPr>
        <w:t>2</w:t>
      </w:r>
      <w:r>
        <w:rPr/>
        <w:t>）移动信息服务收入</w:t>
      </w:r>
    </w:p>
    <w:p>
      <w:pPr>
        <w:spacing w:line="240" w:lineRule="auto" w:before="2"/>
        <w:rPr>
          <w:rFonts w:ascii="宋体" w:hAnsi="宋体" w:cs="宋体" w:eastAsia="宋体" w:hint="default"/>
          <w:sz w:val="23"/>
          <w:szCs w:val="23"/>
        </w:rPr>
      </w:pPr>
    </w:p>
    <w:p>
      <w:pPr>
        <w:pStyle w:val="BodyText"/>
        <w:spacing w:line="240" w:lineRule="auto"/>
        <w:ind w:left="594" w:right="0"/>
        <w:jc w:val="left"/>
      </w:pPr>
      <w:r>
        <w:rPr/>
        <w:t>移动信息服务包括公司为中国移动提供</w:t>
      </w:r>
      <w:r>
        <w:rPr>
          <w:spacing w:val="-24"/>
        </w:rPr>
        <w:t> </w:t>
      </w:r>
      <w:r>
        <w:rPr>
          <w:rFonts w:ascii="Times New Roman" w:hAnsi="Times New Roman" w:cs="Times New Roman" w:eastAsia="Times New Roman" w:hint="default"/>
        </w:rPr>
        <w:t>B-MAS</w:t>
      </w:r>
      <w:r>
        <w:rPr/>
        <w:t>运营支撑服务、</w:t>
      </w:r>
      <w:r>
        <w:rPr>
          <w:rFonts w:ascii="Times New Roman" w:hAnsi="Times New Roman" w:cs="Times New Roman" w:eastAsia="Times New Roman" w:hint="default"/>
        </w:rPr>
        <w:t>B-MAS-SI</w:t>
      </w:r>
      <w:r>
        <w:rPr/>
        <w:t>服务以及联信通业务。</w:t>
      </w:r>
    </w:p>
    <w:p>
      <w:pPr>
        <w:spacing w:line="240" w:lineRule="auto" w:before="2"/>
        <w:rPr>
          <w:rFonts w:ascii="宋体" w:hAnsi="宋体" w:cs="宋体" w:eastAsia="宋体" w:hint="default"/>
          <w:sz w:val="23"/>
          <w:szCs w:val="23"/>
        </w:rPr>
      </w:pPr>
    </w:p>
    <w:p>
      <w:pPr>
        <w:pStyle w:val="BodyText"/>
        <w:spacing w:line="300" w:lineRule="auto"/>
        <w:ind w:right="1129" w:firstLine="440"/>
        <w:jc w:val="both"/>
      </w:pPr>
      <w:r>
        <w:rPr>
          <w:rFonts w:ascii="Times New Roman" w:hAnsi="Times New Roman" w:cs="Times New Roman" w:eastAsia="Times New Roman" w:hint="default"/>
          <w:spacing w:val="-1"/>
        </w:rPr>
        <w:t>MAS</w:t>
      </w:r>
      <w:r>
        <w:rPr>
          <w:rFonts w:ascii="Times New Roman" w:hAnsi="Times New Roman" w:cs="Times New Roman" w:eastAsia="Times New Roman" w:hint="default"/>
          <w:spacing w:val="42"/>
        </w:rPr>
        <w:t> </w:t>
      </w:r>
      <w:r>
        <w:rPr>
          <w:spacing w:val="-2"/>
        </w:rPr>
        <w:t>运营支撑服务收入确认原则：根据与中国移动的合同约定，</w:t>
      </w:r>
      <w:r>
        <w:rPr>
          <w:rFonts w:ascii="Times New Roman" w:hAnsi="Times New Roman" w:cs="Times New Roman" w:eastAsia="Times New Roman" w:hint="default"/>
          <w:spacing w:val="-2"/>
        </w:rPr>
        <w:t>MAS</w:t>
      </w:r>
      <w:r>
        <w:rPr>
          <w:spacing w:val="-2"/>
        </w:rPr>
        <w:t>运营支撑服务费用中的</w:t>
      </w:r>
      <w:r>
        <w:rPr>
          <w:rFonts w:ascii="Times New Roman" w:hAnsi="Times New Roman" w:cs="Times New Roman" w:eastAsia="Times New Roman" w:hint="default"/>
          <w:spacing w:val="-2"/>
        </w:rPr>
        <w:t>80%</w:t>
      </w:r>
      <w:r>
        <w:rPr>
          <w:spacing w:val="-2"/>
        </w:rPr>
        <w:t>为基本支撑费，按季</w:t>
      </w:r>
      <w:r>
        <w:rPr/>
        <w:t> </w:t>
      </w:r>
      <w:r>
        <w:rPr>
          <w:spacing w:val="-1"/>
        </w:rPr>
        <w:t>进行结算，</w:t>
      </w:r>
      <w:r>
        <w:rPr>
          <w:rFonts w:ascii="Times New Roman" w:hAnsi="Times New Roman" w:cs="Times New Roman" w:eastAsia="Times New Roman" w:hint="default"/>
          <w:spacing w:val="-1"/>
        </w:rPr>
        <w:t>20%</w:t>
      </w:r>
      <w:r>
        <w:rPr>
          <w:spacing w:val="-1"/>
        </w:rPr>
        <w:t>部分为考核支撑费，根据季度考核得分情况，计算季度考核支撑费，并按季度结算。公司将基本支撑费部分</w:t>
      </w:r>
      <w:r>
        <w:rPr/>
        <w:t> 在合同期内按月确认收入，考核支撑费用部分在考核确认后再确认收入。</w:t>
      </w:r>
    </w:p>
    <w:p>
      <w:pPr>
        <w:spacing w:line="240" w:lineRule="auto" w:before="10"/>
        <w:rPr>
          <w:rFonts w:ascii="宋体" w:hAnsi="宋体" w:cs="宋体" w:eastAsia="宋体" w:hint="default"/>
          <w:sz w:val="20"/>
          <w:szCs w:val="20"/>
        </w:rPr>
      </w:pPr>
    </w:p>
    <w:p>
      <w:pPr>
        <w:pStyle w:val="BodyText"/>
        <w:spacing w:line="300" w:lineRule="auto"/>
        <w:ind w:left="154" w:right="1130" w:firstLine="440"/>
        <w:jc w:val="both"/>
      </w:pPr>
      <w:r>
        <w:rPr>
          <w:rFonts w:ascii="Times New Roman" w:hAnsi="Times New Roman" w:cs="Times New Roman" w:eastAsia="Times New Roman" w:hint="default"/>
        </w:rPr>
        <w:t>MAS-SI </w:t>
      </w:r>
      <w:r>
        <w:rPr>
          <w:spacing w:val="-4"/>
        </w:rPr>
        <w:t>服务收入确认原则：</w:t>
      </w:r>
      <w:r>
        <w:rPr>
          <w:rFonts w:ascii="Times New Roman" w:hAnsi="Times New Roman" w:cs="Times New Roman" w:eastAsia="Times New Roman" w:hint="default"/>
          <w:spacing w:val="-4"/>
        </w:rPr>
        <w:t>MAS-SI</w:t>
      </w:r>
      <w:r>
        <w:rPr>
          <w:rFonts w:ascii="Times New Roman" w:hAnsi="Times New Roman" w:cs="Times New Roman" w:eastAsia="Times New Roman" w:hint="default"/>
          <w:spacing w:val="23"/>
        </w:rPr>
        <w:t> </w:t>
      </w:r>
      <w:r>
        <w:rPr/>
        <w:t>服务是中国移动为各商业银行等大型企业集团提供短信发送服务，同时中国移动 委托本公司对该业务提供服务，在合同期内于服务提供时确认收入。</w:t>
      </w:r>
    </w:p>
    <w:p>
      <w:pPr>
        <w:spacing w:line="240" w:lineRule="auto" w:before="10"/>
        <w:rPr>
          <w:rFonts w:ascii="宋体" w:hAnsi="宋体" w:cs="宋体" w:eastAsia="宋体" w:hint="default"/>
          <w:sz w:val="20"/>
          <w:szCs w:val="20"/>
        </w:rPr>
      </w:pPr>
    </w:p>
    <w:p>
      <w:pPr>
        <w:pStyle w:val="BodyText"/>
        <w:spacing w:line="552" w:lineRule="auto"/>
        <w:ind w:left="546" w:right="2572" w:firstLine="48"/>
        <w:jc w:val="left"/>
      </w:pPr>
      <w:r>
        <w:rPr/>
        <w:t>联信通业务收入确认原则：联信通业务是公司为客户提供短信发送服务，在服务提供时确认收入。 </w:t>
      </w:r>
      <w:r>
        <w:rPr>
          <w:rFonts w:ascii="Times New Roman" w:hAnsi="Times New Roman" w:cs="Times New Roman" w:eastAsia="Times New Roman" w:hint="default"/>
        </w:rPr>
        <w:t>3</w:t>
      </w:r>
      <w:r>
        <w:rPr/>
        <w:t>）第三方支付服务收入 公司在提供第三方支付服务时，向客户收取的支付服务费用，于支付业务服务提供时确认收入。 </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+”O2O</w:t>
      </w:r>
      <w:r>
        <w:rPr>
          <w:rFonts w:ascii="Times New Roman" w:hAnsi="Times New Roman" w:cs="Times New Roman" w:eastAsia="Times New Roman" w:hint="default"/>
          <w:spacing w:val="26"/>
        </w:rPr>
        <w:t> </w:t>
      </w:r>
      <w:r>
        <w:rPr/>
        <w:t>业务收入</w:t>
      </w:r>
    </w:p>
    <w:p>
      <w:pPr>
        <w:pStyle w:val="BodyText"/>
        <w:spacing w:line="309" w:lineRule="auto" w:before="43"/>
        <w:ind w:right="1130" w:firstLine="440"/>
        <w:jc w:val="both"/>
      </w:pPr>
      <w:r>
        <w:rPr>
          <w:rFonts w:ascii="Times New Roman" w:hAnsi="Times New Roman" w:cs="Times New Roman" w:eastAsia="Times New Roman" w:hint="default"/>
        </w:rPr>
        <w:t>“</w:t>
      </w:r>
      <w:r>
        <w:rPr/>
        <w:t>惠商</w:t>
      </w:r>
      <w:r>
        <w:rPr>
          <w:rFonts w:ascii="Times New Roman" w:hAnsi="Times New Roman" w:cs="Times New Roman" w:eastAsia="Times New Roman" w:hint="default"/>
        </w:rPr>
        <w:t>+”O2O</w:t>
      </w:r>
      <w:r>
        <w:rPr>
          <w:rFonts w:ascii="Times New Roman" w:hAnsi="Times New Roman" w:cs="Times New Roman" w:eastAsia="Times New Roman" w:hint="default"/>
          <w:spacing w:val="16"/>
        </w:rPr>
        <w:t> </w:t>
      </w:r>
      <w:r>
        <w:rPr/>
        <w:t>业务是指中国移动用户在购买商品或服务时使用和包电子券、积分、兑换券等进行支付，中国移动根据 </w:t>
      </w:r>
      <w:r>
        <w:rPr>
          <w:spacing w:val="-2"/>
        </w:rPr>
        <w:t>用户实际消费金额通过中间商与各商户之间结算和款项代收付；中国移动将交易款支付给中间商，中间商根据协议约定比例</w:t>
      </w:r>
      <w:r>
        <w:rPr>
          <w:spacing w:val="-63"/>
        </w:rPr>
        <w:t> </w:t>
      </w:r>
      <w:r>
        <w:rPr>
          <w:spacing w:val="-63"/>
        </w:rPr>
      </w:r>
      <w:r>
        <w:rPr/>
        <w:t>向各商户结算；本公司作为该交易的中间商，在整个交易中公司仅提供款项收付及 结算服务，不承担商品风险，公司按照</w:t>
      </w:r>
      <w:r>
        <w:rPr>
          <w:spacing w:val="-87"/>
        </w:rPr>
        <w:t> </w:t>
      </w:r>
      <w:r>
        <w:rPr>
          <w:spacing w:val="-87"/>
        </w:rPr>
      </w:r>
      <w:r>
        <w:rPr/>
        <w:t>应收取的交易款减去应支付给各商户的结算</w:t>
      </w:r>
      <w:r>
        <w:rPr>
          <w:spacing w:val="9"/>
        </w:rPr>
        <w:t> </w:t>
      </w:r>
      <w:r>
        <w:rPr/>
        <w:t>款之后的净额确认收入；本公司根据与客户签订的合同约定，</w:t>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+”O2O</w:t>
      </w:r>
      <w:r>
        <w:rPr>
          <w:rFonts w:ascii="Times New Roman" w:hAnsi="Times New Roman" w:cs="Times New Roman" w:eastAsia="Times New Roman" w:hint="default"/>
          <w:spacing w:val="5"/>
        </w:rPr>
        <w:t> </w:t>
      </w:r>
      <w:r>
        <w:rPr/>
        <w:t>业</w:t>
      </w:r>
      <w:r>
        <w:rPr>
          <w:spacing w:val="-86"/>
        </w:rPr>
        <w:t> </w:t>
      </w:r>
      <w:r>
        <w:rPr/>
        <w:t>务费在提供服务时确认收入。</w:t>
      </w:r>
    </w:p>
    <w:p>
      <w:pPr>
        <w:pStyle w:val="BodyText"/>
        <w:spacing w:line="552" w:lineRule="exact" w:before="33"/>
        <w:ind w:left="594" w:right="1132" w:hanging="48"/>
        <w:jc w:val="left"/>
      </w:pPr>
      <w:r>
        <w:rPr>
          <w:rFonts w:ascii="Times New Roman" w:hAnsi="Times New Roman" w:cs="Times New Roman" w:eastAsia="Times New Roman" w:hint="default"/>
        </w:rPr>
        <w:t>5</w:t>
      </w:r>
      <w:r>
        <w:rPr/>
        <w:t>）大数据业务收入 大数据业务是公司利用自身资源及平台，为客户提供数据分析服务。大数据业务收入确认原则：大数据业务是公司为</w:t>
      </w:r>
    </w:p>
    <w:p>
      <w:pPr>
        <w:pStyle w:val="BodyText"/>
        <w:spacing w:line="227" w:lineRule="exact"/>
        <w:ind w:right="0"/>
        <w:jc w:val="left"/>
      </w:pPr>
      <w:r>
        <w:rPr/>
        <w:t>客户提供数据分析服务，在服务提供时确认收入。</w:t>
      </w:r>
    </w:p>
    <w:p>
      <w:pPr>
        <w:spacing w:line="240" w:lineRule="auto" w:before="2"/>
        <w:rPr>
          <w:rFonts w:ascii="宋体" w:hAnsi="宋体" w:cs="宋体" w:eastAsia="宋体" w:hint="default"/>
          <w:sz w:val="24"/>
          <w:szCs w:val="24"/>
        </w:rPr>
      </w:pPr>
    </w:p>
    <w:p>
      <w:pPr>
        <w:pStyle w:val="BodyText"/>
        <w:spacing w:line="532" w:lineRule="auto"/>
        <w:ind w:left="594" w:right="4192" w:hanging="48"/>
        <w:jc w:val="left"/>
      </w:pPr>
      <w:r>
        <w:rPr>
          <w:rFonts w:ascii="Times New Roman" w:hAnsi="Times New Roman" w:cs="Times New Roman" w:eastAsia="Times New Roman" w:hint="default"/>
        </w:rPr>
        <w:t>6</w:t>
      </w:r>
      <w:r>
        <w:rPr/>
        <w:t>）其他业务收入 其他业务收入，按照企业会计准则及其应用指南和准则解释的规定进行确认。</w:t>
      </w:r>
    </w:p>
    <w:p>
      <w:pPr>
        <w:pStyle w:val="Heading3"/>
        <w:spacing w:line="240" w:lineRule="auto" w:before="132"/>
        <w:ind w:left="153" w:right="0"/>
        <w:jc w:val="left"/>
        <w:rPr>
          <w:b w:val="0"/>
          <w:bCs w:val="0"/>
        </w:rPr>
      </w:pPr>
      <w:bookmarkStart w:name="29、政府补助" w:id="215"/>
      <w:bookmarkEnd w:id="21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16"/>
      <w:bookmarkEnd w:id="21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2" w:firstLine="478"/>
        <w:jc w:val="both"/>
      </w:pPr>
      <w:r>
        <w:rPr>
          <w:spacing w:val="-3"/>
        </w:rPr>
        <w:t>公司取得的、用于购建或以其他方式形成长期资产的政府补助划分为与资产相关的政府补助。与资产相关的政府补助，</w:t>
      </w:r>
      <w:r>
        <w:rPr/>
        <w:t> </w:t>
      </w:r>
      <w:r>
        <w:rPr>
          <w:spacing w:val="-2"/>
        </w:rPr>
        <w:t>冲减相关资产的账面价值或确认为递延收益。与资产相关补助确认为递延收益的，在相关资产使用寿命内按照合理、系统的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方法分期计入损益。按照名义金额计量的政府补助，直接计入当期损益。相关资产在使用寿命结束前被出售、转让、报废或</w:t>
      </w:r>
      <w:r>
        <w:rPr>
          <w:spacing w:val="-66"/>
        </w:rPr>
        <w:t> </w:t>
      </w:r>
      <w:r>
        <w:rPr>
          <w:spacing w:val="-66"/>
        </w:rPr>
      </w:r>
      <w:r>
        <w:rPr/>
        <w:t>发生毁损的，将尚未分配的相关递延收益余额转入资产处置当期的损益。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与收益相关的政府补助判断依据及会计处理方法" w:id="217"/>
      <w:bookmarkEnd w:id="21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40"/>
        <w:jc w:val="both"/>
      </w:pPr>
      <w:r>
        <w:rPr/>
        <w:t>除与资产相关的政府补助之外的政府补助划分为与收益相关的政府补助。对于同时包含与资产相关部分和与收益相关 </w:t>
      </w:r>
      <w:r>
        <w:rPr>
          <w:spacing w:val="-2"/>
        </w:rPr>
        <w:t>部分的政府补助，难以区分与资产相关或与收益相关的，整体归类为与收益相关的政府补助。与收益相关的政府补助，用于</w:t>
      </w:r>
      <w:r>
        <w:rPr>
          <w:spacing w:val="-66"/>
        </w:rPr>
        <w:t> </w:t>
      </w:r>
      <w:r>
        <w:rPr>
          <w:spacing w:val="-66"/>
        </w:rPr>
      </w:r>
      <w:r>
        <w:rPr>
          <w:spacing w:val="-2"/>
        </w:rPr>
        <w:t>补偿以后期间的相关成本费用或损失的，确认为递延收益，在确认相关成本费用或损失的期间，计入当期损益或冲减相关成</w:t>
      </w:r>
      <w:r>
        <w:rPr>
          <w:spacing w:val="-66"/>
        </w:rPr>
        <w:t> </w:t>
      </w:r>
      <w:r>
        <w:rPr>
          <w:spacing w:val="-66"/>
        </w:rPr>
      </w:r>
      <w:r>
        <w:rPr/>
        <w:t>本；用于补偿已发生的相关成本费用或损失的，直接计入当期损益或冲减相关成本。</w:t>
      </w:r>
    </w:p>
    <w:p>
      <w:pPr>
        <w:spacing w:line="240" w:lineRule="auto" w:before="10"/>
        <w:rPr>
          <w:rFonts w:ascii="宋体" w:hAnsi="宋体" w:cs="宋体" w:eastAsia="宋体" w:hint="default"/>
          <w:sz w:val="19"/>
          <w:szCs w:val="19"/>
        </w:rPr>
      </w:pPr>
    </w:p>
    <w:p>
      <w:pPr>
        <w:pStyle w:val="BodyText"/>
        <w:spacing w:line="316" w:lineRule="auto"/>
        <w:ind w:left="154" w:right="1132" w:firstLine="440"/>
        <w:jc w:val="left"/>
      </w:pPr>
      <w:r>
        <w:rPr/>
        <w:t>与公司日常经营活动相关的政府补助，按照经济业务实质，计入其他收益或冲减相关成本费用。与公司日常活动无关 的政府补助，计入营业外收支。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18"/>
      <w:bookmarkEnd w:id="21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478"/>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 </w:t>
      </w:r>
      <w:r>
        <w:rPr>
          <w:spacing w:val="-2"/>
        </w:rPr>
        <w:t>于按照税法规定能够于以后年度抵减应纳税所得额的可抵扣亏损，确认相应的递延所得税资产。对于商誉的初始确认产生的</w:t>
      </w:r>
      <w:r>
        <w:rPr>
          <w:spacing w:val="-64"/>
        </w:rPr>
        <w:t> </w:t>
      </w:r>
      <w:r>
        <w:rPr>
          <w:spacing w:val="-64"/>
        </w:rPr>
      </w:r>
      <w:r>
        <w:rPr/>
        <w:t>暂时性差异，不确认相应的递延所得税负债。对于既不影响会计利润也不影响应纳税所得额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 </w:t>
      </w:r>
      <w:r>
        <w:rPr>
          <w:spacing w:val="-4"/>
        </w:rPr>
        <w:t>交易中产生的资产或负债的初始确认形成的暂时性差异，不确认相应的递延所得税资产和递延所得税负债。于资产负债表日，</w:t>
      </w:r>
      <w:r>
        <w:rPr>
          <w:spacing w:val="-44"/>
        </w:rPr>
        <w:t> </w:t>
      </w:r>
      <w:r>
        <w:rPr>
          <w:spacing w:val="-44"/>
        </w:rPr>
      </w:r>
      <w:r>
        <w:rPr/>
        <w:t>递延所得税资产和递延所得税负债，按照预期收回该资产或清偿该负债期间的适用税率计量。</w:t>
      </w:r>
    </w:p>
    <w:p>
      <w:pPr>
        <w:spacing w:line="240" w:lineRule="auto" w:before="3"/>
        <w:rPr>
          <w:rFonts w:ascii="宋体" w:hAnsi="宋体" w:cs="宋体" w:eastAsia="宋体" w:hint="default"/>
          <w:sz w:val="20"/>
          <w:szCs w:val="20"/>
        </w:rPr>
      </w:pPr>
    </w:p>
    <w:p>
      <w:pPr>
        <w:pStyle w:val="BodyText"/>
        <w:spacing w:line="316" w:lineRule="auto"/>
        <w:ind w:right="1118" w:firstLine="440"/>
        <w:jc w:val="left"/>
      </w:pPr>
      <w:r>
        <w:rPr/>
        <w:t>本集团以很可能取得用来抵扣可抵扣暂时性差异、可抵扣亏损和税款抵减的未来应纳税所得额为限，确认递延所得税 资产。</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78"/>
        <w:jc w:val="left"/>
      </w:pPr>
      <w:r>
        <w:rPr/>
        <w:t>本集团的租赁业务包括经营租赁。 </w:t>
      </w:r>
      <w:r>
        <w:rPr>
          <w:spacing w:val="-2"/>
        </w:rPr>
        <w:t>经营租赁是指除融资租赁以外的其他租赁。本集团作为承租方的租金在租赁期内的各个期间按直线法计入相关资产成本或当</w:t>
      </w:r>
      <w:r>
        <w:rPr>
          <w:spacing w:val="-64"/>
        </w:rPr>
        <w:t> </w:t>
      </w:r>
      <w:r>
        <w:rPr>
          <w:spacing w:val="-64"/>
        </w:rPr>
      </w:r>
      <w:r>
        <w:rPr/>
        <w:t>期损益，本集团作为出租方的租金在租赁期内的各个期间按直线法确认为收入。</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40"/>
        <w:jc w:val="left"/>
      </w:pPr>
      <w:r>
        <w:rPr>
          <w:spacing w:val="-2"/>
        </w:rPr>
        <w:t>（</w:t>
      </w: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）融资租入资产：公司在承租开始日，将租赁资产公允价值与最低租赁付款额现值两者中较低者作为租入资产的入</w:t>
      </w:r>
      <w:r>
        <w:rPr/>
        <w:t> 账价值，将最低租赁付款额作为长期应付款的入账价值，其差额作为未确认的融资费用。</w:t>
      </w:r>
    </w:p>
    <w:p>
      <w:pPr>
        <w:spacing w:line="240" w:lineRule="auto" w:before="10"/>
        <w:rPr>
          <w:rFonts w:ascii="宋体" w:hAnsi="宋体" w:cs="宋体" w:eastAsia="宋体" w:hint="default"/>
          <w:sz w:val="20"/>
          <w:szCs w:val="20"/>
        </w:rPr>
      </w:pPr>
    </w:p>
    <w:p>
      <w:pPr>
        <w:pStyle w:val="BodyText"/>
        <w:spacing w:line="316" w:lineRule="auto"/>
        <w:ind w:right="0" w:firstLine="440"/>
        <w:jc w:val="left"/>
      </w:pPr>
      <w:r>
        <w:rPr/>
        <w:t>公司采用实际利率法对未确认的融资费用，在资产租赁期间内摊销，计入财务费用。公司发生的初始直接费用，计入 租入资产价值。</w:t>
      </w:r>
    </w:p>
    <w:p>
      <w:pPr>
        <w:spacing w:line="240" w:lineRule="auto" w:before="10"/>
        <w:rPr>
          <w:rFonts w:ascii="宋体" w:hAnsi="宋体" w:cs="宋体" w:eastAsia="宋体" w:hint="default"/>
          <w:sz w:val="19"/>
          <w:szCs w:val="19"/>
        </w:rPr>
      </w:pPr>
    </w:p>
    <w:p>
      <w:pPr>
        <w:pStyle w:val="BodyText"/>
        <w:spacing w:line="309" w:lineRule="auto"/>
        <w:ind w:right="0" w:firstLine="440"/>
        <w:jc w:val="left"/>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32、其他重要的会计政策和会计估计" w:id="222"/>
      <w:bookmarkEnd w:id="22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436"/>
        <w:jc w:val="both"/>
      </w:pPr>
      <w:r>
        <w:rPr/>
        <w:t>编制财务报表时，本集团管理层需要运用估计和假设，这些估计和假设会对会计政策的应用及资产、负债、收入及费 </w:t>
      </w:r>
      <w:r>
        <w:rPr>
          <w:spacing w:val="-2"/>
        </w:rPr>
        <w:t>用的金额产生影响。实际情况可能与这些估计不同。本集团管理层对估计涉及的关键假设和不确定性因素的判断进行持续评</w:t>
      </w:r>
      <w:r>
        <w:rPr>
          <w:spacing w:val="-64"/>
        </w:rPr>
        <w:t> </w:t>
      </w:r>
      <w:r>
        <w:rPr>
          <w:spacing w:val="-64"/>
        </w:rPr>
      </w:r>
      <w:r>
        <w:rPr/>
        <w:t>估。会计估计变更的影响在变更当期和未来期间予以确认。</w:t>
      </w:r>
    </w:p>
    <w:p>
      <w:pPr>
        <w:spacing w:line="240" w:lineRule="auto" w:before="8"/>
        <w:rPr>
          <w:rFonts w:ascii="宋体" w:hAnsi="宋体" w:cs="宋体" w:eastAsia="宋体" w:hint="default"/>
          <w:sz w:val="19"/>
          <w:szCs w:val="19"/>
        </w:rPr>
      </w:pPr>
    </w:p>
    <w:p>
      <w:pPr>
        <w:pStyle w:val="BodyText"/>
        <w:spacing w:line="240" w:lineRule="auto"/>
        <w:ind w:left="590" w:right="0"/>
        <w:jc w:val="left"/>
      </w:pPr>
      <w:r>
        <w:rPr/>
        <w:t>下列会计估计及关键假设存在导致未来期间的资产及负债账面值发生重大调整的重要风险。</w:t>
      </w:r>
    </w:p>
    <w:p>
      <w:pPr>
        <w:pStyle w:val="BodyText"/>
        <w:spacing w:line="540" w:lineRule="atLeast" w:before="25"/>
        <w:ind w:left="590" w:right="0"/>
        <w:jc w:val="left"/>
      </w:pPr>
      <w:r>
        <w:rPr/>
        <w:t>（</w:t>
      </w:r>
      <w:r>
        <w:rPr>
          <w:rFonts w:ascii="Times New Roman" w:hAnsi="Times New Roman" w:cs="Times New Roman" w:eastAsia="Times New Roman" w:hint="default"/>
        </w:rPr>
        <w:t>1</w:t>
      </w:r>
      <w:r>
        <w:rPr/>
        <w:t>）应收款项减值 本集团在资产负债表日按摊余成本计量的应收款项，以评估是否出现减值情況，并在出现减值情況时评估减值损失的</w:t>
      </w:r>
    </w:p>
    <w:p>
      <w:pPr>
        <w:pStyle w:val="BodyText"/>
        <w:spacing w:line="316" w:lineRule="auto" w:before="76"/>
        <w:ind w:left="154" w:right="1131"/>
        <w:jc w:val="both"/>
      </w:pPr>
      <w:r>
        <w:rPr>
          <w:spacing w:val="-2"/>
        </w:rPr>
        <w:t>具体金额。减值的客观证据包括显示个别或组合应收款项预计未来现金流量出现大幅下降的可判断数据，显示个别或组合应</w:t>
      </w:r>
      <w:r>
        <w:rPr>
          <w:spacing w:val="-64"/>
        </w:rPr>
        <w:t> </w:t>
      </w:r>
      <w:r>
        <w:rPr>
          <w:spacing w:val="-64"/>
        </w:rPr>
      </w:r>
      <w:r>
        <w:rPr>
          <w:spacing w:val="-2"/>
        </w:rPr>
        <w:t>收款项中债务人的财务状况出现重大负面的可判断数据等事项。如果有证据表明该应收款项价值已恢复，且客观上与确认该</w:t>
      </w:r>
      <w:r>
        <w:rPr>
          <w:spacing w:val="-64"/>
        </w:rPr>
        <w:t> </w:t>
      </w:r>
      <w:r>
        <w:rPr>
          <w:spacing w:val="-64"/>
        </w:rPr>
      </w:r>
      <w:r>
        <w:rPr/>
        <w:t>损失后发生的事项有关，则将原确认的减值损失予以转回。</w:t>
      </w:r>
    </w:p>
    <w:p>
      <w:pPr>
        <w:pStyle w:val="BodyText"/>
        <w:spacing w:line="552" w:lineRule="exact" w:before="27"/>
        <w:ind w:left="590" w:right="0"/>
        <w:jc w:val="left"/>
      </w:pPr>
      <w:r>
        <w:rPr/>
        <w:t>（</w:t>
      </w:r>
      <w:r>
        <w:rPr>
          <w:rFonts w:ascii="Times New Roman" w:hAnsi="Times New Roman" w:cs="Times New Roman" w:eastAsia="Times New Roman" w:hint="default"/>
        </w:rPr>
        <w:t>2</w:t>
      </w:r>
      <w:r>
        <w:rPr/>
        <w:t>）存货减值准备 本集团定期估计存货的可变现净值，并对存货成本高于可变现净值的差额确认存货跌价损失。本集团在估计存货的可</w:t>
      </w:r>
    </w:p>
    <w:p>
      <w:pPr>
        <w:pStyle w:val="BodyText"/>
        <w:spacing w:line="316" w:lineRule="auto"/>
        <w:ind w:left="154" w:right="1131"/>
        <w:jc w:val="both"/>
      </w:pPr>
      <w:r>
        <w:rPr>
          <w:spacing w:val="-2"/>
        </w:rPr>
        <w:t>变现净值时，以同类货物的预计售价减去完工时将要发生的成本、销售费用以及相关税费后的金额确定。当实际售价或成本</w:t>
      </w:r>
      <w:r>
        <w:rPr>
          <w:spacing w:val="-66"/>
        </w:rPr>
        <w:t> </w:t>
      </w:r>
      <w:r>
        <w:rPr>
          <w:spacing w:val="-66"/>
        </w:rPr>
      </w:r>
      <w:r>
        <w:rPr>
          <w:spacing w:val="-2"/>
        </w:rPr>
        <w:t>费用与以前估计不同时，管理层将会对可变现净值进行相应的调整。因此根据现有经验进行估计的结果可能会与之后实际结</w:t>
      </w:r>
      <w:r>
        <w:rPr>
          <w:spacing w:val="-64"/>
        </w:rPr>
        <w:t> </w:t>
      </w:r>
      <w:r>
        <w:rPr>
          <w:spacing w:val="-64"/>
        </w:rPr>
      </w:r>
      <w:r>
        <w:rPr>
          <w:spacing w:val="-2"/>
        </w:rPr>
        <w:t>果有所不同，可能导致对资产负债表中的存货账面价值的调整。因此存货跌价准备的金额可能会随上述原因而发生变化。对</w:t>
      </w:r>
      <w:r>
        <w:rPr>
          <w:spacing w:val="-66"/>
        </w:rPr>
        <w:t> </w:t>
      </w:r>
      <w:r>
        <w:rPr>
          <w:spacing w:val="-66"/>
        </w:rPr>
      </w:r>
      <w:r>
        <w:rPr/>
        <w:t>存货跌价准备的调整将影响估计变更当期的损益。</w:t>
      </w:r>
    </w:p>
    <w:p>
      <w:pPr>
        <w:pStyle w:val="BodyText"/>
        <w:spacing w:line="552" w:lineRule="exact" w:before="27"/>
        <w:ind w:left="590" w:right="0"/>
        <w:jc w:val="left"/>
      </w:pPr>
      <w:r>
        <w:rPr/>
        <w:t>（</w:t>
      </w:r>
      <w:r>
        <w:rPr>
          <w:rFonts w:ascii="Times New Roman" w:hAnsi="Times New Roman" w:cs="Times New Roman" w:eastAsia="Times New Roman" w:hint="default"/>
        </w:rPr>
        <w:t>3</w:t>
      </w:r>
      <w:r>
        <w:rPr/>
        <w:t>）商誉减值准备的会计估计 本集团每年对商誉进行减值测试。包含商誉的资产组和资产组组合的可收回金额为其预计未来现金流量的现值，其计</w:t>
      </w:r>
    </w:p>
    <w:p>
      <w:pPr>
        <w:pStyle w:val="BodyText"/>
        <w:spacing w:line="227" w:lineRule="exact"/>
        <w:ind w:left="154" w:right="0"/>
        <w:jc w:val="both"/>
      </w:pPr>
      <w:r>
        <w:rPr/>
        <w:t>算需要采用会计估计。</w:t>
      </w:r>
    </w:p>
    <w:p>
      <w:pPr>
        <w:spacing w:line="240" w:lineRule="auto" w:before="2"/>
        <w:rPr>
          <w:rFonts w:ascii="宋体" w:hAnsi="宋体" w:cs="宋体" w:eastAsia="宋体" w:hint="default"/>
          <w:sz w:val="24"/>
          <w:szCs w:val="24"/>
        </w:rPr>
      </w:pPr>
    </w:p>
    <w:p>
      <w:pPr>
        <w:pStyle w:val="BodyText"/>
        <w:spacing w:line="316" w:lineRule="auto"/>
        <w:ind w:right="1136" w:firstLine="436"/>
        <w:jc w:val="both"/>
      </w:pPr>
      <w:r>
        <w:rPr/>
        <w:t>如果管理层对资产组和资产组组合未来现金流量计算中采用的毛利率进行修订，修订后的毛利率低于目前采用的毛利 率，本集团需对商誉增加计提减值准备。</w:t>
      </w:r>
    </w:p>
    <w:p>
      <w:pPr>
        <w:spacing w:line="240" w:lineRule="auto" w:before="10"/>
        <w:rPr>
          <w:rFonts w:ascii="宋体" w:hAnsi="宋体" w:cs="宋体" w:eastAsia="宋体" w:hint="default"/>
          <w:sz w:val="19"/>
          <w:szCs w:val="19"/>
        </w:rPr>
      </w:pPr>
    </w:p>
    <w:p>
      <w:pPr>
        <w:pStyle w:val="BodyText"/>
        <w:spacing w:line="316" w:lineRule="auto"/>
        <w:ind w:right="1136" w:firstLine="436"/>
        <w:jc w:val="both"/>
      </w:pPr>
      <w:r>
        <w:rPr/>
        <w:t>如果管理层对应用于现金流量折现的税前折现率进行重新修订，修订后的税前折现率高于目前采用的折现率，本集团 需对商誉增加计提减值准备。</w:t>
      </w:r>
    </w:p>
    <w:p>
      <w:pPr>
        <w:spacing w:line="240" w:lineRule="auto" w:before="10"/>
        <w:rPr>
          <w:rFonts w:ascii="宋体" w:hAnsi="宋体" w:cs="宋体" w:eastAsia="宋体" w:hint="default"/>
          <w:sz w:val="19"/>
          <w:szCs w:val="19"/>
        </w:rPr>
      </w:pPr>
    </w:p>
    <w:p>
      <w:pPr>
        <w:pStyle w:val="BodyText"/>
        <w:spacing w:line="240" w:lineRule="auto"/>
        <w:ind w:left="590" w:right="0"/>
        <w:jc w:val="left"/>
      </w:pPr>
      <w:r>
        <w:rPr/>
        <w:t>如果实际毛利率或税前折现率高于或低于管理层的估计，本集团不能转回原已计提的商誉减值损失。</w:t>
      </w:r>
    </w:p>
    <w:p>
      <w:pPr>
        <w:pStyle w:val="BodyText"/>
        <w:spacing w:line="540" w:lineRule="atLeast" w:before="25"/>
        <w:ind w:left="590" w:right="0"/>
        <w:jc w:val="left"/>
      </w:pPr>
      <w:r>
        <w:rPr/>
        <w:t>（</w:t>
      </w:r>
      <w:r>
        <w:rPr>
          <w:rFonts w:ascii="Times New Roman" w:hAnsi="Times New Roman" w:cs="Times New Roman" w:eastAsia="Times New Roman" w:hint="default"/>
        </w:rPr>
        <w:t>4</w:t>
      </w:r>
      <w:r>
        <w:rPr/>
        <w:t>）固定资产减值准备的会计估计 本集团在资产负债表日对存在减值迹象的房屋及建筑物、机器设备等固定资产进行减值测试。固定资产的可收回金额</w:t>
      </w:r>
    </w:p>
    <w:p>
      <w:pPr>
        <w:pStyle w:val="BodyText"/>
        <w:spacing w:line="240" w:lineRule="auto" w:before="76"/>
        <w:ind w:right="0"/>
        <w:jc w:val="both"/>
      </w:pPr>
      <w:r>
        <w:rPr/>
        <w:t>为其预计未来现金流量的现值和资产的公允价值减去处置费用后的净额中较高者，其计算需要采用会计估计。</w:t>
      </w:r>
    </w:p>
    <w:p>
      <w:pPr>
        <w:spacing w:line="240" w:lineRule="auto" w:before="2"/>
        <w:rPr>
          <w:rFonts w:ascii="宋体" w:hAnsi="宋体" w:cs="宋体" w:eastAsia="宋体" w:hint="default"/>
          <w:sz w:val="24"/>
          <w:szCs w:val="24"/>
        </w:rPr>
      </w:pPr>
    </w:p>
    <w:p>
      <w:pPr>
        <w:pStyle w:val="BodyText"/>
        <w:spacing w:line="316" w:lineRule="auto"/>
        <w:ind w:right="1134" w:firstLine="436"/>
        <w:jc w:val="both"/>
      </w:pPr>
      <w:r>
        <w:rPr/>
        <w:t>如果管理层对资产组和资产组组合未来现金流量计算中采用的毛利率进行修订，修订后的毛利率低于目前采用的毛利 率，本集团需对固定资产增加计提减值准备。</w:t>
      </w:r>
    </w:p>
    <w:p>
      <w:pPr>
        <w:spacing w:line="240" w:lineRule="auto" w:before="11"/>
        <w:rPr>
          <w:rFonts w:ascii="宋体" w:hAnsi="宋体" w:cs="宋体" w:eastAsia="宋体" w:hint="default"/>
          <w:sz w:val="19"/>
          <w:szCs w:val="19"/>
        </w:rPr>
      </w:pPr>
    </w:p>
    <w:p>
      <w:pPr>
        <w:pStyle w:val="BodyText"/>
        <w:spacing w:line="316" w:lineRule="auto"/>
        <w:ind w:right="1136" w:firstLine="436"/>
        <w:jc w:val="both"/>
      </w:pPr>
      <w:r>
        <w:rPr/>
        <w:t>如果管理层对应用于现金流量折现的税前折现率进行重新修订，修订后的税前折现率高于目前采用的折现率，本集团 需对固定资产增加计提减值准备。</w:t>
      </w:r>
    </w:p>
    <w:p>
      <w:pPr>
        <w:spacing w:line="240" w:lineRule="auto" w:before="10"/>
        <w:rPr>
          <w:rFonts w:ascii="宋体" w:hAnsi="宋体" w:cs="宋体" w:eastAsia="宋体" w:hint="default"/>
          <w:sz w:val="19"/>
          <w:szCs w:val="19"/>
        </w:rPr>
      </w:pPr>
    </w:p>
    <w:p>
      <w:pPr>
        <w:pStyle w:val="BodyText"/>
        <w:spacing w:line="240" w:lineRule="auto"/>
        <w:ind w:left="590" w:right="0"/>
        <w:jc w:val="left"/>
      </w:pPr>
      <w:r>
        <w:rPr/>
        <w:t>如果实际毛利率或税前折现率高于或低于管理层估计，本集团不能转回原已计提的固定资产减值准备。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90" w:right="0"/>
        <w:jc w:val="left"/>
      </w:pPr>
      <w:r>
        <w:rPr/>
        <w:t>（</w:t>
      </w:r>
      <w:r>
        <w:rPr>
          <w:rFonts w:ascii="Times New Roman" w:hAnsi="Times New Roman" w:cs="Times New Roman" w:eastAsia="Times New Roman" w:hint="default"/>
        </w:rPr>
        <w:t>5</w:t>
      </w:r>
      <w:r>
        <w:rPr/>
        <w:t>）递延所得税资产确认的会计估计</w:t>
      </w:r>
    </w:p>
    <w:p>
      <w:pPr>
        <w:spacing w:line="240" w:lineRule="auto" w:before="2"/>
        <w:rPr>
          <w:rFonts w:ascii="宋体" w:hAnsi="宋体" w:cs="宋体" w:eastAsia="宋体" w:hint="default"/>
          <w:sz w:val="23"/>
          <w:szCs w:val="23"/>
        </w:rPr>
      </w:pPr>
    </w:p>
    <w:p>
      <w:pPr>
        <w:pStyle w:val="BodyText"/>
        <w:spacing w:line="319" w:lineRule="auto"/>
        <w:ind w:right="1132" w:firstLine="436"/>
        <w:jc w:val="both"/>
      </w:pPr>
      <w:r>
        <w:rPr/>
        <w:t>递延所得税资产的估计需要对未来各个年度的应纳税所得额及适用的税率进行估计，递延所得税资产的实现取决于集 </w:t>
      </w:r>
      <w:r>
        <w:rPr>
          <w:spacing w:val="-2"/>
        </w:rPr>
        <w:t>团未来是否很可能获得足够的应纳税所得额。未来税率的变化和暂时性差异的转回时间也可能影响所得税费用（收益）以及</w:t>
      </w:r>
      <w:r>
        <w:rPr>
          <w:spacing w:val="-66"/>
        </w:rPr>
        <w:t> </w:t>
      </w:r>
      <w:r>
        <w:rPr>
          <w:spacing w:val="-66"/>
        </w:rPr>
      </w:r>
      <w:r>
        <w:rPr/>
        <w:t>递延所得税的余额。上述估计的变化可能导致对递延所得税的重要调整。</w:t>
      </w:r>
    </w:p>
    <w:p>
      <w:pPr>
        <w:pStyle w:val="BodyText"/>
        <w:spacing w:line="552" w:lineRule="exact" w:before="25"/>
        <w:ind w:left="590" w:right="0"/>
        <w:jc w:val="left"/>
      </w:pPr>
      <w:r>
        <w:rPr/>
        <w:t>（</w:t>
      </w:r>
      <w:r>
        <w:rPr>
          <w:rFonts w:ascii="Times New Roman" w:hAnsi="Times New Roman" w:cs="Times New Roman" w:eastAsia="Times New Roman" w:hint="default"/>
        </w:rPr>
        <w:t>6</w:t>
      </w:r>
      <w:r>
        <w:rPr/>
        <w:t>）固定资产、无形资产的可使用年限 本集团至少于每年年度终了，对固定资产和无形资产的预计使用寿命进行复核。预计使用寿命是管理层基于同类资产</w:t>
      </w:r>
    </w:p>
    <w:p>
      <w:pPr>
        <w:pStyle w:val="BodyText"/>
        <w:spacing w:line="316" w:lineRule="auto"/>
        <w:ind w:right="0"/>
        <w:jc w:val="left"/>
      </w:pPr>
      <w:r>
        <w:rPr>
          <w:spacing w:val="-2"/>
        </w:rPr>
        <w:t>历史经验、参考同行业普遍所应用的估计并结合预期技术更新而决定的。当以往的估计发生重大变化时，则相应调整未来期</w:t>
      </w:r>
      <w:r>
        <w:rPr>
          <w:spacing w:val="-66"/>
        </w:rPr>
        <w:t> </w:t>
      </w:r>
      <w:r>
        <w:rPr>
          <w:spacing w:val="-66"/>
        </w:rPr>
      </w:r>
      <w:r>
        <w:rPr/>
        <w:t>间的折旧费用和摊销费用。</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388"/>
        <w:gridCol w:w="2411"/>
        <w:gridCol w:w="1771"/>
      </w:tblGrid>
      <w:tr>
        <w:trPr>
          <w:trHeight w:val="401"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待售的非流动资产、处置组和终止经营》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[2017]13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，自</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2017</w:t>
            </w:r>
          </w:p>
          <w:p>
            <w:pPr>
              <w:pStyle w:val="TableParagraph"/>
              <w:spacing w:line="302" w:lineRule="auto" w:before="63"/>
              <w:ind w:left="22" w:right="4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日起执行，对于执行日存在的持有待售的非流动资产、处 置组和终止经营，要求采用未来适用法处理。</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6"/>
              <w:jc w:val="both"/>
              <w:rPr>
                <w:rFonts w:ascii="宋体" w:hAnsi="宋体" w:cs="宋体" w:eastAsia="宋体" w:hint="default"/>
                <w:sz w:val="18"/>
                <w:szCs w:val="18"/>
              </w:rPr>
            </w:pPr>
            <w:r>
              <w:rPr>
                <w:rFonts w:ascii="宋体" w:hAnsi="宋体" w:cs="宋体" w:eastAsia="宋体" w:hint="default"/>
                <w:sz w:val="18"/>
                <w:szCs w:val="18"/>
              </w:rPr>
              <w:t>相关会计政策变更已经本公司 第三届董事会第二十八次会议 审议通过。</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1"/>
              <w:jc w:val="both"/>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日颁布的《企业会计准则第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政府补助》（财会</w:t>
            </w:r>
            <w:r>
              <w:rPr>
                <w:rFonts w:ascii="Times New Roman" w:hAnsi="Times New Roman" w:cs="Times New Roman" w:eastAsia="Times New Roman" w:hint="default"/>
                <w:spacing w:val="-8"/>
                <w:sz w:val="18"/>
                <w:szCs w:val="18"/>
              </w:rPr>
              <w:t>[2017]15</w:t>
            </w:r>
            <w:r>
              <w:rPr>
                <w:rFonts w:ascii="Times New Roman" w:hAnsi="Times New Roman" w:cs="Times New Roman" w:eastAsia="Times New Roman" w:hint="default"/>
                <w:spacing w:val="18"/>
                <w:sz w:val="18"/>
                <w:szCs w:val="18"/>
              </w:rPr>
              <w:t> </w:t>
            </w:r>
            <w:r>
              <w:rPr>
                <w:rFonts w:ascii="宋体" w:hAnsi="宋体" w:cs="宋体" w:eastAsia="宋体" w:hint="default"/>
                <w:spacing w:val="-7"/>
                <w:sz w:val="18"/>
                <w:szCs w:val="18"/>
              </w:rPr>
              <w:t>号），修改了政府补助会计处理方法及列报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项目。</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年取得的政</w:t>
            </w:r>
          </w:p>
          <w:p>
            <w:pPr>
              <w:pStyle w:val="TableParagraph"/>
              <w:spacing w:line="302" w:lineRule="auto" w:before="13"/>
              <w:ind w:left="22" w:right="88"/>
              <w:jc w:val="both"/>
              <w:rPr>
                <w:rFonts w:ascii="宋体" w:hAnsi="宋体" w:cs="宋体" w:eastAsia="宋体" w:hint="default"/>
                <w:sz w:val="18"/>
                <w:szCs w:val="18"/>
              </w:rPr>
            </w:pPr>
            <w:r>
              <w:rPr>
                <w:rFonts w:ascii="宋体" w:hAnsi="宋体" w:cs="宋体" w:eastAsia="宋体" w:hint="default"/>
                <w:sz w:val="18"/>
                <w:szCs w:val="18"/>
              </w:rPr>
              <w:t>府补助适用修订后的准则。</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日起未来适用，不需对比 较信息追溯调整。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6"/>
              <w:jc w:val="both"/>
              <w:rPr>
                <w:rFonts w:ascii="宋体" w:hAnsi="宋体" w:cs="宋体" w:eastAsia="宋体" w:hint="default"/>
                <w:sz w:val="18"/>
                <w:szCs w:val="18"/>
              </w:rPr>
            </w:pPr>
            <w:r>
              <w:rPr>
                <w:rFonts w:ascii="宋体" w:hAnsi="宋体" w:cs="宋体" w:eastAsia="宋体" w:hint="default"/>
                <w:sz w:val="18"/>
                <w:szCs w:val="18"/>
              </w:rPr>
              <w:t>相关会计政策变更已经本公司 第三届董事会第二十三次会议 审议通过。</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日发布了《财政部关于修订印发一般企业 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号，资产负债表新增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 资产</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行项目，利润表新增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1"/>
                <w:sz w:val="18"/>
                <w:szCs w:val="18"/>
              </w:rPr>
              <w:t>行项目、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其他收益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行项目、净利润项新增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（一）持续经营净利润</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6"/>
              <w:jc w:val="both"/>
              <w:rPr>
                <w:rFonts w:ascii="宋体" w:hAnsi="宋体" w:cs="宋体" w:eastAsia="宋体" w:hint="default"/>
                <w:sz w:val="18"/>
                <w:szCs w:val="18"/>
              </w:rPr>
            </w:pPr>
            <w:r>
              <w:rPr>
                <w:rFonts w:ascii="宋体" w:hAnsi="宋体" w:cs="宋体" w:eastAsia="宋体" w:hint="default"/>
                <w:sz w:val="18"/>
                <w:szCs w:val="18"/>
              </w:rPr>
              <w:t>相关会计政策变更已经本公司 第三届董事会第二十八次会议 审议通过。</w:t>
            </w: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rFonts w:ascii="Times New Roman" w:hAnsi="Times New Roman" w:cs="Times New Roman" w:eastAsia="Times New Roman" w:hint="default"/>
        </w:rPr>
        <w:t>1</w:t>
      </w:r>
      <w:r>
        <w:rPr/>
        <w:t>、本年度在其他收益列报的金额为</w:t>
      </w:r>
      <w:r>
        <w:rPr>
          <w:rFonts w:ascii="Times New Roman" w:hAnsi="Times New Roman" w:cs="Times New Roman" w:eastAsia="Times New Roman" w:hint="default"/>
        </w:rPr>
        <w:t>815,945.73</w:t>
      </w:r>
      <w:r>
        <w:rPr/>
        <w:t>元；</w:t>
      </w:r>
    </w:p>
    <w:p>
      <w:pPr>
        <w:pStyle w:val="BodyText"/>
        <w:spacing w:line="300" w:lineRule="auto" w:before="63"/>
        <w:ind w:left="154" w:right="1186"/>
        <w:jc w:val="left"/>
      </w:pPr>
      <w:r>
        <w:rPr>
          <w:rFonts w:ascii="Times New Roman" w:hAnsi="Times New Roman" w:cs="Times New Roman" w:eastAsia="Times New Roman" w:hint="default"/>
        </w:rPr>
        <w:t>2</w:t>
      </w:r>
      <w:r>
        <w:rPr/>
        <w:t>、本年度在资产处置收益列报的金额为</w:t>
      </w:r>
      <w:r>
        <w:rPr>
          <w:rFonts w:ascii="Times New Roman" w:hAnsi="Times New Roman" w:cs="Times New Roman" w:eastAsia="Times New Roman" w:hint="default"/>
        </w:rPr>
        <w:t>657,838.22</w:t>
      </w:r>
      <w:r>
        <w:rPr/>
        <w:t>元、在持续经营净利润列报的金额为</w:t>
      </w:r>
      <w:r>
        <w:rPr>
          <w:rFonts w:ascii="Times New Roman" w:hAnsi="Times New Roman" w:cs="Times New Roman" w:eastAsia="Times New Roman" w:hint="default"/>
        </w:rPr>
        <w:t>444,521,550.64</w:t>
      </w:r>
      <w:r>
        <w:rPr/>
        <w:t>元；上年度调增资产 处置收益金额</w:t>
      </w:r>
      <w:r>
        <w:rPr>
          <w:rFonts w:ascii="Times New Roman" w:hAnsi="Times New Roman" w:cs="Times New Roman" w:eastAsia="Times New Roman" w:hint="default"/>
        </w:rPr>
        <w:t>-1,403,830.57</w:t>
      </w:r>
      <w:r>
        <w:rPr/>
        <w:t>元、调减营业外收入金额</w:t>
      </w:r>
      <w:r>
        <w:rPr>
          <w:rFonts w:ascii="Times New Roman" w:hAnsi="Times New Roman" w:cs="Times New Roman" w:eastAsia="Times New Roman" w:hint="default"/>
        </w:rPr>
        <w:t>48,250,864.75</w:t>
      </w:r>
      <w:r>
        <w:rPr/>
        <w:t>元、调减营业外支出金额</w:t>
      </w:r>
      <w:r>
        <w:rPr>
          <w:rFonts w:ascii="Times New Roman" w:hAnsi="Times New Roman" w:cs="Times New Roman" w:eastAsia="Times New Roman" w:hint="default"/>
        </w:rPr>
        <w:t>49,654,695.32</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其他" w:id="226"/>
      <w:bookmarkEnd w:id="226"/>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27"/>
      <w:bookmarkEnd w:id="22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28"/>
      <w:bookmarkEnd w:id="22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9" w:lineRule="auto" w:before="51"/>
              <w:ind w:left="28"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的税率计缴； </w:t>
            </w:r>
            <w:r>
              <w:rPr>
                <w:rFonts w:ascii="宋体" w:hAnsi="宋体" w:cs="宋体" w:eastAsia="宋体" w:hint="default"/>
                <w:spacing w:val="-5"/>
                <w:sz w:val="18"/>
                <w:szCs w:val="18"/>
              </w:rPr>
              <w:t>出口货物享受</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免、抵、退</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税政策，退税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34" w:right="0"/>
              <w:jc w:val="left"/>
              <w:rPr>
                <w:rFonts w:ascii="宋体" w:hAnsi="宋体" w:cs="宋体" w:eastAsia="宋体" w:hint="default"/>
                <w:sz w:val="18"/>
                <w:szCs w:val="18"/>
              </w:rPr>
            </w:pPr>
            <w:r>
              <w:rPr>
                <w:rFonts w:ascii="宋体" w:hAnsi="宋体" w:cs="宋体" w:eastAsia="宋体" w:hint="default"/>
                <w:sz w:val="18"/>
                <w:szCs w:val="18"/>
              </w:rPr>
              <w:t>后的余额；从租计征的，以租金收入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上海墨哈汽车销售有限公司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湖北海立美达电动车有限公司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安派国际美国有限责任公司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联动优势科技（加拿大）有限公司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76" w:firstLine="434"/>
        <w:jc w:val="both"/>
      </w:pPr>
      <w:r>
        <w:rPr/>
        <w:t>青岛海立达冲压件有限公司于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日获得编号为</w:t>
      </w:r>
      <w:r>
        <w:rPr>
          <w:rFonts w:ascii="Times New Roman" w:hAnsi="Times New Roman" w:cs="Times New Roman" w:eastAsia="Times New Roman" w:hint="default"/>
        </w:rPr>
        <w:t>GR201637100546</w:t>
      </w:r>
      <w:r>
        <w:rPr/>
        <w:t>的《高新技术企业证书》，根据《中华人民 共和国企业所得税法》第二十八条的规定，青岛海立达冲压件有限公司</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年度享受高新技术企业减按</w:t>
      </w:r>
      <w:r>
        <w:rPr>
          <w:rFonts w:ascii="Times New Roman" w:hAnsi="Times New Roman" w:cs="Times New Roman" w:eastAsia="Times New Roman" w:hint="default"/>
        </w:rPr>
        <w:t>15%</w:t>
      </w:r>
      <w:r>
        <w:rPr/>
        <w:t>税率优惠征收 企业所得税的政策。</w:t>
      </w:r>
    </w:p>
    <w:p>
      <w:pPr>
        <w:pStyle w:val="BodyText"/>
        <w:spacing w:line="300" w:lineRule="auto" w:before="31"/>
        <w:ind w:right="1120" w:firstLine="434"/>
        <w:jc w:val="left"/>
      </w:pPr>
      <w:r>
        <w:rPr/>
        <w:t>根据财政部、海关总署、国家税务总局颁布的财税</w:t>
      </w:r>
      <w:r>
        <w:rPr>
          <w:rFonts w:ascii="Times New Roman" w:hAnsi="Times New Roman" w:cs="Times New Roman" w:eastAsia="Times New Roman" w:hint="default"/>
        </w:rPr>
        <w:t>[2011]58</w:t>
      </w:r>
      <w:r>
        <w:rPr/>
        <w:t>号文规定，自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日，对设在西 </w:t>
      </w:r>
      <w:r>
        <w:rPr>
          <w:spacing w:val="-1"/>
        </w:rPr>
        <w:t>部地区的鼓励类产业企业减按</w:t>
      </w:r>
      <w:r>
        <w:rPr>
          <w:rFonts w:ascii="Times New Roman" w:hAnsi="Times New Roman" w:cs="Times New Roman" w:eastAsia="Times New Roman" w:hint="default"/>
          <w:spacing w:val="-1"/>
        </w:rPr>
        <w:t>15%</w:t>
      </w:r>
      <w:r>
        <w:rPr>
          <w:spacing w:val="-1"/>
        </w:rPr>
        <w:t>的税率征收企业所得税。宝鸡泰鸿机电有限公司符合上述优惠条件，并且于</w:t>
      </w:r>
      <w:r>
        <w:rPr>
          <w:rFonts w:ascii="Times New Roman" w:hAnsi="Times New Roman" w:cs="Times New Roman" w:eastAsia="Times New Roman" w:hint="default"/>
          <w:spacing w:val="-1"/>
        </w:rPr>
        <w:t>2017</w:t>
      </w:r>
      <w:r>
        <w:rPr>
          <w:spacing w:val="-1"/>
        </w:rPr>
        <w:t>年通过了</w:t>
      </w:r>
      <w:r>
        <w:rPr>
          <w:spacing w:val="-87"/>
        </w:rPr>
        <w:t> </w:t>
      </w:r>
      <w:r>
        <w:rPr/>
        <w:t>宝鸡高新技术产业开发区国家税务局受理申请。</w:t>
      </w:r>
    </w:p>
    <w:p>
      <w:pPr>
        <w:pStyle w:val="BodyText"/>
        <w:spacing w:line="316" w:lineRule="auto" w:before="31"/>
        <w:ind w:right="1139" w:firstLine="434"/>
        <w:jc w:val="left"/>
      </w:pPr>
      <w:r>
        <w:rPr/>
        <w:t>根据《香港特别行政区税务条例》有关规定，若客户以离岸方式进行公司运营，所有业务均不在香港本地产生，所产 生利润无需交税。海立美达香港有限公司企业所得税率为</w:t>
      </w:r>
      <w:r>
        <w:rPr>
          <w:rFonts w:ascii="Times New Roman" w:hAnsi="Times New Roman" w:cs="Times New Roman" w:eastAsia="Times New Roman" w:hint="default"/>
        </w:rPr>
        <w:t>0%</w:t>
      </w:r>
      <w:r>
        <w:rPr/>
        <w:t>。</w:t>
      </w:r>
    </w:p>
    <w:p>
      <w:pPr>
        <w:pStyle w:val="BodyText"/>
        <w:spacing w:line="300" w:lineRule="auto"/>
        <w:ind w:right="1131" w:firstLine="434"/>
        <w:jc w:val="both"/>
      </w:pPr>
      <w:r>
        <w:rPr>
          <w:spacing w:val="-1"/>
        </w:rPr>
        <w:t>联动优势科技有限公司于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日获得编号为</w:t>
      </w:r>
      <w:r>
        <w:rPr>
          <w:rFonts w:ascii="Times New Roman" w:hAnsi="Times New Roman" w:cs="Times New Roman" w:eastAsia="Times New Roman" w:hint="default"/>
          <w:spacing w:val="-1"/>
        </w:rPr>
        <w:t>GR201711002930</w:t>
      </w:r>
      <w:r>
        <w:rPr>
          <w:spacing w:val="-1"/>
        </w:rPr>
        <w:t>的《高新技术企业证书》，根据《中华人民共和</w:t>
      </w:r>
      <w:r>
        <w:rPr/>
        <w:t> 国企业所得税法》第二十八条的规定，联动优势科技有限公司</w:t>
      </w:r>
      <w:r>
        <w:rPr>
          <w:rFonts w:ascii="Times New Roman" w:hAnsi="Times New Roman" w:cs="Times New Roman" w:eastAsia="Times New Roman" w:hint="default"/>
        </w:rPr>
        <w:t>2017</w:t>
      </w:r>
      <w:r>
        <w:rPr/>
        <w:t>年度享受高新技术企业减按</w:t>
      </w:r>
      <w:r>
        <w:rPr>
          <w:spacing w:val="-19"/>
        </w:rPr>
        <w:t> </w:t>
      </w:r>
      <w:r>
        <w:rPr>
          <w:rFonts w:ascii="Times New Roman" w:hAnsi="Times New Roman" w:cs="Times New Roman" w:eastAsia="Times New Roman" w:hint="default"/>
        </w:rPr>
        <w:t>15%</w:t>
      </w:r>
      <w:r>
        <w:rPr/>
        <w:t>税率优惠征收企业所得 税的政策。</w:t>
      </w:r>
    </w:p>
    <w:p>
      <w:pPr>
        <w:pStyle w:val="BodyText"/>
        <w:spacing w:line="300" w:lineRule="auto" w:before="31"/>
        <w:ind w:right="1120" w:firstLine="434"/>
        <w:jc w:val="left"/>
      </w:pPr>
      <w:r>
        <w:rPr/>
        <w:t>联动优势电子商务有限公司于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日获得编号为</w:t>
      </w:r>
      <w:r>
        <w:rPr>
          <w:rFonts w:ascii="Times New Roman" w:hAnsi="Times New Roman" w:cs="Times New Roman" w:eastAsia="Times New Roman" w:hint="default"/>
        </w:rPr>
        <w:t>GF201511000162</w:t>
      </w:r>
      <w:r>
        <w:rPr/>
        <w:t>的《高新技术企业证书》，根据《中华人民 </w:t>
      </w:r>
      <w:r>
        <w:rPr>
          <w:spacing w:val="-1"/>
        </w:rPr>
        <w:t>共和国企业所得税法》第二十八条的规定，联动优势电子商务有限公司</w:t>
      </w:r>
      <w:r>
        <w:rPr>
          <w:rFonts w:ascii="Times New Roman" w:hAnsi="Times New Roman" w:cs="Times New Roman" w:eastAsia="Times New Roman" w:hint="default"/>
          <w:spacing w:val="-1"/>
        </w:rPr>
        <w:t>2017</w:t>
      </w:r>
      <w:r>
        <w:rPr>
          <w:spacing w:val="-1"/>
        </w:rPr>
        <w:t>年度享受高新技术企业减按</w:t>
      </w:r>
      <w:r>
        <w:rPr>
          <w:rFonts w:ascii="Times New Roman" w:hAnsi="Times New Roman" w:cs="Times New Roman" w:eastAsia="Times New Roman" w:hint="default"/>
          <w:spacing w:val="-1"/>
        </w:rPr>
        <w:t>15%</w:t>
      </w:r>
      <w:r>
        <w:rPr>
          <w:spacing w:val="-1"/>
        </w:rPr>
        <w:t>税率优惠征收企</w:t>
      </w:r>
      <w:r>
        <w:rPr>
          <w:spacing w:val="-87"/>
        </w:rPr>
        <w:t> </w:t>
      </w:r>
      <w:r>
        <w:rPr/>
        <w:t>业所得税的政策。</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30"/>
      <w:bookmarkEnd w:id="23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31"/>
      <w:bookmarkEnd w:id="23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65,859.15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147,648.32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2,086,447,372.29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2,306,069,808.16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38,249,349.70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125,736,551.54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2,124,762,581.14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2,431,954,008.02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45,999,422.16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4,113,362.55</w:t>
            </w:r>
          </w:p>
        </w:tc>
      </w:tr>
    </w:tbl>
    <w:p>
      <w:pPr>
        <w:pStyle w:val="BodyText"/>
        <w:spacing w:line="240" w:lineRule="auto" w:before="51"/>
        <w:ind w:left="154" w:right="0"/>
        <w:jc w:val="left"/>
      </w:pPr>
      <w:r>
        <w:rPr/>
        <w:t>其他说明</w:t>
      </w:r>
    </w:p>
    <w:p>
      <w:pPr>
        <w:pStyle w:val="Heading5"/>
        <w:spacing w:line="271" w:lineRule="auto" w:before="100"/>
        <w:ind w:right="0" w:firstLine="399"/>
        <w:jc w:val="left"/>
      </w:pPr>
      <w:r>
        <w:rPr>
          <w:spacing w:val="-5"/>
          <w:w w:val="100"/>
        </w:rPr>
        <w:t>截止</w:t>
      </w:r>
      <w:r>
        <w:rPr>
          <w:rFonts w:ascii="Times New Roman" w:hAnsi="Times New Roman" w:cs="Times New Roman" w:eastAsia="Times New Roman" w:hint="default"/>
          <w:spacing w:val="-5"/>
          <w:w w:val="100"/>
        </w:rPr>
        <w:t>2017</w:t>
      </w:r>
      <w:r>
        <w:rPr>
          <w:spacing w:val="-5"/>
          <w:w w:val="100"/>
        </w:rPr>
        <w:t>年</w:t>
      </w:r>
      <w:r>
        <w:rPr>
          <w:rFonts w:ascii="Times New Roman" w:hAnsi="Times New Roman" w:cs="Times New Roman" w:eastAsia="Times New Roman" w:hint="default"/>
          <w:spacing w:val="-5"/>
          <w:w w:val="100"/>
        </w:rPr>
        <w:t>12</w:t>
      </w:r>
      <w:r>
        <w:rPr>
          <w:spacing w:val="-5"/>
          <w:w w:val="100"/>
        </w:rPr>
        <w:t>月</w:t>
      </w:r>
      <w:r>
        <w:rPr>
          <w:rFonts w:ascii="Times New Roman" w:hAnsi="Times New Roman" w:cs="Times New Roman" w:eastAsia="Times New Roman" w:hint="default"/>
          <w:spacing w:val="-5"/>
          <w:w w:val="100"/>
        </w:rPr>
        <w:t>31</w:t>
      </w:r>
      <w:r>
        <w:rPr>
          <w:spacing w:val="-5"/>
          <w:w w:val="100"/>
        </w:rPr>
        <w:t>日，其他货币资金中</w:t>
      </w:r>
      <w:r>
        <w:rPr>
          <w:rFonts w:ascii="Times New Roman" w:hAnsi="Times New Roman" w:cs="Times New Roman" w:eastAsia="Times New Roman" w:hint="default"/>
          <w:spacing w:val="-5"/>
          <w:w w:val="100"/>
        </w:rPr>
        <w:t>22,722,518.62</w:t>
      </w:r>
      <w:r>
        <w:rPr>
          <w:spacing w:val="-5"/>
          <w:w w:val="100"/>
        </w:rPr>
        <w:t>元为银行承兑汇票、贷款等保证金；另外，</w:t>
      </w:r>
      <w:r>
        <w:rPr>
          <w:rFonts w:ascii="Times New Roman" w:hAnsi="Times New Roman" w:cs="Times New Roman" w:eastAsia="Times New Roman" w:hint="default"/>
          <w:spacing w:val="-5"/>
          <w:w w:val="100"/>
        </w:rPr>
        <w:t>15,526,831.08</w:t>
      </w:r>
      <w:r>
        <w:rPr>
          <w:rFonts w:ascii="Times New Roman" w:hAnsi="Times New Roman" w:cs="Times New Roman" w:eastAsia="Times New Roman" w:hint="default"/>
          <w:w w:val="100"/>
        </w:rPr>
        <w:t> </w:t>
      </w:r>
      <w:r>
        <w:rPr/>
        <w:t>元为支付需要而存入</w:t>
      </w:r>
      <w:r>
        <w:rPr>
          <w:rFonts w:ascii="Times New Roman" w:hAnsi="Times New Roman" w:cs="Times New Roman" w:eastAsia="Times New Roman" w:hint="default"/>
        </w:rPr>
        <w:t>U</w:t>
      </w:r>
      <w:r>
        <w:rPr/>
        <w:t>付账户、微信、和聚宝等的资金。</w:t>
      </w:r>
    </w:p>
    <w:p>
      <w:pPr>
        <w:spacing w:line="240" w:lineRule="auto" w:before="10"/>
        <w:rPr>
          <w:rFonts w:ascii="宋体" w:hAnsi="宋体" w:cs="宋体" w:eastAsia="宋体" w:hint="default"/>
          <w:sz w:val="22"/>
          <w:szCs w:val="22"/>
        </w:rPr>
      </w:pPr>
    </w:p>
    <w:p>
      <w:pPr>
        <w:pStyle w:val="Heading3"/>
        <w:spacing w:line="240" w:lineRule="auto"/>
        <w:ind w:left="153" w:right="0"/>
        <w:jc w:val="left"/>
        <w:rPr>
          <w:b w:val="0"/>
          <w:bCs w:val="0"/>
        </w:rPr>
      </w:pPr>
      <w:bookmarkStart w:name="2、以公允价值计量且其变动计入当期损益的金融资产" w:id="232"/>
      <w:bookmarkEnd w:id="23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衍生金融资产" w:id="233"/>
      <w:bookmarkEnd w:id="23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234"/>
      <w:bookmarkEnd w:id="23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35"/>
      <w:bookmarkEnd w:id="23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270,834,337.70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169,037,958.30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16,518,886.03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54,795,007.41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287,353,223.73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223,832,965.71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36"/>
      <w:bookmarkEnd w:id="23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37"/>
      <w:bookmarkEnd w:id="23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765,420,212.22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27,870,272.46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793,290,484.68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38"/>
      <w:bookmarkEnd w:id="23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239"/>
      <w:bookmarkEnd w:id="23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40"/>
      <w:bookmarkEnd w:id="2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1,013,62</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8,825.47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44,473,1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969,155,7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01.05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755,619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,284.78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31,132,39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724,486,89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3.75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1,603,84</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1,603,84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1,015,23</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2,671.85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46,076,9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70.80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969,155,7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01.05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755,619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,284.78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31,132,39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724,486,89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3.75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9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955,612,473.72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34,573,004.69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955,612,473.72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34,573,004.69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49,693,050.55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5,078,864.18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4,477,175.73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1,363,054.95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2,915,722.64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2,713,738.33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929,702.83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743,762.27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1,013,628,825.47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44,473,124.42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561" w:lineRule="auto" w:before="51"/>
        <w:ind w:left="154" w:right="6793"/>
        <w:jc w:val="left"/>
      </w:pPr>
      <w:r>
        <w:rPr/>
        <w:t>确定该组合依据的说明： 注：确定该组合的依据为信用风险特征相同。</w:t>
      </w:r>
    </w:p>
    <w:p>
      <w:pPr>
        <w:pStyle w:val="BodyText"/>
        <w:spacing w:line="240" w:lineRule="auto" w:before="76"/>
        <w:ind w:left="154" w:right="0"/>
        <w:jc w:val="left"/>
      </w:pPr>
      <w:r>
        <w:rPr/>
        <w:t>组合中，采用余额百分比法计提坏账准备的应收账款：</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21,306,348.42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53" w:right="0"/>
        <w:jc w:val="left"/>
        <w:rPr>
          <w:b w:val="0"/>
          <w:bCs w:val="0"/>
        </w:rPr>
      </w:pPr>
      <w:bookmarkStart w:name="（3）本期实际核销的应收账款情况" w:id="242"/>
      <w:bookmarkEnd w:id="2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54" w:right="0"/>
        <w:jc w:val="left"/>
        <w:rPr>
          <w:b w:val="0"/>
          <w:bCs w:val="0"/>
        </w:rPr>
      </w:pPr>
      <w:bookmarkStart w:name="（4）按欠款方归集的期末余额前五名的应收账款情况" w:id="243"/>
      <w:bookmarkEnd w:id="2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2525"/>
        <w:gridCol w:w="1804"/>
        <w:gridCol w:w="1207"/>
        <w:gridCol w:w="1429"/>
        <w:gridCol w:w="1773"/>
      </w:tblGrid>
      <w:tr>
        <w:trPr>
          <w:trHeight w:val="1178"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29"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70" w:right="168"/>
              <w:jc w:val="center"/>
              <w:rPr>
                <w:rFonts w:ascii="宋体" w:hAnsi="宋体" w:cs="宋体" w:eastAsia="宋体" w:hint="default"/>
                <w:sz w:val="18"/>
                <w:szCs w:val="18"/>
              </w:rPr>
            </w:pPr>
            <w:r>
              <w:rPr>
                <w:rFonts w:ascii="宋体" w:hAnsi="宋体" w:cs="宋体" w:eastAsia="宋体" w:hint="default"/>
                <w:b/>
                <w:bCs/>
                <w:sz w:val="18"/>
                <w:szCs w:val="18"/>
              </w:rPr>
              <w:t>占应收账款年</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sz w:val="18"/>
                <w:szCs w:val="18"/>
              </w:rPr>
            </w:r>
          </w:p>
        </w:tc>
        <w:tc>
          <w:tcPr>
            <w:tcW w:w="1773"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180,235,723.80</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17.75</w:t>
            </w:r>
          </w:p>
        </w:tc>
        <w:tc>
          <w:tcPr>
            <w:tcW w:w="17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11,278,252.66</w:t>
            </w:r>
          </w:p>
        </w:tc>
      </w:tr>
      <w:tr>
        <w:trPr>
          <w:trHeight w:val="396"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147,106,530.72</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14.49</w:t>
            </w:r>
          </w:p>
        </w:tc>
        <w:tc>
          <w:tcPr>
            <w:tcW w:w="17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4,413,195.92</w:t>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60,456,423.25</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5.95</w:t>
            </w:r>
          </w:p>
        </w:tc>
        <w:tc>
          <w:tcPr>
            <w:tcW w:w="17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1,813,692.70</w:t>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49,409,774.45</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4.87</w:t>
            </w:r>
          </w:p>
        </w:tc>
        <w:tc>
          <w:tcPr>
            <w:tcW w:w="17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1,482,293.23</w:t>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31,622,485.06</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3.11</w:t>
            </w:r>
          </w:p>
        </w:tc>
        <w:tc>
          <w:tcPr>
            <w:tcW w:w="17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948,674.55</w:t>
            </w:r>
          </w:p>
        </w:tc>
      </w:tr>
      <w:tr>
        <w:trPr>
          <w:trHeight w:val="458"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6"/>
              <w:jc w:val="right"/>
              <w:rPr>
                <w:rFonts w:ascii="宋体" w:hAnsi="宋体" w:cs="宋体" w:eastAsia="宋体" w:hint="default"/>
                <w:sz w:val="18"/>
                <w:szCs w:val="18"/>
              </w:rPr>
            </w:pPr>
            <w:r>
              <w:rPr>
                <w:rFonts w:ascii="宋体"/>
                <w:b/>
                <w:w w:val="95"/>
                <w:sz w:val="18"/>
              </w:rPr>
              <w:t>468,830,937.28</w:t>
            </w:r>
            <w:r>
              <w:rPr>
                <w:rFonts w:ascii="宋体"/>
                <w:sz w:val="18"/>
              </w:rPr>
            </w:r>
          </w:p>
        </w:tc>
        <w:tc>
          <w:tcPr>
            <w:tcW w:w="1207" w:type="dxa"/>
            <w:tcBorders>
              <w:top w:val="single" w:sz="2" w:space="0" w:color="000000"/>
              <w:left w:val="single" w:sz="2" w:space="0" w:color="000000"/>
              <w:bottom w:val="single" w:sz="12" w:space="0" w:color="000000"/>
              <w:right w:val="single" w:sz="2" w:space="0" w:color="000000"/>
            </w:tcBorders>
          </w:tcPr>
          <w:p>
            <w:pPr/>
          </w:p>
        </w:tc>
        <w:tc>
          <w:tcPr>
            <w:tcW w:w="14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b/>
                <w:w w:val="95"/>
                <w:sz w:val="18"/>
              </w:rPr>
              <w:t>46.17</w:t>
            </w:r>
            <w:r>
              <w:rPr>
                <w:rFonts w:ascii="宋体"/>
                <w:sz w:val="18"/>
              </w:rPr>
            </w:r>
          </w:p>
        </w:tc>
        <w:tc>
          <w:tcPr>
            <w:tcW w:w="17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b/>
                <w:w w:val="95"/>
                <w:sz w:val="18"/>
              </w:rPr>
              <w:t>19,936,109.06</w:t>
            </w:r>
            <w:r>
              <w:rPr>
                <w:rFonts w:ascii="宋体"/>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254" w:right="0"/>
        <w:jc w:val="left"/>
        <w:rPr>
          <w:b w:val="0"/>
          <w:bCs w:val="0"/>
        </w:rPr>
      </w:pPr>
      <w:bookmarkStart w:name="6、预付款项" w:id="244"/>
      <w:bookmarkEnd w:id="24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245,192,357.65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234,302,566.35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451,044.69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423,709.77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383,467.66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240,857.09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246,026,870.00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234,967,133.21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4107"/>
        <w:gridCol w:w="1902"/>
        <w:gridCol w:w="1103"/>
        <w:gridCol w:w="1626"/>
      </w:tblGrid>
      <w:tr>
        <w:trPr>
          <w:trHeight w:val="1177" w:hRule="exact"/>
        </w:trPr>
        <w:tc>
          <w:tcPr>
            <w:tcW w:w="410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26"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18"/>
              <w:ind w:left="177" w:right="180"/>
              <w:jc w:val="center"/>
              <w:rPr>
                <w:rFonts w:ascii="宋体" w:hAnsi="宋体" w:cs="宋体" w:eastAsia="宋体" w:hint="default"/>
                <w:sz w:val="18"/>
                <w:szCs w:val="18"/>
              </w:rPr>
            </w:pPr>
            <w:r>
              <w:rPr>
                <w:rFonts w:ascii="宋体" w:hAnsi="宋体" w:cs="宋体" w:eastAsia="宋体" w:hint="default"/>
                <w:b/>
                <w:bCs/>
                <w:sz w:val="18"/>
                <w:szCs w:val="18"/>
              </w:rPr>
              <w:t>占预付款项年末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7" w:hRule="exact"/>
        </w:trPr>
        <w:tc>
          <w:tcPr>
            <w:tcW w:w="4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148,709,415.60</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60.44</w:t>
            </w:r>
          </w:p>
        </w:tc>
      </w:tr>
      <w:tr>
        <w:trPr>
          <w:trHeight w:val="398" w:hRule="exact"/>
        </w:trPr>
        <w:tc>
          <w:tcPr>
            <w:tcW w:w="4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14,756,201.01</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6.00</w:t>
            </w:r>
          </w:p>
        </w:tc>
      </w:tr>
      <w:tr>
        <w:trPr>
          <w:trHeight w:val="397" w:hRule="exact"/>
        </w:trPr>
        <w:tc>
          <w:tcPr>
            <w:tcW w:w="4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8,759,203.08</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3.56</w:t>
            </w:r>
          </w:p>
        </w:tc>
      </w:tr>
      <w:tr>
        <w:trPr>
          <w:trHeight w:val="397" w:hRule="exact"/>
        </w:trPr>
        <w:tc>
          <w:tcPr>
            <w:tcW w:w="4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6,569,673.51</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2.67</w:t>
            </w:r>
          </w:p>
        </w:tc>
      </w:tr>
      <w:tr>
        <w:trPr>
          <w:trHeight w:val="410" w:hRule="exact"/>
        </w:trPr>
        <w:tc>
          <w:tcPr>
            <w:tcW w:w="4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5,305,137.17</w:t>
            </w:r>
          </w:p>
        </w:tc>
        <w:tc>
          <w:tcPr>
            <w:tcW w:w="11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2.16</w:t>
            </w:r>
          </w:p>
        </w:tc>
      </w:tr>
    </w:tbl>
    <w:p>
      <w:pPr>
        <w:spacing w:after="0" w:line="240" w:lineRule="auto"/>
        <w:jc w:val="right"/>
        <w:rPr>
          <w:rFonts w:ascii="宋体" w:hAnsi="宋体" w:cs="宋体" w:eastAsia="宋体"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4107"/>
        <w:gridCol w:w="1902"/>
        <w:gridCol w:w="1103"/>
        <w:gridCol w:w="1626"/>
      </w:tblGrid>
      <w:tr>
        <w:trPr>
          <w:trHeight w:val="1178" w:hRule="exact"/>
        </w:trPr>
        <w:tc>
          <w:tcPr>
            <w:tcW w:w="410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26"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18"/>
              <w:ind w:left="177" w:right="180"/>
              <w:jc w:val="center"/>
              <w:rPr>
                <w:rFonts w:ascii="宋体" w:hAnsi="宋体" w:cs="宋体" w:eastAsia="宋体" w:hint="default"/>
                <w:sz w:val="18"/>
                <w:szCs w:val="18"/>
              </w:rPr>
            </w:pPr>
            <w:r>
              <w:rPr>
                <w:rFonts w:ascii="宋体" w:hAnsi="宋体" w:cs="宋体" w:eastAsia="宋体" w:hint="default"/>
                <w:b/>
                <w:bCs/>
                <w:sz w:val="18"/>
                <w:szCs w:val="18"/>
              </w:rPr>
              <w:t>占预付款项年末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9" w:hRule="exact"/>
        </w:trPr>
        <w:tc>
          <w:tcPr>
            <w:tcW w:w="4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520" w:right="0"/>
              <w:jc w:val="left"/>
              <w:rPr>
                <w:rFonts w:ascii="宋体" w:hAnsi="宋体" w:cs="宋体" w:eastAsia="宋体" w:hint="default"/>
                <w:sz w:val="18"/>
                <w:szCs w:val="18"/>
              </w:rPr>
            </w:pPr>
            <w:r>
              <w:rPr>
                <w:rFonts w:ascii="宋体"/>
                <w:b/>
                <w:sz w:val="18"/>
              </w:rPr>
              <w:t>184,099,630.37</w:t>
            </w:r>
            <w:r>
              <w:rPr>
                <w:rFonts w:ascii="宋体"/>
                <w:sz w:val="18"/>
              </w:rPr>
            </w:r>
          </w:p>
        </w:tc>
        <w:tc>
          <w:tcPr>
            <w:tcW w:w="1103" w:type="dxa"/>
            <w:tcBorders>
              <w:top w:val="single" w:sz="2" w:space="0" w:color="000000"/>
              <w:left w:val="single" w:sz="2" w:space="0" w:color="000000"/>
              <w:bottom w:val="single" w:sz="12" w:space="0" w:color="000000"/>
              <w:right w:val="single" w:sz="2" w:space="0" w:color="000000"/>
            </w:tcBorders>
          </w:tcPr>
          <w:p>
            <w:pPr/>
          </w:p>
        </w:tc>
        <w:tc>
          <w:tcPr>
            <w:tcW w:w="16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left="1062" w:right="0"/>
              <w:jc w:val="left"/>
              <w:rPr>
                <w:rFonts w:ascii="宋体" w:hAnsi="宋体" w:cs="宋体" w:eastAsia="宋体" w:hint="default"/>
                <w:sz w:val="18"/>
                <w:szCs w:val="18"/>
              </w:rPr>
            </w:pPr>
            <w:r>
              <w:rPr>
                <w:rFonts w:ascii="宋体"/>
                <w:b/>
                <w:sz w:val="18"/>
              </w:rPr>
              <w:t>74.83</w:t>
            </w:r>
            <w:r>
              <w:rPr>
                <w:rFonts w:ascii="宋体"/>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254" w:right="0"/>
        <w:jc w:val="left"/>
        <w:rPr>
          <w:b w:val="0"/>
          <w:bCs w:val="0"/>
        </w:rPr>
      </w:pPr>
      <w:bookmarkStart w:name="7、应收利息" w:id="247"/>
      <w:bookmarkEnd w:id="24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54" w:right="0"/>
        <w:jc w:val="left"/>
        <w:rPr>
          <w:b w:val="0"/>
          <w:bCs w:val="0"/>
        </w:rPr>
      </w:pPr>
      <w:bookmarkStart w:name="8、应收股利" w:id="248"/>
      <w:bookmarkEnd w:id="24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4" w:right="0"/>
        <w:jc w:val="left"/>
        <w:rPr>
          <w:b w:val="0"/>
          <w:bCs w:val="0"/>
        </w:rPr>
      </w:pPr>
      <w:bookmarkStart w:name="（1）应收股利" w:id="249"/>
      <w:bookmarkEnd w:id="24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中国浦发机械工业股份有限公司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18,973.15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bookmarkStart w:name="（2）重要的账龄超过1年的应收股利" w:id="250"/>
      <w:bookmarkEnd w:id="25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254" w:right="0"/>
        <w:jc w:val="left"/>
        <w:rPr>
          <w:b w:val="0"/>
          <w:bCs w:val="0"/>
        </w:rPr>
      </w:pPr>
      <w:bookmarkStart w:name="9、其他应收款" w:id="251"/>
      <w:bookmarkEnd w:id="25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4" w:right="0"/>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35,259,4</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8,202,53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23.26%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27,056,93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31,274,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409.97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83.11%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5,885,335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25,389,074.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6,089,14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6,089,14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6,357,1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4,522,640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1,834,503.2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41,348,6</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16.41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14,291,6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34.56%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27,056,93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37,631,</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554.11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10,407,97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27.66%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27,223,577.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254" w:right="0"/>
        <w:jc w:val="left"/>
      </w:pPr>
      <w:r>
        <w:rPr/>
        <w:t>期末单项金额重大并单项计提坏账准备的其他应收款：</w:t>
      </w:r>
    </w:p>
    <w:p>
      <w:pPr>
        <w:spacing w:after="0" w:line="240" w:lineRule="auto"/>
        <w:jc w:val="left"/>
        <w:sectPr>
          <w:pgSz w:w="11910" w:h="16840"/>
          <w:pgMar w:header="747" w:footer="979" w:top="1060" w:bottom="1160" w:left="8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19,799,008.49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883,104.65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19,799,008.49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883,104.65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4,772,436.38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661,586.84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3,451,984.35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1,070,195.31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2,771,925.86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1,517,257.86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1,982,277.19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1,588,551.75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2,481,840.00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2,481,840.00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35,259,472.27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8,202,536.41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spacing w:line="240" w:lineRule="auto" w:before="1"/>
        <w:rPr>
          <w:rFonts w:ascii="宋体" w:hAnsi="宋体" w:cs="宋体" w:eastAsia="宋体" w:hint="default"/>
          <w:sz w:val="24"/>
          <w:szCs w:val="24"/>
        </w:rPr>
      </w:pPr>
    </w:p>
    <w:p>
      <w:pPr>
        <w:pStyle w:val="BodyText"/>
        <w:spacing w:line="360" w:lineRule="auto"/>
        <w:ind w:left="154" w:right="6252"/>
        <w:jc w:val="left"/>
      </w:pPr>
      <w:r>
        <w:rPr/>
        <w:t>注：确定该组合的依据为信用风险特征相同。 组合中，采用余额百分比法计提坏账准备的其他应收款：</w:t>
      </w:r>
    </w:p>
    <w:p>
      <w:pPr>
        <w:pStyle w:val="BodyText"/>
        <w:spacing w:line="338" w:lineRule="auto" w:before="2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4,673,906.55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25,455,977.27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18,217,143.84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5,101,440.34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3,565,746.39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1,644,826.99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596,789.79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6,849,297.00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8,223,077.50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还了吗平台借款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2,177,100.00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商户佣金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5,259,011.91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119,974.81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1,769,784.68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41,348,616.41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37,631,554.11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5,464,453.49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921,143.07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1,500,383.50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45,011.51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994,216.24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29,826.49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11,159,053.23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2,105,981.07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存货" w:id="257"/>
      <w:bookmarkEnd w:id="257"/>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225,526,538.20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556,570.79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224,969,967.41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190,968,653.44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785,601.51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190,183,051.93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75,615,365.22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823,687.16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74,791,678.06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133,644,769.64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636,645.13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133,008,124.51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235,682,319.42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7,420,000.18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228,262,319.24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230,617,475.32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8,648,109.55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221,969,365.77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364,490.03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364,490.03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45,634.48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45,634.48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16,198,751.74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16,198,751.74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8,285,267.42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8,285,267.42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553,387,464.61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8,800,258.13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544,587,206.48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563,561,800.30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10,070,356.19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553,491,444.11</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存货跌价准备" w:id="259"/>
      <w:bookmarkEnd w:id="25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356"/>
        <w:gridCol w:w="1267"/>
        <w:gridCol w:w="113"/>
        <w:gridCol w:w="1367"/>
        <w:gridCol w:w="1367"/>
        <w:gridCol w:w="258"/>
        <w:gridCol w:w="1110"/>
        <w:gridCol w:w="1367"/>
        <w:gridCol w:w="518"/>
        <w:gridCol w:w="851"/>
      </w:tblGrid>
      <w:tr>
        <w:trPr>
          <w:trHeight w:val="20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79" w:type="dxa"/>
            <w:gridSpan w:val="2"/>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gridSpan w:val="2"/>
            <w:vMerge/>
            <w:tcBorders>
              <w:left w:val="single" w:sz="4" w:space="0" w:color="000000"/>
              <w:right w:val="single" w:sz="4" w:space="0" w:color="000000"/>
            </w:tcBorders>
            <w:shd w:val="clear" w:color="auto" w:fill="D2D2D2"/>
          </w:tcPr>
          <w:p>
            <w:pPr/>
          </w:p>
        </w:tc>
      </w:tr>
      <w:tr>
        <w:trPr>
          <w:trHeight w:val="205"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785,601.51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388,758.83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617,728.00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556,570.79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636,645.13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187,042.03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823,687.16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8,648,109.55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6,275,285.98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4,267,675.66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3,235,719.69</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7,420,000.18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10,070,356.19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6,851,086.84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4,267,737.21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3,853,447.69</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8,800,258.13</w:t>
            </w:r>
          </w:p>
        </w:tc>
      </w:tr>
      <w:tr>
        <w:trPr>
          <w:trHeight w:val="332" w:hRule="exact"/>
        </w:trPr>
        <w:tc>
          <w:tcPr>
            <w:tcW w:w="9574" w:type="dxa"/>
            <w:gridSpan w:val="10"/>
            <w:tcBorders>
              <w:top w:val="single" w:sz="4" w:space="0" w:color="000000"/>
              <w:left w:val="nil" w:sz="6" w:space="0" w:color="auto"/>
              <w:bottom w:val="nil" w:sz="6" w:space="0" w:color="auto"/>
              <w:right w:val="nil" w:sz="6" w:space="0" w:color="auto"/>
            </w:tcBorders>
          </w:tcPr>
          <w:p>
            <w:pPr/>
          </w:p>
        </w:tc>
      </w:tr>
      <w:tr>
        <w:trPr>
          <w:trHeight w:val="347" w:hRule="exact"/>
        </w:trPr>
        <w:tc>
          <w:tcPr>
            <w:tcW w:w="2623" w:type="dxa"/>
            <w:gridSpan w:val="2"/>
            <w:tcBorders>
              <w:top w:val="single" w:sz="4" w:space="0" w:color="000000"/>
              <w:left w:val="single" w:sz="6" w:space="0" w:color="000000"/>
              <w:bottom w:val="single" w:sz="8"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05" w:type="dxa"/>
            <w:gridSpan w:val="4"/>
            <w:tcBorders>
              <w:top w:val="single" w:sz="4"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计提依据</w:t>
            </w:r>
            <w:r>
              <w:rPr>
                <w:rFonts w:ascii="宋体" w:hAnsi="宋体" w:cs="宋体" w:eastAsia="宋体" w:hint="default"/>
                <w:sz w:val="18"/>
                <w:szCs w:val="18"/>
              </w:rPr>
            </w:r>
          </w:p>
        </w:tc>
        <w:tc>
          <w:tcPr>
            <w:tcW w:w="2996" w:type="dxa"/>
            <w:gridSpan w:val="3"/>
            <w:tcBorders>
              <w:top w:val="single" w:sz="4" w:space="0" w:color="000000"/>
              <w:left w:val="single" w:sz="6" w:space="0" w:color="000000"/>
              <w:bottom w:val="single" w:sz="8" w:space="0" w:color="000000"/>
              <w:right w:val="single" w:sz="4" w:space="0" w:color="000000"/>
            </w:tcBorders>
          </w:tcPr>
          <w:p>
            <w:pPr>
              <w:pStyle w:val="TableParagraph"/>
              <w:spacing w:line="240" w:lineRule="auto" w:before="21"/>
              <w:ind w:left="677" w:right="0"/>
              <w:jc w:val="left"/>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c>
          <w:tcPr>
            <w:tcW w:w="851" w:type="dxa"/>
            <w:vMerge w:val="restart"/>
            <w:tcBorders>
              <w:top w:val="nil" w:sz="6" w:space="0" w:color="auto"/>
              <w:left w:val="single" w:sz="4" w:space="0" w:color="000000"/>
              <w:right w:val="nil" w:sz="6" w:space="0" w:color="auto"/>
            </w:tcBorders>
          </w:tcPr>
          <w:p>
            <w:pPr/>
          </w:p>
        </w:tc>
      </w:tr>
      <w:tr>
        <w:trPr>
          <w:trHeight w:val="347" w:hRule="exact"/>
        </w:trPr>
        <w:tc>
          <w:tcPr>
            <w:tcW w:w="2623"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105" w:type="dxa"/>
            <w:gridSpan w:val="4"/>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2996" w:type="dxa"/>
            <w:gridSpan w:val="3"/>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860" w:right="0"/>
              <w:jc w:val="left"/>
              <w:rPr>
                <w:rFonts w:ascii="宋体" w:hAnsi="宋体" w:cs="宋体" w:eastAsia="宋体" w:hint="default"/>
                <w:sz w:val="18"/>
                <w:szCs w:val="18"/>
              </w:rPr>
            </w:pPr>
            <w:r>
              <w:rPr>
                <w:rFonts w:ascii="宋体" w:hAnsi="宋体" w:cs="宋体" w:eastAsia="宋体" w:hint="default"/>
                <w:sz w:val="18"/>
                <w:szCs w:val="18"/>
              </w:rPr>
              <w:t>生产领用和销售</w:t>
            </w:r>
          </w:p>
        </w:tc>
        <w:tc>
          <w:tcPr>
            <w:tcW w:w="851" w:type="dxa"/>
            <w:vMerge/>
            <w:tcBorders>
              <w:left w:val="single" w:sz="4" w:space="0" w:color="000000"/>
              <w:right w:val="nil" w:sz="6" w:space="0" w:color="auto"/>
            </w:tcBorders>
          </w:tcPr>
          <w:p>
            <w:pPr/>
          </w:p>
        </w:tc>
      </w:tr>
      <w:tr>
        <w:trPr>
          <w:trHeight w:val="347" w:hRule="exact"/>
        </w:trPr>
        <w:tc>
          <w:tcPr>
            <w:tcW w:w="2623"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自制半成品及在产品</w:t>
            </w:r>
          </w:p>
        </w:tc>
        <w:tc>
          <w:tcPr>
            <w:tcW w:w="3105" w:type="dxa"/>
            <w:gridSpan w:val="4"/>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2996" w:type="dxa"/>
            <w:gridSpan w:val="3"/>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860" w:right="0"/>
              <w:jc w:val="left"/>
              <w:rPr>
                <w:rFonts w:ascii="宋体" w:hAnsi="宋体" w:cs="宋体" w:eastAsia="宋体" w:hint="default"/>
                <w:sz w:val="18"/>
                <w:szCs w:val="18"/>
              </w:rPr>
            </w:pPr>
            <w:r>
              <w:rPr>
                <w:rFonts w:ascii="宋体" w:hAnsi="宋体" w:cs="宋体" w:eastAsia="宋体" w:hint="default"/>
                <w:sz w:val="18"/>
                <w:szCs w:val="18"/>
              </w:rPr>
              <w:t>生产领用和销售</w:t>
            </w:r>
          </w:p>
        </w:tc>
        <w:tc>
          <w:tcPr>
            <w:tcW w:w="851" w:type="dxa"/>
            <w:vMerge/>
            <w:tcBorders>
              <w:left w:val="single" w:sz="4" w:space="0" w:color="000000"/>
              <w:right w:val="nil" w:sz="6" w:space="0" w:color="auto"/>
            </w:tcBorders>
          </w:tcPr>
          <w:p>
            <w:pPr/>
          </w:p>
        </w:tc>
      </w:tr>
      <w:tr>
        <w:trPr>
          <w:trHeight w:val="353" w:hRule="exact"/>
        </w:trPr>
        <w:tc>
          <w:tcPr>
            <w:tcW w:w="2623"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库存商品（产成品）</w:t>
            </w:r>
          </w:p>
        </w:tc>
        <w:tc>
          <w:tcPr>
            <w:tcW w:w="3105" w:type="dxa"/>
            <w:gridSpan w:val="4"/>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2996" w:type="dxa"/>
            <w:gridSpan w:val="3"/>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51" w:type="dxa"/>
            <w:vMerge/>
            <w:tcBorders>
              <w:left w:val="single" w:sz="4" w:space="0" w:color="000000"/>
              <w:bottom w:val="nil" w:sz="6" w:space="0" w:color="auto"/>
              <w:right w:val="nil" w:sz="6" w:space="0" w:color="auto"/>
            </w:tcBorders>
          </w:tcPr>
          <w:p>
            <w:pPr/>
          </w:p>
        </w:tc>
      </w:tr>
    </w:tbl>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11、持有待售的资产" w:id="260"/>
      <w:bookmarkEnd w:id="260"/>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61"/>
      <w:bookmarkEnd w:id="261"/>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62"/>
      <w:bookmarkEnd w:id="262"/>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1,377,591.92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3,770,543.87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46,924,816.73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22,353,757.09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清结算代收款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140,827,373.97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38,371,258.54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运营商计费代收款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64,696,926.93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58,232,237.44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惠商</w:t>
            </w:r>
            <w:r>
              <w:rPr>
                <w:rFonts w:ascii="Times New Roman" w:hAnsi="Times New Roman" w:cs="Times New Roman" w:eastAsia="Times New Roman" w:hint="default"/>
                <w:sz w:val="18"/>
                <w:szCs w:val="18"/>
              </w:rPr>
              <w:t>+</w:t>
            </w:r>
            <w:r>
              <w:rPr>
                <w:rFonts w:ascii="宋体" w:hAnsi="宋体" w:cs="宋体" w:eastAsia="宋体" w:hint="default"/>
                <w:sz w:val="18"/>
                <w:szCs w:val="18"/>
              </w:rPr>
              <w:t>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83,585,421.89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18,579,143.37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代收代付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1,829,008.96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3,888,565.68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54,897.71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1,302,753.88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751,035.96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340,598,791.99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153,959,369.74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4、可供出售金融资产" w:id="263"/>
      <w:bookmarkEnd w:id="263"/>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4"/>
      <w:bookmarkEnd w:id="26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72,415,092.20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72,415,092.20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72,415,092.20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72,415,092.20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72,415,092.20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72,415,092.20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65"/>
      <w:bookmarkEnd w:id="26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按成本计量的可供出售金融资产" w:id="266"/>
      <w:bookmarkEnd w:id="26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山东鑫海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12,907,682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12,907,682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山东五莲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五莲县国 信融资担 保有限公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1,028,005.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中国浦发 机械工业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29,463.00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2,026,566.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18,973.15</w:t>
            </w:r>
          </w:p>
        </w:tc>
      </w:tr>
      <w:tr>
        <w:trPr>
          <w:trHeight w:val="165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北京福田 产业投资 控股集团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青岛高创 澳海股权 投资管理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百融金融 信息服务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青岛高创 澳海创业 投资企业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网联清算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72,415,092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29,929,463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17,217,988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85,126,566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18,973.15</w:t>
            </w:r>
          </w:p>
        </w:tc>
      </w:tr>
    </w:tbl>
    <w:p>
      <w:pPr>
        <w:spacing w:line="240" w:lineRule="auto" w:before="10"/>
        <w:rPr>
          <w:rFonts w:ascii="宋体" w:hAnsi="宋体" w:cs="宋体" w:eastAsia="宋体" w:hint="default"/>
          <w:sz w:val="15"/>
          <w:szCs w:val="15"/>
        </w:rPr>
      </w:pPr>
    </w:p>
    <w:p>
      <w:pPr>
        <w:pStyle w:val="BodyText"/>
        <w:spacing w:line="316" w:lineRule="auto" w:before="44"/>
        <w:ind w:left="154" w:right="1132" w:firstLine="440"/>
        <w:jc w:val="left"/>
      </w:pPr>
      <w:r>
        <w:rPr/>
        <w:t>注：本集团对上述被投资单位均不具有重大影响，不参与被投资单位的生产经营管理及政策制定过程，除分红事项外 未与被投资单位发生交易。</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持有至到期投资" w:id="267"/>
      <w:bookmarkEnd w:id="26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69"/>
      <w:bookmarkEnd w:id="26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0"/>
      <w:bookmarkEnd w:id="27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固定资产" w:id="271"/>
      <w:bookmarkEnd w:id="27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2"/>
      <w:bookmarkEnd w:id="27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9"/>
        <w:gridCol w:w="1368"/>
        <w:gridCol w:w="1366"/>
        <w:gridCol w:w="1367"/>
        <w:gridCol w:w="1367"/>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470,969,718.11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568,929,055.09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23,473,295.77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142,400,562.23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148,174,995.24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1,353,947,626.44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158,572,345.75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105,255,306.83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3,264,128.09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31,209,335.86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36,770,716.88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335,071,833.41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9,244,806.51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2,609,085.34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30,740,963.06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3,841,231.71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46,436,086.62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158,572,345.75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96,010,500.32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655,042.75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468,372.80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32,929,485.17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288,635,746.79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181,120,610.05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244,319,273.78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11,051,876.59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17,670,618.83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60,253,693.72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514,416,072.97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17,977,119.41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2,056,272.14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4,609,248.64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12,070,817.15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36,713,457.34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）合并范</w:t>
            </w:r>
            <w:r>
              <w:rPr>
                <w:rFonts w:ascii="宋体" w:hAnsi="宋体" w:cs="宋体" w:eastAsia="宋体" w:hint="default"/>
                <w:sz w:val="18"/>
                <w:szCs w:val="18"/>
              </w:rPr>
              <w:t> 围变化</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181,120,610.05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226,342,154.37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8,995,604.45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13,061,370.19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48,182,876.57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477,702,615.63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448,421,453.81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429,865,088.14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15,685,547.27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155,939,279.26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124,692,018.40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1,174,603,386.88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103,567,558.08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272,621,781.25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13,664,604.40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110,560,745.69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78,154,875.02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578,569,564.44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16,578,242.97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33,453,956.42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2,013,055.75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21,745,302.56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16,819,908.53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90,610,466.23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16,578,242.97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33,453,956.42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2,013,055.75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21,745,302.56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16,819,908.53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90,610,466.23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35,290,039.63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131,877,419.67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5,938,098.59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12,225,184.41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43,722,919.72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229,053,662.02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3,989,117.18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1,818,026.08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4,510,292.45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6,108,385.29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16,425,821.00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）合并范</w:t>
            </w:r>
            <w:r>
              <w:rPr>
                <w:rFonts w:ascii="宋体" w:hAnsi="宋体" w:cs="宋体" w:eastAsia="宋体" w:hint="default"/>
                <w:sz w:val="18"/>
                <w:szCs w:val="18"/>
              </w:rPr>
              <w:t> 围变化</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35,290,039.63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127,888,302.49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4,120,072.51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7,714,891.96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37,614,534.43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212,627,841.02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84,855,761.42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174,198,318.00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9,739,561.56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120,080,863.84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51,251,863.83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440,126,368.65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244,554.69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456,960.92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704,151.34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244,554.69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456,960.92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704,151.34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244,554.69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456,960.92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704,151.34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363,565,692.39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255,666,770.14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5,945,985.71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35,858,415.42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73,440,154.57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734,477,018.23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367,402,160.03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296,062,719.15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9,808,691.37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31,837,180.81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69,563,159.30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774,673,910.66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暂时闲置的固定资产情况" w:id="273"/>
      <w:bookmarkEnd w:id="27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17,078,973.16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6,812,924.36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10,266,048.80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6,824,650.20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3,939,255.06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2,885,395.14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23,903,623.36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10,752,179.42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13,151,443.94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74"/>
      <w:bookmarkEnd w:id="27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通过经营租赁租出的固定资产" w:id="275"/>
      <w:bookmarkEnd w:id="27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未办妥产权证书的固定资产情况" w:id="276"/>
      <w:bookmarkEnd w:id="27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复兴大道办公楼及车间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105,894,310.27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尚未竣工决算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北仑厂房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9,720,958.88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11,821,976.63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在建工程" w:id="277"/>
      <w:bookmarkEnd w:id="27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8"/>
      <w:bookmarkEnd w:id="27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30,942,910.45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30,942,910.45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113,882,177.06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113,882,177.06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35,585,655.10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845,430.34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34,740,224.76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13,782,315.14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13,782,315.14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24,185,089.92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24,185,089.92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13,559,366.35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13,559,366.35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90,713,655.47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845,430.34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89,868,225.13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141,223,858.55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141,223,858.55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9"/>
      <w:bookmarkEnd w:id="27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复兴大 道北厂 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113,882,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177.06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84,057,6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168,819,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484.62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29,102,4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机电新 产线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67,621,9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6,411,58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61,210,3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49,012,1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18,609,8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21,207,3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6,994,35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6,152,96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12,876,6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NL-3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13,164,8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63.11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5,892,64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7,782,98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24,943,7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1,968,80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21,150,7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19,192,4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3,927,15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332,837,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952.06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129,767,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694.75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185,736,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641.35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243,187,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375.23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72,299,0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60.87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80"/>
      <w:bookmarkEnd w:id="28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JSJ-2-1400NC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845,430.34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毁损</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845,430.34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工程物资" w:id="281"/>
      <w:bookmarkEnd w:id="28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spacing w:line="324" w:lineRule="auto" w:before="0"/>
        <w:ind w:left="154" w:right="9066"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32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3、生产性生物资产" w:id="282"/>
      <w:bookmarkEnd w:id="28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83"/>
      <w:bookmarkEnd w:id="28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84"/>
      <w:bookmarkEnd w:id="28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85"/>
      <w:bookmarkEnd w:id="28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86"/>
      <w:bookmarkEnd w:id="28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7"/>
      <w:bookmarkEnd w:id="28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274,066,913.52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5,661,407.03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139,535,723.84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478,412,344.39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5,736,265.75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11,604,803.78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17,341,069.53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5,037,077.47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5,037,077.47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5,736,265.75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6,567,726.31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12,303,992.06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29,442,920.06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2,417,856.68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31,860,776.74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1,826,663.56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1,826,663.56</w:t>
            </w:r>
          </w:p>
        </w:tc>
      </w:tr>
      <w:tr>
        <w:trPr>
          <w:trHeight w:val="714" w:hRule="exact"/>
        </w:trPr>
        <w:tc>
          <w:tcPr>
            <w:tcW w:w="1356" w:type="dxa"/>
            <w:tcBorders>
              <w:top w:val="single" w:sz="4" w:space="0" w:color="000000"/>
              <w:left w:val="single" w:sz="4" w:space="0" w:color="000000"/>
              <w:bottom w:val="single" w:sz="4" w:space="0" w:color="000000"/>
              <w:right w:val="single" w:sz="9" w:space="0" w:color="FFFFFF"/>
            </w:tcBorders>
            <w:shd w:val="clear" w:color="auto" w:fill="D9D9D9"/>
          </w:tcPr>
          <w:p>
            <w:pPr>
              <w:pStyle w:val="TableParagraph"/>
              <w:spacing w:line="300" w:lineRule="auto" w:before="51"/>
              <w:ind w:left="22" w:right="-34"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合并范围变化</w:t>
            </w:r>
          </w:p>
        </w:tc>
        <w:tc>
          <w:tcPr>
            <w:tcW w:w="1378"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29,442,920.06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591,193.12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30,034,113.18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244,623,993.46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11,397,672.78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148,722,670.94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463,892,637.18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26,406,196.16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9,499,251.26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6,749,999.75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34,660,324.07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77,315,771.24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5,467,502.45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4,956,131.08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424,605.51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15,435,319.89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26,283,558.93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5,467,502.45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4,956,131.08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424,605.51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15,435,319.89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26,283,558.93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5,466,951.19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2,379,433.22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7,846,384.41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1,826,663.56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1,826,663.56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）合并</w:t>
            </w:r>
            <w:r>
              <w:rPr>
                <w:rFonts w:ascii="宋体" w:hAnsi="宋体" w:cs="宋体" w:eastAsia="宋体" w:hint="default"/>
                <w:sz w:val="18"/>
                <w:szCs w:val="18"/>
              </w:rPr>
              <w:t> 范围变化</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5,466,951.19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552,769.66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6,019,720.85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26,404,247.45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14,455,382.34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424,605.51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6,749,999.75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47,718,710.71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95,752,945.76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218,217,246.04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34,692,917.66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10,973,067.27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101,006,460.20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364,889,691.17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247,660,717.36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39,649,048.74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5,661,407.03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104,875,399.77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397,846,572.90</w:t>
            </w:r>
          </w:p>
        </w:tc>
      </w:tr>
    </w:tbl>
    <w:p>
      <w:pPr>
        <w:pStyle w:val="BodyText"/>
        <w:spacing w:line="240" w:lineRule="auto" w:before="51"/>
        <w:ind w:left="154"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2.65%</w:t>
      </w:r>
      <w:r>
        <w:rPr/>
        <w:t>。</w:t>
      </w:r>
    </w:p>
    <w:p>
      <w:pPr>
        <w:spacing w:line="240" w:lineRule="auto" w:before="2"/>
        <w:rPr>
          <w:rFonts w:ascii="宋体" w:hAnsi="宋体" w:cs="宋体" w:eastAsia="宋体" w:hint="default"/>
          <w:sz w:val="23"/>
          <w:szCs w:val="23"/>
        </w:rPr>
      </w:pPr>
    </w:p>
    <w:p>
      <w:pPr>
        <w:pStyle w:val="BodyText"/>
        <w:spacing w:line="300" w:lineRule="auto"/>
        <w:ind w:right="1153" w:firstLine="440"/>
        <w:jc w:val="left"/>
      </w:pPr>
      <w:r>
        <w:rPr/>
        <w:t>注</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日，本公司全资子公司宁波泰鸿机电有限公司以</w:t>
      </w:r>
      <w:r>
        <w:rPr>
          <w:rFonts w:ascii="Times New Roman" w:hAnsi="Times New Roman" w:cs="Times New Roman" w:eastAsia="Times New Roman" w:hint="default"/>
        </w:rPr>
        <w:t>“</w:t>
      </w:r>
      <w:r>
        <w:rPr/>
        <w:t>浙（</w:t>
      </w:r>
      <w:r>
        <w:rPr>
          <w:rFonts w:ascii="Times New Roman" w:hAnsi="Times New Roman" w:cs="Times New Roman" w:eastAsia="Times New Roman" w:hint="default"/>
        </w:rPr>
        <w:t>2016</w:t>
      </w:r>
      <w:r>
        <w:rPr/>
        <w:t>）北仑区不动产第</w:t>
      </w:r>
      <w:r>
        <w:rPr>
          <w:rFonts w:ascii="Times New Roman" w:hAnsi="Times New Roman" w:cs="Times New Roman" w:eastAsia="Times New Roman" w:hint="default"/>
        </w:rPr>
        <w:t>0014282</w:t>
      </w:r>
      <w:r>
        <w:rPr/>
        <w:t>号</w:t>
      </w:r>
      <w:r>
        <w:rPr>
          <w:rFonts w:ascii="Times New Roman" w:hAnsi="Times New Roman" w:cs="Times New Roman" w:eastAsia="Times New Roman" w:hint="default"/>
        </w:rPr>
        <w:t>”</w:t>
      </w:r>
      <w:r>
        <w:rPr/>
        <w:t>期末 账面价值</w:t>
      </w:r>
      <w:r>
        <w:rPr>
          <w:rFonts w:ascii="Times New Roman" w:hAnsi="Times New Roman" w:cs="Times New Roman" w:eastAsia="Times New Roman" w:hint="default"/>
        </w:rPr>
        <w:t>19,661,623.97</w:t>
      </w:r>
      <w:r>
        <w:rPr/>
        <w:t>元的土地使用权作为抵押物与上海浦东发展银行股份有限公司宁波北仑支行签订了最高额抵押合同</w:t>
      </w:r>
    </w:p>
    <w:p>
      <w:pPr>
        <w:pStyle w:val="BodyText"/>
        <w:spacing w:line="300" w:lineRule="auto" w:before="13"/>
        <w:ind w:right="1153"/>
        <w:jc w:val="left"/>
      </w:pPr>
      <w:r>
        <w:rPr/>
        <w:t>（编号：</w:t>
      </w:r>
      <w:r>
        <w:rPr>
          <w:rFonts w:ascii="Times New Roman" w:hAnsi="Times New Roman" w:cs="Times New Roman" w:eastAsia="Times New Roman" w:hint="default"/>
        </w:rPr>
        <w:t>ZD9407201600000034</w:t>
      </w:r>
      <w:r>
        <w:rPr/>
        <w:t>），以担保宁波泰鸿机电有限公司自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日期间办理各类融资业 务所发生的债权。</w:t>
      </w:r>
    </w:p>
    <w:p>
      <w:pPr>
        <w:spacing w:line="240" w:lineRule="auto" w:before="10"/>
        <w:rPr>
          <w:rFonts w:ascii="宋体" w:hAnsi="宋体" w:cs="宋体" w:eastAsia="宋体" w:hint="default"/>
          <w:sz w:val="20"/>
          <w:szCs w:val="20"/>
        </w:rPr>
      </w:pPr>
    </w:p>
    <w:p>
      <w:pPr>
        <w:pStyle w:val="BodyText"/>
        <w:spacing w:line="300" w:lineRule="auto"/>
        <w:ind w:right="1125" w:firstLine="440"/>
        <w:jc w:val="left"/>
      </w:pPr>
      <w:r>
        <w:rPr>
          <w:spacing w:val="-1"/>
        </w:rPr>
        <w:t>注</w:t>
      </w:r>
      <w:r>
        <w:rPr>
          <w:rFonts w:ascii="Times New Roman" w:hAnsi="Times New Roman" w:cs="Times New Roman" w:eastAsia="Times New Roman" w:hint="default"/>
          <w:spacing w:val="-1"/>
        </w:rPr>
        <w:t>2</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日，本公司全资子公司宁波泰鸿冲压件有限公司以</w:t>
      </w:r>
      <w:r>
        <w:rPr>
          <w:rFonts w:ascii="Times New Roman" w:hAnsi="Times New Roman" w:cs="Times New Roman" w:eastAsia="Times New Roman" w:hint="default"/>
          <w:spacing w:val="-1"/>
        </w:rPr>
        <w:t>“</w:t>
      </w:r>
      <w:r>
        <w:rPr>
          <w:spacing w:val="-1"/>
        </w:rPr>
        <w:t>慈国用（</w:t>
      </w:r>
      <w:r>
        <w:rPr>
          <w:rFonts w:ascii="Times New Roman" w:hAnsi="Times New Roman" w:cs="Times New Roman" w:eastAsia="Times New Roman" w:hint="default"/>
          <w:spacing w:val="-1"/>
        </w:rPr>
        <w:t>2010</w:t>
      </w:r>
      <w:r>
        <w:rPr>
          <w:spacing w:val="-1"/>
        </w:rPr>
        <w:t>）第</w:t>
      </w:r>
      <w:r>
        <w:rPr>
          <w:rFonts w:ascii="Times New Roman" w:hAnsi="Times New Roman" w:cs="Times New Roman" w:eastAsia="Times New Roman" w:hint="default"/>
          <w:spacing w:val="-1"/>
        </w:rPr>
        <w:t>241086</w:t>
      </w:r>
      <w:r>
        <w:rPr>
          <w:spacing w:val="-1"/>
        </w:rPr>
        <w:t>号</w:t>
      </w:r>
      <w:r>
        <w:rPr>
          <w:rFonts w:ascii="Times New Roman" w:hAnsi="Times New Roman" w:cs="Times New Roman" w:eastAsia="Times New Roman" w:hint="default"/>
          <w:spacing w:val="-1"/>
        </w:rPr>
        <w:t>”</w:t>
      </w:r>
      <w:r>
        <w:rPr>
          <w:spacing w:val="-1"/>
        </w:rPr>
        <w:t>期末账面价值</w:t>
      </w:r>
      <w:r>
        <w:rPr/>
        <w:t> </w:t>
      </w:r>
      <w:r>
        <w:rPr>
          <w:rFonts w:ascii="Times New Roman" w:hAnsi="Times New Roman" w:cs="Times New Roman" w:eastAsia="Times New Roman" w:hint="default"/>
        </w:rPr>
        <w:t>9,833,836.65</w:t>
      </w:r>
      <w:r>
        <w:rPr/>
        <w:t>元的土地使用权作为抵押物与招商银行股份有限公司宁波杭州湾支行签订了最高额抵押合同（编号：</w:t>
      </w:r>
    </w:p>
    <w:p>
      <w:pPr>
        <w:pStyle w:val="BodyText"/>
        <w:spacing w:line="240" w:lineRule="auto" w:before="13"/>
        <w:ind w:right="0"/>
        <w:jc w:val="left"/>
      </w:pPr>
      <w:r>
        <w:rPr>
          <w:rFonts w:ascii="Times New Roman" w:hAnsi="Times New Roman" w:cs="Times New Roman" w:eastAsia="Times New Roman" w:hint="default"/>
        </w:rPr>
        <w:t>7999170101-2</w:t>
      </w:r>
      <w:r>
        <w:rPr/>
        <w:t>），以担保宁波泰鸿冲压件有限公司自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日期间办理各类融资业务所发生的债权。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6、开发支出" w:id="288"/>
      <w:bookmarkEnd w:id="28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7、商誉" w:id="289"/>
      <w:bookmarkEnd w:id="289"/>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90"/>
      <w:bookmarkEnd w:id="29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2"/>
        <w:gridCol w:w="1932"/>
        <w:gridCol w:w="1932"/>
        <w:gridCol w:w="1932"/>
        <w:gridCol w:w="1932"/>
      </w:tblGrid>
      <w:tr>
        <w:trPr>
          <w:trHeight w:val="1018"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510" w:right="60"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日照兴业汽车配件有限 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102,630,709.74</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102,630,709.74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1019"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日照兴发汽车零部件制 造有限公司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30,499,791.14</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30,499,791.14</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湖北海立美达汽车有限 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19,254,876.57</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19,254,876.57</w:t>
            </w:r>
          </w:p>
        </w:tc>
      </w:tr>
      <w:tr>
        <w:trPr>
          <w:trHeight w:val="718"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2,483,064,273.45</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2,483,064,273.45</w:t>
            </w:r>
          </w:p>
        </w:tc>
      </w:tr>
      <w:tr>
        <w:trPr>
          <w:trHeight w:val="714"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哈尔滨迪达能化科技有 限公司</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450,499.72</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450,499.72</w:t>
            </w:r>
          </w:p>
        </w:tc>
      </w:tr>
      <w:tr>
        <w:trPr>
          <w:trHeight w:val="416" w:hRule="exact"/>
        </w:trPr>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2,635,449,650.90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450,499.72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133,130,500.88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2,502,769,649.74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91"/>
      <w:bookmarkEnd w:id="29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99"/>
        <w:gridCol w:w="1899"/>
        <w:gridCol w:w="1900"/>
        <w:gridCol w:w="1899"/>
        <w:gridCol w:w="1900"/>
      </w:tblGrid>
      <w:tr>
        <w:trPr>
          <w:trHeight w:val="1020" w:hRule="exact"/>
        </w:trPr>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4" w:right="43"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06" w:hRule="exact"/>
        </w:trPr>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日照兴发汽车零部件制 造有限公司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4,771,354.49</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4,771,354.49</w:t>
            </w: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哈尔滨迪达能化科技有 限公司</w:t>
            </w:r>
          </w:p>
        </w:tc>
        <w:tc>
          <w:tcPr>
            <w:tcW w:w="1899"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450,499.72</w:t>
            </w:r>
          </w:p>
        </w:tc>
        <w:tc>
          <w:tcPr>
            <w:tcW w:w="1899"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450,499.72</w:t>
            </w:r>
          </w:p>
        </w:tc>
      </w:tr>
      <w:tr>
        <w:trPr>
          <w:trHeight w:val="402" w:hRule="exact"/>
        </w:trPr>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4,771,354.49</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450,499.72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4,771,354.49</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450,499.72</w:t>
            </w:r>
          </w:p>
        </w:tc>
      </w:tr>
    </w:tbl>
    <w:p>
      <w:pPr>
        <w:pStyle w:val="BodyText"/>
        <w:spacing w:line="564" w:lineRule="auto" w:before="51"/>
        <w:ind w:right="5418"/>
        <w:jc w:val="left"/>
        <w:rPr>
          <w:rFonts w:ascii="宋体" w:hAnsi="宋体" w:cs="宋体" w:eastAsia="宋体" w:hint="default"/>
          <w:sz w:val="21"/>
          <w:szCs w:val="21"/>
        </w:rPr>
      </w:pPr>
      <w:r>
        <w:rPr/>
        <w:t>说明商誉减值测试过程、参数及商誉减值损失的确认方法： 注：本公司对商誉减值准备的测试方法参见本</w:t>
      </w:r>
      <w:r>
        <w:rPr>
          <w:rFonts w:ascii="Times New Roman" w:hAnsi="Times New Roman" w:cs="Times New Roman" w:eastAsia="Times New Roman" w:hint="default"/>
        </w:rPr>
        <w:t>“</w:t>
      </w:r>
      <w:r>
        <w:rPr/>
        <w:t>附注四、</w:t>
      </w:r>
      <w:r>
        <w:rPr>
          <w:rFonts w:ascii="Times New Roman" w:hAnsi="Times New Roman" w:cs="Times New Roman" w:eastAsia="Times New Roman" w:hint="default"/>
        </w:rPr>
        <w:t>29.</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 </w:t>
      </w:r>
      <w:bookmarkStart w:name="28、长期待摊费用" w:id="292"/>
      <w:bookmarkEnd w:id="292"/>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3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122,955.98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64,150.97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117,610.07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周转工装</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1,010,901.87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4,014,324.59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830,158.05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4,195,068.41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4,448,296.00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2,433,009.90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2,134,205.02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07" w:type="dxa"/>
            <w:tcBorders>
              <w:top w:val="single" w:sz="4" w:space="0" w:color="000000"/>
              <w:left w:val="single" w:sz="9" w:space="0" w:color="D9D9D9"/>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14,396,410.28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14,396,410.28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5,518,002.93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18,652,609.77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3,327,318.92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20,843,293.78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递延所得税资产/递延所得税负债" w:id="293"/>
      <w:bookmarkEnd w:id="29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94"/>
      <w:bookmarkEnd w:id="29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71,581,292.86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14,003,519.26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54,856,116.13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11,390,514.84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10,704,129.05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2,676,032.26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7,785,991.80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1,946,497.95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40,478,400.06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10,049,373.03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41,079,612.73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10,269,903.19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合并日评估增值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831,643.88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207,910.97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878,187.92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219,546.98</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固定资产账面价值与计 税基础差异</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2,999,197.12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749,799.28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1,538,336.64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384,584.16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126,594,662.97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27,686,634.80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106,138,245.22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24,211,047.12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5"/>
      <w:bookmarkEnd w:id="29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165,289,957.12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32,364,980.55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203,079,466.71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39,976,018.61</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非同一控制下企业合 并，合并成本与被购买 方可辨认净资产公允价 值份额的差额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1,596,744.79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399,186.20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1,596,744.79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399,186.20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166,886,701.91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32,764,166.75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204,676,211.50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40,375,204.81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6"/>
      <w:bookmarkEnd w:id="29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8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6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5"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27,686,634.80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24,211,047.12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32,764,166.75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40,375,204.81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7"/>
      <w:bookmarkEnd w:id="29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170,966.20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16,249,853.42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4,600,648.83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16,420,819.62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4,600,806.26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8"/>
      <w:bookmarkEnd w:id="29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2,130,018.92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2,130,018.92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968,551.80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1,000,917.64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407,577.37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1,469,712.27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12,743,705.33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16,249,853.42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4,600,648.83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非流动资产" w:id="299"/>
      <w:bookmarkEnd w:id="29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190,198,600.00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21,295,005.39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7,620,859.12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12,997,145.78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14,813,573.31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1,984,528.15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预付山东移动推广款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6,283,836.48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219,817,970.02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35,431,578.21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1、短期借款" w:id="300"/>
      <w:bookmarkEnd w:id="30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1"/>
      <w:bookmarkEnd w:id="30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155,454,500.00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162,910,000.00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208,954,500.00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173,410,000.00</w:t>
            </w:r>
          </w:p>
        </w:tc>
      </w:tr>
    </w:tbl>
    <w:p>
      <w:pPr>
        <w:pStyle w:val="BodyText"/>
        <w:spacing w:line="240" w:lineRule="auto" w:before="51"/>
        <w:ind w:left="154" w:right="0"/>
        <w:jc w:val="left"/>
      </w:pPr>
      <w:r>
        <w:rPr/>
        <w:t>短期借款分类的说明：</w:t>
      </w:r>
    </w:p>
    <w:p>
      <w:pPr>
        <w:spacing w:line="240" w:lineRule="auto" w:before="1"/>
        <w:rPr>
          <w:rFonts w:ascii="宋体" w:hAnsi="宋体" w:cs="宋体" w:eastAsia="宋体" w:hint="default"/>
          <w:sz w:val="24"/>
          <w:szCs w:val="24"/>
        </w:rPr>
      </w:pPr>
    </w:p>
    <w:p>
      <w:pPr>
        <w:pStyle w:val="BodyText"/>
        <w:spacing w:line="300" w:lineRule="auto"/>
        <w:ind w:left="154" w:right="7062"/>
        <w:jc w:val="left"/>
      </w:pPr>
      <w:r>
        <w:rPr/>
        <w:t>注</w:t>
      </w:r>
      <w:r>
        <w:rPr>
          <w:rFonts w:ascii="Times New Roman" w:hAnsi="Times New Roman" w:cs="Times New Roman" w:eastAsia="Times New Roman" w:hint="default"/>
        </w:rPr>
        <w:t>1</w:t>
      </w:r>
      <w:r>
        <w:rPr/>
        <w:t>：年末无已逾期未偿还的短期借款。 注</w:t>
      </w:r>
      <w:r>
        <w:rPr>
          <w:rFonts w:ascii="Times New Roman" w:hAnsi="Times New Roman" w:cs="Times New Roman" w:eastAsia="Times New Roman" w:hint="default"/>
        </w:rPr>
        <w:t>2</w:t>
      </w:r>
      <w:r>
        <w:rPr/>
        <w:t>：抵押借款相关受限资产见本附注六、</w:t>
      </w:r>
      <w:r>
        <w:rPr>
          <w:rFonts w:ascii="Times New Roman" w:hAnsi="Times New Roman" w:cs="Times New Roman" w:eastAsia="Times New Roman" w:hint="default"/>
        </w:rPr>
        <w:t>13</w:t>
      </w:r>
      <w:r>
        <w:rPr/>
        <w:t>。</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已逾期未偿还的短期借款情况" w:id="302"/>
      <w:bookmarkEnd w:id="30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03"/>
      <w:bookmarkEnd w:id="30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04"/>
      <w:bookmarkEnd w:id="30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4、应付票据" w:id="305"/>
      <w:bookmarkEnd w:id="30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399,700,703.71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555,689,712.04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399,700,703.71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605,689,712.04</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应付账款" w:id="306"/>
      <w:bookmarkEnd w:id="30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07"/>
      <w:bookmarkEnd w:id="30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303,246,646.31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280,445,086.59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21,434,003.34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47,672,723.41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324,680,649.65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328,117,810.00</w:t>
            </w:r>
          </w:p>
        </w:tc>
      </w:tr>
    </w:tbl>
    <w:p>
      <w:pPr>
        <w:spacing w:line="240" w:lineRule="auto" w:before="10"/>
        <w:rPr>
          <w:rFonts w:ascii="宋体" w:hAnsi="宋体" w:cs="宋体" w:eastAsia="宋体" w:hint="default"/>
          <w:sz w:val="15"/>
          <w:szCs w:val="15"/>
        </w:rPr>
      </w:pPr>
    </w:p>
    <w:p>
      <w:pPr>
        <w:pStyle w:val="BodyText"/>
        <w:spacing w:line="240" w:lineRule="auto" w:before="44"/>
        <w:ind w:left="651" w:right="0"/>
        <w:jc w:val="left"/>
      </w:pPr>
      <w:r>
        <w:rPr/>
        <w:t>注：</w:t>
      </w:r>
      <w:r>
        <w:rPr>
          <w:rFonts w:ascii="Times New Roman" w:hAnsi="Times New Roman" w:cs="Times New Roman" w:eastAsia="Times New Roman" w:hint="default"/>
        </w:rPr>
        <w:t>1</w:t>
      </w:r>
      <w:r>
        <w:rPr/>
        <w:t>年以上应付账款主要系应付工程及设备尾款，需待工程及设备质保期结束检验工程及设备运行情况后支付。</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6、预收款项" w:id="308"/>
      <w:bookmarkEnd w:id="30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9"/>
      <w:bookmarkEnd w:id="30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39,747,853.56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35,122,398.87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2,476,348.96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884,021.51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42,224,202.52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36,006,420.38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0"/>
      <w:bookmarkEnd w:id="31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3" w:right="0"/>
        <w:jc w:val="left"/>
      </w:pPr>
      <w:r>
        <w:rPr/>
        <w:t>注：年末无账龄超过</w:t>
      </w:r>
      <w:r>
        <w:rPr>
          <w:rFonts w:ascii="Times New Roman" w:hAnsi="Times New Roman" w:cs="Times New Roman" w:eastAsia="Times New Roman" w:hint="default"/>
        </w:rPr>
        <w:t>1</w:t>
      </w:r>
      <w:r>
        <w:rPr/>
        <w:t>年的重要预收款项。</w:t>
      </w:r>
    </w:p>
    <w:p>
      <w:pPr>
        <w:spacing w:line="240" w:lineRule="auto" w:before="12"/>
        <w:rPr>
          <w:rFonts w:ascii="宋体" w:hAnsi="宋体" w:cs="宋体" w:eastAsia="宋体" w:hint="default"/>
          <w:sz w:val="25"/>
          <w:szCs w:val="25"/>
        </w:rPr>
      </w:pPr>
    </w:p>
    <w:p>
      <w:pPr>
        <w:pStyle w:val="Heading3"/>
        <w:spacing w:line="240" w:lineRule="auto"/>
        <w:ind w:left="153" w:right="0"/>
        <w:jc w:val="left"/>
        <w:rPr>
          <w:b w:val="0"/>
          <w:bCs w:val="0"/>
        </w:rPr>
      </w:pPr>
      <w:bookmarkStart w:name="37、应付职工薪酬" w:id="311"/>
      <w:bookmarkEnd w:id="31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2"/>
      <w:bookmarkEnd w:id="31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61,615,442.65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463,624,896.86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448,345,794.59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76,894,544.92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1,594,342.43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36,116,464.26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35,820,178.50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1,890,628.19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63,209,785.08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499,741,361.12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484,165,973.09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78,785,173.11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3"/>
      <w:bookmarkEnd w:id="31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50,676,874.29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405,482,710.66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391,743,738.26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64,415,846.69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9,205,144.43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9,195,396.82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9,747.61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1,021,281.43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21,222,787.32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21,050,154.17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1,193,914.58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883,287.66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18,458,406.61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18,305,681.07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1,036,013.20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72,566.02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1,161,138.30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1,156,970.96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76,733.36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65,427.75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1,570,171.38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1,554,431.11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81,168.02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其他保险费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33,071.03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732,813.02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15,664,989.79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15,497,650.47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900,152.34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9,184,473.91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12,049,264.66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10,858,854.87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10,374,883.70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61,615,442.65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463,624,896.86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448,345,794.59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76,894,544.92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4"/>
      <w:bookmarkEnd w:id="31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1,530,975.53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34,663,779.77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34,379,340.51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1,815,414.79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63,366.90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1,452,684.49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1,440,837.99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75,213.40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1,594,342.43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36,116,464.26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35,820,178.50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1,890,628.19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应交税费" w:id="315"/>
      <w:bookmarkEnd w:id="31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6"/>
        <w:gridCol w:w="3206"/>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2,412,793.07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13,580,858.30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38,440,070.45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36,352,617.63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1,951,498.65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2,133,735.58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184,090.10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908,101.36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1,161,125.41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1,211,221.38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1,525,528.23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4,426,613.66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81,104.88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391,099.10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234,448.92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2,957,815.16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83,114.64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377,445.73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46,073,774.35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62,339,507.90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316"/>
      <w:bookmarkEnd w:id="31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167,635.42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1,393,660.07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1,449,516.88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1,561,295.49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1,449,516.88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应付股利" w:id="317"/>
      <w:bookmarkEnd w:id="31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70,479,913.21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70,479,913.21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其他应付款" w:id="318"/>
      <w:bookmarkEnd w:id="31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19"/>
      <w:bookmarkEnd w:id="31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44,961,418.42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46,921,430.12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15,725,055.69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8,167,214.96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37,525,509.91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24,475,876.47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1,994,261.30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2,868,759.93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100,206,245.32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134,083,281.48</w:t>
            </w:r>
          </w:p>
        </w:tc>
      </w:tr>
    </w:tbl>
    <w:p>
      <w:pPr>
        <w:spacing w:line="240" w:lineRule="auto" w:before="10"/>
        <w:rPr>
          <w:rFonts w:ascii="宋体" w:hAnsi="宋体" w:cs="宋体" w:eastAsia="宋体" w:hint="default"/>
          <w:sz w:val="15"/>
          <w:szCs w:val="15"/>
        </w:rPr>
      </w:pPr>
    </w:p>
    <w:p>
      <w:pPr>
        <w:pStyle w:val="BodyText"/>
        <w:spacing w:line="240" w:lineRule="auto" w:before="44"/>
        <w:ind w:left="594" w:right="0"/>
        <w:jc w:val="left"/>
      </w:pPr>
      <w:r>
        <w:rPr/>
        <w:t>注：账龄超过</w:t>
      </w:r>
      <w:r>
        <w:rPr>
          <w:rFonts w:ascii="Times New Roman" w:hAnsi="Times New Roman" w:cs="Times New Roman" w:eastAsia="Times New Roman" w:hint="default"/>
        </w:rPr>
        <w:t>1</w:t>
      </w:r>
      <w:r>
        <w:rPr/>
        <w:t>年的其他应付款主要为</w:t>
      </w:r>
      <w:r>
        <w:rPr>
          <w:rFonts w:ascii="Times New Roman" w:hAnsi="Times New Roman" w:cs="Times New Roman" w:eastAsia="Times New Roman" w:hint="default"/>
        </w:rPr>
        <w:t>pos</w:t>
      </w:r>
      <w:r>
        <w:rPr/>
        <w:t>机押金、商户保证金及风险准备金等。</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42、持有待售的负债" w:id="320"/>
      <w:bookmarkEnd w:id="320"/>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21"/>
      <w:bookmarkEnd w:id="32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4,558,768.87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496,430.79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5,055,199.66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流动负债" w:id="322"/>
      <w:bookmarkEnd w:id="32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第三方支付业务结存客户备付金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10,340,208,503.09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5,813,564,020.99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清结算业务代付款项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176,500,968.22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39,985,057.12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移动运营商计费结算服务代付款项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62,987,891.76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48,063,249.28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业务代付款项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8,344,954.78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73,075,829.81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7,058,890.51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1,515,230.66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10,595,101,208.36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5,976,203,387.86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长期借款" w:id="323"/>
      <w:bookmarkEnd w:id="32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4"/>
      <w:bookmarkEnd w:id="32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08" w:right="1128" w:hanging="354"/>
        <w:jc w:val="left"/>
      </w:pPr>
      <w:r>
        <w:rPr/>
        <w:t>长期借款分类的说明： 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日，本公司与中国工商银行股份有限公司即墨支行、招商银行股份有限公司青岛分行签订《并购贷款</w:t>
      </w:r>
    </w:p>
    <w:p>
      <w:pPr>
        <w:pStyle w:val="BodyText"/>
        <w:spacing w:line="214" w:lineRule="exact"/>
        <w:ind w:left="154" w:right="0"/>
        <w:jc w:val="left"/>
      </w:pPr>
      <w:r>
        <w:rPr/>
        <w:t>银团贷款合同》，用于收购上海和达汽车配件有限公司</w:t>
      </w:r>
      <w:r>
        <w:rPr>
          <w:rFonts w:ascii="Times New Roman" w:hAnsi="Times New Roman" w:cs="Times New Roman" w:eastAsia="Times New Roman" w:hint="default"/>
        </w:rPr>
        <w:t>75%</w:t>
      </w:r>
      <w:r>
        <w:rPr/>
        <w:t>股权，合同贷款金额</w:t>
      </w:r>
      <w:r>
        <w:rPr>
          <w:rFonts w:ascii="Times New Roman" w:hAnsi="Times New Roman" w:cs="Times New Roman" w:eastAsia="Times New Roman" w:hint="default"/>
        </w:rPr>
        <w:t>1.1</w:t>
      </w:r>
      <w:r>
        <w:rPr/>
        <w:t>亿元，借款期限</w:t>
      </w:r>
      <w:r>
        <w:rPr>
          <w:rFonts w:ascii="Times New Roman" w:hAnsi="Times New Roman" w:cs="Times New Roman" w:eastAsia="Times New Roman" w:hint="default"/>
        </w:rPr>
        <w:t>60</w:t>
      </w:r>
      <w:r>
        <w:rPr/>
        <w:t>个月，贷款利率</w:t>
      </w:r>
      <w:r>
        <w:rPr>
          <w:rFonts w:ascii="Times New Roman" w:hAnsi="Times New Roman" w:cs="Times New Roman" w:eastAsia="Times New Roman" w:hint="default"/>
        </w:rPr>
        <w:t>4.99%</w:t>
      </w:r>
      <w:r>
        <w:rPr/>
        <w:t>。</w:t>
      </w:r>
    </w:p>
    <w:p>
      <w:pPr>
        <w:pStyle w:val="BodyText"/>
        <w:spacing w:line="240" w:lineRule="auto" w:before="63"/>
        <w:ind w:left="154" w:right="0"/>
        <w:jc w:val="left"/>
      </w:pPr>
      <w:r>
        <w:rPr/>
        <w:t>完成股权转让手续且符合质押条件后及时以持有的上海和达汽车配件有限公司</w:t>
      </w:r>
      <w:r>
        <w:rPr>
          <w:rFonts w:ascii="Times New Roman" w:hAnsi="Times New Roman" w:cs="Times New Roman" w:eastAsia="Times New Roman" w:hint="default"/>
        </w:rPr>
        <w:t>75%</w:t>
      </w:r>
      <w:r>
        <w:rPr/>
        <w:t>股权为本银团贷款提供质押担保。</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6、应付债券" w:id="325"/>
      <w:bookmarkEnd w:id="32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7、长期应付款" w:id="326"/>
      <w:bookmarkEnd w:id="32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27"/>
      <w:bookmarkEnd w:id="32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1,453,317.51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长期应付职工薪酬" w:id="328"/>
      <w:bookmarkEnd w:id="328"/>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专项应付款" w:id="329"/>
      <w:bookmarkEnd w:id="32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0、预计负债" w:id="330"/>
      <w:bookmarkEnd w:id="33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递延收益" w:id="331"/>
      <w:bookmarkEnd w:id="33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1,258,851.84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16,914,103.77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908,008.49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17,264,947.12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1,258,851.84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16,914,103.77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908,008.49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17,264,947.12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财政局骨干 企业扶持资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进口设备贴 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222,155.85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222,155.85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一批宁波市 </w:t>
            </w:r>
            <w:r>
              <w:rPr>
                <w:rFonts w:ascii="宋体" w:hAnsi="宋体" w:cs="宋体" w:eastAsia="宋体" w:hint="default"/>
                <w:spacing w:val="-13"/>
                <w:sz w:val="18"/>
                <w:szCs w:val="18"/>
              </w:rPr>
              <w:t>工业投资（技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术改造）区级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项目新开工 补助资金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业技术改造 项目补助资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1,312.50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金融风控大 数据应用服 务平台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9,433,962.26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9,433,962.26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北京发改委 工程实验室</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6,122,641.51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6,122,641.51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中小企业技 术改造项目 政府补助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723,726.11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29,750.01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693,976.10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工业发展专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172,969.88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6,177.51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166,792.37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1,258,851.84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16,914,103.7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47,240.02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860,768.47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17,264,947.1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2、其他非流动负债" w:id="332"/>
      <w:bookmarkEnd w:id="33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33"/>
      <w:bookmarkEnd w:id="333"/>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568,795,498.00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682,554,597.00</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682,554,597.00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1,251,350,095.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130" w:firstLine="440"/>
        <w:jc w:val="both"/>
      </w:pPr>
      <w:r>
        <w:rPr/>
        <w:t>注：</w:t>
      </w:r>
      <w:r>
        <w:rPr>
          <w:spacing w:val="7"/>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日，本公司召开</w:t>
      </w:r>
      <w:r>
        <w:rPr>
          <w:rFonts w:ascii="Times New Roman" w:hAnsi="Times New Roman" w:cs="Times New Roman" w:eastAsia="Times New Roman" w:hint="default"/>
        </w:rPr>
        <w:t>2016</w:t>
      </w:r>
      <w:r>
        <w:rPr/>
        <w:t>年年度股东大会，审议通过了《公司</w:t>
      </w:r>
      <w:r>
        <w:rPr>
          <w:rFonts w:ascii="Times New Roman" w:hAnsi="Times New Roman" w:cs="Times New Roman" w:eastAsia="Times New Roman" w:hint="default"/>
        </w:rPr>
        <w:t>2016</w:t>
      </w:r>
      <w:r>
        <w:rPr/>
        <w:t>年度利润分配及资本公积转增股本议 </w:t>
      </w:r>
      <w:r>
        <w:rPr>
          <w:spacing w:val="-4"/>
        </w:rPr>
        <w:t>案》，以资本公积金向全体股东每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12</w:t>
      </w:r>
      <w:r>
        <w:rPr>
          <w:spacing w:val="-4"/>
        </w:rPr>
        <w:t>股。本次权益分派方案实施后，公司总股本由</w:t>
      </w:r>
      <w:r>
        <w:rPr>
          <w:rFonts w:ascii="Times New Roman" w:hAnsi="Times New Roman" w:cs="Times New Roman" w:eastAsia="Times New Roman" w:hint="default"/>
          <w:spacing w:val="-4"/>
        </w:rPr>
        <w:t>568,795,498</w:t>
      </w:r>
      <w:r>
        <w:rPr>
          <w:spacing w:val="-4"/>
        </w:rPr>
        <w:t>股增加为</w:t>
      </w:r>
      <w:r>
        <w:rPr>
          <w:rFonts w:ascii="Times New Roman" w:hAnsi="Times New Roman" w:cs="Times New Roman" w:eastAsia="Times New Roman" w:hint="default"/>
          <w:spacing w:val="-4"/>
        </w:rPr>
        <w:t>1,251,350,095</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54、其他权益工具" w:id="334"/>
      <w:bookmarkEnd w:id="33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资本公积" w:id="335"/>
      <w:bookmarkEnd w:id="33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5,387,282,513.87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682,554,597.00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4,704,727,916.87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2,376,979.73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2,376,979.73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5,389,659,493.60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682,554,597.00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4,707,104,896.60</w:t>
            </w:r>
          </w:p>
        </w:tc>
      </w:tr>
    </w:tbl>
    <w:p>
      <w:pPr>
        <w:pStyle w:val="BodyText"/>
        <w:spacing w:line="240" w:lineRule="auto" w:before="51"/>
        <w:ind w:left="154" w:right="0"/>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0" w:lineRule="auto"/>
        <w:ind w:right="1039" w:firstLine="440"/>
        <w:jc w:val="left"/>
      </w:pPr>
      <w:r>
        <w:rPr/>
        <w:t>注：</w:t>
      </w:r>
      <w:r>
        <w:rPr>
          <w:spacing w:val="-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日，本公司召开</w:t>
      </w:r>
      <w:r>
        <w:rPr>
          <w:rFonts w:ascii="Times New Roman" w:hAnsi="Times New Roman" w:cs="Times New Roman" w:eastAsia="Times New Roman" w:hint="default"/>
        </w:rPr>
        <w:t>2016</w:t>
      </w:r>
      <w:r>
        <w:rPr/>
        <w:t>年年度股东大会，审议通过了《公司</w:t>
      </w:r>
      <w:r>
        <w:rPr>
          <w:rFonts w:ascii="Times New Roman" w:hAnsi="Times New Roman" w:cs="Times New Roman" w:eastAsia="Times New Roman" w:hint="default"/>
        </w:rPr>
        <w:t>2016</w:t>
      </w:r>
      <w:r>
        <w:rPr/>
        <w:t>年度利润分配及资本公积转增股本议 </w:t>
      </w:r>
      <w:r>
        <w:rPr>
          <w:spacing w:val="-2"/>
        </w:rPr>
        <w:t>案》，以资本公积金向全体股东每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股。本次权益分派方案实施后，公司资本公积</w:t>
      </w:r>
      <w:r>
        <w:rPr>
          <w:rFonts w:ascii="Times New Roman" w:hAnsi="Times New Roman" w:cs="Times New Roman" w:eastAsia="Times New Roman" w:hint="default"/>
          <w:spacing w:val="-2"/>
        </w:rPr>
        <w:t>-</w:t>
      </w:r>
      <w:r>
        <w:rPr>
          <w:spacing w:val="-2"/>
        </w:rPr>
        <w:t>股本溢价减少</w:t>
      </w:r>
      <w:r>
        <w:rPr>
          <w:rFonts w:ascii="Times New Roman" w:hAnsi="Times New Roman" w:cs="Times New Roman" w:eastAsia="Times New Roman" w:hint="default"/>
          <w:spacing w:val="-2"/>
        </w:rPr>
        <w:t>682,554,597.00</w:t>
      </w:r>
      <w:r>
        <w:rPr>
          <w:spacing w:val="-2"/>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6、库存股" w:id="336"/>
      <w:bookmarkEnd w:id="33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7、其他综合收益" w:id="337"/>
      <w:bookmarkEnd w:id="33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797,215.93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-1,596,20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9.06</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797,215.93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-1,596,20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9.06</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797,215.93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-1,596,20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9.06</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专项储备" w:id="338"/>
      <w:bookmarkEnd w:id="33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盈余公积" w:id="339"/>
      <w:bookmarkEnd w:id="33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40,476,007.89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6,948,423.46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47,424,431.35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40,476,007.89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6,948,423.46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47,424,431.35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未分配利润" w:id="340"/>
      <w:bookmarkEnd w:id="34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584,638,791.22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366,176,421.68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584,638,791.22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366,176,421.68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413,945,815.86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232,922,577.80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6,948,423.46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14,460,208.26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28,439,774.90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963,196,408.72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584,638,791.22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1、营业收入和营业成本" w:id="341"/>
      <w:bookmarkEnd w:id="34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3,892,537,596.43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2,746,517,476.01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2,551,167,936.88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1,930,258,573.06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103,509,553.37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99,024,477.96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83,127,257.97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83,592,535.66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3,996,047,149.80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2,845,541,953.97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2,634,295,194.85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2,013,851,108.72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42"/>
      <w:bookmarkEnd w:id="34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6,660,879.01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5,716,408.13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2,897,308.60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2,518,710.43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3,199,120.32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2,407,306.71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5,132,926.73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5,872,704.23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22,345.20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2,447,395.30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2,353,084.59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74,828.51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1,898,359.86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1,645,116.33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159,996.66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332,230.57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34,044.76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22,456,607.88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20,942,734.70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销售费用" w:id="343"/>
      <w:bookmarkEnd w:id="34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55,975,721.72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14,950,540.64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690,816.10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3,041,926.87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48,637,783.32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38,179,920.19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1,830,461.40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1,659,758.58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789,689.25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825,880.56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4,171,097.15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1,750,823.00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4,847,258.50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2,996,980.39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仓储、租赁费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1,535,382.45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2,308,383.47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15,684,943.89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7,004,091.63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4,252,633.03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6,705,030.54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2,440,250.90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9,169,420.95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140,856,037.71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88,592,756.82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44"/>
      <w:bookmarkEnd w:id="34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208,805,571.93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73,393,582.98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认证、检测、代理费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12,779,913.75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3,358,134.93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40,237,583.48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19,512,373.68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11,615,719.94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11,880,582.20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审计、咨询、评估费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3,162,236.59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6,358,359.99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142,286,185.98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82,749,904.29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651,350.06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6,333,869.50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25,862,377.34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5,423,059.89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560,893.35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345,948.08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7,616,577.19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7,375,758.04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10,490,952.06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5,509,675.28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38,597,852.07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21,434,201.93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1,277,156.52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579,224.65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董事及董事会费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217,392.30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213,445.40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376,714.86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619,055.34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504,538,477.42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245,087,176.18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5、财务费用" w:id="345"/>
      <w:bookmarkEnd w:id="34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14,740,352.01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21,318,867.68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56,723,485.19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9,308,067.31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-3,963,850.46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-1,297,975.87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1,676,698.02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2,384,390.65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-44,270,285.62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13,097,215.15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46"/>
      <w:bookmarkEnd w:id="34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25,980,254.97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-9,548,476.01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5,477,448.42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6,980,561.58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845,430.34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450,499.72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32,753,633.45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-2,567,914.43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7、公允价值变动收益" w:id="347"/>
      <w:bookmarkEnd w:id="34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投资收益" w:id="348"/>
      <w:bookmarkEnd w:id="34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-886,180.42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48,436.15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361,053.00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309,382.26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-837,744.27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670,435.26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9、资产处置收益" w:id="349"/>
      <w:bookmarkEnd w:id="34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657,838.22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-1,403,830.57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其中：资产处置利得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1,093,737.74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48,250,864.75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资产处置损失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435,899.52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49,654,695.32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0、其他收益" w:id="350"/>
      <w:bookmarkEnd w:id="35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基于高强认证的新型移动交易综合服务 平台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293,084.91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襄阳市政府高新奖励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枣阳市政府高新奖励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枣阳市商务局外贸外资奖励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38,635.80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中小企业技术改造项目政府补助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29,750.01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财政局骨干企业扶持资金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年度第一批宁波市工业投资（技术 改造）区级项目新开工补助资金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工业发展专项资金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6,177.51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出口贴息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年度工业技术改造项目补助资金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营业外收入" w:id="351"/>
      <w:bookmarkEnd w:id="35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34,871,043.58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56,507,934.67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34,871,043.58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7,158,780.73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1,986,331.80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7,158,780.73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42,029,824.31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58,494,266.47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42,029,824.31</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枣阳市财政 局扶持资金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枣阳市国库 收付局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6"/>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京市高新技 术成果转化 项目认定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 w:right="74"/>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1,037,735.85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仓区战略性 新兴产业发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市北仑区预 算会计核算 中心国库集 中支付专户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 改造项目补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业研发投入 支持补贴款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471,698.12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北京市总部 </w:t>
            </w:r>
            <w:r>
              <w:rPr>
                <w:rFonts w:ascii="宋体" w:hAnsi="宋体" w:cs="宋体" w:eastAsia="宋体" w:hint="default"/>
                <w:spacing w:val="-12"/>
                <w:sz w:val="18"/>
                <w:szCs w:val="18"/>
              </w:rPr>
              <w:t>企业、中介机</w:t>
            </w:r>
            <w:r>
              <w:rPr>
                <w:rFonts w:ascii="宋体" w:hAnsi="宋体" w:cs="宋体" w:eastAsia="宋体" w:hint="default"/>
                <w:sz w:val="18"/>
                <w:szCs w:val="18"/>
              </w:rPr>
              <w:t> 构奖励补助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北京市西城 区商务委员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348,867.92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青岛市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年高新技术 企业认定奖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即墨市科技 和工业信息 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技术改造补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扶持企业发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5" w:right="44"/>
              <w:jc w:val="center"/>
              <w:rPr>
                <w:rFonts w:ascii="宋体" w:hAnsi="宋体" w:cs="宋体" w:eastAsia="宋体" w:hint="default"/>
                <w:sz w:val="18"/>
                <w:szCs w:val="18"/>
              </w:rPr>
            </w:pPr>
            <w:r>
              <w:rPr>
                <w:rFonts w:ascii="宋体" w:hAnsi="宋体" w:cs="宋体" w:eastAsia="宋体" w:hint="default"/>
                <w:sz w:val="18"/>
                <w:szCs w:val="18"/>
              </w:rPr>
              <w:t>财政零余额 账户垫款</w:t>
            </w:r>
            <w:r>
              <w:rPr>
                <w:rFonts w:ascii="Times New Roman" w:hAnsi="Times New Roman" w:cs="Times New Roman" w:eastAsia="Times New Roman" w:hint="default"/>
                <w:sz w:val="18"/>
                <w:szCs w:val="18"/>
              </w:rPr>
              <w:t>-</w:t>
            </w:r>
            <w:r>
              <w:rPr>
                <w:rFonts w:ascii="宋体" w:hAnsi="宋体" w:cs="宋体" w:eastAsia="宋体" w:hint="default"/>
                <w:sz w:val="18"/>
                <w:szCs w:val="18"/>
              </w:rPr>
              <w:t>烟 台经济技术 开发区财政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6"/>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仑区稳增促 调专项资金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市北仑区预 算会计核算 中心国库集 中支付专户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107,761.00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即墨市科技 和信息化局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五莲县金融 工作办公室 企业规范化 公司制改制 补助现汇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5" w:right="74"/>
              <w:jc w:val="center"/>
              <w:rPr>
                <w:rFonts w:ascii="宋体" w:hAnsi="宋体" w:cs="宋体" w:eastAsia="宋体" w:hint="default"/>
                <w:sz w:val="18"/>
                <w:szCs w:val="18"/>
              </w:rPr>
            </w:pPr>
            <w:r>
              <w:rPr>
                <w:rFonts w:ascii="宋体" w:hAnsi="宋体" w:cs="宋体" w:eastAsia="宋体" w:hint="default"/>
                <w:sz w:val="18"/>
                <w:szCs w:val="18"/>
              </w:rPr>
              <w:t>五莲县财政 国库集中支 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 级稳增促调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市杭州湾新 区财政税务 局代管资金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91,019.37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专户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即墨市人力 资源见习补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81,180.00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 新技术企业 获奖奖励补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75,471.70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年高成 长科技型中 小企业奖励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市北仑区预 算会计核算 中心国库集 中支付专户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 识产权补贴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29,245.28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业中介服务 费用补贴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23,113.21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企业中介服 务资金补贴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5" w:right="74"/>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9,433.96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中关村及西 城区孵化服 务体系建设 项目支持基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5" w:right="74"/>
              <w:jc w:val="both"/>
              <w:rPr>
                <w:rFonts w:ascii="宋体" w:hAnsi="宋体" w:cs="宋体" w:eastAsia="宋体" w:hint="default"/>
                <w:sz w:val="18"/>
                <w:szCs w:val="18"/>
              </w:rPr>
            </w:pPr>
            <w:r>
              <w:rPr>
                <w:rFonts w:ascii="宋体" w:hAnsi="宋体" w:cs="宋体" w:eastAsia="宋体" w:hint="default"/>
                <w:sz w:val="18"/>
                <w:szCs w:val="18"/>
              </w:rPr>
              <w:t>北京普天德 胜科技孵化 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7,547.17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即墨市科技 局发明专利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21.440002pt;width:52.7pt;height:7.8pt;mso-position-horizontal-relative:page;mso-position-vertical-relative:page;z-index:-1393936" coordorigin="5394,14429" coordsize="1054,156">
            <v:shape style="position:absolute;left:5394;top:14429;width:1054;height:156" coordorigin="5394,14429" coordsize="1054,156" path="m5394,14585l6447,14585,6447,14429,5394,14429,5394,1458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即墨市科技 和工业信息 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度专利资助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青岛知识产 业局专利创 造资助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5" w:right="74" w:hanging="180"/>
              <w:jc w:val="left"/>
              <w:rPr>
                <w:rFonts w:ascii="宋体" w:hAnsi="宋体" w:cs="宋体" w:eastAsia="宋体" w:hint="default"/>
                <w:sz w:val="18"/>
                <w:szCs w:val="18"/>
              </w:rPr>
            </w:pPr>
            <w:r>
              <w:rPr>
                <w:rFonts w:ascii="宋体" w:hAnsi="宋体" w:cs="宋体" w:eastAsia="宋体" w:hint="default"/>
                <w:sz w:val="18"/>
                <w:szCs w:val="18"/>
              </w:rPr>
              <w:t>青岛市知识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年度特 种设备作业 人员培训费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浙江省宁波 市杭州湾新 区财政税务 局财政零余 额账户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 资助基金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项目扶持资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5" w:right="74" w:hanging="180"/>
              <w:jc w:val="left"/>
              <w:rPr>
                <w:rFonts w:ascii="宋体" w:hAnsi="宋体" w:cs="宋体" w:eastAsia="宋体" w:hint="default"/>
                <w:sz w:val="18"/>
                <w:szCs w:val="18"/>
              </w:rPr>
            </w:pPr>
            <w:r>
              <w:rPr>
                <w:rFonts w:ascii="宋体" w:hAnsi="宋体" w:cs="宋体" w:eastAsia="宋体" w:hint="default"/>
                <w:sz w:val="18"/>
                <w:szCs w:val="18"/>
              </w:rPr>
              <w:t>枣阳市国库 收付局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51,988,374.0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基于高强认 证的新型移 动交易综合 服务平台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1,253,535.40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工业经济三 年翻番计划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市杭州湾新 区财政税务 局产业发展 资金专户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年青岛 市科技计划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移动电子商 务综合支付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both"/>
              <w:rPr>
                <w:rFonts w:ascii="宋体" w:hAnsi="宋体" w:cs="宋体" w:eastAsia="宋体" w:hint="default"/>
                <w:sz w:val="18"/>
                <w:szCs w:val="18"/>
              </w:rPr>
            </w:pPr>
            <w:r>
              <w:rPr>
                <w:rFonts w:ascii="宋体" w:hAnsi="宋体" w:cs="宋体" w:eastAsia="宋体" w:hint="default"/>
                <w:sz w:val="18"/>
                <w:szCs w:val="18"/>
              </w:rPr>
              <w:t>北京市西城 区发展和改 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485,121.04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工业自动化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（智能化）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75" w:right="74"/>
              <w:jc w:val="left"/>
              <w:rPr>
                <w:rFonts w:ascii="宋体" w:hAnsi="宋体" w:cs="宋体" w:eastAsia="宋体" w:hint="default"/>
                <w:sz w:val="18"/>
                <w:szCs w:val="18"/>
              </w:rPr>
            </w:pPr>
            <w:r>
              <w:rPr>
                <w:rFonts w:ascii="宋体" w:hAnsi="宋体" w:cs="宋体" w:eastAsia="宋体" w:hint="default"/>
                <w:sz w:val="18"/>
                <w:szCs w:val="18"/>
              </w:rPr>
              <w:t>浙江省宁波 市杭州湾新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75" w:right="-61" w:hanging="53"/>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75" w:right="74"/>
              <w:jc w:val="both"/>
              <w:rPr>
                <w:rFonts w:ascii="宋体" w:hAnsi="宋体" w:cs="宋体" w:eastAsia="宋体" w:hint="default"/>
                <w:sz w:val="18"/>
                <w:szCs w:val="18"/>
              </w:rPr>
            </w:pPr>
            <w:r>
              <w:rPr>
                <w:rFonts w:ascii="宋体" w:hAnsi="宋体" w:cs="宋体" w:eastAsia="宋体" w:hint="default"/>
                <w:sz w:val="18"/>
                <w:szCs w:val="18"/>
              </w:rPr>
              <w:t>区财政税务 局产业发展 资金专户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55" w:right="76" w:hanging="180"/>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宁波市北仑 区稳增促调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市北仑区预 算会计核算 中心国库集 中支付专户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5pt;mso-position-horizontal-relative:char;mso-position-vertical-relative:line" coordorigin="0,0" coordsize="1054,625">
                  <v:group style="position:absolute;left:0;top:0;width:1054;height:625" coordorigin="0,0" coordsize="1054,625">
                    <v:shape style="position:absolute;left:0;top:0;width:1054;height:625" coordorigin="0,0" coordsize="1054,625"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专项整治攻 坚行动补助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市杭州湾新 区财政税务 局产业发展 资金专户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154,943.68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中小企业技 术改造项目 政府补助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435" w:right="74" w:hanging="360"/>
              <w:jc w:val="left"/>
              <w:rPr>
                <w:rFonts w:ascii="宋体" w:hAnsi="宋体" w:cs="宋体" w:eastAsia="宋体" w:hint="default"/>
                <w:sz w:val="18"/>
                <w:szCs w:val="18"/>
              </w:rPr>
            </w:pPr>
            <w:r>
              <w:rPr>
                <w:rFonts w:ascii="宋体" w:hAnsi="宋体" w:cs="宋体" w:eastAsia="宋体" w:hint="default"/>
                <w:sz w:val="18"/>
                <w:szCs w:val="18"/>
              </w:rPr>
              <w:t>五莲县财政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119,000.04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减轻企业负 担补助资金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市杭州湾新 区财政税务 局产业发展 资金专户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100,869.38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5" w:right="44"/>
              <w:jc w:val="center"/>
              <w:rPr>
                <w:rFonts w:ascii="宋体" w:hAnsi="宋体" w:cs="宋体" w:eastAsia="宋体" w:hint="default"/>
                <w:sz w:val="18"/>
                <w:szCs w:val="18"/>
              </w:rPr>
            </w:pPr>
            <w:r>
              <w:rPr>
                <w:rFonts w:ascii="宋体" w:hAnsi="宋体" w:cs="宋体" w:eastAsia="宋体" w:hint="default"/>
                <w:sz w:val="18"/>
                <w:szCs w:val="18"/>
              </w:rPr>
              <w:t>财政零余额 账户垫款</w:t>
            </w:r>
            <w:r>
              <w:rPr>
                <w:rFonts w:ascii="Times New Roman" w:hAnsi="Times New Roman" w:cs="Times New Roman" w:eastAsia="Times New Roman" w:hint="default"/>
                <w:sz w:val="18"/>
                <w:szCs w:val="18"/>
              </w:rPr>
              <w:t>-</w:t>
            </w:r>
            <w:r>
              <w:rPr>
                <w:rFonts w:ascii="宋体" w:hAnsi="宋体" w:cs="宋体" w:eastAsia="宋体" w:hint="default"/>
                <w:sz w:val="18"/>
                <w:szCs w:val="18"/>
              </w:rPr>
              <w:t>烟 台经济技术 开发区财政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基于移动电 子商务的商 业智能系统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5" w:right="74"/>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52,477.77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进口设备贴 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5" w:right="74"/>
              <w:jc w:val="left"/>
              <w:rPr>
                <w:rFonts w:ascii="宋体" w:hAnsi="宋体" w:cs="宋体" w:eastAsia="宋体" w:hint="default"/>
                <w:sz w:val="18"/>
                <w:szCs w:val="18"/>
              </w:rPr>
            </w:pPr>
            <w:r>
              <w:rPr>
                <w:rFonts w:ascii="宋体" w:hAnsi="宋体" w:cs="宋体" w:eastAsia="宋体" w:hint="default"/>
                <w:sz w:val="18"/>
                <w:szCs w:val="18"/>
              </w:rPr>
              <w:t>青岛市财政 国库支付局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38,635.80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年支持 外贸调结构 稳增长金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上海市宝山 区罗泾镇财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49" w:hanging="53"/>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中关村国际 化发展专项 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北京中关村 海外科技园 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工业发展专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435" w:right="74" w:hanging="360"/>
              <w:jc w:val="left"/>
              <w:rPr>
                <w:rFonts w:ascii="宋体" w:hAnsi="宋体" w:cs="宋体" w:eastAsia="宋体" w:hint="default"/>
                <w:sz w:val="18"/>
                <w:szCs w:val="18"/>
              </w:rPr>
            </w:pPr>
            <w:r>
              <w:rPr>
                <w:rFonts w:ascii="宋体" w:hAnsi="宋体" w:cs="宋体" w:eastAsia="宋体" w:hint="default"/>
                <w:sz w:val="18"/>
                <w:szCs w:val="18"/>
              </w:rPr>
              <w:t>五莲县财政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24,710.04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加快建设万 亿工业强市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襄阳市经济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21,367.52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财政局骨干 企业扶持资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即墨市国库 集中支付中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中央外经贸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55" w:right="74" w:hanging="180"/>
              <w:jc w:val="left"/>
              <w:rPr>
                <w:rFonts w:ascii="宋体" w:hAnsi="宋体" w:cs="宋体" w:eastAsia="宋体" w:hint="default"/>
                <w:sz w:val="18"/>
                <w:szCs w:val="18"/>
              </w:rPr>
            </w:pPr>
            <w:r>
              <w:rPr>
                <w:rFonts w:ascii="宋体" w:hAnsi="宋体" w:cs="宋体" w:eastAsia="宋体" w:hint="default"/>
                <w:sz w:val="18"/>
                <w:szCs w:val="18"/>
              </w:rPr>
              <w:t>枣阳市国库 收付局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宁波杭州湾 新区管委会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市杭州湾新 区财政税务 局产业发展 资金专户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年度青 岛市专利申 </w:t>
            </w:r>
            <w:r>
              <w:rPr>
                <w:rFonts w:ascii="宋体" w:hAnsi="宋体" w:cs="宋体" w:eastAsia="宋体" w:hint="default"/>
                <w:spacing w:val="-12"/>
                <w:sz w:val="18"/>
                <w:szCs w:val="18"/>
              </w:rPr>
              <w:t>请、授权资助</w:t>
            </w:r>
            <w:r>
              <w:rPr>
                <w:rFonts w:ascii="宋体" w:hAnsi="宋体" w:cs="宋体" w:eastAsia="宋体" w:hint="default"/>
                <w:sz w:val="18"/>
                <w:szCs w:val="18"/>
              </w:rPr>
              <w:t>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5" w:right="74"/>
              <w:jc w:val="left"/>
              <w:rPr>
                <w:rFonts w:ascii="宋体" w:hAnsi="宋体" w:cs="宋体" w:eastAsia="宋体" w:hint="default"/>
                <w:sz w:val="18"/>
                <w:szCs w:val="18"/>
              </w:rPr>
            </w:pPr>
            <w:r>
              <w:rPr>
                <w:rFonts w:ascii="宋体" w:hAnsi="宋体" w:cs="宋体" w:eastAsia="宋体" w:hint="default"/>
                <w:sz w:val="18"/>
                <w:szCs w:val="18"/>
              </w:rPr>
              <w:t>青岛市财政 国库支付局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就业奖励金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5" w:right="74"/>
              <w:jc w:val="left"/>
              <w:rPr>
                <w:rFonts w:ascii="宋体" w:hAnsi="宋体" w:cs="宋体" w:eastAsia="宋体" w:hint="default"/>
                <w:sz w:val="18"/>
                <w:szCs w:val="18"/>
              </w:rPr>
            </w:pPr>
            <w:r>
              <w:rPr>
                <w:rFonts w:ascii="宋体" w:hAnsi="宋体" w:cs="宋体" w:eastAsia="宋体" w:hint="default"/>
                <w:sz w:val="18"/>
                <w:szCs w:val="18"/>
              </w:rPr>
              <w:t>九华经济示 范区管委会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外贸出口补 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55" w:right="74" w:hanging="180"/>
              <w:jc w:val="left"/>
              <w:rPr>
                <w:rFonts w:ascii="宋体" w:hAnsi="宋体" w:cs="宋体" w:eastAsia="宋体" w:hint="default"/>
                <w:sz w:val="18"/>
                <w:szCs w:val="18"/>
              </w:rPr>
            </w:pPr>
            <w:r>
              <w:rPr>
                <w:rFonts w:ascii="宋体" w:hAnsi="宋体" w:cs="宋体" w:eastAsia="宋体" w:hint="default"/>
                <w:sz w:val="18"/>
                <w:szCs w:val="18"/>
              </w:rPr>
              <w:t>枣阳市国库 收付局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特种设备作 业人员培训 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75" w:right="74"/>
              <w:jc w:val="both"/>
              <w:rPr>
                <w:rFonts w:ascii="宋体" w:hAnsi="宋体" w:cs="宋体" w:eastAsia="宋体" w:hint="default"/>
                <w:sz w:val="18"/>
                <w:szCs w:val="18"/>
              </w:rPr>
            </w:pPr>
            <w:r>
              <w:rPr>
                <w:rFonts w:ascii="宋体" w:hAnsi="宋体" w:cs="宋体" w:eastAsia="宋体" w:hint="default"/>
                <w:sz w:val="18"/>
                <w:szCs w:val="18"/>
              </w:rPr>
              <w:t>浙江省宁波 市杭州湾新 区财政税务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75" w:right="-49" w:hanging="53"/>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55" w:right="74" w:hanging="180"/>
              <w:jc w:val="left"/>
              <w:rPr>
                <w:rFonts w:ascii="宋体" w:hAnsi="宋体" w:cs="宋体" w:eastAsia="宋体" w:hint="default"/>
                <w:sz w:val="18"/>
                <w:szCs w:val="18"/>
              </w:rPr>
            </w:pPr>
            <w:r>
              <w:rPr>
                <w:rFonts w:ascii="宋体" w:hAnsi="宋体" w:cs="宋体" w:eastAsia="宋体" w:hint="default"/>
                <w:sz w:val="18"/>
                <w:szCs w:val="18"/>
              </w:rPr>
              <w:t>局财政零余 额账户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企业稳岗补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5" w:right="74"/>
              <w:jc w:val="left"/>
              <w:rPr>
                <w:rFonts w:ascii="宋体" w:hAnsi="宋体" w:cs="宋体" w:eastAsia="宋体" w:hint="default"/>
                <w:sz w:val="18"/>
                <w:szCs w:val="18"/>
              </w:rPr>
            </w:pPr>
            <w:r>
              <w:rPr>
                <w:rFonts w:ascii="宋体" w:hAnsi="宋体" w:cs="宋体" w:eastAsia="宋体" w:hint="default"/>
                <w:sz w:val="18"/>
                <w:szCs w:val="18"/>
              </w:rPr>
              <w:t>枣阳市财政 局财政专户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126,600.00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34,871,043.5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56,507,934.6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2、营业外支出" w:id="352"/>
      <w:bookmarkEnd w:id="35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233,304.00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233,304.00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2,090,075.08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4,215.94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3,400,454.95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10,655,755.62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3,400,454.95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3,637,974.89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12,809,419.90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3,637,974.89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3、所得税费用" w:id="353"/>
      <w:bookmarkEnd w:id="35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54"/>
      <w:bookmarkEnd w:id="35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98,076,826.86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44,112,159.73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-9,399,763.41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-4,649,782.82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88,677,063.45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39,462,376.91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55"/>
      <w:bookmarkEnd w:id="35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533,198,614.09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133,299,653.52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-30,874,920.19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-11,229,544.21</w:t>
            </w:r>
          </w:p>
        </w:tc>
      </w:tr>
      <w:tr>
        <w:trPr>
          <w:trHeight w:val="402" w:hRule="exact"/>
        </w:trPr>
        <w:tc>
          <w:tcPr>
            <w:tcW w:w="4757" w:type="dxa"/>
            <w:tcBorders>
              <w:top w:val="single" w:sz="4" w:space="0" w:color="000000"/>
              <w:left w:val="single" w:sz="4" w:space="0" w:color="000000"/>
              <w:bottom w:val="single" w:sz="12" w:space="0" w:color="D9D9D9"/>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1,976,755.51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3,379,543.02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-8,147,089.45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272,665.25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88,677,063.45</w:t>
            </w:r>
          </w:p>
        </w:tc>
      </w:tr>
    </w:tbl>
    <w:p>
      <w:pPr>
        <w:spacing w:line="240" w:lineRule="auto" w:before="2"/>
        <w:rPr>
          <w:rFonts w:ascii="宋体" w:hAnsi="宋体" w:cs="宋体" w:eastAsia="宋体" w:hint="default"/>
          <w:sz w:val="19"/>
          <w:szCs w:val="19"/>
        </w:rPr>
      </w:pPr>
    </w:p>
    <w:p>
      <w:pPr>
        <w:spacing w:line="544" w:lineRule="auto" w:before="35"/>
        <w:ind w:left="154" w:right="8855" w:firstLine="0"/>
        <w:jc w:val="left"/>
        <w:rPr>
          <w:rFonts w:ascii="宋体" w:hAnsi="宋体" w:cs="宋体" w:eastAsia="宋体" w:hint="default"/>
          <w:sz w:val="21"/>
          <w:szCs w:val="21"/>
        </w:rPr>
      </w:pPr>
      <w:bookmarkStart w:name="74、其他综合收益" w:id="356"/>
      <w:bookmarkEnd w:id="35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57"/>
      <w:bookmarkEnd w:id="357"/>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153" w:right="0"/>
        <w:jc w:val="left"/>
        <w:rPr>
          <w:b w:val="0"/>
          <w:bCs w:val="0"/>
        </w:rPr>
      </w:pPr>
      <w:bookmarkStart w:name="（1）收到的其他与经营活动有关的现金" w:id="358"/>
      <w:bookmarkEnd w:id="35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3,395,616.88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3,522,026.27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56,723,485.19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9,308,067.31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51,609,189.58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54,492,087.06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收到解冻资金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178,642,423.12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81,966,396.79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254,662,743.92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115,984,481.57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所得税退税款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15,603,084.05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38,128,168.78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7,520,365.36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8,167,214.96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995,804.65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1,316,385.41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569,152,712.75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312,884,828.15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59"/>
      <w:bookmarkEnd w:id="35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116,942,258.31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55,095,135.27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48,542,344.35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39,334,541.26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银行手续费等财务费用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1,947,404.15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1,594,469.34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3,688,133.86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5,992,664.71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不能随时支取的保证金、冻结资金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94,992,075.03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107,011,633.02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327,161,479.04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89,326,720.24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284,569.83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541,522.60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593,558,264.57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298,896,686.44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收到的其他与投资活动有关的现金" w:id="360"/>
      <w:bookmarkEnd w:id="36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 净额负数重分类</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535,243,262.84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535,243,262.84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61"/>
      <w:bookmarkEnd w:id="36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62"/>
      <w:bookmarkEnd w:id="36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2,866,600.00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8,357,600.00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63"/>
      <w:bookmarkEnd w:id="36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股权激励回购</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发行股份募集资金支付的费用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3,116,151.32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支付中国移动减资款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25,189,380.00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317,174,161.32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6、现金流量表补充资料" w:id="364"/>
      <w:bookmarkEnd w:id="36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65"/>
      <w:bookmarkEnd w:id="36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40.9pt;mso-position-horizontal-relative:page;mso-position-vertical-relative:page;z-index:-1393432" coordorigin="4467,5681" coordsize="3025,818">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444,521,550.64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260,781,192.06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32,753,633.45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-2,567,914.43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90,610,466.23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103,305,960.58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26,283,558.93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17,854,869.96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3,327,318.92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1,383,552.01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-657,838.22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1,171,398.60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2,322,507.05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9,522,279.15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12,447,170.25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837,744.27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-670,435.26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-5,340,945.55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-1,980,867.42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-4,269,518.74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-2,654,989.57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-192,676,732.31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-152,625,686.09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-658,286,582.22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-227,745,244.48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95,540,913.73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424,590,705.10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-106,875.82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-1,994,480.09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-157,936,811.60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433,617,738.27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2,102,040,062.52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2,309,451,375.00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2,309,451,375.00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98,977,479.03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-207,411,312.48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2,210,473,895.97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66"/>
      <w:bookmarkEnd w:id="36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32,805.82</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467,194.18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收到的处置子公司的现金净额" w:id="367"/>
      <w:bookmarkEnd w:id="36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189,741,666.67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3,408,319.07</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186,333,347.60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现金和现金等价物的构成" w:id="368"/>
      <w:bookmarkEnd w:id="36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2,102,040,062.52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2,309,451,375.00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65,859.15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147,648.32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2,086,447,372.29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2,306,069,808.16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15,526,831.08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3,233,918.52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2,102,040,062.52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2,309,451,375.00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7、所有者权益变动表项目注释" w:id="369"/>
      <w:bookmarkEnd w:id="369"/>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8、所有权或使用权受到限制的资产" w:id="370"/>
      <w:bookmarkEnd w:id="370"/>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22,722,518.62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票据、贷款保证金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29,495,460.62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10,376,208,706.10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10,458,426,685.34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9、外币货币性项目" w:id="371"/>
      <w:bookmarkEnd w:id="37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72"/>
      <w:bookmarkEnd w:id="37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66,720,544.70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9,899,220.11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64,683,484.04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6,296.38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7,102.21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5,936.81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372,171.01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1,935,624.21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63,440.32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0.7921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50,251.08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1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38,840.34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6.6779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30,495,163.22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4,584,457.21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29,955,760.30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103,713.38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539,402.92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17,901,111.50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2,739,602.63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17,901,111.50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97,011.57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22,713.89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605,087.33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71,484.03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467,090.95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6,277.50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5,843.61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36,742.59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63,440.32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0.7921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50,251.08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1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38,833.47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73"/>
      <w:bookmarkEnd w:id="37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80、套期" w:id="374"/>
      <w:bookmarkEnd w:id="374"/>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81、其他" w:id="375"/>
      <w:bookmarkEnd w:id="375"/>
      <w:r>
        <w:rPr>
          <w:b w:val="0"/>
          <w:bCs w:val="0"/>
        </w:rPr>
      </w:r>
      <w:r>
        <w:rPr>
          <w:rFonts w:ascii="Times New Roman" w:hAnsi="Times New Roman" w:cs="Times New Roman" w:eastAsia="Times New Roman" w:hint="default"/>
        </w:rPr>
        <w:t>81</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八、合并范围的变更" w:id="376"/>
      <w:bookmarkEnd w:id="37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77"/>
      <w:bookmarkEnd w:id="37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78"/>
      <w:bookmarkEnd w:id="37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哈尔滨迪达 能化科技有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633,594.52</w:t>
            </w:r>
          </w:p>
        </w:tc>
      </w:tr>
    </w:tbl>
    <w:p>
      <w:pPr>
        <w:pStyle w:val="BodyText"/>
        <w:spacing w:line="240" w:lineRule="auto" w:before="51"/>
        <w:ind w:left="154"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0" w:firstLine="44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月，公司之三级子公司联动优势电子商务有限公司与毕晶、黑龙江省宝瑞德投资有限公司签订《股权收购协议</w:t>
      </w:r>
      <w:r>
        <w:rPr/>
        <w:t> 书》，以人民币</w:t>
      </w:r>
      <w:r>
        <w:rPr>
          <w:rFonts w:ascii="Times New Roman" w:hAnsi="Times New Roman" w:cs="Times New Roman" w:eastAsia="Times New Roman" w:hint="default"/>
        </w:rPr>
        <w:t>50</w:t>
      </w:r>
      <w:r>
        <w:rPr/>
        <w:t>万元收购毕晶、黑龙江省宝瑞德投资有限公司合计持有的哈尔滨迪达能化科技有限公司</w:t>
      </w:r>
      <w:r>
        <w:rPr>
          <w:rFonts w:ascii="Times New Roman" w:hAnsi="Times New Roman" w:cs="Times New Roman" w:eastAsia="Times New Roman" w:hint="default"/>
        </w:rPr>
        <w:t>100%</w:t>
      </w:r>
      <w:r>
        <w:rPr/>
        <w:t>股权。</w:t>
      </w:r>
    </w:p>
    <w:p>
      <w:pPr>
        <w:spacing w:line="240" w:lineRule="auto" w:before="5"/>
        <w:rPr>
          <w:rFonts w:ascii="宋体" w:hAnsi="宋体" w:cs="宋体" w:eastAsia="宋体" w:hint="default"/>
          <w:sz w:val="19"/>
          <w:szCs w:val="19"/>
        </w:rPr>
      </w:pPr>
    </w:p>
    <w:p>
      <w:pPr>
        <w:pStyle w:val="BodyText"/>
        <w:spacing w:line="300" w:lineRule="auto"/>
        <w:ind w:right="0" w:firstLine="44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日，联动优势电子商务有限公司支付上述股权价款，哈尔滨迪达能化科技有限公司于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日完成 工商变更登记。</w:t>
      </w:r>
    </w:p>
    <w:p>
      <w:pPr>
        <w:spacing w:line="240" w:lineRule="auto" w:before="10"/>
        <w:rPr>
          <w:rFonts w:ascii="宋体" w:hAnsi="宋体" w:cs="宋体" w:eastAsia="宋体" w:hint="default"/>
          <w:sz w:val="20"/>
          <w:szCs w:val="20"/>
        </w:rPr>
      </w:pPr>
    </w:p>
    <w:p>
      <w:pPr>
        <w:pStyle w:val="BodyText"/>
        <w:spacing w:line="240" w:lineRule="auto"/>
        <w:ind w:left="594" w:right="0"/>
        <w:jc w:val="left"/>
      </w:pPr>
      <w:r>
        <w:rPr/>
        <w:t>鉴于上述情况，我们将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日定为购并日。</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合并成本及商誉" w:id="379"/>
      <w:bookmarkEnd w:id="37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17" w:right="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49,500.28</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450,499.72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被购买方于购买日可辨认资产、负债" w:id="380"/>
      <w:bookmarkEnd w:id="38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1;top:16;width:2;height:392" coordorigin="21,16" coordsize="2,392">
              <v:shape style="position:absolute;left:21;top:16;width:2;height:392" coordorigin="21,16" coordsize="0,392" path="m21,16l21,407e" filled="false" stroked="true" strokeweight="1.140pt" strokecolor="#d9d9d9">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9d9d9">
                <v:path arrowok="t"/>
              </v:shape>
            </v:group>
            <v:group style="position:absolute;left:32;top:16;width:3135;height:392" coordorigin="32,16" coordsize="3135,392">
              <v:shape style="position:absolute;left:32;top:16;width:3135;height:392" coordorigin="32,16" coordsize="3135,392" path="m32,407l3167,407,3167,16,32,16,32,407xe" filled="true" fillcolor="#d9d9d9"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d9d9d9">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d9d9d9">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d9d9d9"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181;height:2" coordorigin="10,413" coordsize="3181,2">
              <v:shape style="position:absolute;left:10;top:413;width:3181;height:2" coordorigin="10,413" coordsize="3181,0" path="m10,413l3190,413e" filled="false" stroked="true" strokeweight=".48pt" strokecolor="#000000">
                <v:path arrowok="t"/>
              </v:shape>
            </v:group>
            <v:group style="position:absolute;left:3195;top:5;width:2;height:413" coordorigin="3195,5" coordsize="2,413">
              <v:shape style="position:absolute;left:3195;top:5;width:2;height:413" coordorigin="3195,5" coordsize="0,413" path="m3195,5l3195,418e" filled="false" stroked="true" strokeweight=".48pt" strokecolor="#000000">
                <v:path arrowok="t"/>
              </v:shape>
            </v:group>
            <v:group style="position:absolute;left:3200;top:413;width:6372;height:2" coordorigin="3200,413" coordsize="6372,2">
              <v:shape style="position:absolute;left:3200;top:413;width:6372;height:2" coordorigin="3200,413" coordsize="6372,0" path="m320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3195;top:10;width:6370;height:402" type="#_x0000_t202" filled="false" stroked="false">
                <v:textbox inset="0,0,0,0">
                  <w:txbxContent>
                    <w:p>
                      <w:pPr>
                        <w:spacing w:before="56"/>
                        <w:ind w:left="2021" w:right="0" w:firstLine="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footerReference w:type="default" r:id="rId20"/>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32,805.82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5,101,812.08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5,101,812.08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85,117.62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购买日之前持有的股权按照公允价值重新计量产生的利得或损失" w:id="381"/>
      <w:bookmarkEnd w:id="38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4992"/>
        <w:jc w:val="left"/>
      </w:pPr>
      <w:r>
        <w:rPr/>
        <w:t>无。 是否存在通过多次交易分步实现企业合并且在报告期内取得控制权的交易</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购买日或合并当期期末无法合理确定合并对价或被购买方可辨认资产、负债公允价值" w:id="382"/>
      <w:bookmarkEnd w:id="38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说明" w:id="383"/>
      <w:bookmarkEnd w:id="38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同一控制下企业合并" w:id="384"/>
      <w:bookmarkEnd w:id="38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反向购买" w:id="385"/>
      <w:bookmarkEnd w:id="38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处置子公司" w:id="386"/>
      <w:bookmarkEnd w:id="38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1"/>
          <w:pgSz w:w="11910" w:h="16840"/>
          <w:pgMar w:footer="979" w:header="747" w:top="1060" w:bottom="1160" w:left="980" w:right="0"/>
          <w:pgNumType w:start="201"/>
        </w:sectPr>
      </w:pPr>
    </w:p>
    <w:p>
      <w:pPr>
        <w:pStyle w:val="BodyText"/>
        <w:spacing w:line="240" w:lineRule="auto" w:before="44"/>
        <w:ind w:left="154" w:right="-20"/>
        <w:jc w:val="left"/>
      </w:pPr>
      <w:r>
        <w:rPr/>
        <w:t>是否存在单次处置对子公司投资即丧失控制权的情形</w:t>
      </w:r>
    </w:p>
    <w:p>
      <w:pPr>
        <w:pStyle w:val="BodyText"/>
        <w:spacing w:line="240" w:lineRule="auto" w:before="117"/>
        <w:ind w:left="15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22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161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3" w:right="91" w:hanging="180"/>
              <w:jc w:val="left"/>
              <w:rPr>
                <w:rFonts w:ascii="宋体" w:hAnsi="宋体" w:cs="宋体" w:eastAsia="宋体" w:hint="default"/>
                <w:sz w:val="18"/>
                <w:szCs w:val="18"/>
              </w:rPr>
            </w:pPr>
            <w:r>
              <w:rPr>
                <w:rFonts w:ascii="宋体" w:hAnsi="宋体" w:cs="宋体" w:eastAsia="宋体" w:hint="default"/>
                <w:sz w:val="18"/>
                <w:szCs w:val="18"/>
              </w:rPr>
              <w:t>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日照兴 业汽车 配件有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办理完 毕资产 交割手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-1,212,3</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97.94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日照兴 发汽车 零部件 制造有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办理完 毕资产 交割手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387"/>
      <w:bookmarkEnd w:id="38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6"/>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月，子公司联动优势科技有限公司设立联动优势科技有限公司山东分公司。</w:t>
      </w:r>
    </w:p>
    <w:p>
      <w:pPr>
        <w:pStyle w:val="BodyText"/>
        <w:spacing w:line="302" w:lineRule="auto" w:before="101"/>
        <w:ind w:right="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月，子公司宁波泰鸿机电有限公司出资成立宝鸡泰鸿机电有限公司，注册资本</w:t>
      </w:r>
      <w:r>
        <w:rPr>
          <w:rFonts w:ascii="Times New Roman" w:hAnsi="Times New Roman" w:cs="Times New Roman" w:eastAsia="Times New Roman" w:hint="default"/>
          <w:spacing w:val="-2"/>
        </w:rPr>
        <w:t>2000</w:t>
      </w:r>
      <w:r>
        <w:rPr>
          <w:spacing w:val="-2"/>
        </w:rPr>
        <w:t>万元，公司间接持有宝鸡</w:t>
      </w:r>
      <w:r>
        <w:rPr>
          <w:spacing w:val="-56"/>
        </w:rPr>
        <w:t> </w:t>
      </w:r>
      <w:r>
        <w:rPr>
          <w:spacing w:val="-56"/>
        </w:rPr>
      </w:r>
      <w:r>
        <w:rPr/>
        <w:t>泰鸿机电有限公司</w:t>
      </w:r>
      <w:r>
        <w:rPr>
          <w:rFonts w:ascii="Times New Roman" w:hAnsi="Times New Roman" w:cs="Times New Roman" w:eastAsia="Times New Roman" w:hint="default"/>
        </w:rPr>
        <w:t>100%</w:t>
      </w:r>
      <w:r>
        <w:rPr/>
        <w:t>股权。</w:t>
      </w:r>
    </w:p>
    <w:p>
      <w:pPr>
        <w:pStyle w:val="BodyText"/>
        <w:spacing w:line="302" w:lineRule="auto" w:before="50"/>
        <w:ind w:right="112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月，子公司安派国际控股有限公司成立联动优势科技（加拿大）有限公司，注册资本</w:t>
      </w:r>
      <w:r>
        <w:rPr>
          <w:rFonts w:ascii="Times New Roman" w:hAnsi="Times New Roman" w:cs="Times New Roman" w:eastAsia="Times New Roman" w:hint="default"/>
        </w:rPr>
        <w:t>100</w:t>
      </w:r>
      <w:r>
        <w:rPr/>
        <w:t>万加币，公司间接</w:t>
      </w:r>
      <w:r>
        <w:rPr>
          <w:spacing w:val="-82"/>
        </w:rPr>
        <w:t> </w:t>
      </w:r>
      <w:r>
        <w:rPr>
          <w:spacing w:val="-82"/>
        </w:rPr>
      </w:r>
      <w:r>
        <w:rPr/>
        <w:t>持有联动优势科技（加拿大）有限公司</w:t>
      </w:r>
      <w:r>
        <w:rPr>
          <w:rFonts w:ascii="Times New Roman" w:hAnsi="Times New Roman" w:cs="Times New Roman" w:eastAsia="Times New Roman" w:hint="default"/>
        </w:rPr>
        <w:t>100%</w:t>
      </w:r>
      <w:r>
        <w:rPr/>
        <w:t>股权。</w:t>
      </w:r>
    </w:p>
    <w:p>
      <w:pPr>
        <w:pStyle w:val="BodyText"/>
        <w:spacing w:line="302" w:lineRule="auto" w:before="49"/>
        <w:ind w:right="0"/>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月，公司注销子公司青岛海立美达电商有限公司。截至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日，青岛海立美达电商有限公司注销手</w:t>
      </w:r>
      <w:r>
        <w:rPr>
          <w:spacing w:val="-52"/>
        </w:rPr>
        <w:t> </w:t>
      </w:r>
      <w:r>
        <w:rPr>
          <w:spacing w:val="-52"/>
        </w:rPr>
      </w:r>
      <w:r>
        <w:rPr/>
        <w:t>续已办理完毕。</w:t>
      </w:r>
    </w:p>
    <w:p>
      <w:pPr>
        <w:pStyle w:val="BodyText"/>
        <w:spacing w:line="302" w:lineRule="auto" w:before="68"/>
        <w:ind w:right="112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月，子公司湖北海立美达汽车有限公司出资成立枣阳市海美房地产开发有限公司，注册资本</w:t>
      </w:r>
      <w:r>
        <w:rPr>
          <w:rFonts w:ascii="Times New Roman" w:hAnsi="Times New Roman" w:cs="Times New Roman" w:eastAsia="Times New Roman" w:hint="default"/>
        </w:rPr>
        <w:t>5000</w:t>
      </w:r>
      <w:r>
        <w:rPr/>
        <w:t>万元，公</w:t>
      </w:r>
      <w:r>
        <w:rPr>
          <w:spacing w:val="-82"/>
        </w:rPr>
        <w:t> </w:t>
      </w:r>
      <w:r>
        <w:rPr/>
        <w:t>司间接持有枣阳市海美房地产开发有限公司</w:t>
      </w:r>
      <w:r>
        <w:rPr>
          <w:rFonts w:ascii="Times New Roman" w:hAnsi="Times New Roman" w:cs="Times New Roman" w:eastAsia="Times New Roman" w:hint="default"/>
        </w:rPr>
        <w:t>90%</w:t>
      </w:r>
      <w:r>
        <w:rPr/>
        <w:t>股权。</w:t>
      </w:r>
    </w:p>
    <w:p>
      <w:pPr>
        <w:pStyle w:val="BodyText"/>
        <w:spacing w:line="302" w:lineRule="auto" w:before="50"/>
        <w:ind w:right="1123"/>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月，子公司湖北海立美达汽车有限公司出资成立舟山陆泰石油化工有限公司，注册资本</w:t>
      </w:r>
      <w:r>
        <w:rPr>
          <w:rFonts w:ascii="Times New Roman" w:hAnsi="Times New Roman" w:cs="Times New Roman" w:eastAsia="Times New Roman" w:hint="default"/>
        </w:rPr>
        <w:t>1000</w:t>
      </w:r>
      <w:r>
        <w:rPr/>
        <w:t>万元，公司间</w:t>
      </w:r>
      <w:r>
        <w:rPr>
          <w:spacing w:val="-82"/>
        </w:rPr>
        <w:t> </w:t>
      </w:r>
      <w:r>
        <w:rPr>
          <w:spacing w:val="-82"/>
        </w:rPr>
      </w:r>
      <w:r>
        <w:rPr/>
        <w:t>接持有舟山陆泰石油化工有限公司</w:t>
      </w:r>
      <w:r>
        <w:rPr>
          <w:rFonts w:ascii="Times New Roman" w:hAnsi="Times New Roman" w:cs="Times New Roman" w:eastAsia="Times New Roman" w:hint="default"/>
        </w:rPr>
        <w:t>90%</w:t>
      </w:r>
      <w:r>
        <w:rPr/>
        <w:t>股权。</w:t>
      </w:r>
    </w:p>
    <w:p>
      <w:pPr>
        <w:pStyle w:val="BodyText"/>
        <w:spacing w:line="302" w:lineRule="auto" w:before="49"/>
        <w:ind w:right="1123"/>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月，公司与刘阳、孙恺共同出资成立上海墨哈汽车销售有限公司，注册资本</w:t>
      </w:r>
      <w:r>
        <w:rPr>
          <w:rFonts w:ascii="Times New Roman" w:hAnsi="Times New Roman" w:cs="Times New Roman" w:eastAsia="Times New Roman" w:hint="default"/>
        </w:rPr>
        <w:t>1000</w:t>
      </w:r>
      <w:r>
        <w:rPr/>
        <w:t>万元，公司持有上海墨哈</w:t>
      </w:r>
      <w:r>
        <w:rPr>
          <w:spacing w:val="-82"/>
        </w:rPr>
        <w:t> </w:t>
      </w:r>
      <w:r>
        <w:rPr>
          <w:spacing w:val="-82"/>
        </w:rPr>
      </w:r>
      <w:r>
        <w:rPr/>
        <w:t>汽车销售有限公司</w:t>
      </w:r>
      <w:r>
        <w:rPr>
          <w:rFonts w:ascii="Times New Roman" w:hAnsi="Times New Roman" w:cs="Times New Roman" w:eastAsia="Times New Roman" w:hint="default"/>
        </w:rPr>
        <w:t>60%</w:t>
      </w:r>
      <w:r>
        <w:rPr/>
        <w:t>股权。</w:t>
      </w:r>
    </w:p>
    <w:p>
      <w:pPr>
        <w:spacing w:line="240" w:lineRule="auto" w:before="13"/>
        <w:rPr>
          <w:rFonts w:ascii="宋体" w:hAnsi="宋体" w:cs="宋体" w:eastAsia="宋体" w:hint="default"/>
          <w:sz w:val="19"/>
          <w:szCs w:val="19"/>
        </w:rPr>
      </w:pPr>
    </w:p>
    <w:p>
      <w:pPr>
        <w:pStyle w:val="Heading2"/>
        <w:spacing w:line="240" w:lineRule="auto"/>
        <w:ind w:left="154" w:right="0"/>
        <w:jc w:val="left"/>
        <w:rPr>
          <w:b w:val="0"/>
          <w:bCs w:val="0"/>
        </w:rPr>
      </w:pPr>
      <w:bookmarkStart w:name="九、在其他主体中的权益" w:id="388"/>
      <w:bookmarkEnd w:id="388"/>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89"/>
      <w:bookmarkEnd w:id="38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90"/>
      <w:bookmarkEnd w:id="39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青岛海立达冲压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青岛海立美达电 机有限公司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青岛海立美达模 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宁波泰鸿机电有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湖北海立田汽车 部件有限公司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宁波泰鸿冲压件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联动优势电子商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安派国际控股有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安派国际美国有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青岛海立美达精 密机械制造有限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湖南海立美达钢 板加工配送有限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湘潭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湘潭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烟台海立美达精 密钢制品有限公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7"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海立美达香港有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上海海众实业发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上海墨哈汽车销 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青岛万金通达经 济信息服务有限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宝鸡泰鸿机电有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宝鸡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宝鸡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湖北海立美达电 动车有限公司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舟山陆泰石油化 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枣阳市海美房地 产开发有限公司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（加拿大）有限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温哥华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温哥华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重要的非全资子公司" w:id="391"/>
      <w:bookmarkEnd w:id="39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2"/>
              <w:jc w:val="left"/>
              <w:rPr>
                <w:rFonts w:ascii="宋体" w:hAnsi="宋体" w:cs="宋体" w:eastAsia="宋体" w:hint="default"/>
                <w:sz w:val="18"/>
                <w:szCs w:val="18"/>
              </w:rPr>
            </w:pPr>
            <w:r>
              <w:rPr>
                <w:rFonts w:ascii="宋体" w:hAnsi="宋体" w:cs="宋体" w:eastAsia="宋体" w:hint="default"/>
                <w:sz w:val="18"/>
                <w:szCs w:val="18"/>
              </w:rPr>
              <w:t>湖北海立田汽车部件有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2,877,111.25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15,599,958.35</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湖北海立美达汽车有限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3,152,510.12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20,401,091.83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92"/>
      <w:bookmarkEnd w:id="39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湖北海 立田汽 车部件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110,826,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837.59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59,757,6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170,584,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503.09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92,584,7</w:t>
            </w:r>
          </w:p>
          <w:p>
            <w:pPr>
              <w:pStyle w:val="TableParagraph"/>
              <w:spacing w:line="240" w:lineRule="auto" w:before="106"/>
              <w:ind w:left="306" w:right="0"/>
              <w:jc w:val="left"/>
              <w:rPr>
                <w:rFonts w:ascii="Times New Roman" w:hAnsi="Times New Roman" w:cs="Times New Roman" w:eastAsia="Times New Roman" w:hint="default"/>
                <w:sz w:val="18"/>
                <w:szCs w:val="18"/>
              </w:rPr>
            </w:pPr>
            <w:r>
              <w:rPr>
                <w:rFonts w:ascii="Times New Roman"/>
                <w:sz w:val="18"/>
              </w:rPr>
              <w:t>11.29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92,584,7</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11.29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95,843,9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99.90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59,390,4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31.03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155,234,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430.93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91,617,0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12.34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91,617,0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12.34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湖北海 立美达 汽车有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150,092,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895.97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432,825,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608.15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582,918,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504.12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360,897,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874.37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17,710,2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83.81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378,608,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158.18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77,284,8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366,323,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145.91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443,607,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988.91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251,803,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865.50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19,318,3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271,122,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171.89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湖北海立田 汽车部件有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225,565,565.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14,382,373.2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14,382,373.2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-3,493,129.66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120,196,983.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10,715,198.7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10,715,198.7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15,418,335.1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湖北海立美 达汽车有限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91,345,655.0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31,824,528.9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31,824,528.9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128,290,461.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50,539,035.8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17,203,699.2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17,203,699.2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-57,706,231.0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使用企业集团资产和清偿企业集团债务的重大限制" w:id="393"/>
      <w:bookmarkEnd w:id="39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394"/>
      <w:bookmarkEnd w:id="39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Heading3"/>
        <w:spacing w:line="321" w:lineRule="auto"/>
        <w:ind w:right="4993"/>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r>
        <w:rPr>
          <w:rFonts w:ascii="Times New Roman" w:hAnsi="Times New Roman" w:cs="Times New Roman" w:eastAsia="Times New Roman" w:hint="default"/>
          <w:w w:val="95"/>
        </w:rPr>
        <w:t>2</w:t>
      </w:r>
      <w:r>
        <w:rPr>
          <w:w w:val="95"/>
        </w:rPr>
        <w:t>、在子公司的所有者权益份额发生变化且仍控制子公司的交易 </w:t>
      </w:r>
      <w:r>
        <w:rPr>
          <w:spacing w:val="82"/>
          <w:w w:val="95"/>
        </w:rPr>
        <w:t> </w:t>
      </w:r>
      <w:r>
        <w:rPr>
          <w:spacing w:val="82"/>
          <w:w w:val="95"/>
        </w:rPr>
      </w:r>
      <w:r>
        <w:rPr>
          <w:rFonts w:ascii="宋体" w:hAnsi="宋体" w:cs="宋体" w:eastAsia="宋体" w:hint="default"/>
          <w:b w:val="0"/>
          <w:bCs w:val="0"/>
          <w:sz w:val="18"/>
          <w:szCs w:val="18"/>
        </w:rPr>
        <w:t>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在合营安排或联营企业中的权益" w:id="395"/>
      <w:bookmarkEnd w:id="39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396"/>
      <w:bookmarkEnd w:id="39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397"/>
      <w:bookmarkEnd w:id="39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398"/>
      <w:bookmarkEnd w:id="398"/>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与金融工具相关的风险" w:id="399"/>
      <w:bookmarkEnd w:id="399"/>
      <w:r>
        <w:rPr>
          <w:b w:val="0"/>
          <w:bCs w:val="0"/>
        </w:rPr>
      </w:r>
      <w:r>
        <w:rPr/>
        <w:t>十、与金融工具相关的风险</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129" w:firstLine="440"/>
        <w:jc w:val="both"/>
      </w:pPr>
      <w:r>
        <w:rPr/>
        <w:t>本集团的主要金融工具包括借款、应收款项、应付款项等，各项金融工具的详细情况说明见</w:t>
      </w:r>
      <w:r>
        <w:rPr>
          <w:rFonts w:ascii="Times New Roman" w:hAnsi="Times New Roman" w:cs="Times New Roman" w:eastAsia="Times New Roman" w:hint="default"/>
        </w:rPr>
        <w:t>“</w:t>
      </w:r>
      <w:r>
        <w:rPr/>
        <w:t>本附注六</w:t>
      </w:r>
      <w:r>
        <w:rPr>
          <w:rFonts w:ascii="Times New Roman" w:hAnsi="Times New Roman" w:cs="Times New Roman" w:eastAsia="Times New Roman" w:hint="default"/>
        </w:rPr>
        <w:t>”</w:t>
      </w:r>
      <w:r>
        <w:rPr/>
        <w:t>。与这些金融 </w:t>
      </w:r>
      <w:r>
        <w:rPr>
          <w:spacing w:val="-2"/>
        </w:rPr>
        <w:t>工具有关的风险，以及本集团为降低这些风险所采取的风险管控政策如下所述。本集团管理层对这些风险敞口进行管理和监</w:t>
      </w:r>
      <w:r>
        <w:rPr>
          <w:spacing w:val="-64"/>
        </w:rPr>
        <w:t> </w:t>
      </w:r>
      <w:r>
        <w:rPr>
          <w:spacing w:val="-64"/>
        </w:rPr>
      </w:r>
      <w:r>
        <w:rPr/>
        <w:t>控以确保将上述风险控制在限定的范围之内。</w:t>
      </w:r>
    </w:p>
    <w:p>
      <w:pPr>
        <w:spacing w:line="240" w:lineRule="auto" w:before="3"/>
        <w:rPr>
          <w:rFonts w:ascii="宋体" w:hAnsi="宋体" w:cs="宋体" w:eastAsia="宋体" w:hint="default"/>
          <w:sz w:val="20"/>
          <w:szCs w:val="20"/>
        </w:rPr>
      </w:pPr>
    </w:p>
    <w:p>
      <w:pPr>
        <w:pStyle w:val="BodyText"/>
        <w:spacing w:line="240" w:lineRule="auto"/>
        <w:ind w:left="594" w:right="0"/>
        <w:jc w:val="left"/>
      </w:pPr>
      <w:r>
        <w:rPr/>
        <w:t>本集团从事风险管控的目标是在风险和收益之间取得适当的平衡，将风险对本集团经营业绩的负面影响降到最低水平，</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保证股东及其他权益投资者的利益最大化。基于该风险管理目标，本集团风险管理的基本策略是确定和分析本集团所面临的</w:t>
      </w:r>
      <w:r>
        <w:rPr>
          <w:spacing w:val="-64"/>
        </w:rPr>
        <w:t> </w:t>
      </w:r>
      <w:r>
        <w:rPr>
          <w:spacing w:val="-64"/>
        </w:rPr>
      </w:r>
      <w:r>
        <w:rPr/>
        <w:t>各种风险，建立适当的风险承受底线并进行风险管理，及时可靠地对各种风险进行监督，将风险控制在限定的范围之内。</w:t>
      </w:r>
    </w:p>
    <w:p>
      <w:pPr>
        <w:spacing w:line="240" w:lineRule="auto" w:before="10"/>
        <w:rPr>
          <w:rFonts w:ascii="宋体" w:hAnsi="宋体" w:cs="宋体" w:eastAsia="宋体" w:hint="default"/>
          <w:sz w:val="19"/>
          <w:szCs w:val="19"/>
        </w:rPr>
      </w:pPr>
    </w:p>
    <w:p>
      <w:pPr>
        <w:pStyle w:val="BodyText"/>
        <w:spacing w:line="532" w:lineRule="auto"/>
        <w:ind w:left="154" w:right="9292" w:firstLine="44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市场风险</w:t>
      </w:r>
      <w:r>
        <w:rPr>
          <w:w w:val="99"/>
        </w:rPr>
        <w:t> </w:t>
      </w:r>
      <w:r>
        <w:rPr>
          <w:rFonts w:ascii="宋体" w:hAnsi="宋体" w:cs="宋体" w:eastAsia="宋体" w:hint="default"/>
        </w:rPr>
        <w:t>1</w:t>
      </w:r>
      <w:r>
        <w:rPr/>
        <w:t>、汇率风险</w:t>
      </w:r>
    </w:p>
    <w:p>
      <w:pPr>
        <w:pStyle w:val="BodyText"/>
        <w:spacing w:line="309" w:lineRule="auto" w:before="97"/>
        <w:ind w:right="1033" w:firstLine="440"/>
        <w:jc w:val="left"/>
      </w:pPr>
      <w:r>
        <w:rPr/>
        <w:t>本集团承受汇率风险主要与美元有关，除本集团的几个下属子公司以美元进行采购和销售外，本集团的其它主要业务 活动以人民币计价结算。于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日，除下表所述资产及负债的外币余额外，本集团的资产及负债均为人民币余额。 该等外币余额的资产和负债产生的汇率风险可能对本集团的经营业绩产生影响。</w:t>
      </w:r>
    </w:p>
    <w:p>
      <w:pPr>
        <w:spacing w:line="240" w:lineRule="auto" w:before="7"/>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3573"/>
        <w:gridCol w:w="2535"/>
        <w:gridCol w:w="2750"/>
      </w:tblGrid>
      <w:tr>
        <w:trPr>
          <w:trHeight w:val="358" w:hRule="exact"/>
        </w:trPr>
        <w:tc>
          <w:tcPr>
            <w:tcW w:w="35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5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5" w:type="dxa"/>
            <w:tcBorders>
              <w:top w:val="single" w:sz="12" w:space="0" w:color="000000"/>
              <w:left w:val="single" w:sz="8" w:space="0" w:color="000000"/>
              <w:bottom w:val="single" w:sz="12" w:space="0" w:color="000000"/>
              <w:right w:val="single" w:sz="8" w:space="0" w:color="000000"/>
            </w:tcBorders>
          </w:tcPr>
          <w:p>
            <w:pP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9,899,220.11</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1,670,882.43</w:t>
            </w: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806.99</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7,102.21</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15,125.51</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1,036.00</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54.00</w:t>
            </w: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372,171.01</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54.78</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63,440.32</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2,990.04</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7,626.52</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10.39</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0.20</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0.20</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0.15</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5" w:type="dxa"/>
            <w:tcBorders>
              <w:top w:val="single" w:sz="12" w:space="0" w:color="000000"/>
              <w:left w:val="single" w:sz="8" w:space="0" w:color="000000"/>
              <w:bottom w:val="single" w:sz="12" w:space="0" w:color="000000"/>
              <w:right w:val="single" w:sz="8" w:space="0" w:color="000000"/>
            </w:tcBorders>
          </w:tcPr>
          <w:p>
            <w:pP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4,584,457.21</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1,876,954.89</w:t>
            </w: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103,713.38</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5" w:type="dxa"/>
            <w:tcBorders>
              <w:top w:val="single" w:sz="12" w:space="0" w:color="000000"/>
              <w:left w:val="single" w:sz="8" w:space="0" w:color="000000"/>
              <w:bottom w:val="single" w:sz="12" w:space="0" w:color="000000"/>
              <w:right w:val="single" w:sz="8" w:space="0" w:color="000000"/>
            </w:tcBorders>
          </w:tcPr>
          <w:p>
            <w:pP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2,739,602.63</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2,448,925.00</w:t>
            </w: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5" w:type="dxa"/>
            <w:tcBorders>
              <w:top w:val="single" w:sz="12" w:space="0" w:color="000000"/>
              <w:left w:val="single" w:sz="8" w:space="0" w:color="000000"/>
              <w:bottom w:val="single" w:sz="12" w:space="0" w:color="000000"/>
              <w:right w:val="single" w:sz="8" w:space="0" w:color="000000"/>
            </w:tcBorders>
          </w:tcPr>
          <w:p>
            <w:pP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14,846.74</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23,022.30</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4,367.30</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5" w:type="dxa"/>
            <w:tcBorders>
              <w:top w:val="single" w:sz="12" w:space="0" w:color="000000"/>
              <w:left w:val="single" w:sz="8" w:space="0" w:color="000000"/>
              <w:bottom w:val="single" w:sz="12" w:space="0" w:color="000000"/>
              <w:right w:val="single" w:sz="8" w:space="0" w:color="000000"/>
            </w:tcBorders>
          </w:tcPr>
          <w:p>
            <w:pP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71,484.03</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13,428.05</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804.57</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6,990.72</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15,098.80</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7,064.66</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54.78</w:t>
            </w: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63,440.32</w:t>
            </w:r>
          </w:p>
        </w:tc>
        <w:tc>
          <w:tcPr>
            <w:tcW w:w="2750" w:type="dxa"/>
            <w:tcBorders>
              <w:top w:val="single" w:sz="12" w:space="0" w:color="000000"/>
              <w:left w:val="single" w:sz="8"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2,990.04</w:t>
            </w:r>
          </w:p>
        </w:tc>
      </w:tr>
      <w:tr>
        <w:trPr>
          <w:trHeight w:val="353"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7,625.17</w:t>
            </w:r>
          </w:p>
        </w:tc>
        <w:tc>
          <w:tcPr>
            <w:tcW w:w="2750" w:type="dxa"/>
            <w:tcBorders>
              <w:top w:val="single" w:sz="12" w:space="0" w:color="000000"/>
              <w:left w:val="single" w:sz="8" w:space="0" w:color="000000"/>
              <w:bottom w:val="single" w:sz="12" w:space="0" w:color="000000"/>
              <w:right w:val="single" w:sz="4" w:space="0" w:color="000000"/>
            </w:tcBorders>
          </w:tcPr>
          <w:p>
            <w:pPr/>
          </w:p>
        </w:tc>
      </w:tr>
      <w:tr>
        <w:trPr>
          <w:trHeight w:val="352" w:hRule="exact"/>
        </w:trPr>
        <w:tc>
          <w:tcPr>
            <w:tcW w:w="35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5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10.39</w:t>
            </w:r>
          </w:p>
        </w:tc>
        <w:tc>
          <w:tcPr>
            <w:tcW w:w="2750" w:type="dxa"/>
            <w:tcBorders>
              <w:top w:val="single" w:sz="12" w:space="0" w:color="000000"/>
              <w:left w:val="single" w:sz="8" w:space="0" w:color="000000"/>
              <w:bottom w:val="single" w:sz="12" w:space="0" w:color="000000"/>
              <w:right w:val="single" w:sz="4" w:space="0" w:color="000000"/>
            </w:tcBorders>
          </w:tcPr>
          <w:p>
            <w:pPr/>
          </w:p>
        </w:tc>
      </w:tr>
    </w:tbl>
    <w:p>
      <w:pPr>
        <w:spacing w:line="240" w:lineRule="auto" w:before="10"/>
        <w:rPr>
          <w:rFonts w:ascii="宋体" w:hAnsi="宋体" w:cs="宋体" w:eastAsia="宋体" w:hint="default"/>
          <w:sz w:val="15"/>
          <w:szCs w:val="15"/>
        </w:rPr>
      </w:pPr>
    </w:p>
    <w:p>
      <w:pPr>
        <w:pStyle w:val="BodyText"/>
        <w:spacing w:line="240" w:lineRule="auto" w:before="44"/>
        <w:ind w:left="594" w:right="0"/>
        <w:jc w:val="left"/>
      </w:pPr>
      <w:r>
        <w:rPr/>
        <w:t>本集团密切关注汇率变动对本集团的影响。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rPr>
        <w:t>2</w:t>
      </w:r>
      <w:r>
        <w:rPr/>
        <w:t>、利率风险</w:t>
      </w:r>
    </w:p>
    <w:p>
      <w:pPr>
        <w:spacing w:line="240" w:lineRule="auto" w:before="2"/>
        <w:rPr>
          <w:rFonts w:ascii="宋体" w:hAnsi="宋体" w:cs="宋体" w:eastAsia="宋体" w:hint="default"/>
          <w:sz w:val="24"/>
          <w:szCs w:val="24"/>
        </w:rPr>
      </w:pPr>
    </w:p>
    <w:p>
      <w:pPr>
        <w:pStyle w:val="BodyText"/>
        <w:spacing w:line="316" w:lineRule="auto"/>
        <w:ind w:left="154" w:right="1132" w:firstLine="440"/>
        <w:jc w:val="left"/>
      </w:pPr>
      <w:r>
        <w:rPr/>
        <w:t>本集团的利率风险产生于银行借款等有息债务。浮动利率的金融负债使本集团面临现金流量利率风险，固定利率的金 融负债使本集团面临公允价值利率风险。本集团根据当时的市场环境来决定固定利率及浮动利率合同的相对比例。</w:t>
      </w:r>
    </w:p>
    <w:p>
      <w:pPr>
        <w:spacing w:line="240" w:lineRule="auto" w:before="11"/>
        <w:rPr>
          <w:rFonts w:ascii="宋体" w:hAnsi="宋体" w:cs="宋体" w:eastAsia="宋体" w:hint="default"/>
          <w:sz w:val="19"/>
          <w:szCs w:val="19"/>
        </w:rPr>
      </w:pPr>
    </w:p>
    <w:p>
      <w:pPr>
        <w:pStyle w:val="BodyText"/>
        <w:spacing w:line="316" w:lineRule="auto"/>
        <w:ind w:right="0" w:firstLine="440"/>
        <w:jc w:val="left"/>
      </w:pPr>
      <w:r>
        <w:rPr/>
        <w:t>本集团因利率变动引起金融工具公允价值变动的风险主要与固定利率银行借款有关。对于固定利率借款，本集团的目 标是保持其浮动利率。</w:t>
      </w:r>
    </w:p>
    <w:p>
      <w:pPr>
        <w:spacing w:line="240" w:lineRule="auto" w:before="10"/>
        <w:rPr>
          <w:rFonts w:ascii="宋体" w:hAnsi="宋体" w:cs="宋体" w:eastAsia="宋体" w:hint="default"/>
          <w:sz w:val="19"/>
          <w:szCs w:val="19"/>
        </w:rPr>
      </w:pPr>
    </w:p>
    <w:p>
      <w:pPr>
        <w:pStyle w:val="BodyText"/>
        <w:spacing w:line="316" w:lineRule="auto"/>
        <w:ind w:right="0" w:firstLine="440"/>
        <w:jc w:val="left"/>
      </w:pPr>
      <w:r>
        <w:rPr/>
        <w:t>本集团因利率变动引起金融工具现金流量变动的风险主要与浮动利率银行借款有关。本集团的政策是保持这些借款的 浮动利率，以消除利率变动的公允价值风险。</w:t>
      </w:r>
    </w:p>
    <w:p>
      <w:pPr>
        <w:spacing w:line="240" w:lineRule="auto" w:before="10"/>
        <w:rPr>
          <w:rFonts w:ascii="宋体" w:hAnsi="宋体" w:cs="宋体" w:eastAsia="宋体" w:hint="default"/>
          <w:sz w:val="19"/>
          <w:szCs w:val="19"/>
        </w:rPr>
      </w:pPr>
    </w:p>
    <w:p>
      <w:pPr>
        <w:pStyle w:val="BodyText"/>
        <w:spacing w:line="240" w:lineRule="auto"/>
        <w:ind w:right="0"/>
        <w:jc w:val="both"/>
      </w:pPr>
      <w:r>
        <w:rPr>
          <w:rFonts w:ascii="宋体" w:hAnsi="宋体" w:cs="宋体" w:eastAsia="宋体" w:hint="default"/>
        </w:rPr>
        <w:t>3</w:t>
      </w:r>
      <w:r>
        <w:rPr/>
        <w:t>、价格风险</w:t>
      </w:r>
    </w:p>
    <w:p>
      <w:pPr>
        <w:spacing w:line="240" w:lineRule="auto" w:before="2"/>
        <w:rPr>
          <w:rFonts w:ascii="宋体" w:hAnsi="宋体" w:cs="宋体" w:eastAsia="宋体" w:hint="default"/>
          <w:sz w:val="24"/>
          <w:szCs w:val="24"/>
        </w:rPr>
      </w:pPr>
    </w:p>
    <w:p>
      <w:pPr>
        <w:pStyle w:val="BodyText"/>
        <w:spacing w:line="316" w:lineRule="auto"/>
        <w:ind w:left="154" w:right="0" w:firstLine="440"/>
        <w:jc w:val="left"/>
      </w:pPr>
      <w:r>
        <w:rPr/>
        <w:t>本集团（联动优势科技有限公司外）以市场价格销售汽车及配件类产品、家电配件类产品、电机及配件类产品、模具 </w:t>
      </w:r>
      <w:r>
        <w:rPr>
          <w:spacing w:val="-4"/>
        </w:rPr>
        <w:t>类产品和其他产品；联动优势科技有限公司以市场价格提供移动运营商计费结算服务、移动信息服务业务、第三方支付业务、</w:t>
      </w:r>
      <w:r>
        <w:rPr>
          <w:spacing w:val="-44"/>
        </w:rPr>
        <w:t> </w:t>
      </w:r>
      <w:r>
        <w:rPr>
          <w:spacing w:val="-44"/>
        </w:rPr>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O2O</w:t>
      </w:r>
      <w:r>
        <w:rPr/>
        <w:t>业务、大数据业务及其他服务。因此受到此等价格波动的影响。</w:t>
      </w:r>
    </w:p>
    <w:p>
      <w:pPr>
        <w:pStyle w:val="BodyText"/>
        <w:spacing w:line="552" w:lineRule="exact" w:before="7"/>
        <w:ind w:left="594"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信用风险</w:t>
      </w:r>
      <w:r>
        <w:rPr>
          <w:w w:val="99"/>
        </w:rPr>
        <w:t> </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日，可能引起本集团财务损失的最大信用风险敞口主要来自于各类购销合同，如合同另一方未能履行</w:t>
      </w:r>
    </w:p>
    <w:p>
      <w:pPr>
        <w:pStyle w:val="BodyText"/>
        <w:spacing w:line="227" w:lineRule="exact"/>
        <w:ind w:right="0"/>
        <w:jc w:val="both"/>
      </w:pPr>
      <w:r>
        <w:rPr/>
        <w:t>义务而导致本集团金融资产受到损失，以及本集团承担的财务担保也会产生信用风险，具体包括：</w:t>
      </w:r>
    </w:p>
    <w:p>
      <w:pPr>
        <w:spacing w:line="240" w:lineRule="auto" w:before="2"/>
        <w:rPr>
          <w:rFonts w:ascii="宋体" w:hAnsi="宋体" w:cs="宋体" w:eastAsia="宋体" w:hint="default"/>
          <w:sz w:val="24"/>
          <w:szCs w:val="24"/>
        </w:rPr>
      </w:pPr>
    </w:p>
    <w:p>
      <w:pPr>
        <w:pStyle w:val="BodyText"/>
        <w:spacing w:line="316" w:lineRule="auto"/>
        <w:ind w:right="0" w:firstLine="440"/>
        <w:jc w:val="left"/>
      </w:pPr>
      <w:r>
        <w:rPr/>
        <w:t>合并资产负债表中已确认了金融资产的账面金额；但对于以公允价值计量的金融工具而言，账面价值反映了其风险敞 口，但并非最大风险敞口，其最大风险敞口将随着未来公允价值的变化而改变。</w:t>
      </w:r>
    </w:p>
    <w:p>
      <w:pPr>
        <w:spacing w:line="240" w:lineRule="auto" w:before="11"/>
        <w:rPr>
          <w:rFonts w:ascii="宋体" w:hAnsi="宋体" w:cs="宋体" w:eastAsia="宋体" w:hint="default"/>
          <w:sz w:val="19"/>
          <w:szCs w:val="19"/>
        </w:rPr>
      </w:pPr>
    </w:p>
    <w:p>
      <w:pPr>
        <w:pStyle w:val="BodyText"/>
        <w:spacing w:line="316" w:lineRule="auto"/>
        <w:ind w:left="154" w:right="0" w:firstLine="440"/>
        <w:jc w:val="left"/>
      </w:pPr>
      <w:r>
        <w:rPr>
          <w:spacing w:val="-2"/>
        </w:rPr>
        <w:t>为降低信用风险，本集团设有独立的风险监控部门，该部门负责建立公司风险控制体系、制定客户信用等级评价原则、</w:t>
      </w:r>
      <w:r>
        <w:rPr/>
        <w:t> </w:t>
      </w:r>
      <w:r>
        <w:rPr>
          <w:spacing w:val="-2"/>
        </w:rPr>
        <w:t>对客户信用进行评审、确定客户信用额度等工作，并执行其它监控程序以确保采取必要的措施回收过期债权。此外，本集团</w:t>
      </w:r>
      <w:r>
        <w:rPr>
          <w:spacing w:val="-66"/>
        </w:rPr>
        <w:t> </w:t>
      </w:r>
      <w:r>
        <w:rPr>
          <w:spacing w:val="-66"/>
        </w:rPr>
      </w:r>
      <w:r>
        <w:rPr>
          <w:spacing w:val="-2"/>
        </w:rPr>
        <w:t>于每个资产负债表日对每一单项应收款余额进行评估，以确保就无法回收的款项及时确认并充分计提坏账准备。因此，本集</w:t>
      </w:r>
      <w:r>
        <w:rPr>
          <w:spacing w:val="-66"/>
        </w:rPr>
        <w:t> </w:t>
      </w:r>
      <w:r>
        <w:rPr>
          <w:spacing w:val="-66"/>
        </w:rPr>
      </w:r>
      <w:r>
        <w:rPr/>
        <w:t>团管理层认为本集团所承担的信用风险已经降至较低水平。</w:t>
      </w:r>
    </w:p>
    <w:p>
      <w:pPr>
        <w:pStyle w:val="BodyText"/>
        <w:spacing w:line="552" w:lineRule="exact" w:before="27"/>
        <w:ind w:left="594" w:right="1132"/>
        <w:jc w:val="left"/>
      </w:pPr>
      <w:r>
        <w:rPr/>
        <w:t>本集团的流动资金存放在信用评级较高的银行，故流动资金的信用风险较低。 本集团采用了必要的政策确保所有销售客户均具有良好的信用记录。除应收账款金额前五名外，本集团无其他重大信</w:t>
      </w:r>
    </w:p>
    <w:p>
      <w:pPr>
        <w:pStyle w:val="BodyText"/>
        <w:spacing w:line="227" w:lineRule="exact"/>
        <w:ind w:right="0"/>
        <w:jc w:val="both"/>
      </w:pPr>
      <w:r>
        <w:rPr/>
        <w:t>用集中风险。</w:t>
      </w:r>
    </w:p>
    <w:p>
      <w:pPr>
        <w:spacing w:line="240" w:lineRule="auto" w:before="2"/>
        <w:rPr>
          <w:rFonts w:ascii="宋体" w:hAnsi="宋体" w:cs="宋体" w:eastAsia="宋体" w:hint="default"/>
          <w:sz w:val="24"/>
          <w:szCs w:val="24"/>
        </w:rPr>
      </w:pPr>
    </w:p>
    <w:p>
      <w:pPr>
        <w:pStyle w:val="BodyText"/>
        <w:spacing w:line="240" w:lineRule="auto"/>
        <w:ind w:left="594" w:right="0"/>
        <w:jc w:val="left"/>
      </w:pPr>
      <w:r>
        <w:rPr/>
        <w:t>应收账款前五名金额合计：</w:t>
      </w:r>
      <w:r>
        <w:rPr>
          <w:rFonts w:ascii="Times New Roman" w:hAnsi="Times New Roman" w:cs="Times New Roman" w:eastAsia="Times New Roman" w:hint="default"/>
        </w:rPr>
        <w:t>468,830,937.28</w:t>
      </w:r>
      <w:r>
        <w:rPr/>
        <w:t>元。</w:t>
      </w:r>
    </w:p>
    <w:p>
      <w:pPr>
        <w:pStyle w:val="BodyText"/>
        <w:spacing w:line="540" w:lineRule="atLeast" w:before="12"/>
        <w:ind w:left="594" w:right="113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流动风险</w:t>
      </w:r>
      <w:r>
        <w:rPr>
          <w:w w:val="99"/>
        </w:rPr>
        <w:t> </w:t>
      </w:r>
      <w:r>
        <w:rPr/>
        <w:t>流动风险为本集团在到期日无法履行其财务义务的风险。本集团管理流动性风险的方法是确保有足够的资金流动性来</w:t>
      </w:r>
    </w:p>
    <w:p>
      <w:pPr>
        <w:pStyle w:val="BodyText"/>
        <w:spacing w:line="316" w:lineRule="auto" w:before="76"/>
        <w:ind w:left="154" w:right="1132"/>
        <w:jc w:val="both"/>
      </w:pPr>
      <w:r>
        <w:rPr>
          <w:spacing w:val="-2"/>
        </w:rPr>
        <w:t>履行到期债务，而不至于造成不可接受的损失或对企业信誉造成损害。本集团定期分析负债结构和期限，以确保有充裕的资</w:t>
      </w:r>
      <w:r>
        <w:rPr>
          <w:spacing w:val="-66"/>
        </w:rPr>
        <w:t> </w:t>
      </w:r>
      <w:r>
        <w:rPr>
          <w:spacing w:val="-66"/>
        </w:rPr>
      </w:r>
      <w:r>
        <w:rPr>
          <w:spacing w:val="-2"/>
        </w:rPr>
        <w:t>金来偿还到期债务。本集团管理层对银行借款的使用情况进行监控并确保遵守借款协议。同时与金融机构保持友好合作，以</w:t>
      </w:r>
      <w:r>
        <w:rPr>
          <w:spacing w:val="-66"/>
        </w:rPr>
        <w:t> </w:t>
      </w:r>
      <w:r>
        <w:rPr>
          <w:spacing w:val="-66"/>
        </w:rPr>
      </w:r>
      <w:r>
        <w:rPr/>
        <w:t>获取足够的信用额度，减低流动性风险。</w:t>
      </w:r>
    </w:p>
    <w:p>
      <w:pPr>
        <w:spacing w:line="240" w:lineRule="auto" w:before="11"/>
        <w:rPr>
          <w:rFonts w:ascii="宋体" w:hAnsi="宋体" w:cs="宋体" w:eastAsia="宋体" w:hint="default"/>
          <w:sz w:val="19"/>
          <w:szCs w:val="19"/>
        </w:rPr>
      </w:pPr>
    </w:p>
    <w:p>
      <w:pPr>
        <w:pStyle w:val="BodyText"/>
        <w:spacing w:line="240" w:lineRule="auto"/>
        <w:ind w:left="594" w:right="0"/>
        <w:jc w:val="left"/>
      </w:pPr>
      <w:r>
        <w:rPr/>
        <w:t>本集团持有的金融资产和金融负债按未折现剩余合同义务的到期期限分析如下：</w:t>
      </w:r>
    </w:p>
    <w:p>
      <w:pPr>
        <w:spacing w:line="240" w:lineRule="auto" w:before="2"/>
        <w:rPr>
          <w:rFonts w:ascii="宋体" w:hAnsi="宋体" w:cs="宋体" w:eastAsia="宋体" w:hint="default"/>
          <w:sz w:val="24"/>
          <w:szCs w:val="24"/>
        </w:rPr>
      </w:pPr>
    </w:p>
    <w:p>
      <w:pPr>
        <w:pStyle w:val="BodyText"/>
        <w:spacing w:line="240" w:lineRule="auto"/>
        <w:ind w:left="60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382"/>
        <w:gridCol w:w="2079"/>
        <w:gridCol w:w="1666"/>
        <w:gridCol w:w="1697"/>
        <w:gridCol w:w="2046"/>
      </w:tblGrid>
      <w:tr>
        <w:trPr>
          <w:trHeight w:val="853" w:hRule="exact"/>
        </w:trPr>
        <w:tc>
          <w:tcPr>
            <w:tcW w:w="238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年（包含</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6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46"/>
                <w:sz w:val="18"/>
                <w:szCs w:val="18"/>
              </w:rPr>
              <w:t> </w:t>
            </w:r>
            <w:r>
              <w:rPr>
                <w:rFonts w:ascii="宋体" w:hAnsi="宋体" w:cs="宋体" w:eastAsia="宋体" w:hint="default"/>
                <w:b/>
                <w:bCs/>
                <w:spacing w:val="-11"/>
                <w:sz w:val="18"/>
                <w:szCs w:val="18"/>
              </w:rPr>
              <w:t>年（包含</w:t>
            </w:r>
            <w:r>
              <w:rPr>
                <w:rFonts w:ascii="宋体" w:hAnsi="宋体" w:cs="宋体" w:eastAsia="宋体" w:hint="default"/>
                <w:b/>
                <w:bCs/>
                <w:spacing w:val="-46"/>
                <w:sz w:val="18"/>
                <w:szCs w:val="18"/>
              </w:rPr>
              <w:t> </w:t>
            </w:r>
            <w:r>
              <w:rPr>
                <w:rFonts w:ascii="宋体" w:hAnsi="宋体" w:cs="宋体" w:eastAsia="宋体" w:hint="default"/>
                <w:b/>
                <w:bCs/>
                <w:sz w:val="18"/>
                <w:szCs w:val="18"/>
              </w:rPr>
              <w:t>2</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9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年（包含</w:t>
            </w:r>
            <w:r>
              <w:rPr>
                <w:rFonts w:ascii="宋体" w:hAnsi="宋体" w:cs="宋体" w:eastAsia="宋体" w:hint="default"/>
                <w:b/>
                <w:bCs/>
                <w:spacing w:val="-46"/>
                <w:sz w:val="18"/>
                <w:szCs w:val="18"/>
              </w:rPr>
              <w:t> </w:t>
            </w:r>
            <w:r>
              <w:rPr>
                <w:rFonts w:ascii="宋体" w:hAnsi="宋体" w:cs="宋体" w:eastAsia="宋体" w:hint="default"/>
                <w:b/>
                <w:bCs/>
                <w:sz w:val="18"/>
                <w:szCs w:val="18"/>
              </w:rPr>
              <w:t>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04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207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2,124,762,581.14</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2,124,762,581.14</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10,376,208,706.10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10,376,208,706.10</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287,353,223.73</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287,353,223.73</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969,155,701.05</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969,155,701.05</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9"/>
                <w:sz w:val="18"/>
              </w:rPr>
              <w:t>18,973.15</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19"/>
                <w:sz w:val="18"/>
              </w:rPr>
              <w:t>18,973.15</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27,056,935.86</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27,056,935.86</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207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208,954,500.00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208,954,500.00</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399,700,703.71</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399,700,703.71</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324,680,649.65</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325,262,706.86</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68,410,289.41</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68,483,082.39</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19"/>
                <w:sz w:val="18"/>
              </w:rPr>
              <w:t>1,561,295.49</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19"/>
                <w:sz w:val="18"/>
              </w:rPr>
              <w:t>1,561,295.49</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100,206,245.32</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100,206,245.32</w:t>
            </w:r>
          </w:p>
        </w:tc>
      </w:tr>
      <w:tr>
        <w:trPr>
          <w:trHeight w:val="402"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11,000,000.00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11,000,000.00</w:t>
            </w:r>
          </w:p>
        </w:tc>
      </w:tr>
      <w:tr>
        <w:trPr>
          <w:trHeight w:val="420" w:hRule="exact"/>
        </w:trPr>
        <w:tc>
          <w:tcPr>
            <w:tcW w:w="238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7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spacing w:val="-20"/>
                <w:sz w:val="18"/>
              </w:rPr>
              <w:t>10,595,101,208.36</w:t>
            </w:r>
          </w:p>
        </w:tc>
        <w:tc>
          <w:tcPr>
            <w:tcW w:w="1666" w:type="dxa"/>
            <w:tcBorders>
              <w:top w:val="single" w:sz="4" w:space="0" w:color="000000"/>
              <w:left w:val="single" w:sz="4" w:space="0" w:color="000000"/>
              <w:bottom w:val="single" w:sz="17" w:space="0" w:color="000000"/>
              <w:right w:val="single" w:sz="4" w:space="0" w:color="000000"/>
            </w:tcBorders>
          </w:tcPr>
          <w:p>
            <w:pPr/>
          </w:p>
        </w:tc>
        <w:tc>
          <w:tcPr>
            <w:tcW w:w="1697" w:type="dxa"/>
            <w:tcBorders>
              <w:top w:val="single" w:sz="4" w:space="0" w:color="000000"/>
              <w:left w:val="single" w:sz="4" w:space="0" w:color="000000"/>
              <w:bottom w:val="single" w:sz="17" w:space="0" w:color="000000"/>
              <w:right w:val="single" w:sz="4" w:space="0" w:color="000000"/>
            </w:tcBorders>
          </w:tcPr>
          <w:p>
            <w:pPr/>
          </w:p>
        </w:tc>
        <w:tc>
          <w:tcPr>
            <w:tcW w:w="204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20"/>
                <w:sz w:val="18"/>
              </w:rPr>
              <w:t>10,595,101,208.36</w:t>
            </w:r>
          </w:p>
        </w:tc>
      </w:tr>
    </w:tbl>
    <w:p>
      <w:pPr>
        <w:spacing w:line="240" w:lineRule="auto" w:before="2"/>
        <w:rPr>
          <w:rFonts w:ascii="宋体" w:hAnsi="宋体" w:cs="宋体" w:eastAsia="宋体" w:hint="default"/>
          <w:sz w:val="18"/>
          <w:szCs w:val="18"/>
        </w:rPr>
      </w:pPr>
    </w:p>
    <w:p>
      <w:pPr>
        <w:pStyle w:val="Heading2"/>
        <w:spacing w:line="240" w:lineRule="auto" w:before="26"/>
        <w:ind w:left="254" w:right="0"/>
        <w:jc w:val="left"/>
        <w:rPr>
          <w:b w:val="0"/>
          <w:bCs w:val="0"/>
        </w:rPr>
      </w:pPr>
      <w:bookmarkStart w:name="十一、公允价值的披露" w:id="400"/>
      <w:bookmarkEnd w:id="400"/>
      <w:r>
        <w:rPr>
          <w:b w:val="0"/>
          <w:bCs w:val="0"/>
        </w:rPr>
      </w:r>
      <w:r>
        <w:rPr/>
        <w:t>十一、公允价值的披露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3"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254" w:right="0"/>
        <w:jc w:val="left"/>
        <w:rPr>
          <w:b w:val="0"/>
          <w:bCs w:val="0"/>
        </w:rPr>
      </w:pPr>
      <w:bookmarkStart w:name="十二、关联方及关联交易" w:id="401"/>
      <w:bookmarkEnd w:id="401"/>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3" w:right="0"/>
        <w:jc w:val="left"/>
        <w:rPr>
          <w:b w:val="0"/>
          <w:bCs w:val="0"/>
        </w:rPr>
      </w:pPr>
      <w:bookmarkStart w:name="1、本企业的母公司情况" w:id="402"/>
      <w:bookmarkEnd w:id="40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青岛海立控股有限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以自有资金对外投 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19.32%</w:t>
            </w:r>
          </w:p>
        </w:tc>
      </w:tr>
    </w:tbl>
    <w:p>
      <w:pPr>
        <w:pStyle w:val="BodyText"/>
        <w:spacing w:line="240" w:lineRule="auto" w:before="51"/>
        <w:ind w:left="254" w:right="0"/>
        <w:jc w:val="left"/>
      </w:pPr>
      <w:r>
        <w:rPr/>
        <w:t>本企业最终控制方是孙刚、刘国平夫妇。</w:t>
      </w:r>
    </w:p>
    <w:p>
      <w:pPr>
        <w:spacing w:line="240" w:lineRule="auto" w:before="11"/>
        <w:rPr>
          <w:rFonts w:ascii="宋体" w:hAnsi="宋体" w:cs="宋体" w:eastAsia="宋体" w:hint="default"/>
          <w:sz w:val="26"/>
          <w:szCs w:val="26"/>
        </w:rPr>
      </w:pPr>
    </w:p>
    <w:p>
      <w:pPr>
        <w:pStyle w:val="Heading3"/>
        <w:spacing w:line="240" w:lineRule="auto"/>
        <w:ind w:left="254" w:right="0"/>
        <w:jc w:val="left"/>
        <w:rPr>
          <w:b w:val="0"/>
          <w:bCs w:val="0"/>
        </w:rPr>
      </w:pPr>
      <w:bookmarkStart w:name="2、本企业的子公司情况" w:id="403"/>
      <w:bookmarkEnd w:id="40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t>本企业子公司的情况详见附注九、</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spacing w:val="-90"/>
        </w:rPr>
        <w:t>）。</w:t>
      </w:r>
      <w:r>
        <w:rPr/>
      </w:r>
    </w:p>
    <w:p>
      <w:pPr>
        <w:spacing w:after="0" w:line="240" w:lineRule="auto"/>
        <w:jc w:val="left"/>
        <w:sectPr>
          <w:pgSz w:w="11910" w:h="16840"/>
          <w:pgMar w:header="747" w:footer="979" w:top="1060" w:bottom="1160" w:left="8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企业合营和联营企业情况" w:id="404"/>
      <w:bookmarkEnd w:id="40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05"/>
      <w:bookmarkEnd w:id="40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受最终控制人（孙刚）控制的其他企业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青岛海立源房地产开发有限公司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受最终控制人（孙刚、刘国平）控制的其他企业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受最终控制人（孙刚、刘国平）控制的其他企业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股东之控股股东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银联智惠信息服务（上海）有限公司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青岛甲乙丙丁信息技术企业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孙震、张斌、李贲共同出资设立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最终控制人之子、青岛天晨投资有限公司法定代表人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董事、执行总裁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5、关联交易情况" w:id="406"/>
      <w:bookmarkEnd w:id="40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购销商品、提供和接受劳务的关联交易" w:id="407"/>
      <w:bookmarkEnd w:id="40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145,296,084.90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41,393,497.52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银联商务股份有限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机具服务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1,111,415.12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银联商务股份有限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3,362,449.73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金融信息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44,904,919.22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数据服务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13,004.06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288,810.79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545,978.74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第三方支付服务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3,662,201.59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5,710,831.22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移动信息服务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110,905.40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434,983.69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微信营销</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47,169.81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485,081.37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移动信息服务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12,194.87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大数据服务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1,268,815.37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上海联信通</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284,875.73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银联智慧信息服务（上海）有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大数据服务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633,883.30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关联受托管理/承包及委托管理/出包情况" w:id="408"/>
      <w:bookmarkEnd w:id="40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09"/>
      <w:bookmarkEnd w:id="40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10"/>
      <w:bookmarkEnd w:id="41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湖北海立田汽车部件有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湖北海立美达汽车有限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资金拆借" w:id="411"/>
      <w:bookmarkEnd w:id="41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12"/>
      <w:bookmarkEnd w:id="41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413"/>
      <w:bookmarkEnd w:id="41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3,516,300.83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2,324,318.52</w:t>
            </w:r>
          </w:p>
        </w:tc>
      </w:tr>
    </w:tbl>
    <w:p>
      <w:pPr>
        <w:spacing w:line="240" w:lineRule="auto" w:before="10"/>
        <w:rPr>
          <w:rFonts w:ascii="宋体" w:hAnsi="宋体" w:cs="宋体" w:eastAsia="宋体" w:hint="default"/>
          <w:sz w:val="15"/>
          <w:szCs w:val="15"/>
        </w:rPr>
      </w:pPr>
    </w:p>
    <w:p>
      <w:pPr>
        <w:pStyle w:val="BodyText"/>
        <w:spacing w:line="316" w:lineRule="auto" w:before="44"/>
        <w:ind w:left="154" w:right="0" w:firstLine="338"/>
        <w:jc w:val="left"/>
      </w:pPr>
      <w:r>
        <w:rPr>
          <w:spacing w:val="-2"/>
        </w:rPr>
        <w:t>除总裁、执行总裁、副总裁、财务总监及董事会秘书关键管理人员薪酬外，本公司本年负担董事、监事及独立董事薪酬</w:t>
      </w:r>
      <w:r>
        <w:rPr/>
        <w:t> 及津贴合计</w:t>
      </w:r>
      <w:r>
        <w:rPr>
          <w:rFonts w:ascii="Times New Roman" w:hAnsi="Times New Roman" w:cs="Times New Roman" w:eastAsia="Times New Roman" w:hint="default"/>
        </w:rPr>
        <w:t>639,804.51</w:t>
      </w:r>
      <w:r>
        <w:rPr/>
        <w:t>元。</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关联方应收应付款项" w:id="414"/>
      <w:bookmarkEnd w:id="41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项目" w:id="415"/>
      <w:bookmarkEnd w:id="41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1,493,134.93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101,292.72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563,598.91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33,958.56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1,492,057.83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16"/>
      <w:bookmarkEnd w:id="41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3,245,935.28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2,104,989.28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33,022,153.80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662,661.11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84,548.12</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333,940.20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333,940.20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股份支付" w:id="417"/>
      <w:bookmarkEnd w:id="417"/>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418"/>
      <w:bookmarkEnd w:id="41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以权益结算的股份支付情况" w:id="419"/>
      <w:bookmarkEnd w:id="41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以现金结算的股份支付情况" w:id="420"/>
      <w:bookmarkEnd w:id="42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1"/>
      <w:bookmarkEnd w:id="42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left="154" w:right="0"/>
        <w:jc w:val="left"/>
        <w:rPr>
          <w:b w:val="0"/>
          <w:bCs w:val="0"/>
        </w:rPr>
      </w:pPr>
      <w:bookmarkStart w:name="十四、承诺及或有事项" w:id="422"/>
      <w:bookmarkEnd w:id="422"/>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423"/>
      <w:bookmarkEnd w:id="42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561" w:lineRule="auto"/>
        <w:ind w:left="594" w:right="2342" w:hanging="78"/>
        <w:jc w:val="left"/>
      </w:pPr>
      <w:r>
        <w:rPr/>
        <w:pict>
          <v:shape style="position:absolute;margin-left:56.34pt;margin-top:42.671738pt;width:445.35pt;height:105.1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0"/>
                    <w:gridCol w:w="4019"/>
                  </w:tblGrid>
                  <w:tr>
                    <w:trPr>
                      <w:trHeight w:val="349" w:hRule="exact"/>
                    </w:trPr>
                    <w:tc>
                      <w:tcPr>
                        <w:tcW w:w="487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4019"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21"/>
                          <w:ind w:left="574" w:right="0"/>
                          <w:jc w:val="center"/>
                          <w:rPr>
                            <w:rFonts w:ascii="宋体" w:hAnsi="宋体" w:cs="宋体" w:eastAsia="宋体" w:hint="default"/>
                            <w:sz w:val="18"/>
                            <w:szCs w:val="18"/>
                          </w:rPr>
                        </w:pPr>
                        <w:r>
                          <w:rPr>
                            <w:rFonts w:ascii="宋体" w:hAnsi="宋体" w:cs="宋体" w:eastAsia="宋体" w:hint="default"/>
                            <w:b/>
                            <w:bCs/>
                            <w:sz w:val="18"/>
                            <w:szCs w:val="18"/>
                          </w:rPr>
                          <w:t>经营租赁</w:t>
                        </w:r>
                        <w:r>
                          <w:rPr>
                            <w:rFonts w:ascii="宋体" w:hAnsi="宋体" w:cs="宋体" w:eastAsia="宋体" w:hint="default"/>
                            <w:sz w:val="18"/>
                            <w:szCs w:val="18"/>
                          </w:rPr>
                        </w:r>
                      </w:p>
                    </w:tc>
                  </w:tr>
                  <w:tr>
                    <w:trPr>
                      <w:trHeight w:val="348" w:hRule="exact"/>
                    </w:trPr>
                    <w:tc>
                      <w:tcPr>
                        <w:tcW w:w="48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p>
                    </w:tc>
                    <w:tc>
                      <w:tcPr>
                        <w:tcW w:w="401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39,235,620.88</w:t>
                        </w:r>
                      </w:p>
                    </w:tc>
                  </w:tr>
                  <w:tr>
                    <w:trPr>
                      <w:trHeight w:val="347" w:hRule="exact"/>
                    </w:trPr>
                    <w:tc>
                      <w:tcPr>
                        <w:tcW w:w="48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w:t>
                        </w:r>
                        <w:r>
                          <w:rPr>
                            <w:rFonts w:ascii="宋体" w:hAnsi="宋体" w:cs="宋体" w:eastAsia="宋体" w:hint="default"/>
                            <w:sz w:val="18"/>
                            <w:szCs w:val="18"/>
                          </w:rPr>
                          <w:t>年</w:t>
                        </w:r>
                      </w:p>
                    </w:tc>
                    <w:tc>
                      <w:tcPr>
                        <w:tcW w:w="401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35,814,849.89</w:t>
                        </w:r>
                      </w:p>
                    </w:tc>
                  </w:tr>
                  <w:tr>
                    <w:trPr>
                      <w:trHeight w:val="347" w:hRule="exact"/>
                    </w:trPr>
                    <w:tc>
                      <w:tcPr>
                        <w:tcW w:w="48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w:t>
                        </w:r>
                      </w:p>
                    </w:tc>
                    <w:tc>
                      <w:tcPr>
                        <w:tcW w:w="401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32,286,436.82</w:t>
                        </w:r>
                      </w:p>
                    </w:tc>
                  </w:tr>
                  <w:tr>
                    <w:trPr>
                      <w:trHeight w:val="347" w:hRule="exact"/>
                    </w:trPr>
                    <w:tc>
                      <w:tcPr>
                        <w:tcW w:w="48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年以后</w:t>
                        </w:r>
                      </w:p>
                    </w:tc>
                    <w:tc>
                      <w:tcPr>
                        <w:tcW w:w="401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77,208,200.46</w:t>
                        </w:r>
                      </w:p>
                    </w:tc>
                  </w:tr>
                  <w:tr>
                    <w:trPr>
                      <w:trHeight w:val="348" w:hRule="exact"/>
                    </w:trPr>
                    <w:tc>
                      <w:tcPr>
                        <w:tcW w:w="48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60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1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b/>
                            <w:spacing w:val="-1"/>
                            <w:sz w:val="18"/>
                          </w:rPr>
                          <w:t>184,545,108.05</w:t>
                        </w:r>
                        <w:r>
                          <w:rPr>
                            <w:rFonts w:ascii="Times New Roman"/>
                            <w:spacing w:val="-1"/>
                            <w:sz w:val="18"/>
                          </w:rPr>
                        </w:r>
                      </w:p>
                    </w:tc>
                  </w:tr>
                </w:tbl>
                <w:p>
                  <w:pPr/>
                </w:p>
              </w:txbxContent>
            </v:textbox>
            <w10:wrap type="none"/>
          </v:shape>
        </w:pict>
      </w:r>
      <w:r>
        <w:rPr/>
        <w:t>已签订的正在或准备履行的租赁合同及财务影响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，本集团就厂房租赁等项目之不可撤销经营租赁所需于下列期间承担款项如下：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44"/>
        <w:ind w:left="154" w:right="0"/>
        <w:jc w:val="left"/>
      </w:pPr>
      <w:r>
        <w:rPr/>
        <w:t>除上述承诺事项外，截止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日，本集团无需要披露的其他重大承诺事项。</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或有事项" w:id="424"/>
      <w:bookmarkEnd w:id="42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五、资产负债表日后事项" w:id="425"/>
      <w:bookmarkEnd w:id="425"/>
      <w:r>
        <w:rPr>
          <w:b w:val="0"/>
          <w:bCs w:val="0"/>
        </w:rPr>
      </w:r>
      <w:r>
        <w:rPr/>
        <w:t>十五、资产负债表日后事项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1" w:right="0"/>
        <w:jc w:val="left"/>
      </w:pPr>
      <w:r>
        <w:rPr>
          <w:rFonts w:ascii="Times New Roman" w:hAnsi="Times New Roman" w:cs="Times New Roman" w:eastAsia="Times New Roman" w:hint="default"/>
        </w:rPr>
        <w:t>1</w:t>
      </w:r>
      <w:r>
        <w:rPr/>
        <w:t>、关于参与公开挂牌收购并完成工商登记事项</w:t>
      </w:r>
    </w:p>
    <w:p>
      <w:pPr>
        <w:spacing w:line="240" w:lineRule="auto" w:before="2"/>
        <w:rPr>
          <w:rFonts w:ascii="宋体" w:hAnsi="宋体" w:cs="宋体" w:eastAsia="宋体" w:hint="default"/>
          <w:sz w:val="23"/>
          <w:szCs w:val="23"/>
        </w:rPr>
      </w:pPr>
    </w:p>
    <w:p>
      <w:pPr>
        <w:pStyle w:val="BodyText"/>
        <w:spacing w:line="300" w:lineRule="auto"/>
        <w:ind w:right="1129" w:firstLine="44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日，公司第三届董事会第二十六次（临时）会议审议通过了《关于参与公开摘牌收购上海和达汽车配件 有限公司</w:t>
      </w:r>
      <w:r>
        <w:rPr>
          <w:rFonts w:ascii="Times New Roman" w:hAnsi="Times New Roman" w:cs="Times New Roman" w:eastAsia="Times New Roman" w:hint="default"/>
        </w:rPr>
        <w:t>75%</w:t>
      </w:r>
      <w:r>
        <w:rPr/>
        <w:t>股权的议案》。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日，上海和达汽车配件有限公司在上海市商务委员会和上海市工商行政管理局办</w:t>
      </w:r>
      <w:r>
        <w:rPr>
          <w:spacing w:val="-57"/>
        </w:rPr>
        <w:t> </w:t>
      </w:r>
      <w:r>
        <w:rPr>
          <w:spacing w:val="-57"/>
        </w:rPr>
      </w:r>
      <w:r>
        <w:rPr/>
        <w:t>理了股东变更登记，并取得了统一社会信用代码为</w:t>
      </w:r>
      <w:r>
        <w:rPr>
          <w:rFonts w:ascii="Times New Roman" w:hAnsi="Times New Roman" w:cs="Times New Roman" w:eastAsia="Times New Roman" w:hint="default"/>
        </w:rPr>
        <w:t>913100006072612077</w:t>
      </w:r>
      <w:r>
        <w:rPr/>
        <w:t>的《营业执照》，公司类型为有限责任公司</w:t>
      </w:r>
      <w:r>
        <w:rPr>
          <w:rFonts w:ascii="Times New Roman" w:hAnsi="Times New Roman" w:cs="Times New Roman" w:eastAsia="Times New Roman" w:hint="default"/>
        </w:rPr>
        <w:t>(</w:t>
      </w:r>
      <w:r>
        <w:rPr/>
        <w:t>中外合</w:t>
      </w:r>
      <w:r>
        <w:rPr>
          <w:spacing w:val="-55"/>
        </w:rPr>
        <w:t> </w:t>
      </w:r>
      <w:r>
        <w:rPr/>
        <w:t>资</w:t>
      </w:r>
      <w:r>
        <w:rPr>
          <w:rFonts w:ascii="Times New Roman" w:hAnsi="Times New Roman" w:cs="Times New Roman" w:eastAsia="Times New Roman" w:hint="default"/>
        </w:rPr>
        <w:t>)</w:t>
      </w:r>
      <w:r>
        <w:rPr/>
        <w:t>，公司持有上海和达汽车配件有限公司</w:t>
      </w:r>
      <w:r>
        <w:rPr>
          <w:spacing w:val="-18"/>
        </w:rPr>
        <w:t> </w:t>
      </w:r>
      <w:r>
        <w:rPr>
          <w:rFonts w:ascii="Times New Roman" w:hAnsi="Times New Roman" w:cs="Times New Roman" w:eastAsia="Times New Roman" w:hint="default"/>
        </w:rPr>
        <w:t>75%</w:t>
      </w:r>
      <w:r>
        <w:rPr/>
        <w:t>股权，成为其控股股东。</w:t>
      </w:r>
    </w:p>
    <w:p>
      <w:pPr>
        <w:spacing w:line="240" w:lineRule="auto" w:before="4"/>
        <w:rPr>
          <w:rFonts w:ascii="宋体" w:hAnsi="宋体" w:cs="宋体" w:eastAsia="宋体" w:hint="default"/>
          <w:sz w:val="19"/>
          <w:szCs w:val="19"/>
        </w:rPr>
      </w:pPr>
    </w:p>
    <w:p>
      <w:pPr>
        <w:pStyle w:val="BodyText"/>
        <w:spacing w:line="240" w:lineRule="auto"/>
        <w:ind w:left="444" w:right="0"/>
        <w:jc w:val="left"/>
      </w:pPr>
      <w:r>
        <w:rPr>
          <w:rFonts w:ascii="Times New Roman" w:hAnsi="Times New Roman" w:cs="Times New Roman" w:eastAsia="Times New Roman" w:hint="default"/>
        </w:rPr>
        <w:t>2</w:t>
      </w:r>
      <w:r>
        <w:rPr/>
        <w:t>、关于全资子公司委托云南信托管理现金资产事宜</w:t>
      </w:r>
    </w:p>
    <w:p>
      <w:pPr>
        <w:spacing w:line="240" w:lineRule="auto" w:before="2"/>
        <w:rPr>
          <w:rFonts w:ascii="宋体" w:hAnsi="宋体" w:cs="宋体" w:eastAsia="宋体" w:hint="default"/>
          <w:sz w:val="23"/>
          <w:szCs w:val="23"/>
        </w:rPr>
      </w:pPr>
    </w:p>
    <w:p>
      <w:pPr>
        <w:pStyle w:val="BodyText"/>
        <w:spacing w:line="300" w:lineRule="auto"/>
        <w:ind w:right="1129" w:firstLine="514"/>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日，公司召开了第三届董事会第二十七次（临时）会议，审议批准了《关于全资子公司委托云南信托管理</w:t>
      </w:r>
      <w:r>
        <w:rPr/>
        <w:t> 现金资产的议案》，联动优势科技有限公司拟以不超过</w:t>
      </w:r>
      <w:r>
        <w:rPr>
          <w:rFonts w:ascii="Times New Roman" w:hAnsi="Times New Roman" w:cs="Times New Roman" w:eastAsia="Times New Roman" w:hint="default"/>
        </w:rPr>
        <w:t>2</w:t>
      </w:r>
      <w:r>
        <w:rPr/>
        <w:t>亿元人民币的自有资金，委托云南国际信托有限公司对联动优势技</w:t>
      </w:r>
      <w:r>
        <w:rPr>
          <w:spacing w:val="-82"/>
        </w:rPr>
        <w:t> </w:t>
      </w:r>
      <w:r>
        <w:rPr>
          <w:spacing w:val="-82"/>
        </w:rPr>
      </w:r>
      <w:r>
        <w:rPr>
          <w:spacing w:val="-2"/>
        </w:rPr>
        <w:t>有限公司自有业务平台进行消费金融服务时发生的消费分期购物及信用卡账单分期场景下指定的合格借款人提供贷款。</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日，联动优势科技有限公司与云南国际信托有限公司签署了《云南信托普惠</w:t>
      </w:r>
      <w:r>
        <w:rPr>
          <w:rFonts w:ascii="Times New Roman" w:hAnsi="Times New Roman" w:cs="Times New Roman" w:eastAsia="Times New Roman" w:hint="default"/>
          <w:spacing w:val="-2"/>
        </w:rPr>
        <w:t>293</w:t>
      </w:r>
      <w:r>
        <w:rPr>
          <w:spacing w:val="-2"/>
        </w:rPr>
        <w:t>号单一资金信托》，截至目前，该业</w:t>
      </w:r>
      <w:r>
        <w:rPr>
          <w:spacing w:val="-60"/>
        </w:rPr>
        <w:t> </w:t>
      </w:r>
      <w:r>
        <w:rPr>
          <w:spacing w:val="-60"/>
        </w:rPr>
      </w:r>
      <w:r>
        <w:rPr/>
        <w:t>务已正常推进。</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371" w:right="0"/>
        <w:jc w:val="left"/>
      </w:pPr>
      <w:r>
        <w:rPr>
          <w:rFonts w:ascii="Times New Roman" w:hAnsi="Times New Roman" w:cs="Times New Roman" w:eastAsia="Times New Roman" w:hint="default"/>
        </w:rPr>
        <w:t>3</w:t>
      </w:r>
      <w:r>
        <w:rPr/>
        <w:t>、关于参与设立股权投资基金事宜</w:t>
      </w:r>
    </w:p>
    <w:p>
      <w:pPr>
        <w:spacing w:line="240" w:lineRule="auto" w:before="2"/>
        <w:rPr>
          <w:rFonts w:ascii="宋体" w:hAnsi="宋体" w:cs="宋体" w:eastAsia="宋体" w:hint="default"/>
          <w:sz w:val="23"/>
          <w:szCs w:val="23"/>
        </w:rPr>
      </w:pPr>
    </w:p>
    <w:p>
      <w:pPr>
        <w:pStyle w:val="BodyText"/>
        <w:spacing w:line="307" w:lineRule="auto"/>
        <w:ind w:left="154" w:right="0" w:firstLine="29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日，公司召开了第三届董事会第二十七次（临时）会议，审议批准了《关于参与设立股权投资基金暨关联交 </w:t>
      </w:r>
      <w:r>
        <w:rPr>
          <w:spacing w:val="-2"/>
        </w:rPr>
        <w:t>易的议案》，本公司拟在雄安新区与上海稳实投资管理中心（普通合伙）、茂业通信网络股份有限公司共同设立股权投资基</w:t>
      </w:r>
      <w:r>
        <w:rPr>
          <w:spacing w:val="-64"/>
        </w:rPr>
        <w:t> </w:t>
      </w:r>
      <w:r>
        <w:rPr>
          <w:spacing w:val="-64"/>
        </w:rPr>
      </w:r>
      <w:r>
        <w:rPr>
          <w:spacing w:val="-17"/>
        </w:rPr>
        <w:t>金（并购</w:t>
      </w:r>
      <w:r>
        <w:rPr>
          <w:rFonts w:ascii="Times New Roman" w:hAnsi="Times New Roman" w:cs="Times New Roman" w:eastAsia="Times New Roman" w:hint="default"/>
          <w:spacing w:val="-17"/>
        </w:rPr>
        <w:t>/</w:t>
      </w:r>
      <w:r>
        <w:rPr>
          <w:spacing w:val="-17"/>
        </w:rPr>
        <w:t>产业），并签署《河北雄安泽兴股权投资基金（有限合伙）合伙协议》，本公司拟出资</w:t>
      </w:r>
      <w:r>
        <w:rPr>
          <w:spacing w:val="-2"/>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42"/>
        </w:rPr>
        <w:t> </w:t>
      </w:r>
      <w:r>
        <w:rPr>
          <w:spacing w:val="-13"/>
        </w:rPr>
        <w:t>万元，持股比例</w:t>
      </w:r>
      <w:r>
        <w:rPr>
          <w:spacing w:val="-2"/>
        </w:rPr>
        <w:t> </w:t>
      </w:r>
      <w:r>
        <w:rPr>
          <w:rFonts w:ascii="Times New Roman" w:hAnsi="Times New Roman" w:cs="Times New Roman" w:eastAsia="Times New Roman" w:hint="default"/>
          <w:spacing w:val="-1"/>
        </w:rPr>
        <w:t>49.8339%</w:t>
      </w:r>
      <w:r>
        <w:rPr>
          <w:spacing w:val="-1"/>
        </w:rPr>
        <w:t>。</w:t>
      </w:r>
      <w:r>
        <w:rPr>
          <w:spacing w:val="-86"/>
        </w:rPr>
        <w:t> </w:t>
      </w:r>
      <w:r>
        <w:rPr/>
        <w:t>截至目前，相关合伙协议尚未签署。</w:t>
      </w:r>
    </w:p>
    <w:p>
      <w:pPr>
        <w:pStyle w:val="BodyText"/>
        <w:spacing w:line="552" w:lineRule="exact" w:before="34"/>
        <w:ind w:left="594" w:right="1132" w:hanging="151"/>
        <w:jc w:val="left"/>
      </w:pPr>
      <w:r>
        <w:rPr>
          <w:rFonts w:ascii="Times New Roman" w:hAnsi="Times New Roman" w:cs="Times New Roman" w:eastAsia="Times New Roman" w:hint="default"/>
        </w:rPr>
        <w:t>4</w:t>
      </w:r>
      <w:r>
        <w:rPr/>
        <w:t>、关于回购公司股份以实施股权激励事宜 公司拟使用自筹资金以集中竞价的方式回购公司部分股份，用于后期实施股权激励计划。拟回购股份的规模、价格、</w:t>
      </w:r>
    </w:p>
    <w:p>
      <w:pPr>
        <w:pStyle w:val="BodyText"/>
        <w:spacing w:line="300" w:lineRule="auto"/>
        <w:ind w:right="1132"/>
        <w:jc w:val="both"/>
      </w:pPr>
      <w:r>
        <w:rPr/>
        <w:t>期限等基本情况：拟回购金额最高不超过人民币</w:t>
      </w:r>
      <w:r>
        <w:rPr>
          <w:rFonts w:ascii="Times New Roman" w:hAnsi="Times New Roman" w:cs="Times New Roman" w:eastAsia="Times New Roman" w:hint="default"/>
        </w:rPr>
        <w:t>1.5 </w:t>
      </w:r>
      <w:r>
        <w:rPr/>
        <w:t>亿元（含），回购股份的价格不超过人民币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股（含），若全额回 购，预计回购股份总数为</w:t>
      </w:r>
      <w:r>
        <w:rPr>
          <w:spacing w:val="-4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万股（含）以上，占公司目前已发行总股本的比例为</w:t>
      </w:r>
      <w:r>
        <w:rPr>
          <w:spacing w:val="-49"/>
        </w:rPr>
        <w:t> </w:t>
      </w:r>
      <w:r>
        <w:rPr>
          <w:rFonts w:ascii="Times New Roman" w:hAnsi="Times New Roman" w:cs="Times New Roman" w:eastAsia="Times New Roman" w:hint="default"/>
        </w:rPr>
        <w:t>0.7991%</w:t>
      </w:r>
      <w:r>
        <w:rPr/>
        <w:t>（含）以上。具体回购股份的 数量以回购期满时实际回购的股份数量为准。回购股份期限为自股东大会审议通过方案起不超过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w:t>
      </w:r>
    </w:p>
    <w:p>
      <w:pPr>
        <w:spacing w:line="240" w:lineRule="auto" w:before="4"/>
        <w:rPr>
          <w:rFonts w:ascii="宋体" w:hAnsi="宋体" w:cs="宋体" w:eastAsia="宋体" w:hint="default"/>
          <w:sz w:val="19"/>
          <w:szCs w:val="19"/>
        </w:rPr>
      </w:pPr>
    </w:p>
    <w:p>
      <w:pPr>
        <w:pStyle w:val="BodyText"/>
        <w:spacing w:line="240" w:lineRule="auto"/>
        <w:ind w:left="444" w:right="0"/>
        <w:jc w:val="left"/>
      </w:pPr>
      <w:r>
        <w:rPr>
          <w:rFonts w:ascii="Times New Roman" w:hAnsi="Times New Roman" w:cs="Times New Roman" w:eastAsia="Times New Roman" w:hint="default"/>
        </w:rPr>
        <w:t>5</w:t>
      </w:r>
      <w:r>
        <w:rPr/>
        <w:t>、关于与北京车与车科技有限公司签署《技术服务开发合同》事宜</w:t>
      </w:r>
    </w:p>
    <w:p>
      <w:pPr>
        <w:spacing w:line="240" w:lineRule="auto" w:before="2"/>
        <w:rPr>
          <w:rFonts w:ascii="宋体" w:hAnsi="宋体" w:cs="宋体" w:eastAsia="宋体" w:hint="default"/>
          <w:sz w:val="23"/>
          <w:szCs w:val="23"/>
        </w:rPr>
      </w:pPr>
    </w:p>
    <w:p>
      <w:pPr>
        <w:pStyle w:val="BodyText"/>
        <w:spacing w:line="309" w:lineRule="auto"/>
        <w:ind w:right="1133" w:firstLine="44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日，公司全资子公司联动优势科技有限公司与北京车与车科技有限公司在北京签署了《技术服务开发合 </w:t>
      </w:r>
      <w:r>
        <w:rPr>
          <w:spacing w:val="-2"/>
        </w:rPr>
        <w:t>同》，北京车与车科技有限公司委托联动优势科技有限公司根据其具体业务要求，利用区块链联盟链的底层技术架构实现积</w:t>
      </w:r>
      <w:r>
        <w:rPr>
          <w:spacing w:val="-66"/>
        </w:rPr>
        <w:t> </w:t>
      </w:r>
      <w:r>
        <w:rPr>
          <w:spacing w:val="-66"/>
        </w:rPr>
      </w:r>
      <w:r>
        <w:rPr/>
        <w:t>分轻钱包功能，包括支付、提现、退款、对账等，本次技术服务开发费用</w:t>
      </w:r>
      <w:r>
        <w:rPr>
          <w:rFonts w:ascii="Times New Roman" w:hAnsi="Times New Roman" w:cs="Times New Roman" w:eastAsia="Times New Roman" w:hint="default"/>
        </w:rPr>
        <w:t>680</w:t>
      </w:r>
      <w:r>
        <w:rPr/>
        <w:t>万元人民币。</w:t>
      </w:r>
    </w:p>
    <w:p>
      <w:pPr>
        <w:spacing w:line="240" w:lineRule="auto" w:before="8"/>
        <w:rPr>
          <w:rFonts w:ascii="宋体" w:hAnsi="宋体" w:cs="宋体" w:eastAsia="宋体" w:hint="default"/>
          <w:sz w:val="18"/>
          <w:szCs w:val="18"/>
        </w:rPr>
      </w:pPr>
    </w:p>
    <w:p>
      <w:pPr>
        <w:pStyle w:val="BodyText"/>
        <w:spacing w:line="240" w:lineRule="auto"/>
        <w:ind w:left="594" w:right="0"/>
        <w:jc w:val="left"/>
      </w:pPr>
      <w:r>
        <w:rPr>
          <w:rFonts w:ascii="Times New Roman" w:hAnsi="Times New Roman" w:cs="Times New Roman" w:eastAsia="Times New Roman" w:hint="default"/>
        </w:rPr>
        <w:t>6</w:t>
      </w:r>
      <w:r>
        <w:rPr/>
        <w:t>、关于设立控股子公司并完成工商登记事项</w:t>
      </w:r>
    </w:p>
    <w:p>
      <w:pPr>
        <w:spacing w:line="240" w:lineRule="auto" w:before="2"/>
        <w:rPr>
          <w:rFonts w:ascii="宋体" w:hAnsi="宋体" w:cs="宋体" w:eastAsia="宋体" w:hint="default"/>
          <w:sz w:val="23"/>
          <w:szCs w:val="23"/>
        </w:rPr>
      </w:pPr>
    </w:p>
    <w:p>
      <w:pPr>
        <w:pStyle w:val="BodyText"/>
        <w:spacing w:line="304" w:lineRule="auto"/>
        <w:ind w:right="1033" w:firstLine="44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日，公司及公司全资子公司青岛海立达冲压件有限公司、青岛甲乙丙丁信息技术企业（有限合伙）、方亚 南、丁华波共同出资设立青岛海立美达科技有限公司，公司注册资本</w:t>
      </w:r>
      <w:r>
        <w:rPr>
          <w:rFonts w:ascii="Times New Roman" w:hAnsi="Times New Roman" w:cs="Times New Roman" w:eastAsia="Times New Roman" w:hint="default"/>
        </w:rPr>
        <w:t>500</w:t>
      </w:r>
      <w:r>
        <w:rPr/>
        <w:t>万元人民币，其中：本公司公司认缴出资</w:t>
      </w:r>
      <w:r>
        <w:rPr>
          <w:rFonts w:ascii="Times New Roman" w:hAnsi="Times New Roman" w:cs="Times New Roman" w:eastAsia="Times New Roman" w:hint="default"/>
        </w:rPr>
        <w:t>130</w:t>
      </w:r>
      <w:r>
        <w:rPr/>
        <w:t>万元， 持股比例</w:t>
      </w:r>
      <w:r>
        <w:rPr>
          <w:rFonts w:ascii="Times New Roman" w:hAnsi="Times New Roman" w:cs="Times New Roman" w:eastAsia="Times New Roman" w:hint="default"/>
        </w:rPr>
        <w:t>26%</w:t>
      </w:r>
      <w:r>
        <w:rPr/>
        <w:t>；青岛海立达冲压件有限公司认缴出资</w:t>
      </w:r>
      <w:r>
        <w:rPr>
          <w:rFonts w:ascii="Times New Roman" w:hAnsi="Times New Roman" w:cs="Times New Roman" w:eastAsia="Times New Roman" w:hint="default"/>
        </w:rPr>
        <w:t>125</w:t>
      </w:r>
      <w:r>
        <w:rPr/>
        <w:t>万元，持股比例</w:t>
      </w:r>
      <w:r>
        <w:rPr>
          <w:rFonts w:ascii="Times New Roman" w:hAnsi="Times New Roman" w:cs="Times New Roman" w:eastAsia="Times New Roman" w:hint="default"/>
        </w:rPr>
        <w:t>25%</w:t>
      </w:r>
      <w:r>
        <w:rPr/>
        <w:t>。该公司经营范围包括软件服务；计算机系统</w:t>
      </w:r>
      <w:r>
        <w:rPr>
          <w:spacing w:val="-31"/>
        </w:rPr>
        <w:t> </w:t>
      </w:r>
      <w:r>
        <w:rPr>
          <w:spacing w:val="-31"/>
        </w:rPr>
      </w:r>
      <w:r>
        <w:rPr/>
        <w:t>集成；信息技术咨询、技术服务；数据处理；互联网信息服务（除新闻、出版、教育、医疗保健、药品、医疗器械和</w:t>
      </w:r>
      <w:r>
        <w:rPr>
          <w:rFonts w:ascii="Times New Roman" w:hAnsi="Times New Roman" w:cs="Times New Roman" w:eastAsia="Times New Roman" w:hint="default"/>
        </w:rPr>
        <w:t>BBS</w:t>
      </w:r>
      <w:r>
        <w:rPr>
          <w:rFonts w:ascii="Times New Roman" w:hAnsi="Times New Roman" w:cs="Times New Roman" w:eastAsia="Times New Roman" w:hint="default"/>
          <w:spacing w:val="6"/>
        </w:rPr>
        <w:t> </w:t>
      </w:r>
      <w:r>
        <w:rPr>
          <w:spacing w:val="-2"/>
        </w:rPr>
        <w:t>以外的内容）（依法须经批准的项目，经相关部门批准后方可开展经营活动）。截止目前，该公司已完成工商登记并取得青</w:t>
      </w:r>
      <w:r>
        <w:rPr>
          <w:spacing w:val="-67"/>
        </w:rPr>
        <w:t> </w:t>
      </w:r>
      <w:r>
        <w:rPr>
          <w:spacing w:val="-67"/>
        </w:rPr>
      </w:r>
      <w:r>
        <w:rPr/>
        <w:t>岛市李沧区工商行政管理局核发的统一社会信用代码为</w:t>
      </w:r>
      <w:r>
        <w:rPr>
          <w:rFonts w:ascii="Times New Roman" w:hAnsi="Times New Roman" w:cs="Times New Roman" w:eastAsia="Times New Roman" w:hint="default"/>
        </w:rPr>
        <w:t>91370213MA3MKGUR75</w:t>
      </w:r>
      <w:r>
        <w:rPr/>
        <w:t>的营业执照。</w:t>
      </w:r>
    </w:p>
    <w:p>
      <w:pPr>
        <w:spacing w:line="240" w:lineRule="auto" w:before="12"/>
        <w:rPr>
          <w:rFonts w:ascii="宋体" w:hAnsi="宋体" w:cs="宋体" w:eastAsia="宋体" w:hint="default"/>
          <w:sz w:val="18"/>
          <w:szCs w:val="18"/>
        </w:rPr>
      </w:pPr>
    </w:p>
    <w:p>
      <w:pPr>
        <w:pStyle w:val="BodyText"/>
        <w:spacing w:line="240" w:lineRule="auto"/>
        <w:ind w:left="594" w:right="0"/>
        <w:jc w:val="left"/>
      </w:pPr>
      <w:r>
        <w:rPr>
          <w:rFonts w:ascii="Times New Roman" w:hAnsi="Times New Roman" w:cs="Times New Roman" w:eastAsia="Times New Roman" w:hint="default"/>
        </w:rPr>
        <w:t>7</w:t>
      </w:r>
      <w:r>
        <w:rPr/>
        <w:t>、关于全资子公司设立子公司并完成工商登记事项</w:t>
      </w:r>
    </w:p>
    <w:p>
      <w:pPr>
        <w:spacing w:line="240" w:lineRule="auto" w:before="2"/>
        <w:rPr>
          <w:rFonts w:ascii="宋体" w:hAnsi="宋体" w:cs="宋体" w:eastAsia="宋体" w:hint="default"/>
          <w:sz w:val="23"/>
          <w:szCs w:val="23"/>
        </w:rPr>
      </w:pPr>
    </w:p>
    <w:p>
      <w:pPr>
        <w:pStyle w:val="BodyText"/>
        <w:spacing w:line="307" w:lineRule="auto"/>
        <w:ind w:right="1132" w:firstLine="44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日，公司全资子公司联动优势科技有限公司设立宁波康拓企业管理有限公司，公司注册资本</w:t>
      </w:r>
      <w:r>
        <w:rPr>
          <w:rFonts w:ascii="Times New Roman" w:hAnsi="Times New Roman" w:cs="Times New Roman" w:eastAsia="Times New Roman" w:hint="default"/>
        </w:rPr>
        <w:t>100</w:t>
      </w:r>
      <w:r>
        <w:rPr/>
        <w:t>万元人民 币，联动优势科技有限公司持股比例</w:t>
      </w:r>
      <w:r>
        <w:rPr>
          <w:rFonts w:ascii="Times New Roman" w:hAnsi="Times New Roman" w:cs="Times New Roman" w:eastAsia="Times New Roman" w:hint="default"/>
        </w:rPr>
        <w:t>100%</w:t>
      </w:r>
      <w:r>
        <w:rPr/>
        <w:t>。公司经营范围包括企业管理咨询；经济贸易咨询；文化咨询。（依法须经批准 </w:t>
      </w:r>
      <w:r>
        <w:rPr>
          <w:spacing w:val="-5"/>
        </w:rPr>
        <w:t>的项目，经相关部门批准后方可开展经营活动）。截止目前，该公司已完成工商登记并取得宁波市市场监督管理局保税区（出</w:t>
      </w:r>
      <w:r>
        <w:rPr>
          <w:spacing w:val="-79"/>
        </w:rPr>
        <w:t> </w:t>
      </w:r>
      <w:r>
        <w:rPr>
          <w:spacing w:val="-79"/>
        </w:rPr>
      </w:r>
      <w:r>
        <w:rPr/>
        <w:t>口加工区）分局核发的统一社会信用代码为</w:t>
      </w:r>
      <w:r>
        <w:rPr>
          <w:rFonts w:ascii="Times New Roman" w:hAnsi="Times New Roman" w:cs="Times New Roman" w:eastAsia="Times New Roman" w:hint="default"/>
        </w:rPr>
        <w:t>91330201MA2AH96D1D</w:t>
      </w:r>
      <w:r>
        <w:rPr/>
        <w:t>的营业执照。</w:t>
      </w:r>
    </w:p>
    <w:p>
      <w:pPr>
        <w:spacing w:line="240" w:lineRule="auto" w:before="10"/>
        <w:rPr>
          <w:rFonts w:ascii="宋体" w:hAnsi="宋体" w:cs="宋体" w:eastAsia="宋体" w:hint="default"/>
          <w:sz w:val="18"/>
          <w:szCs w:val="18"/>
        </w:rPr>
      </w:pPr>
    </w:p>
    <w:p>
      <w:pPr>
        <w:pStyle w:val="BodyText"/>
        <w:spacing w:line="240" w:lineRule="auto"/>
        <w:ind w:left="479" w:right="0"/>
        <w:jc w:val="left"/>
      </w:pPr>
      <w:r>
        <w:rPr/>
        <w:t>除存在上述资产负债表日后事项披露事项外，本集团无其他重大资产负债表日后事项。</w:t>
      </w:r>
    </w:p>
    <w:p>
      <w:pPr>
        <w:spacing w:line="240" w:lineRule="auto" w:before="2"/>
        <w:rPr>
          <w:rFonts w:ascii="宋体" w:hAnsi="宋体" w:cs="宋体" w:eastAsia="宋体" w:hint="default"/>
          <w:sz w:val="25"/>
          <w:szCs w:val="25"/>
        </w:rPr>
      </w:pPr>
    </w:p>
    <w:p>
      <w:pPr>
        <w:spacing w:line="506" w:lineRule="auto" w:before="0"/>
        <w:ind w:left="153" w:right="8584" w:firstLine="0"/>
        <w:jc w:val="left"/>
        <w:rPr>
          <w:rFonts w:ascii="宋体" w:hAnsi="宋体" w:cs="宋体" w:eastAsia="宋体" w:hint="default"/>
          <w:sz w:val="18"/>
          <w:szCs w:val="18"/>
        </w:rPr>
      </w:pPr>
      <w:bookmarkStart w:name="十六、其他重要事项" w:id="426"/>
      <w:bookmarkEnd w:id="426"/>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 前期会计差错更正" w:id="427"/>
      <w:bookmarkEnd w:id="4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bookmarkStart w:name="2、债务重组" w:id="428"/>
      <w:bookmarkEnd w:id="42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资产置换" w:id="429"/>
      <w:bookmarkEnd w:id="42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年金计划" w:id="430"/>
      <w:bookmarkEnd w:id="43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终止经营" w:id="431"/>
      <w:bookmarkEnd w:id="43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日照兴业汽车配 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225,929,352.29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18,242,337.38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26,839,233.17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3,457,563.97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23,381,669.20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日照兴发汽车零 部件制造有限公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48,892,659.23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3,419,598.40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1,486,538.76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371,634.69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1,114,904.07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3"/>
        <w:rPr>
          <w:rFonts w:ascii="宋体" w:hAnsi="宋体" w:cs="宋体" w:eastAsia="宋体" w:hint="default"/>
          <w:sz w:val="24"/>
          <w:szCs w:val="24"/>
        </w:rPr>
      </w:pPr>
    </w:p>
    <w:p>
      <w:pPr>
        <w:pStyle w:val="BodyText"/>
        <w:spacing w:line="300" w:lineRule="auto"/>
        <w:ind w:right="1130" w:firstLine="436"/>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月，公司与日照兴业集团有限公司签订《关于日照兴业汽车配件有限公司及日照兴发零部件制造有限公司之股</w:t>
      </w:r>
      <w:r>
        <w:rPr/>
        <w:t> </w:t>
      </w:r>
      <w:r>
        <w:rPr>
          <w:spacing w:val="-1"/>
        </w:rPr>
        <w:t>权转让协议书》，约定将本公司持有的日照兴业汽配</w:t>
      </w:r>
      <w:r>
        <w:rPr>
          <w:rFonts w:ascii="Times New Roman" w:hAnsi="Times New Roman" w:cs="Times New Roman" w:eastAsia="Times New Roman" w:hint="default"/>
          <w:spacing w:val="-1"/>
        </w:rPr>
        <w:t>60%</w:t>
      </w:r>
      <w:r>
        <w:rPr>
          <w:spacing w:val="-1"/>
        </w:rPr>
        <w:t>的股权和本公司持有的日照兴发零部件</w:t>
      </w:r>
      <w:r>
        <w:rPr>
          <w:rFonts w:ascii="Times New Roman" w:hAnsi="Times New Roman" w:cs="Times New Roman" w:eastAsia="Times New Roman" w:hint="default"/>
          <w:spacing w:val="-1"/>
        </w:rPr>
        <w:t>60%</w:t>
      </w:r>
      <w:r>
        <w:rPr>
          <w:spacing w:val="-1"/>
        </w:rPr>
        <w:t>的股权转让给兴业集团</w:t>
      </w:r>
      <w:r>
        <w:rPr>
          <w:spacing w:val="-56"/>
        </w:rPr>
        <w:t> </w:t>
      </w:r>
      <w:r>
        <w:rPr/>
        <w:t>有限公司，转让后本公司不再持有目标公司的股权。转让价格</w:t>
      </w:r>
      <w:r>
        <w:rPr>
          <w:rFonts w:ascii="Times New Roman" w:hAnsi="Times New Roman" w:cs="Times New Roman" w:eastAsia="Times New Roman" w:hint="default"/>
        </w:rPr>
        <w:t>260,000,000.00</w:t>
      </w:r>
      <w:r>
        <w:rPr/>
        <w:t>元。从基准日起至经营权变更过渡期间持续经</w:t>
      </w:r>
      <w:r>
        <w:rPr>
          <w:spacing w:val="-46"/>
        </w:rPr>
        <w:t> </w:t>
      </w:r>
      <w:r>
        <w:rPr>
          <w:spacing w:val="-46"/>
        </w:rPr>
      </w:r>
      <w:r>
        <w:rPr/>
        <w:t>营所形成的损益由日照兴业集团承担。</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6、分部信息" w:id="432"/>
      <w:bookmarkEnd w:id="43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33"/>
      <w:bookmarkEnd w:id="43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6" w:firstLine="436"/>
        <w:jc w:val="both"/>
      </w:pPr>
      <w:r>
        <w:rPr/>
        <w:t>本公司以内部组织结构、管理要求、内部报告制度、经营业务板块为依据确定经营分部。本公司的经营分部是指同时 满足下列条件的组成部分：</w:t>
      </w:r>
    </w:p>
    <w:p>
      <w:pPr>
        <w:pStyle w:val="BodyText"/>
        <w:spacing w:line="316" w:lineRule="auto" w:before="19"/>
        <w:ind w:left="590" w:right="3836"/>
        <w:jc w:val="left"/>
      </w:pPr>
      <w:r>
        <w:rPr/>
        <w:t>该组成部分能够在日常活动中产生收入、发生费用； 管理层能够定期评价该组成部分的经营成果，以决定向其配置资源、评价其业绩； 能够取得该组成部分的财务状况、经营成果和现金流量等有关会计信息。 据此，本公司报告分部划分为智能制造分部和金融科技分部。</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报告分部的财务信息" w:id="434"/>
      <w:bookmarkEnd w:id="43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智能制造分部</w:t>
            </w:r>
          </w:p>
        </w:tc>
        <w:tc>
          <w:tcPr>
            <w:tcW w:w="1914"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金融科技分部</w:t>
            </w:r>
          </w:p>
        </w:tc>
        <w:tc>
          <w:tcPr>
            <w:tcW w:w="1914"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3,510,379,554.45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1,086,874,114.32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601,206,518.97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3,996,047,149.80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3,072,214,645.48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371,198,344.87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597,871,036.38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2,845,541,953.97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261,366,639.41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268,277,952.94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-3,554,021.74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533,198,614.09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62,879,445.24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25,981,244.01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183,625.80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88,677,063.45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198,487,194.17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242,296,708.93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-3,737,647.54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444,521,550.64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9,211,891,392.92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12,376,963,726.40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2,628,057,580.15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18,960,797,539.17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1,750,378,833.70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10,868,605,670.74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661,667,638.06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11,957,316,866.38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其他对投资者决策有影响的重要交易和事项" w:id="435"/>
      <w:bookmarkEnd w:id="43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w:t>
      </w:r>
      <w:r>
        <w:rPr>
          <w:rFonts w:ascii="Times New Roman" w:hAnsi="Times New Roman" w:cs="Times New Roman" w:eastAsia="Times New Roman" w:hint="default"/>
        </w:rPr>
        <w:t>1</w:t>
      </w:r>
      <w:r>
        <w:rPr/>
        <w:t>）、认购黑龙江松花江银行股份有限公司（筹）事宜</w:t>
      </w:r>
    </w:p>
    <w:p>
      <w:pPr>
        <w:spacing w:line="240" w:lineRule="auto" w:before="2"/>
        <w:rPr>
          <w:rFonts w:ascii="宋体" w:hAnsi="宋体" w:cs="宋体" w:eastAsia="宋体" w:hint="default"/>
          <w:sz w:val="23"/>
          <w:szCs w:val="23"/>
        </w:rPr>
      </w:pPr>
    </w:p>
    <w:p>
      <w:pPr>
        <w:pStyle w:val="BodyText"/>
        <w:spacing w:line="312" w:lineRule="auto"/>
        <w:ind w:left="154"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日，公司召开了第三届董事会第二十四次（临时）会议，审议通过了《关于公司三级子公司对其全资子公 </w:t>
      </w:r>
      <w:r>
        <w:rPr>
          <w:spacing w:val="-2"/>
        </w:rPr>
        <w:t>司增资并认购黑龙江松花江银行股份有限公司股份的议案》。公司三级子公司联动优势电子商务有限公司与黑龙江佳美投资</w:t>
      </w:r>
      <w:r>
        <w:rPr>
          <w:spacing w:val="-64"/>
        </w:rPr>
        <w:t> </w:t>
      </w:r>
      <w:r>
        <w:rPr>
          <w:spacing w:val="-64"/>
        </w:rPr>
      </w:r>
      <w:r>
        <w:rPr>
          <w:spacing w:val="-2"/>
        </w:rPr>
        <w:t>集团有限公司签订《发起设立黑龙江松花江银行股份有限公司之股份认购协议》，拟通过哈尔滨迪达能化科技有限公司认购</w:t>
      </w:r>
      <w:r>
        <w:rPr>
          <w:spacing w:val="-65"/>
        </w:rPr>
        <w:t> </w:t>
      </w:r>
      <w:r>
        <w:rPr>
          <w:spacing w:val="-65"/>
        </w:rPr>
      </w:r>
      <w:r>
        <w:rPr/>
        <w:t>黑龙江松花江银行股份有限公司</w:t>
      </w:r>
      <w:r>
        <w:rPr>
          <w:rFonts w:ascii="Times New Roman" w:hAnsi="Times New Roman" w:cs="Times New Roman" w:eastAsia="Times New Roman" w:hint="default"/>
        </w:rPr>
        <w:t>4%</w:t>
      </w:r>
      <w:r>
        <w:rPr/>
        <w:t>的股份，拟认缴出资额为</w:t>
      </w:r>
      <w:r>
        <w:rPr>
          <w:rFonts w:ascii="Times New Roman" w:hAnsi="Times New Roman" w:cs="Times New Roman" w:eastAsia="Times New Roman" w:hint="default"/>
        </w:rPr>
        <w:t>0.8</w:t>
      </w:r>
      <w:r>
        <w:rPr/>
        <w:t>亿元人民币，持有股本</w:t>
      </w:r>
      <w:r>
        <w:rPr>
          <w:rFonts w:ascii="Times New Roman" w:hAnsi="Times New Roman" w:cs="Times New Roman" w:eastAsia="Times New Roman" w:hint="default"/>
        </w:rPr>
        <w:t>0.8</w:t>
      </w:r>
      <w:r>
        <w:rPr/>
        <w:t>亿股。</w:t>
      </w:r>
    </w:p>
    <w:p>
      <w:pPr>
        <w:spacing w:line="240" w:lineRule="auto" w:before="7"/>
        <w:rPr>
          <w:rFonts w:ascii="宋体" w:hAnsi="宋体" w:cs="宋体" w:eastAsia="宋体" w:hint="default"/>
          <w:sz w:val="18"/>
          <w:szCs w:val="18"/>
        </w:rPr>
      </w:pPr>
    </w:p>
    <w:p>
      <w:pPr>
        <w:pStyle w:val="BodyText"/>
        <w:spacing w:line="240" w:lineRule="auto"/>
        <w:ind w:right="0"/>
        <w:jc w:val="left"/>
      </w:pPr>
      <w:r>
        <w:rPr/>
        <w:t>（</w:t>
      </w:r>
      <w:r>
        <w:rPr>
          <w:rFonts w:ascii="Times New Roman" w:hAnsi="Times New Roman" w:cs="Times New Roman" w:eastAsia="Times New Roman" w:hint="default"/>
        </w:rPr>
        <w:t>2</w:t>
      </w:r>
      <w:r>
        <w:rPr/>
        <w:t>）、网络委托贷款事宜</w:t>
      </w:r>
    </w:p>
    <w:p>
      <w:pPr>
        <w:spacing w:line="240" w:lineRule="auto" w:before="2"/>
        <w:rPr>
          <w:rFonts w:ascii="宋体" w:hAnsi="宋体" w:cs="宋体" w:eastAsia="宋体" w:hint="default"/>
          <w:sz w:val="23"/>
          <w:szCs w:val="23"/>
        </w:rPr>
      </w:pPr>
    </w:p>
    <w:p>
      <w:pPr>
        <w:pStyle w:val="BodyText"/>
        <w:spacing w:line="307" w:lineRule="auto"/>
        <w:ind w:right="105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日，公司二级子公司联动优势科技有限公司与恒丰银行股份有限公司（以下简称恒丰银行）签订合同编号</w:t>
      </w:r>
      <w:r>
        <w:rPr/>
        <w:t> 为</w:t>
      </w:r>
      <w:r>
        <w:rPr>
          <w:rFonts w:ascii="Times New Roman" w:hAnsi="Times New Roman" w:cs="Times New Roman" w:eastAsia="Times New Roman" w:hint="default"/>
        </w:rPr>
        <w:t>UMP(2017)-BJ-1045</w:t>
      </w:r>
      <w:r>
        <w:rPr/>
        <w:t>号《网络委托贷款委托合同》。合同约定由联动优势科技有限公司提供资金，恒丰银行作为委托人根</w:t>
      </w:r>
      <w:r>
        <w:rPr>
          <w:w w:val="99"/>
        </w:rPr>
        <w:t> </w:t>
      </w:r>
      <w:r>
        <w:rPr/>
        <w:t>据联动优势科技有限公司确定的贷款对象、用途、金额、期限、利率以及还款方式等代为发放、监督使用并协助收回贷款，</w:t>
      </w:r>
      <w:r>
        <w:rPr>
          <w:w w:val="99"/>
        </w:rPr>
        <w:t> </w:t>
      </w:r>
      <w:r>
        <w:rPr/>
        <w:t>贷款风险由联动优势科技有限公司承担，恒丰银行相应收取委托贷款手续费。联动优势科技有限公司自主开发 </w:t>
      </w:r>
      <w:r>
        <w:rPr>
          <w:rFonts w:ascii="Times New Roman" w:hAnsi="Times New Roman" w:cs="Times New Roman" w:eastAsia="Times New Roman" w:hint="default"/>
        </w:rPr>
        <w:t>“</w:t>
      </w:r>
      <w:r>
        <w:rPr/>
        <w:t>还了么</w:t>
      </w:r>
      <w:r>
        <w:rPr>
          <w:rFonts w:ascii="Times New Roman" w:hAnsi="Times New Roman" w:cs="Times New Roman" w:eastAsia="Times New Roman" w:hint="default"/>
        </w:rPr>
        <w:t>”</w:t>
      </w:r>
      <w:r>
        <w:rPr/>
        <w:t>业</w:t>
      </w:r>
      <w:r>
        <w:rPr>
          <w:spacing w:val="-67"/>
        </w:rPr>
        <w:t> </w:t>
      </w:r>
      <w:r>
        <w:rPr>
          <w:spacing w:val="-2"/>
        </w:rPr>
        <w:t>务平台，该平台为合格借款人提供贷款，并签署相关还款协议，同时平台通过在恒丰银行开立的银行账户发放贷款及收取还</w:t>
      </w:r>
      <w:r>
        <w:rPr>
          <w:spacing w:val="-66"/>
        </w:rPr>
        <w:t> </w:t>
      </w:r>
      <w:r>
        <w:rPr>
          <w:spacing w:val="-66"/>
        </w:rPr>
      </w:r>
      <w:r>
        <w:rPr>
          <w:spacing w:val="-2"/>
        </w:rPr>
        <w:t>款。如果贷款人未按约定还款，联动优势科技有限公司自行承担相应的风险。该平台贷款业务自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月开始，截止</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日实际发放贷款本金合计</w:t>
      </w:r>
      <w:r>
        <w:rPr>
          <w:rFonts w:ascii="Times New Roman" w:hAnsi="Times New Roman" w:cs="Times New Roman" w:eastAsia="Times New Roman" w:hint="default"/>
        </w:rPr>
        <w:t>2,177,100.00</w:t>
      </w:r>
      <w:r>
        <w:rPr/>
        <w:t>元，放款期限为</w:t>
      </w:r>
      <w:r>
        <w:rPr>
          <w:rFonts w:ascii="Times New Roman" w:hAnsi="Times New Roman" w:cs="Times New Roman" w:eastAsia="Times New Roman" w:hint="default"/>
        </w:rPr>
        <w:t>3</w:t>
      </w:r>
      <w:r>
        <w:rPr/>
        <w:t>个月、</w:t>
      </w:r>
      <w:r>
        <w:rPr>
          <w:rFonts w:ascii="Times New Roman" w:hAnsi="Times New Roman" w:cs="Times New Roman" w:eastAsia="Times New Roman" w:hint="default"/>
        </w:rPr>
        <w:t>6</w:t>
      </w:r>
      <w:r>
        <w:rPr/>
        <w:t>个月，贷款单笔最高额度为</w:t>
      </w:r>
      <w:r>
        <w:rPr>
          <w:rFonts w:ascii="Times New Roman" w:hAnsi="Times New Roman" w:cs="Times New Roman" w:eastAsia="Times New Roman" w:hint="default"/>
        </w:rPr>
        <w:t>2</w:t>
      </w:r>
      <w:r>
        <w:rPr/>
        <w:t>万元。</w:t>
      </w:r>
    </w:p>
    <w:p>
      <w:pPr>
        <w:pStyle w:val="BodyText"/>
        <w:spacing w:line="552" w:lineRule="exact" w:before="15"/>
        <w:ind w:left="594" w:right="1132" w:hanging="441"/>
        <w:jc w:val="left"/>
      </w:pPr>
      <w:r>
        <w:rPr/>
        <w:t>（</w:t>
      </w:r>
      <w:r>
        <w:rPr>
          <w:rFonts w:ascii="Times New Roman" w:hAnsi="Times New Roman" w:cs="Times New Roman" w:eastAsia="Times New Roman" w:hint="default"/>
        </w:rPr>
        <w:t>3</w:t>
      </w:r>
      <w:r>
        <w:rPr/>
        <w:t>）、获得大额政府补助事宜 公司子公司湖北海立美达汽车有限公司收到枣阳市人民政府办公室下发的《关于对福田公司发展新产品扶持奖励》通</w:t>
      </w:r>
    </w:p>
    <w:p>
      <w:pPr>
        <w:pStyle w:val="BodyText"/>
        <w:spacing w:line="316" w:lineRule="auto"/>
        <w:ind w:left="154" w:right="0"/>
        <w:jc w:val="left"/>
      </w:pPr>
      <w:r>
        <w:rPr>
          <w:spacing w:val="-4"/>
        </w:rPr>
        <w:t>知，枣阳市人民政府为加强对湖北海立美达汽车有限公司轻量化项目推进的支持，用于加快轻量化专用车的生产、市场推广，</w:t>
      </w:r>
      <w:r>
        <w:rPr>
          <w:spacing w:val="-44"/>
        </w:rPr>
        <w:t> </w:t>
      </w:r>
      <w:r>
        <w:rPr>
          <w:spacing w:val="-44"/>
        </w:rPr>
      </w:r>
      <w:r>
        <w:rPr/>
        <w:t>枣阳市人民政府特给予湖北海立美达汽车有限公司企业发展扶持基金</w:t>
      </w:r>
      <w:r>
        <w:rPr>
          <w:rFonts w:ascii="Times New Roman" w:hAnsi="Times New Roman" w:cs="Times New Roman" w:eastAsia="Times New Roman" w:hint="default"/>
        </w:rPr>
        <w:t>3,000</w:t>
      </w:r>
      <w:r>
        <w:rPr/>
        <w:t>万元。</w:t>
      </w:r>
    </w:p>
    <w:p>
      <w:pPr>
        <w:spacing w:line="240" w:lineRule="auto" w:before="3"/>
        <w:rPr>
          <w:rFonts w:ascii="宋体" w:hAnsi="宋体" w:cs="宋体" w:eastAsia="宋体" w:hint="default"/>
          <w:sz w:val="18"/>
          <w:szCs w:val="18"/>
        </w:rPr>
      </w:pPr>
    </w:p>
    <w:p>
      <w:pPr>
        <w:pStyle w:val="BodyText"/>
        <w:spacing w:line="312" w:lineRule="auto"/>
        <w:ind w:right="1130" w:firstLine="440"/>
        <w:jc w:val="both"/>
      </w:pPr>
      <w:r>
        <w:rPr/>
        <w:t>公司子公司湖北海立美达汽车有限公司收到枣阳市人民政府办公室下发的《市人民政府办公室关于对福田公司发展扶 持奖励情况的说明》，为支持公司产业转型升级，加强对专用车项目推进的支持，市财政局拨付公司发展扶持资金</w:t>
      </w:r>
      <w:r>
        <w:rPr>
          <w:rFonts w:ascii="Times New Roman" w:hAnsi="Times New Roman" w:cs="Times New Roman" w:eastAsia="Times New Roman" w:hint="default"/>
        </w:rPr>
        <w:t>4,000</w:t>
      </w:r>
      <w:r>
        <w:rPr/>
        <w:t>万</w:t>
      </w:r>
      <w:r>
        <w:rPr>
          <w:spacing w:val="-41"/>
        </w:rPr>
        <w:t> </w:t>
      </w:r>
      <w:r>
        <w:rPr>
          <w:spacing w:val="-2"/>
        </w:rPr>
        <w:t>元，主要用于补偿本年度已经销售车辆的成本及市场销售，提升企业产品竞争力，推进枣阳市自主品牌的发展，实现自主品</w:t>
      </w:r>
      <w:r>
        <w:rPr>
          <w:spacing w:val="-66"/>
        </w:rPr>
        <w:t> </w:t>
      </w:r>
      <w:r>
        <w:rPr>
          <w:spacing w:val="-66"/>
        </w:rPr>
      </w:r>
      <w:r>
        <w:rPr/>
        <w:t>牌在全国范围内的推广。</w:t>
      </w:r>
    </w:p>
    <w:p>
      <w:pPr>
        <w:spacing w:line="240" w:lineRule="auto" w:before="1"/>
        <w:rPr>
          <w:rFonts w:ascii="宋体" w:hAnsi="宋体" w:cs="宋体" w:eastAsia="宋体" w:hint="default"/>
          <w:sz w:val="20"/>
          <w:szCs w:val="20"/>
        </w:rPr>
      </w:pPr>
    </w:p>
    <w:p>
      <w:pPr>
        <w:pStyle w:val="BodyText"/>
        <w:spacing w:line="316" w:lineRule="auto"/>
        <w:ind w:right="1133" w:firstLine="440"/>
        <w:jc w:val="both"/>
      </w:pPr>
      <w:r>
        <w:rPr/>
        <w:t>公司子公司联动优势科技有限公司收到北京市西城区财政局给予联动优势科技有限公司金融风控大数据应用服务平台 项目扶持资金</w:t>
      </w:r>
      <w:r>
        <w:rPr>
          <w:rFonts w:ascii="Times New Roman" w:hAnsi="Times New Roman" w:cs="Times New Roman" w:eastAsia="Times New Roman" w:hint="default"/>
        </w:rPr>
        <w:t>1,000</w:t>
      </w:r>
      <w:r>
        <w:rPr/>
        <w:t>万元，用于支持联动优势科技有限公司购置项目建设所需的设备。</w:t>
      </w:r>
    </w:p>
    <w:p>
      <w:pPr>
        <w:spacing w:line="240" w:lineRule="auto" w:before="3"/>
        <w:rPr>
          <w:rFonts w:ascii="宋体" w:hAnsi="宋体" w:cs="宋体" w:eastAsia="宋体" w:hint="default"/>
          <w:sz w:val="18"/>
          <w:szCs w:val="18"/>
        </w:rPr>
      </w:pPr>
    </w:p>
    <w:p>
      <w:pPr>
        <w:pStyle w:val="BodyText"/>
        <w:spacing w:line="309" w:lineRule="auto"/>
        <w:ind w:right="1130" w:firstLine="440"/>
        <w:jc w:val="both"/>
      </w:pPr>
      <w:r>
        <w:rPr/>
        <w:t>公司子公司联动优势科技有限公司收到北京市发展和改革委员会下发的《北京市发展和改革委员会关于联动优势科技 有限公司下一代电子支付安全技术北京市工程实验室创新能力建设项目补助资金的批复》（京发改（审）</w:t>
      </w:r>
      <w:r>
        <w:rPr>
          <w:rFonts w:ascii="Times New Roman" w:hAnsi="Times New Roman" w:cs="Times New Roman" w:eastAsia="Times New Roman" w:hint="default"/>
        </w:rPr>
        <w:t>[2017]166</w:t>
      </w:r>
      <w:r>
        <w:rPr/>
        <w:t>号），</w:t>
      </w:r>
      <w:r>
        <w:rPr>
          <w:spacing w:val="-28"/>
        </w:rPr>
        <w:t> </w:t>
      </w:r>
      <w:r>
        <w:rPr/>
        <w:t>北京市发展和改革委员会原则同意在政府投资计划中对联动优势下一代电子支付安全技术北京市工程实验室项目安排补助</w:t>
      </w:r>
      <w:r>
        <w:rPr>
          <w:spacing w:val="-4"/>
        </w:rPr>
        <w:t> </w:t>
      </w:r>
      <w:r>
        <w:rPr>
          <w:spacing w:val="-4"/>
        </w:rPr>
      </w:r>
      <w:r>
        <w:rPr>
          <w:spacing w:val="-1"/>
        </w:rPr>
        <w:t>资金支持，项目总投资</w:t>
      </w:r>
      <w:r>
        <w:rPr>
          <w:rFonts w:ascii="Times New Roman" w:hAnsi="Times New Roman" w:cs="Times New Roman" w:eastAsia="Times New Roman" w:hint="default"/>
          <w:spacing w:val="-1"/>
        </w:rPr>
        <w:t>2,165</w:t>
      </w:r>
      <w:r>
        <w:rPr>
          <w:spacing w:val="-1"/>
        </w:rPr>
        <w:t>万元，北京市发展和改革委员会从市政府固定资产投资中安排补助资金</w:t>
      </w:r>
      <w:r>
        <w:rPr>
          <w:rFonts w:ascii="Times New Roman" w:hAnsi="Times New Roman" w:cs="Times New Roman" w:eastAsia="Times New Roman" w:hint="default"/>
          <w:spacing w:val="-1"/>
        </w:rPr>
        <w:t>649</w:t>
      </w:r>
      <w:r>
        <w:rPr>
          <w:spacing w:val="-1"/>
        </w:rPr>
        <w:t>万元，主要用于购置</w:t>
      </w:r>
      <w:r>
        <w:rPr>
          <w:spacing w:val="-72"/>
        </w:rPr>
        <w:t> </w:t>
      </w:r>
      <w:r>
        <w:rPr>
          <w:spacing w:val="-72"/>
        </w:rPr>
      </w:r>
      <w:r>
        <w:rPr/>
        <w:t>工程化、产业化研究所需的软、硬件设备，建设工程化的验证和测试环境等。</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436"/>
      <w:bookmarkEnd w:id="436"/>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437"/>
      <w:bookmarkEnd w:id="43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438"/>
      <w:bookmarkEnd w:id="4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279,171,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427.06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9,170,07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270,001,3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122,083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,150.57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4,080,661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118,002,48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1,455,97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1,455,97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280,627,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400.23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10,626,0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45.65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270,001,3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122,083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,150.57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4,080,661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118,002,48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252,327,906.94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7,569,837.21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252,327,906.94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7,569,837.21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212,630.05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42,526.01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99,511.15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49,755.57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1,507,953.69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1,507,953.69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254,148,001.83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9,170,072.48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确定该组合的依据为信用风险特征相同。 组合中，采用余额百分比法计提坏账准备的应收账款：</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53" w:right="0"/>
        <w:jc w:val="left"/>
        <w:rPr>
          <w:b w:val="0"/>
          <w:bCs w:val="0"/>
        </w:rPr>
      </w:pPr>
      <w:bookmarkStart w:name="（2）本期计提、收回或转回的坏账准备情况" w:id="439"/>
      <w:bookmarkEnd w:id="4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3" w:right="0"/>
        <w:jc w:val="left"/>
      </w:pPr>
      <w:r>
        <w:rPr/>
        <w:t>本期计提坏账准备金额</w:t>
      </w:r>
      <w:r>
        <w:rPr>
          <w:spacing w:val="-47"/>
        </w:rPr>
        <w:t> </w:t>
      </w:r>
      <w:r>
        <w:rPr>
          <w:rFonts w:ascii="Times New Roman" w:hAnsi="Times New Roman" w:cs="Times New Roman" w:eastAsia="Times New Roman" w:hint="default"/>
        </w:rPr>
        <w:t>6,545,384.38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253" w:right="0"/>
        <w:jc w:val="left"/>
        <w:rPr>
          <w:b w:val="0"/>
          <w:bCs w:val="0"/>
        </w:rPr>
      </w:pPr>
      <w:bookmarkStart w:name="（3）本期实际核销的应收账款情况" w:id="440"/>
      <w:bookmarkEnd w:id="4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54" w:right="0"/>
        <w:jc w:val="left"/>
        <w:rPr>
          <w:b w:val="0"/>
          <w:bCs w:val="0"/>
        </w:rPr>
      </w:pPr>
      <w:bookmarkStart w:name="（4）按欠款方归集的期末余额前五名的应收账款情况" w:id="441"/>
      <w:bookmarkEnd w:id="4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2675"/>
        <w:gridCol w:w="1844"/>
        <w:gridCol w:w="1134"/>
        <w:gridCol w:w="1134"/>
        <w:gridCol w:w="1952"/>
      </w:tblGrid>
      <w:tr>
        <w:trPr>
          <w:trHeight w:val="1538"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12" w:right="111"/>
              <w:jc w:val="center"/>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95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397"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60,456,423.25</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21.54</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1,813,692.70</w:t>
            </w:r>
          </w:p>
        </w:tc>
      </w:tr>
      <w:tr>
        <w:trPr>
          <w:trHeight w:val="397"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25,976,189.88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9.26</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779,285.70</w:t>
            </w:r>
          </w:p>
        </w:tc>
      </w:tr>
      <w:tr>
        <w:trPr>
          <w:trHeight w:val="39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25,363,154.08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9.04</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760,894.62</w:t>
            </w:r>
          </w:p>
        </w:tc>
      </w:tr>
      <w:tr>
        <w:trPr>
          <w:trHeight w:val="397"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22,195,711.39</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7.91</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665,871.34</w:t>
            </w:r>
          </w:p>
        </w:tc>
      </w:tr>
      <w:tr>
        <w:trPr>
          <w:trHeight w:val="397"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17,967,006.94</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6.40</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539,010.21</w:t>
            </w:r>
          </w:p>
        </w:tc>
      </w:tr>
      <w:tr>
        <w:trPr>
          <w:trHeight w:val="411"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6"/>
              <w:jc w:val="right"/>
              <w:rPr>
                <w:rFonts w:ascii="宋体" w:hAnsi="宋体" w:cs="宋体" w:eastAsia="宋体" w:hint="default"/>
                <w:sz w:val="18"/>
                <w:szCs w:val="18"/>
              </w:rPr>
            </w:pPr>
            <w:r>
              <w:rPr>
                <w:rFonts w:ascii="宋体"/>
                <w:b/>
                <w:w w:val="95"/>
                <w:sz w:val="18"/>
              </w:rPr>
              <w:t>151,958,485.54</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b/>
                <w:w w:val="95"/>
                <w:sz w:val="18"/>
              </w:rPr>
              <w:t>54.15</w:t>
            </w:r>
            <w:r>
              <w:rPr>
                <w:rFonts w:ascii="宋体"/>
                <w:sz w:val="18"/>
              </w:rPr>
            </w:r>
          </w:p>
        </w:tc>
        <w:tc>
          <w:tcPr>
            <w:tcW w:w="19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4,558,754.57</w:t>
            </w:r>
            <w:r>
              <w:rPr>
                <w:rFonts w:ascii="宋体"/>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254" w:right="0"/>
        <w:jc w:val="left"/>
        <w:rPr>
          <w:b w:val="0"/>
          <w:bCs w:val="0"/>
        </w:rPr>
      </w:pPr>
      <w:bookmarkStart w:name="2、其他应收款" w:id="442"/>
      <w:bookmarkEnd w:id="44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left"/>
        <w:rPr>
          <w:b w:val="0"/>
          <w:bCs w:val="0"/>
        </w:rPr>
      </w:pPr>
      <w:bookmarkStart w:name="（1）其他应收款分类披露" w:id="443"/>
      <w:bookmarkEnd w:id="4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509,809,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848.62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307,646.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509,502,2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342,524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,682.72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217,130.2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342,307,55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2.44</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509,809,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848.62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307,646.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509,502,2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342,524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,682.72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217,130.2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342,307,55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80" w:right="0"/>
        </w:sectPr>
      </w:pPr>
    </w:p>
    <w:p>
      <w:pPr>
        <w:pStyle w:val="BodyText"/>
        <w:spacing w:line="240" w:lineRule="auto" w:before="51"/>
        <w:ind w:left="254" w:right="-20"/>
        <w:jc w:val="left"/>
      </w:pPr>
      <w:r>
        <w:rPr/>
        <w:t>期末单项金额重大并单项计提坏账准备的其他应收款：</w:t>
      </w:r>
    </w:p>
    <w:p>
      <w:pPr>
        <w:pStyle w:val="BodyText"/>
        <w:spacing w:line="340" w:lineRule="auto" w:before="116"/>
        <w:ind w:left="2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2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253" w:right="0"/>
        <w:jc w:val="left"/>
      </w:pPr>
      <w:r>
        <w:rPr/>
        <w:t>单位： 元</w:t>
      </w:r>
    </w:p>
    <w:p>
      <w:pPr>
        <w:spacing w:after="0" w:line="240" w:lineRule="auto"/>
        <w:jc w:val="left"/>
        <w:sectPr>
          <w:type w:val="continuous"/>
          <w:pgSz w:w="11910" w:h="16840"/>
          <w:pgMar w:top="1060" w:bottom="1160" w:left="880" w:right="0"/>
          <w:cols w:num="2" w:equalWidth="0">
            <w:col w:w="4575" w:space="4255"/>
            <w:col w:w="22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381,940.21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11,458.21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381,940.21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11,458.21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185,188.00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185,188.00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1,122,128.21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307,646.21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spacing w:line="240" w:lineRule="auto" w:before="2"/>
        <w:rPr>
          <w:rFonts w:ascii="宋体" w:hAnsi="宋体" w:cs="宋体" w:eastAsia="宋体" w:hint="default"/>
          <w:sz w:val="24"/>
          <w:szCs w:val="24"/>
        </w:rPr>
      </w:pPr>
    </w:p>
    <w:p>
      <w:pPr>
        <w:pStyle w:val="BodyText"/>
        <w:spacing w:line="360" w:lineRule="auto"/>
        <w:ind w:left="154" w:right="6252"/>
        <w:jc w:val="left"/>
      </w:pPr>
      <w:r>
        <w:rPr/>
        <w:t>确定该组合的依据为信用风险特征相同。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44"/>
      <w:bookmarkEnd w:id="4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90,515.93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本期实际核销的其他应收款情况" w:id="445"/>
      <w:bookmarkEnd w:id="44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446"/>
      <w:bookmarkEnd w:id="44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508,687,720.41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341,442,751.89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740,188.00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750,188.00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169,734.69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198,799.71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212,205.52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132,943.12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509,809,848.62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342,524,682.72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447"/>
      <w:bookmarkEnd w:id="44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225,127,005.56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110,217,451.97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107,962,683.40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35,284,284.51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28,545,200.17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507,136,625.61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448"/>
      <w:bookmarkEnd w:id="44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4,463,396,857.76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4,463,396,857.76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4,546,996,857.76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4,546,996,857.76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4,463,396,857.76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4,463,396,857.76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4,546,996,857.76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4,546,996,857.76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9"/>
      <w:bookmarkEnd w:id="44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青岛海立达冲压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269,808,955.89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269,808,955.89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青岛海立美达电 机有限公司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121,720,779.33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121,720,779.33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青岛海立美达模 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6,413,863.78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6,413,863.78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青岛海立美达精 密机械制造有限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宁波泰鸿机电有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114,736,900.00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214,736,900.00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湖南海立美达钢 板加工配送有限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日照兴业汽车配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日照兴发汽车零 部件制造有限公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烟台海立美达精 密钢制品有限公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湖北海立田汽车 部件有限公司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海立美达香港有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3,092,800.00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上海海众实业发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118,989,380.00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118,989,380.00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3,538,834,178.76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3,621,834,178.76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青岛海立美达电 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4,546,996,857.76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4,463,396,857.76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50"/>
      <w:bookmarkEnd w:id="45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451"/>
      <w:bookmarkEnd w:id="45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1,250,154,387.29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1,144,612,169.83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693,882,916.41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646,391,632.23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3,339,745.34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506,623.70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3,281,719.19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1,328,621.72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1,253,494,132.63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1,145,118,793.53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697,164,635.60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647,720,253.95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52"/>
      <w:bookmarkEnd w:id="45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111,849,838.83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-5,304,555.05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25,325,162.73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-5,304,555.05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137,175,001.56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八、补充资料" w:id="453"/>
      <w:bookmarkEnd w:id="45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54"/>
      <w:bookmarkEnd w:id="45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-278,779.86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35,686,989.31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3,525,021.78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8,146,513.92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2,449,294.32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28,337,422.99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55"/>
      <w:bookmarkEnd w:id="45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56"/>
      <w:bookmarkEnd w:id="45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57"/>
      <w:bookmarkEnd w:id="45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58"/>
      <w:bookmarkEnd w:id="45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left="153" w:right="0"/>
        <w:jc w:val="left"/>
        <w:rPr>
          <w:b w:val="0"/>
          <w:bCs w:val="0"/>
        </w:rPr>
      </w:pPr>
      <w:bookmarkStart w:name="（3）境内外会计准则下会计数据差异原因说明，对已经境外审计机构审计的数据进行差异" w:id="459"/>
      <w:bookmarkEnd w:id="45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460"/>
      <w:bookmarkEnd w:id="460"/>
      <w:r>
        <w:rPr>
          <w:b w:val="0"/>
          <w:bCs w:val="0"/>
        </w:rPr>
      </w:r>
      <w:bookmarkStart w:name="_bookmark10" w:id="461"/>
      <w:bookmarkEnd w:id="461"/>
      <w:r>
        <w:rPr>
          <w:b w:val="0"/>
          <w:bCs w:val="0"/>
        </w:rPr>
      </w:r>
      <w:r>
        <w:rPr/>
        <w:t>第十二节</w:t>
      </w:r>
      <w:r>
        <w:rPr>
          <w:spacing w:val="-7"/>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2490"/>
        <w:jc w:val="left"/>
      </w:pPr>
      <w:r>
        <w:rPr/>
        <w:t>一、载有法定代表人、主管会计工作负责人、会计机构负责人（会计主管人员）签名并盖章的会计报表。 二、载有会计师事务所盖章、注册会计师签名并盖章的审计报告原件。 三、报告期内在中国证监会指定媒体上公开披露过的所有公司文件的正本及公告的原稿。 四、载有法定代表人签名的</w:t>
      </w:r>
      <w:r>
        <w:rPr>
          <w:rFonts w:ascii="Times New Roman" w:hAnsi="Times New Roman" w:cs="Times New Roman" w:eastAsia="Times New Roman" w:hint="default"/>
        </w:rPr>
        <w:t>2017</w:t>
      </w:r>
      <w:r>
        <w:rPr/>
        <w:t>年年度报告文本原件。 五、以上备查文件的备置地点：公司证券投资部。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6" w:lineRule="auto"/>
        <w:ind w:left="7993" w:right="1113" w:hanging="360"/>
        <w:jc w:val="left"/>
      </w:pPr>
      <w:r>
        <w:rPr/>
        <w:t>海联金汇科技股份有限公司 法定代表人：刘国平</w:t>
      </w:r>
    </w:p>
    <w:p>
      <w:pPr>
        <w:pStyle w:val="BodyText"/>
        <w:spacing w:line="240" w:lineRule="auto" w:before="19"/>
        <w:ind w:left="0" w:right="1670"/>
        <w:jc w:val="right"/>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94992" type="#_x0000_t75" stroked="false">
          <v:imagedata r:id="rId1" o:title=""/>
        </v:shape>
      </w:pict>
    </w:r>
    <w:r>
      <w:rPr/>
      <w:pict>
        <v:shape style="position:absolute;margin-left:533.179993pt;margin-top:795.517944pt;width:6.5pt;height:11pt;mso-position-horizontal-relative:page;mso-position-vertical-relative:page;z-index:-1394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94944" type="#_x0000_t75" stroked="false">
          <v:imagedata r:id="rId1" o:title=""/>
        </v:shape>
      </w:pict>
    </w:r>
    <w:r>
      <w:rPr/>
      <w:pict>
        <v:shape style="position:absolute;margin-left:527.679993pt;margin-top:781.957947pt;width:13pt;height:11pt;mso-position-horizontal-relative:page;mso-position-vertical-relative:page;z-index:-1394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94896" type="#_x0000_t75" stroked="false">
          <v:imagedata r:id="rId1" o:title=""/>
        </v:shape>
      </w:pict>
    </w:r>
    <w:r>
      <w:rPr/>
      <w:pict>
        <v:shape style="position:absolute;margin-left:524.179993pt;margin-top:781.957947pt;width:15.5pt;height:11pt;mso-position-horizontal-relative:page;mso-position-vertical-relative:page;z-index:-1394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94848" type="#_x0000_t75" stroked="false">
          <v:imagedata r:id="rId1" o:title=""/>
        </v:shape>
      </w:pict>
    </w:r>
    <w:r>
      <w:rPr/>
      <w:pict>
        <v:shape style="position:absolute;margin-left:523.179993pt;margin-top:781.957947pt;width:17.5pt;height:11pt;mso-position-horizontal-relative:page;mso-position-vertical-relative:page;z-index:-1394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94800" type="#_x0000_t75" stroked="false">
          <v:imagedata r:id="rId1" o:title=""/>
        </v:shape>
      </w:pict>
    </w:r>
    <w:r>
      <w:rPr/>
      <w:pict>
        <v:shape style="position:absolute;margin-left:524.179993pt;margin-top:781.957947pt;width:15.5pt;height:11pt;mso-position-horizontal-relative:page;mso-position-vertical-relative:page;z-index:-1394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94752" type="#_x0000_t75" stroked="false">
          <v:imagedata r:id="rId1" o:title=""/>
        </v:shape>
      </w:pict>
    </w:r>
    <w:r>
      <w:rPr/>
      <w:pict>
        <v:shape style="position:absolute;margin-left:523.179993pt;margin-top:781.957947pt;width:17.5pt;height:11pt;mso-position-horizontal-relative:page;mso-position-vertical-relative:page;z-index:-1394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395016" type="#_x0000_t202" filled="false" stroked="false">
          <v:textbox inset="0,0,0,0">
            <w:txbxContent>
              <w:p>
                <w:pPr>
                  <w:pStyle w:val="BodyText"/>
                  <w:spacing w:line="214" w:lineRule="exact"/>
                  <w:ind w:left="20" w:right="0"/>
                  <w:jc w:val="left"/>
                </w:pPr>
                <w:r>
                  <w:rPr/>
                  <w:t>海联金汇科技股份有限公司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20"/>
      <w:szCs w:val="20"/>
    </w:rPr>
  </w:style>
  <w:style w:styleId="Heading5" w:type="paragraph">
    <w:name w:val="Heading 5"/>
    <w:basedOn w:val="Normal"/>
    <w:uiPriority w:val="1"/>
    <w:qFormat/>
    <w:pPr>
      <w:ind w:left="153"/>
      <w:outlineLvl w:val="5"/>
    </w:pPr>
    <w:rPr>
      <w:rFonts w:ascii="宋体" w:hAnsi="宋体" w:eastAsia="宋体"/>
      <w:sz w:val="20"/>
      <w:szCs w:val="20"/>
    </w:rPr>
  </w:style>
  <w:style w:styleId="Heading6" w:type="paragraph">
    <w:name w:val="Heading 6"/>
    <w:basedOn w:val="Normal"/>
    <w:uiPriority w:val="1"/>
    <w:qFormat/>
    <w:pPr>
      <w:ind w:left="51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aili.com.cn/" TargetMode="External"/><Relationship Id="rId9" Type="http://schemas.openxmlformats.org/officeDocument/2006/relationships/hyperlink" Target="mailto:hlmo@haili.com.cn" TargetMode="External"/><Relationship Id="rId10" Type="http://schemas.openxmlformats.org/officeDocument/2006/relationships/hyperlink" Target="mailto:zhoujianfu@haili.com.cn" TargetMode="External"/><Relationship Id="rId11" Type="http://schemas.openxmlformats.org/officeDocument/2006/relationships/hyperlink" Target="mailto:qixiumei@haili.com.cn" TargetMode="External"/><Relationship Id="rId12" Type="http://schemas.openxmlformats.org/officeDocument/2006/relationships/hyperlink" Target="http://www.cninfo.com.cn/" TargetMode="External"/><Relationship Id="rId13" Type="http://schemas.openxmlformats.org/officeDocument/2006/relationships/hyperlink" Target="http://www.thebigdata.cn/YeJieDongTai/7180.html"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footer" Target="footer5.xml"/><Relationship Id="rId2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海联金汇科技股份有限公司</dc:creator>
  <dc:title>海联金汇科技股份有限公司2017年年度报告全文</dc:title>
  <dcterms:created xsi:type="dcterms:W3CDTF">2020-05-02T22:41:28Z</dcterms:created>
  <dcterms:modified xsi:type="dcterms:W3CDTF">2020-05-02T22:41:28Z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Office Word 2007</vt:lpwstr>
  </property>
  <property fmtid="{D5CDD505-2E9C-101B-9397-08002B2CF9AE}" pid="4" name="LastSaved">
    <vt:filetime>2020-05-02T00:00:00Z</vt:filetime>
  </property>
</Properties>
</file>