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922" w:lineRule="exact"/>
        <w:ind w:left="30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2419557" cy="58578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419557" cy="585787"/>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海联金汇科技股份有限公司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公司负责人刘国平、主管会计工作负责人洪晓明及会计机构负责人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姜春梅声明：保证年度报告中财务报告的真实、准确、完整。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本年度报告中涉及的未来发展战略、业绩规划等前瞻性内容是公司自己提</w:t>
      </w:r>
      <w:r>
        <w:rPr>
          <w:rFonts w:ascii="宋体" w:hAnsi="宋体" w:cs="宋体" w:eastAsia="宋体" w:hint="default"/>
          <w:spacing w:val="3"/>
          <w:sz w:val="28"/>
          <w:szCs w:val="28"/>
        </w:rPr>
      </w:r>
    </w:p>
    <w:p>
      <w:pPr>
        <w:spacing w:line="408"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出的目标，属于计划性事项，能否实现取决于市场状况变化等多种因素，存在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不确定性，并不代表公司对未来年度的盈利预测，也不构成公司对投资者及相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关人士的实质性承诺。投资者及相关人士均应对此保持足够的风险认识，并且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应当理解计划、预测与承诺之间的差异。敬请投资者注意投资风险！</w:t>
      </w:r>
      <w:r>
        <w:rPr>
          <w:rFonts w:ascii="宋体" w:hAnsi="宋体" w:cs="宋体" w:eastAsia="宋体" w:hint="default"/>
          <w:sz w:val="28"/>
          <w:szCs w:val="28"/>
        </w:rPr>
      </w:r>
    </w:p>
    <w:p>
      <w:pPr>
        <w:spacing w:line="386" w:lineRule="auto" w:before="161"/>
        <w:ind w:left="154"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中公司未来发展面临的展望部</w:t>
      </w:r>
      <w:r>
        <w:rPr>
          <w:rFonts w:ascii="宋体" w:hAnsi="宋体" w:cs="宋体" w:eastAsia="宋体" w:hint="default"/>
          <w:b/>
          <w:bCs/>
          <w:w w:val="99"/>
          <w:sz w:val="28"/>
          <w:szCs w:val="28"/>
        </w:rPr>
        <w:t> </w:t>
      </w:r>
      <w:r>
        <w:rPr>
          <w:rFonts w:ascii="宋体" w:hAnsi="宋体" w:cs="宋体" w:eastAsia="宋体" w:hint="default"/>
          <w:b/>
          <w:bCs/>
          <w:sz w:val="28"/>
          <w:szCs w:val="28"/>
        </w:rPr>
        <w:t>分描述了公司</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年重点经营计划，敬请广大投资者注意查阅。</w:t>
      </w:r>
      <w:r>
        <w:rPr>
          <w:rFonts w:ascii="宋体" w:hAnsi="宋体" w:cs="宋体" w:eastAsia="宋体" w:hint="default"/>
          <w:sz w:val="28"/>
          <w:szCs w:val="28"/>
        </w:rPr>
      </w:r>
    </w:p>
    <w:p>
      <w:pPr>
        <w:spacing w:before="145"/>
        <w:ind w:left="716"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公司经</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次董事</w:t>
      </w:r>
      <w:r>
        <w:rPr>
          <w:rFonts w:ascii="宋体" w:hAnsi="宋体" w:cs="宋体" w:eastAsia="宋体" w:hint="default"/>
          <w:b/>
          <w:bCs/>
          <w:spacing w:val="2"/>
          <w:w w:val="99"/>
          <w:sz w:val="28"/>
          <w:szCs w:val="28"/>
        </w:rPr>
        <w:t>会</w:t>
      </w:r>
      <w:r>
        <w:rPr>
          <w:rFonts w:ascii="宋体" w:hAnsi="宋体" w:cs="宋体" w:eastAsia="宋体" w:hint="default"/>
          <w:b/>
          <w:bCs/>
          <w:w w:val="99"/>
          <w:sz w:val="28"/>
          <w:szCs w:val="28"/>
        </w:rPr>
        <w:t>审议通</w:t>
      </w:r>
      <w:r>
        <w:rPr>
          <w:rFonts w:ascii="宋体" w:hAnsi="宋体" w:cs="宋体" w:eastAsia="宋体" w:hint="default"/>
          <w:b/>
          <w:bCs/>
          <w:spacing w:val="2"/>
          <w:w w:val="99"/>
          <w:sz w:val="28"/>
          <w:szCs w:val="28"/>
        </w:rPr>
        <w:t>过</w:t>
      </w:r>
      <w:r>
        <w:rPr>
          <w:rFonts w:ascii="宋体" w:hAnsi="宋体" w:cs="宋体" w:eastAsia="宋体" w:hint="default"/>
          <w:b/>
          <w:bCs/>
          <w:w w:val="99"/>
          <w:sz w:val="28"/>
          <w:szCs w:val="28"/>
        </w:rPr>
        <w:t>的利润</w:t>
      </w:r>
      <w:r>
        <w:rPr>
          <w:rFonts w:ascii="宋体" w:hAnsi="宋体" w:cs="宋体" w:eastAsia="宋体" w:hint="default"/>
          <w:b/>
          <w:bCs/>
          <w:spacing w:val="2"/>
          <w:w w:val="99"/>
          <w:sz w:val="28"/>
          <w:szCs w:val="28"/>
        </w:rPr>
        <w:t>分</w:t>
      </w:r>
      <w:r>
        <w:rPr>
          <w:rFonts w:ascii="宋体" w:hAnsi="宋体" w:cs="宋体" w:eastAsia="宋体" w:hint="default"/>
          <w:b/>
          <w:bCs/>
          <w:w w:val="99"/>
          <w:sz w:val="28"/>
          <w:szCs w:val="28"/>
        </w:rPr>
        <w:t>配预案</w:t>
      </w:r>
      <w:r>
        <w:rPr>
          <w:rFonts w:ascii="宋体" w:hAnsi="宋体" w:cs="宋体" w:eastAsia="宋体" w:hint="default"/>
          <w:b/>
          <w:bCs/>
          <w:spacing w:val="2"/>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1,209</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316,145</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54" w:right="1136" w:firstLine="0"/>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109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114</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252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36"/>
        <w:gridCol w:w="599"/>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中国证券监督管理委员会青岛监管局</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本年、本年度、本期、报告期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上年、上年度、上期、上年同期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海联金汇科技股份有限公司前身青岛海立美达股份有限公司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控股股东青岛海立控股有限公司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股东中国移动通信集团有限公司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股东银联商务股份有限公司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股东北京博升优势科技发展有限公司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海立钢制品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青岛海立控股有限公司前身青岛海立钢制品有限公司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天晨投资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股东青岛天晨投资有限公司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全资子公司联动优势科技有限公司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全资子公司青岛海立美达电机有限公司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全资子公司青岛海立达冲压件有限公司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全资子公司青岛海立美达精密机械制造有限公司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全资子公司湖南海立美达钢板加工配送有限公司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烟台海立美达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全资子公司烟台海立美达精密钢制品有限公司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全资子公司海立美达香港有限公司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海立美达模具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全资子公司青岛海立美达模具有限公司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宁波泰鸿机电</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全资子公司宁波泰鸿机电有限公司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湖北海立田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控股子公司湖北海立田汽车部件有限公司</w:t>
            </w:r>
          </w:p>
        </w:tc>
      </w:tr>
      <w:tr>
        <w:trPr>
          <w:trHeight w:val="402"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上海海众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全资子公司上海海众实业发展有限公司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525"/>
        <w:gridCol w:w="621"/>
        <w:gridCol w:w="5425"/>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湖北海立美达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湖北福田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1"/>
              <w:jc w:val="left"/>
              <w:rPr>
                <w:rFonts w:ascii="宋体" w:hAnsi="宋体" w:cs="宋体" w:eastAsia="宋体" w:hint="default"/>
                <w:sz w:val="18"/>
                <w:szCs w:val="18"/>
              </w:rPr>
            </w:pPr>
            <w:r>
              <w:rPr>
                <w:rFonts w:ascii="宋体" w:hAnsi="宋体" w:cs="宋体" w:eastAsia="宋体" w:hint="default"/>
                <w:sz w:val="18"/>
                <w:szCs w:val="18"/>
              </w:rPr>
              <w:t>控股子公司湖北海立美达汽车有限公司前身湖北福田专用汽车有限 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海立美达科技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控股子公司青岛海立美达科技有限公司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上海和达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控股子公司上海和达汽车配件有限公司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联动商务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三级子公司联动优势电子商务有限公司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安派国际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三级子公司安派国际控股有限公司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万金通达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三级子公司青岛万金通达经济信息服务有限公司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宁波冲压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三级子公司宁波泰鸿冲压件有限公司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宁波海立美达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三级子公司宁波海立美达汽车部件有限公司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宝鸡泰鸿机电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三级子公司宝鸡泰鸿机电有限公司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舟山陆泰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三级子公司舟山陆泰石油化工有限公司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海美房地产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三级子公司枣阳市海美房地产开发有限公司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枣庄海立美达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三级子公司枣庄海立美达模具有限公司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海联金科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三级子公司海联金汇（北京）金融科技有限公司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联保汇通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三级子公司联保汇通（汕头）保险代理有限公司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蜜小蜂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三级子公司蜜小蜂智慧（北京）科技有限公司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宁德和达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三级子公司宁德和达汽车配件有限公司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三级子公司天津和达汽车配件有限公司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梅州和达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三级子公司梅州和达汽车配件有限公司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安派美国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Umpire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International</w:t>
            </w: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r>
              <w:rPr>
                <w:rFonts w:ascii="Times New Roman" w:hAnsi="Times New Roman" w:cs="Times New Roman" w:eastAsia="Times New Roman" w:hint="default"/>
                <w:sz w:val="18"/>
                <w:szCs w:val="18"/>
              </w:rPr>
              <w:t>LLC.</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安派加拿大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四级子公司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Union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Financial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(Canada)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Corporation</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联动加拿大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四级子公司联动优势科技（加拿大）有限公司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迪达能化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四级子公司哈尔滨迪达能化科技有限公司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玖联金通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四级子公司北京玖联金通科技有限公司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博苑地产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海基置业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4.020004pt;margin-top:272.779968pt;width:361.5pt;height:19.6pt;mso-position-horizontal-relative:page;mso-position-vertical-relative:page;z-index:-1708984" coordorigin="3480,5456" coordsize="7230,392">
            <v:shape style="position:absolute;left:3480;top:5456;width:7230;height:392" coordorigin="3480,5456" coordsize="7230,392" path="m3480,5847l10710,5847,10710,5456,3480,5456,3480,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2261"/>
        <w:gridCol w:w="2977"/>
        <w:gridCol w:w="2133"/>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海联金汇</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002537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海联金汇科技股份有限公司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海联金汇</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HyUnion Holding</w:t>
            </w:r>
            <w:r>
              <w:rPr>
                <w:rFonts w:ascii="Times New Roman"/>
                <w:spacing w:val="-4"/>
                <w:sz w:val="18"/>
              </w:rPr>
              <w:t> </w:t>
            </w:r>
            <w:r>
              <w:rPr>
                <w:rFonts w:ascii="Times New Roman"/>
                <w:sz w:val="18"/>
              </w:rPr>
              <w:t>Co.,Ltd</w:t>
            </w:r>
          </w:p>
        </w:tc>
      </w:tr>
      <w:tr>
        <w:trPr>
          <w:trHeight w:val="402" w:hRule="exact"/>
        </w:trPr>
        <w:tc>
          <w:tcPr>
            <w:tcW w:w="226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2" w:right="-5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9" w:space="0" w:color="FFFFFF"/>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HyUnion</w:t>
            </w:r>
            <w:r>
              <w:rPr>
                <w:rFonts w:ascii="Times New Roman"/>
                <w:spacing w:val="-3"/>
                <w:sz w:val="18"/>
              </w:rPr>
              <w:t> </w:t>
            </w:r>
            <w:r>
              <w:rPr>
                <w:rFonts w:ascii="Times New Roman"/>
                <w:sz w:val="18"/>
              </w:rPr>
              <w:t>Holding</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www.haili.com.cn</w:t>
              </w:r>
            </w:hyperlink>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hlmo@haili.com.cn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王玉林</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qixiumei@haili.com.cn</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wangyulin@haili.com.cn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3"/>
        <w:gridCol w:w="5577"/>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山东省青岛市即墨区青威路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号公司证券投资部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191"/>
        <w:gridCol w:w="637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91370200766733419J</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路清、刘玉显</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广东省广州市天河区马场路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号广发证券大厦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曲圣宁、胡嘉志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94" w:type="dxa"/>
        <w:tblLayout w:type="fixed"/>
        <w:tblCellMar>
          <w:top w:w="0" w:type="dxa"/>
          <w:left w:w="0" w:type="dxa"/>
          <w:bottom w:w="0" w:type="dxa"/>
          <w:right w:w="0" w:type="dxa"/>
        </w:tblCellMar>
        <w:tblLook w:val="01E0"/>
      </w:tblPr>
      <w:tblGrid>
        <w:gridCol w:w="2598"/>
        <w:gridCol w:w="1750"/>
        <w:gridCol w:w="1736"/>
        <w:gridCol w:w="1738"/>
        <w:gridCol w:w="1736"/>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5,011,239,084.54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3,996,047,149.80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2,634,295,194.85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133,239,222.45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413,945,815.86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232,922,577.80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66,830,172.17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385,608,392.87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211,704,671.38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228,020,043.73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-157,936,811.60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433,617,738.27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9,433,590,649.69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18,960,797,539.17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14,245,477,771.78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622"/>
        <w:gridCol w:w="1739"/>
        <w:gridCol w:w="1736"/>
        <w:gridCol w:w="1738"/>
        <w:gridCol w:w="1736"/>
      </w:tblGrid>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6,527,353,510.93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6,967,479,622.61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6,584,367,006.64</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5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2610"/>
        <w:gridCol w:w="1740"/>
        <w:gridCol w:w="1739"/>
        <w:gridCol w:w="1739"/>
        <w:gridCol w:w="1730"/>
      </w:tblGrid>
      <w:tr>
        <w:trPr>
          <w:trHeight w:val="402"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1,181,349,169.97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1,324,993,638.34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1,164,263,685.78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1,340,632,590.45</w:t>
            </w:r>
          </w:p>
        </w:tc>
      </w:tr>
      <w:tr>
        <w:trPr>
          <w:trHeight w:val="402"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94,529,563.07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100,257,392.15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93,602,773.53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-155,150,506.30</w:t>
            </w:r>
          </w:p>
        </w:tc>
      </w:tr>
      <w:tr>
        <w:trPr>
          <w:trHeight w:val="714"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93,431,001.32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90,136,804.28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65,447,296.09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-182,184,929.52</w:t>
            </w:r>
          </w:p>
        </w:tc>
      </w:tr>
      <w:tr>
        <w:trPr>
          <w:trHeight w:val="402"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-26,038,333.13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13,080,617.55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16,063,873.80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224,913,885.51</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3273"/>
        <w:gridCol w:w="1533"/>
        <w:gridCol w:w="1519"/>
        <w:gridCol w:w="1523"/>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1,242,930.55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-278,779.86</w:t>
            </w:r>
            <w:r>
              <w:rPr>
                <w:rFonts w:ascii="Times New Roman"/>
                <w:sz w:val="18"/>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-3,493,905.65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3,646,675.82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35,686,989.31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56,507,934.67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67,336,618.11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297"/>
        <w:gridCol w:w="1521"/>
        <w:gridCol w:w="1519"/>
        <w:gridCol w:w="1523"/>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2,721,575.90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3,525,021.78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-8,733,013.02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8,013,853.26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8,146,513.92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10,889,040.47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524,896.84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2,449,294.32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12,174,069.11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66,409,050.28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28,337,422.99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21,217,906.42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360" w:lineRule="auto" w:before="102"/>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（一）报告期内公司从事的主要业务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报告期内，公司金融科技板块主要从事第三方支付服务、大数据服务、移动信息服务、跨境电商服务及运营商计费结算</w:t>
      </w:r>
    </w:p>
    <w:p>
      <w:pPr>
        <w:pStyle w:val="BodyText"/>
        <w:spacing w:line="222" w:lineRule="exact"/>
        <w:ind w:right="0"/>
        <w:jc w:val="both"/>
      </w:pPr>
      <w:r>
        <w:rPr>
          <w:spacing w:val="-5"/>
        </w:rPr>
        <w:t>服务业务；智能制造板块主要从事汽车及配件、家电配件等产品的生产与销售业务。报告期内，公司主要业务经营情况如下：</w:t>
      </w:r>
    </w:p>
    <w:p>
      <w:pPr>
        <w:pStyle w:val="Heading8"/>
        <w:spacing w:line="240" w:lineRule="auto" w:before="115"/>
        <w:ind w:left="515" w:right="0"/>
        <w:jc w:val="left"/>
        <w:rPr>
          <w:b w:val="0"/>
          <w:bCs w:val="0"/>
        </w:rPr>
      </w:pPr>
      <w:r>
        <w:rPr/>
        <w:t>金融科技板块介绍：</w:t>
      </w:r>
      <w:r>
        <w:rPr>
          <w:b w:val="0"/>
          <w:bCs w:val="0"/>
        </w:rPr>
      </w:r>
    </w:p>
    <w:p>
      <w:pPr>
        <w:pStyle w:val="BodyText"/>
        <w:spacing w:line="300" w:lineRule="auto" w:before="76"/>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、第三方支付服务</w:t>
      </w:r>
      <w:r>
        <w:rPr>
          <w:rFonts w:ascii="宋体" w:hAnsi="宋体" w:cs="宋体" w:eastAsia="宋体" w:hint="default"/>
          <w:b/>
          <w:bCs/>
          <w:w w:val="99"/>
        </w:rPr>
        <w:t> </w:t>
      </w:r>
      <w:r>
        <w:rPr>
          <w:spacing w:val="-3"/>
        </w:rPr>
        <w:t>第三方支付是公司金融科技板块重点发展的核心业务之一，公司拥有在全国范围内从事</w:t>
      </w:r>
      <w:r>
        <w:rPr>
          <w:rFonts w:ascii="Times New Roman" w:hAnsi="Times New Roman" w:cs="Times New Roman" w:eastAsia="Times New Roman" w:hint="default"/>
          <w:spacing w:val="-3"/>
        </w:rPr>
        <w:t>“</w:t>
      </w:r>
      <w:r>
        <w:rPr>
          <w:spacing w:val="-3"/>
        </w:rPr>
        <w:t>互联网支付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移动电话支付</w:t>
      </w:r>
      <w:r>
        <w:rPr>
          <w:rFonts w:ascii="Times New Roman" w:hAnsi="Times New Roman" w:cs="Times New Roman" w:eastAsia="Times New Roman" w:hint="default"/>
          <w:spacing w:val="-3"/>
        </w:rPr>
        <w:t>”</w:t>
      </w:r>
      <w:r>
        <w:rPr>
          <w:spacing w:val="-3"/>
        </w:rPr>
        <w:t>、</w:t>
      </w:r>
    </w:p>
    <w:p>
      <w:pPr>
        <w:pStyle w:val="BodyText"/>
        <w:spacing w:line="307" w:lineRule="auto" w:before="13"/>
        <w:ind w:right="1132"/>
        <w:jc w:val="both"/>
      </w:pPr>
      <w:r>
        <w:rPr>
          <w:rFonts w:ascii="Times New Roman" w:hAnsi="Times New Roman" w:cs="Times New Roman" w:eastAsia="Times New Roman" w:hint="default"/>
          <w:spacing w:val="-2"/>
        </w:rPr>
        <w:t>“</w:t>
      </w:r>
      <w:r>
        <w:rPr>
          <w:spacing w:val="-2"/>
        </w:rPr>
        <w:t>银行卡收单</w:t>
      </w:r>
      <w:r>
        <w:rPr>
          <w:rFonts w:ascii="Times New Roman" w:hAnsi="Times New Roman" w:cs="Times New Roman" w:eastAsia="Times New Roman" w:hint="default"/>
          <w:spacing w:val="-2"/>
        </w:rPr>
        <w:t>”</w:t>
      </w:r>
      <w:r>
        <w:rPr>
          <w:spacing w:val="-2"/>
        </w:rPr>
        <w:t>业务许可牌照。</w:t>
      </w:r>
      <w:r>
        <w:rPr>
          <w:rFonts w:ascii="Times New Roman" w:hAnsi="Times New Roman" w:cs="Times New Roman" w:eastAsia="Times New Roman" w:hint="default"/>
          <w:spacing w:val="-2"/>
        </w:rPr>
        <w:t>2018</w:t>
      </w:r>
      <w:r>
        <w:rPr>
          <w:spacing w:val="-2"/>
        </w:rPr>
        <w:t>年，针对外部形势及时调整了发展战略，以合规运营为前提、以快速发展补充公司服务供</w:t>
      </w:r>
      <w:r>
        <w:rPr>
          <w:spacing w:val="-41"/>
        </w:rPr>
        <w:t> </w:t>
      </w:r>
      <w:r>
        <w:rPr>
          <w:spacing w:val="-41"/>
        </w:rPr>
      </w:r>
      <w:r>
        <w:rPr>
          <w:spacing w:val="-2"/>
        </w:rPr>
        <w:t>给侧场景为目的，进一步优化第三方支付产业及客户结构，为企业和个人用户提供综合支付、金融信息、商业营销、大数据</w:t>
      </w:r>
      <w:r>
        <w:rPr>
          <w:spacing w:val="-66"/>
        </w:rPr>
        <w:t> </w:t>
      </w:r>
      <w:r>
        <w:rPr>
          <w:spacing w:val="-66"/>
        </w:rPr>
      </w:r>
      <w:r>
        <w:rPr>
          <w:spacing w:val="-1"/>
        </w:rPr>
        <w:t>和跨境等金融科技服务，聚焦拓展</w:t>
      </w:r>
      <w:r>
        <w:rPr>
          <w:rFonts w:ascii="Times New Roman" w:hAnsi="Times New Roman" w:cs="Times New Roman" w:eastAsia="Times New Roman" w:hint="default"/>
          <w:spacing w:val="-1"/>
        </w:rPr>
        <w:t>B2B</w:t>
      </w:r>
      <w:r>
        <w:rPr>
          <w:spacing w:val="-1"/>
        </w:rPr>
        <w:t>产业互联网应用合作，为交通出行、金融行业、房屋经纪、线下实体经济场景等行业</w:t>
      </w:r>
      <w:r>
        <w:rPr/>
        <w:t> </w:t>
      </w:r>
      <w:r>
        <w:rPr>
          <w:spacing w:val="-2"/>
        </w:rPr>
        <w:t>提供综合解决方案，拥有丰富的客户需求匹配、行业场景匹配以及市场开拓经验，为多领域、多层次开展个性化、差异化的</w:t>
      </w:r>
      <w:r>
        <w:rPr>
          <w:spacing w:val="-66"/>
        </w:rPr>
        <w:t> </w:t>
      </w:r>
      <w:r>
        <w:rPr>
          <w:spacing w:val="-66"/>
        </w:rPr>
      </w:r>
      <w:r>
        <w:rPr>
          <w:spacing w:val="-1"/>
        </w:rPr>
        <w:t>产品服务，同时为客户提供</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w:t>
      </w:r>
      <w:r>
        <w:rPr>
          <w:spacing w:val="-1"/>
        </w:rPr>
        <w:t>的定制化综合解决方案。据易观统计数据显示，联动优势在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Q4</w:t>
      </w:r>
      <w:r>
        <w:rPr>
          <w:spacing w:val="-1"/>
        </w:rPr>
        <w:t>移动支付领域排名</w:t>
      </w:r>
      <w:r>
        <w:rPr>
          <w:spacing w:val="-63"/>
        </w:rPr>
        <w:t> </w:t>
      </w:r>
      <w:r>
        <w:rPr>
          <w:spacing w:val="-63"/>
        </w:rPr>
      </w:r>
      <w:r>
        <w:rPr/>
        <w:t>全国第四。</w:t>
      </w:r>
    </w:p>
    <w:p>
      <w:pPr>
        <w:pStyle w:val="BodyText"/>
        <w:spacing w:line="300" w:lineRule="auto" w:before="26"/>
        <w:ind w:left="514" w:right="1032" w:firstLine="1"/>
        <w:jc w:val="left"/>
      </w:pPr>
      <w:r>
        <w:rPr>
          <w:rFonts w:ascii="Times New Roman" w:hAnsi="Times New Roman" w:cs="Times New Roman" w:eastAsia="Times New Roman" w:hint="default"/>
          <w:b/>
          <w:bCs/>
        </w:rPr>
        <w:t>2</w:t>
      </w:r>
      <w:r>
        <w:rPr>
          <w:rFonts w:ascii="宋体" w:hAnsi="宋体" w:cs="宋体" w:eastAsia="宋体" w:hint="default"/>
          <w:b/>
          <w:bCs/>
        </w:rPr>
        <w:t>、大数据服务</w:t>
      </w:r>
      <w:r>
        <w:rPr>
          <w:rFonts w:ascii="宋体" w:hAnsi="宋体" w:cs="宋体" w:eastAsia="宋体" w:hint="default"/>
          <w:b/>
          <w:bCs/>
          <w:w w:val="99"/>
        </w:rPr>
        <w:t> </w:t>
      </w:r>
      <w:r>
        <w:rPr/>
        <w:t>随着大数据、深度学习、人工智能等技术的快速发展，促进了大数据科技在商业智能场景的新一轮进化。向金融机构、</w:t>
      </w:r>
    </w:p>
    <w:p>
      <w:pPr>
        <w:pStyle w:val="BodyText"/>
        <w:spacing w:line="309" w:lineRule="auto" w:before="31"/>
        <w:ind w:right="0"/>
        <w:jc w:val="left"/>
      </w:pPr>
      <w:r>
        <w:rPr>
          <w:spacing w:val="-4"/>
        </w:rPr>
        <w:t>类金融机构赋能是公司金融科技板块未来的发展方向，大数据科技服务将成为公司金融科技板块发展的引擎。通过人工智能、</w:t>
      </w:r>
      <w:r>
        <w:rPr>
          <w:spacing w:val="-44"/>
        </w:rPr>
        <w:t> </w:t>
      </w:r>
      <w:r>
        <w:rPr>
          <w:spacing w:val="-44"/>
        </w:rPr>
      </w:r>
      <w:r>
        <w:rPr/>
        <w:t>区块链、金融云、生物识别的智能融合，打造</w:t>
      </w:r>
      <w:r>
        <w:rPr>
          <w:rFonts w:ascii="Times New Roman" w:hAnsi="Times New Roman" w:cs="Times New Roman" w:eastAsia="Times New Roman" w:hint="default"/>
        </w:rPr>
        <w:t>“</w:t>
      </w:r>
      <w:r>
        <w:rPr/>
        <w:t>海数据 金赋能</w:t>
      </w:r>
      <w:r>
        <w:rPr>
          <w:spacing w:val="-54"/>
        </w:rPr>
        <w:t> </w:t>
      </w:r>
      <w:r>
        <w:rPr/>
        <w:t>倍（贝）生活</w:t>
      </w:r>
      <w:r>
        <w:rPr>
          <w:rFonts w:ascii="Times New Roman" w:hAnsi="Times New Roman" w:cs="Times New Roman" w:eastAsia="Times New Roman" w:hint="default"/>
        </w:rPr>
        <w:t>”</w:t>
      </w:r>
      <w:r>
        <w:rPr/>
        <w:t>的商业模式，积极为金融机构、持牌类金融机 构赋能，提供</w:t>
      </w:r>
      <w:r>
        <w:rPr>
          <w:rFonts w:ascii="Times New Roman" w:hAnsi="Times New Roman" w:cs="Times New Roman" w:eastAsia="Times New Roman" w:hint="default"/>
        </w:rPr>
        <w:t>“</w:t>
      </w:r>
      <w:r>
        <w:rPr/>
        <w:t>线上</w:t>
      </w:r>
      <w:r>
        <w:rPr>
          <w:rFonts w:ascii="Times New Roman" w:hAnsi="Times New Roman" w:cs="Times New Roman" w:eastAsia="Times New Roman" w:hint="default"/>
        </w:rPr>
        <w:t>+</w:t>
      </w:r>
      <w:r>
        <w:rPr/>
        <w:t>线下</w:t>
      </w:r>
      <w:r>
        <w:rPr>
          <w:rFonts w:ascii="Times New Roman" w:hAnsi="Times New Roman" w:cs="Times New Roman" w:eastAsia="Times New Roman" w:hint="default"/>
        </w:rPr>
        <w:t>”</w:t>
      </w:r>
      <w:r>
        <w:rPr/>
        <w:t>的专业化和个性化服务。报告期内，公司通过科技创新推动业务创新，持续构建核心竞争力，结</w:t>
      </w:r>
      <w:r>
        <w:rPr>
          <w:spacing w:val="-78"/>
        </w:rPr>
        <w:t> </w:t>
      </w:r>
      <w:r>
        <w:rPr>
          <w:spacing w:val="-78"/>
        </w:rPr>
      </w:r>
      <w:r>
        <w:rPr>
          <w:spacing w:val="-2"/>
        </w:rPr>
        <w:t>合业务场景，提供全业务链整体服务，实现了从提供单一数据分析服务向一站式综合服务或模块化服务发展。报告期内，公</w:t>
      </w:r>
      <w:r>
        <w:rPr>
          <w:spacing w:val="-66"/>
        </w:rPr>
        <w:t> </w:t>
      </w:r>
      <w:r>
        <w:rPr>
          <w:spacing w:val="-66"/>
        </w:rPr>
      </w:r>
      <w:r>
        <w:rPr/>
        <w:t>司大数据业务步入亿元俱乐部，实现营业收入</w:t>
      </w:r>
      <w:r>
        <w:rPr>
          <w:rFonts w:ascii="Times New Roman" w:hAnsi="Times New Roman" w:cs="Times New Roman" w:eastAsia="Times New Roman" w:hint="default"/>
        </w:rPr>
        <w:t>14,604.14</w:t>
      </w:r>
      <w:r>
        <w:rPr/>
        <w:t>万元，较去年同期增长</w:t>
      </w:r>
      <w:r>
        <w:rPr>
          <w:rFonts w:ascii="Times New Roman" w:hAnsi="Times New Roman" w:cs="Times New Roman" w:eastAsia="Times New Roman" w:hint="default"/>
        </w:rPr>
        <w:t>48.88%</w:t>
      </w:r>
      <w:r>
        <w:rPr/>
        <w:t>。</w:t>
      </w:r>
    </w:p>
    <w:p>
      <w:pPr>
        <w:pStyle w:val="BodyText"/>
        <w:spacing w:line="300" w:lineRule="auto" w:before="5"/>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、跨境电商服务</w:t>
      </w:r>
      <w:r>
        <w:rPr>
          <w:rFonts w:ascii="宋体" w:hAnsi="宋体" w:cs="宋体" w:eastAsia="宋体" w:hint="default"/>
          <w:b/>
          <w:bCs/>
          <w:w w:val="99"/>
        </w:rPr>
        <w:t> </w:t>
      </w:r>
      <w:r>
        <w:rPr/>
        <w:t>联动商务于</w:t>
      </w:r>
      <w:r>
        <w:rPr>
          <w:rFonts w:ascii="Times New Roman" w:hAnsi="Times New Roman" w:cs="Times New Roman" w:eastAsia="Times New Roman" w:hint="default"/>
        </w:rPr>
        <w:t>2015</w:t>
      </w:r>
      <w:r>
        <w:rPr/>
        <w:t>年底分别取得北京市外汇管理局及广州市人民银行颁发的跨境外币业务试点资质以及跨境人民币业务</w:t>
      </w:r>
    </w:p>
    <w:p>
      <w:pPr>
        <w:pStyle w:val="BodyText"/>
        <w:spacing w:line="309" w:lineRule="auto" w:before="13"/>
        <w:ind w:right="1129"/>
        <w:jc w:val="both"/>
      </w:pPr>
      <w:r>
        <w:rPr>
          <w:spacing w:val="-2"/>
        </w:rPr>
        <w:t>资质。截至目前，公司完成了跨境电商综合服务平台的建设，满足包括货物贸易、留学、机票、酒店、旅游、国际会议、物</w:t>
      </w:r>
      <w:r>
        <w:rPr>
          <w:spacing w:val="-69"/>
        </w:rPr>
        <w:t> </w:t>
      </w:r>
      <w:r>
        <w:rPr>
          <w:spacing w:val="-69"/>
        </w:rPr>
      </w:r>
      <w:r>
        <w:rPr>
          <w:spacing w:val="-2"/>
        </w:rPr>
        <w:t>流、软件服务、通信服务九个行业范围的本外币跨境结算，提供包括美元、欧元、港币、日元、英镑、澳大利亚元等在内的</w:t>
      </w:r>
      <w:r>
        <w:rPr>
          <w:spacing w:val="-67"/>
        </w:rPr>
        <w:t> </w:t>
      </w:r>
      <w:r>
        <w:rPr>
          <w:spacing w:val="-67"/>
        </w:rPr>
      </w:r>
      <w:r>
        <w:rPr>
          <w:spacing w:val="-1"/>
        </w:rPr>
        <w:t>至少</w:t>
      </w:r>
      <w:r>
        <w:rPr>
          <w:rFonts w:ascii="Times New Roman" w:hAnsi="Times New Roman" w:cs="Times New Roman" w:eastAsia="Times New Roman" w:hint="default"/>
          <w:spacing w:val="-1"/>
        </w:rPr>
        <w:t>15</w:t>
      </w:r>
      <w:r>
        <w:rPr>
          <w:spacing w:val="-1"/>
        </w:rPr>
        <w:t>个可结算币种，服务覆盖全球</w:t>
      </w:r>
      <w:r>
        <w:rPr>
          <w:rFonts w:ascii="Times New Roman" w:hAnsi="Times New Roman" w:cs="Times New Roman" w:eastAsia="Times New Roman" w:hint="default"/>
          <w:spacing w:val="-1"/>
        </w:rPr>
        <w:t>239</w:t>
      </w:r>
      <w:r>
        <w:rPr>
          <w:spacing w:val="-1"/>
        </w:rPr>
        <w:t>个国家和地区。支持国内出口跨境电商在亚马逊、</w:t>
      </w:r>
      <w:r>
        <w:rPr>
          <w:rFonts w:ascii="Times New Roman" w:hAnsi="Times New Roman" w:cs="Times New Roman" w:eastAsia="Times New Roman" w:hint="default"/>
          <w:spacing w:val="-1"/>
        </w:rPr>
        <w:t>Ebay</w:t>
      </w:r>
      <w:r>
        <w:rPr>
          <w:spacing w:val="-1"/>
        </w:rPr>
        <w:t>、</w:t>
      </w:r>
      <w:r>
        <w:rPr>
          <w:rFonts w:ascii="Times New Roman" w:hAnsi="Times New Roman" w:cs="Times New Roman" w:eastAsia="Times New Roman" w:hint="default"/>
          <w:spacing w:val="-1"/>
        </w:rPr>
        <w:t>Wish</w:t>
      </w:r>
      <w:r>
        <w:rPr>
          <w:spacing w:val="-1"/>
        </w:rPr>
        <w:t>等全球知名平台的跨</w:t>
      </w:r>
      <w:r>
        <w:rPr>
          <w:spacing w:val="-56"/>
        </w:rPr>
        <w:t> </w:t>
      </w:r>
      <w:r>
        <w:rPr>
          <w:spacing w:val="-56"/>
        </w:rPr>
      </w:r>
      <w:r>
        <w:rPr>
          <w:spacing w:val="-2"/>
        </w:rPr>
        <w:t>境结算、供应链金融等功能，实现了进口、出口业务的双向运行体系。报告期内，跨境交易额突破</w:t>
      </w:r>
      <w:r>
        <w:rPr>
          <w:rFonts w:ascii="Times New Roman" w:hAnsi="Times New Roman" w:cs="Times New Roman" w:eastAsia="Times New Roman" w:hint="default"/>
          <w:spacing w:val="-2"/>
        </w:rPr>
        <w:t>10</w:t>
      </w:r>
      <w:r>
        <w:rPr>
          <w:spacing w:val="-2"/>
        </w:rPr>
        <w:t>亿美元，较去年同期增</w:t>
      </w:r>
      <w:r>
        <w:rPr>
          <w:spacing w:val="-65"/>
        </w:rPr>
        <w:t> </w:t>
      </w:r>
      <w:r>
        <w:rPr>
          <w:spacing w:val="-65"/>
        </w:rPr>
      </w:r>
      <w:r>
        <w:rPr/>
        <w:t>长</w:t>
      </w:r>
      <w:r>
        <w:rPr>
          <w:rFonts w:ascii="Times New Roman" w:hAnsi="Times New Roman" w:cs="Times New Roman" w:eastAsia="Times New Roman" w:hint="default"/>
        </w:rPr>
        <w:t>110.7%</w:t>
      </w:r>
      <w:r>
        <w:rPr/>
        <w:t>。</w:t>
      </w:r>
    </w:p>
    <w:p>
      <w:pPr>
        <w:pStyle w:val="BodyText"/>
        <w:spacing w:line="300" w:lineRule="auto" w:before="5"/>
        <w:ind w:left="514" w:right="0"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4</w:t>
      </w:r>
      <w:r>
        <w:rPr>
          <w:rFonts w:ascii="宋体" w:hAnsi="宋体" w:cs="宋体" w:eastAsia="宋体" w:hint="default"/>
          <w:b/>
          <w:bCs/>
        </w:rPr>
        <w:t>、移动信息服务</w:t>
      </w:r>
      <w:r>
        <w:rPr>
          <w:rFonts w:ascii="宋体" w:hAnsi="宋体" w:cs="宋体" w:eastAsia="宋体" w:hint="default"/>
          <w:b/>
          <w:bCs/>
          <w:w w:val="99"/>
        </w:rPr>
        <w:t> </w:t>
      </w:r>
      <w:r>
        <w:rPr>
          <w:spacing w:val="-3"/>
        </w:rPr>
        <w:t>公司全资子公司联动优势是中国移动银信通业务运营支撑单位、集团业务集成商（</w:t>
      </w:r>
      <w:r>
        <w:rPr>
          <w:rFonts w:ascii="Times New Roman" w:hAnsi="Times New Roman" w:cs="Times New Roman" w:eastAsia="Times New Roman" w:hint="default"/>
          <w:spacing w:val="-3"/>
        </w:rPr>
        <w:t>SI</w:t>
      </w:r>
      <w:r>
        <w:rPr>
          <w:spacing w:val="-3"/>
        </w:rPr>
        <w:t>），是目前国内最大、面向</w:t>
      </w:r>
      <w:r>
        <w:rPr>
          <w:rFonts w:ascii="Times New Roman" w:hAnsi="Times New Roman" w:cs="Times New Roman" w:eastAsia="Times New Roman" w:hint="default"/>
          <w:spacing w:val="-3"/>
        </w:rPr>
        <w:t>“955xx”</w:t>
      </w:r>
    </w:p>
    <w:p>
      <w:pPr>
        <w:pStyle w:val="BodyText"/>
        <w:spacing w:line="309" w:lineRule="auto" w:before="13"/>
        <w:ind w:right="1131"/>
        <w:jc w:val="both"/>
      </w:pPr>
      <w:r>
        <w:rPr>
          <w:spacing w:val="-5"/>
        </w:rPr>
        <w:t>号段银行总行客户短彩信发送系统提供专业化运营和维护的提供商，公司移动信息服务业务是基于移动、电信、联通（三网）</w:t>
      </w:r>
      <w:r>
        <w:rPr>
          <w:spacing w:val="-82"/>
        </w:rPr>
        <w:t> </w:t>
      </w:r>
      <w:r>
        <w:rPr>
          <w:spacing w:val="-82"/>
        </w:rPr>
      </w:r>
      <w:r>
        <w:rPr>
          <w:spacing w:val="-2"/>
        </w:rPr>
        <w:t>等资源，利用自身拥有的服务能力，为个人和企业提供安全便捷的金融信息服务综合解决方案，主要包括银信通、联信通等</w:t>
      </w:r>
      <w:r>
        <w:rPr>
          <w:spacing w:val="-66"/>
        </w:rPr>
        <w:t> </w:t>
      </w:r>
      <w:r>
        <w:rPr>
          <w:spacing w:val="-66"/>
        </w:rPr>
      </w:r>
      <w:r>
        <w:rPr/>
        <w:t>业务：</w:t>
      </w:r>
      <w:r>
        <w:rPr>
          <w:rFonts w:ascii="Times New Roman" w:hAnsi="Times New Roman" w:cs="Times New Roman" w:eastAsia="Times New Roman" w:hint="default"/>
        </w:rPr>
        <w:t>1</w:t>
      </w:r>
      <w:r>
        <w:rPr/>
        <w:t>）银信通业务基于</w:t>
      </w:r>
      <w:r>
        <w:rPr>
          <w:rFonts w:ascii="Times New Roman" w:hAnsi="Times New Roman" w:cs="Times New Roman" w:eastAsia="Times New Roman" w:hint="default"/>
        </w:rPr>
        <w:t>MAS(</w:t>
      </w:r>
      <w:r>
        <w:rPr/>
        <w:t>移动代理服务器</w:t>
      </w:r>
      <w:r>
        <w:rPr>
          <w:rFonts w:ascii="Times New Roman" w:hAnsi="Times New Roman" w:cs="Times New Roman" w:eastAsia="Times New Roman" w:hint="default"/>
        </w:rPr>
        <w:t>)</w:t>
      </w:r>
      <w:r>
        <w:rPr/>
        <w:t>、移动网络、移动终端等资源和服务能力，让银行及银行客户随时随身、 经济快捷地享受金融信息服务。</w:t>
      </w:r>
      <w:r>
        <w:rPr>
          <w:rFonts w:ascii="Times New Roman" w:hAnsi="Times New Roman" w:cs="Times New Roman" w:eastAsia="Times New Roman" w:hint="default"/>
        </w:rPr>
        <w:t>2</w:t>
      </w:r>
      <w:r>
        <w:rPr/>
        <w:t>）联信通业务是联动优势面向行业客户推出的无线应用服务，主要为银行及中小企业提供 </w:t>
      </w:r>
      <w:r>
        <w:rPr>
          <w:spacing w:val="-2"/>
        </w:rPr>
        <w:t>安全可靠、一点式接入的高品质电信级通信服务，通过联信通为客户提供基于移动、电信、联通（三网）的信息类服务。报</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220"/>
        <w:jc w:val="both"/>
      </w:pPr>
      <w:r>
        <w:rPr/>
        <w:t>告期内，通过大数据、云计算、</w:t>
      </w:r>
      <w:r>
        <w:rPr>
          <w:rFonts w:ascii="Times New Roman" w:hAnsi="Times New Roman" w:cs="Times New Roman" w:eastAsia="Times New Roman" w:hint="default"/>
        </w:rPr>
        <w:t>AI</w:t>
      </w:r>
      <w:r>
        <w:rPr/>
        <w:t>、区块链等工具，搭建了联信通智能沟通云平台，能满足客户多样化需求，公司移动信 息服务获得平稳发展。</w:t>
      </w:r>
    </w:p>
    <w:p>
      <w:pPr>
        <w:spacing w:line="300" w:lineRule="auto" w:before="31"/>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、运营商话费计费结算服务</w:t>
      </w:r>
      <w:r>
        <w:rPr>
          <w:rFonts w:ascii="宋体" w:hAnsi="宋体" w:cs="宋体" w:eastAsia="宋体" w:hint="default"/>
          <w:b/>
          <w:bCs/>
          <w:w w:val="99"/>
          <w:sz w:val="18"/>
          <w:szCs w:val="18"/>
        </w:rPr>
        <w:t> </w:t>
      </w:r>
      <w:r>
        <w:rPr>
          <w:rFonts w:ascii="宋体" w:hAnsi="宋体" w:cs="宋体" w:eastAsia="宋体" w:hint="default"/>
          <w:spacing w:val="-2"/>
          <w:sz w:val="18"/>
          <w:szCs w:val="18"/>
        </w:rPr>
        <w:t>运营商话费计费结算与营销服务以电信运营商为主要计费和营销渠道，向互联网行业提供三网融合计费结算服务，并向</w:t>
      </w:r>
    </w:p>
    <w:p>
      <w:pPr>
        <w:pStyle w:val="BodyText"/>
        <w:spacing w:line="340" w:lineRule="auto" w:before="32"/>
        <w:ind w:left="515" w:right="2563" w:hanging="362"/>
        <w:jc w:val="left"/>
        <w:rPr>
          <w:rFonts w:ascii="宋体" w:hAnsi="宋体" w:cs="宋体" w:eastAsia="宋体" w:hint="default"/>
        </w:rPr>
      </w:pPr>
      <w:r>
        <w:rPr/>
        <w:t>线上线下行业提供营销服务。</w:t>
      </w:r>
      <w:r>
        <w:rPr>
          <w:rFonts w:ascii="Times New Roman" w:hAnsi="Times New Roman" w:cs="Times New Roman" w:eastAsia="Times New Roman" w:hint="default"/>
        </w:rPr>
        <w:t>2018</w:t>
      </w:r>
      <w:r>
        <w:rPr/>
        <w:t>年度，公众号累计用户</w:t>
      </w:r>
      <w:r>
        <w:rPr>
          <w:rFonts w:ascii="Times New Roman" w:hAnsi="Times New Roman" w:cs="Times New Roman" w:eastAsia="Times New Roman" w:hint="default"/>
        </w:rPr>
        <w:t>390</w:t>
      </w:r>
      <w:r>
        <w:rPr/>
        <w:t>万，覆盖门店超</w:t>
      </w:r>
      <w:r>
        <w:rPr>
          <w:rFonts w:ascii="Times New Roman" w:hAnsi="Times New Roman" w:cs="Times New Roman" w:eastAsia="Times New Roman" w:hint="default"/>
        </w:rPr>
        <w:t>30</w:t>
      </w:r>
      <w:r>
        <w:rPr/>
        <w:t>万，业务保持平稳发展。 </w:t>
      </w:r>
      <w:r>
        <w:rPr>
          <w:rFonts w:ascii="宋体" w:hAnsi="宋体" w:cs="宋体" w:eastAsia="宋体" w:hint="default"/>
          <w:b/>
          <w:bCs/>
        </w:rPr>
        <w:t>智能制造板块介绍：</w:t>
      </w:r>
      <w:r>
        <w:rPr>
          <w:rFonts w:ascii="宋体" w:hAnsi="宋体" w:cs="宋体" w:eastAsia="宋体" w:hint="default"/>
        </w:rPr>
      </w:r>
    </w:p>
    <w:p>
      <w:pPr>
        <w:pStyle w:val="BodyText"/>
        <w:spacing w:line="340" w:lineRule="auto" w:before="40"/>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、汽车及配件业务</w:t>
      </w:r>
      <w:r>
        <w:rPr>
          <w:rFonts w:ascii="宋体" w:hAnsi="宋体" w:cs="宋体" w:eastAsia="宋体" w:hint="default"/>
          <w:b/>
          <w:bCs/>
          <w:w w:val="99"/>
        </w:rPr>
        <w:t> </w:t>
      </w:r>
      <w:r>
        <w:rPr>
          <w:spacing w:val="2"/>
        </w:rPr>
        <w:t>根据中国汽车工业协会数据显示，</w:t>
      </w:r>
      <w:r>
        <w:rPr>
          <w:rFonts w:ascii="Times New Roman" w:hAnsi="Times New Roman" w:cs="Times New Roman" w:eastAsia="Times New Roman" w:hint="default"/>
          <w:spacing w:val="2"/>
        </w:rPr>
        <w:t>2018</w:t>
      </w:r>
      <w:r>
        <w:rPr>
          <w:spacing w:val="2"/>
        </w:rPr>
        <w:t>年汽车行业产销分别达</w:t>
      </w:r>
      <w:r>
        <w:rPr>
          <w:rFonts w:ascii="Times New Roman" w:hAnsi="Times New Roman" w:cs="Times New Roman" w:eastAsia="Times New Roman" w:hint="default"/>
          <w:spacing w:val="2"/>
        </w:rPr>
        <w:t>2,780.92</w:t>
      </w:r>
      <w:r>
        <w:rPr>
          <w:spacing w:val="2"/>
        </w:rPr>
        <w:t>万辆和</w:t>
      </w:r>
      <w:r>
        <w:rPr>
          <w:rFonts w:ascii="Times New Roman" w:hAnsi="Times New Roman" w:cs="Times New Roman" w:eastAsia="Times New Roman" w:hint="default"/>
          <w:spacing w:val="2"/>
        </w:rPr>
        <w:t>2,808.06</w:t>
      </w:r>
      <w:r>
        <w:rPr>
          <w:spacing w:val="2"/>
        </w:rPr>
        <w:t>万辆，同比下降分别为</w:t>
      </w:r>
      <w:r>
        <w:rPr>
          <w:rFonts w:ascii="Times New Roman" w:hAnsi="Times New Roman" w:cs="Times New Roman" w:eastAsia="Times New Roman" w:hint="default"/>
          <w:spacing w:val="2"/>
        </w:rPr>
        <w:t>4.16%</w:t>
      </w:r>
      <w:r>
        <w:rPr>
          <w:spacing w:val="2"/>
        </w:rPr>
        <w:t>和</w:t>
      </w:r>
    </w:p>
    <w:p>
      <w:pPr>
        <w:pStyle w:val="BodyText"/>
        <w:spacing w:line="227" w:lineRule="exact"/>
        <w:ind w:right="0"/>
        <w:jc w:val="both"/>
      </w:pPr>
      <w:r>
        <w:rPr>
          <w:rFonts w:ascii="Times New Roman" w:hAnsi="Times New Roman" w:cs="Times New Roman" w:eastAsia="Times New Roman" w:hint="default"/>
        </w:rPr>
        <w:t>2.76%</w:t>
      </w:r>
      <w:r>
        <w:rPr/>
        <w:t>。中国汽车行业产销量为近几年来首次出现下滑，行业景气度下行，加之世界各国对燃油汽车禁售的倒计时，为提升</w:t>
      </w:r>
    </w:p>
    <w:p>
      <w:pPr>
        <w:pStyle w:val="BodyText"/>
        <w:spacing w:line="319" w:lineRule="auto" w:before="63"/>
        <w:ind w:right="1130"/>
        <w:jc w:val="both"/>
      </w:pPr>
      <w:r>
        <w:rPr>
          <w:spacing w:val="-2"/>
        </w:rPr>
        <w:t>产品竞争力，抢占市场份额，各大汽车主机厂纷纷推出新车型，加快产品结构升级，新能源、智能驾驶将是汽车行业未来发</w:t>
      </w:r>
      <w:r>
        <w:rPr>
          <w:spacing w:val="-66"/>
        </w:rPr>
        <w:t> </w:t>
      </w:r>
      <w:r>
        <w:rPr>
          <w:spacing w:val="-66"/>
        </w:rPr>
      </w:r>
      <w:r>
        <w:rPr>
          <w:spacing w:val="-2"/>
        </w:rPr>
        <w:t>展趋势。为适应汽车行业的变化，公司在报告期内完成了对上海和达的收购，通过规模效应不断挖掘内部潜力；在此基础上</w:t>
      </w:r>
      <w:r>
        <w:rPr>
          <w:spacing w:val="-66"/>
        </w:rPr>
        <w:t> </w:t>
      </w:r>
      <w:r>
        <w:rPr>
          <w:spacing w:val="-66"/>
        </w:rPr>
      </w:r>
      <w:r>
        <w:rPr>
          <w:spacing w:val="-2"/>
        </w:rPr>
        <w:t>一方面整合内外部资源，在加强研发建设的同时，深入主机厂前端为客户制定解决方案，从而与客户保持了良好的粘性，公</w:t>
      </w:r>
      <w:r>
        <w:rPr>
          <w:spacing w:val="-66"/>
        </w:rPr>
        <w:t> </w:t>
      </w:r>
      <w:r>
        <w:rPr>
          <w:spacing w:val="-66"/>
        </w:rPr>
      </w:r>
      <w:r>
        <w:rPr>
          <w:spacing w:val="-2"/>
        </w:rPr>
        <w:t>司客户结构得到了进一步优化；另一方面采取创新经营模式、轻资产运营、优化生产工艺、精员增效、自动化改造、信息化</w:t>
      </w:r>
      <w:r>
        <w:rPr>
          <w:spacing w:val="-68"/>
        </w:rPr>
        <w:t> </w:t>
      </w:r>
      <w:r>
        <w:rPr>
          <w:spacing w:val="-68"/>
        </w:rPr>
      </w:r>
      <w:r>
        <w:rPr>
          <w:spacing w:val="-2"/>
        </w:rPr>
        <w:t>升级等一系措施，在提高生产效率的同时降低产品成本，增强公司产品的竞争力；同时继续优化和丰富产品结构，聚焦新能</w:t>
      </w:r>
      <w:r>
        <w:rPr>
          <w:spacing w:val="-66"/>
        </w:rPr>
        <w:t> </w:t>
      </w:r>
      <w:r>
        <w:rPr>
          <w:spacing w:val="-66"/>
        </w:rPr>
      </w:r>
      <w:r>
        <w:rPr/>
        <w:t>源及轻量化产品，着重发展汽车功能性电机，逐步提升高附加值产品的比重。</w:t>
      </w:r>
    </w:p>
    <w:p>
      <w:pPr>
        <w:pStyle w:val="BodyText"/>
        <w:spacing w:line="338" w:lineRule="auto" w:before="56"/>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、家电配件业务</w:t>
      </w:r>
      <w:r>
        <w:rPr>
          <w:rFonts w:ascii="宋体" w:hAnsi="宋体" w:cs="宋体" w:eastAsia="宋体" w:hint="default"/>
          <w:b/>
          <w:bCs/>
          <w:w w:val="99"/>
        </w:rPr>
        <w:t> </w:t>
      </w:r>
      <w:r>
        <w:rPr>
          <w:spacing w:val="-2"/>
        </w:rPr>
        <w:t>虽然</w:t>
      </w:r>
      <w:r>
        <w:rPr>
          <w:rFonts w:ascii="Times New Roman" w:hAnsi="Times New Roman" w:cs="Times New Roman" w:eastAsia="Times New Roman" w:hint="default"/>
          <w:spacing w:val="-2"/>
        </w:rPr>
        <w:t>2018</w:t>
      </w:r>
      <w:r>
        <w:rPr>
          <w:spacing w:val="-2"/>
        </w:rPr>
        <w:t>年中美贸易摩擦对家电行业有所冲击，但是影响的深度和广度有限，不会伤及中国家电产业根本，且自公司上</w:t>
      </w:r>
    </w:p>
    <w:p>
      <w:pPr>
        <w:pStyle w:val="BodyText"/>
        <w:spacing w:line="230" w:lineRule="exact"/>
        <w:ind w:right="0"/>
        <w:jc w:val="both"/>
      </w:pPr>
      <w:r>
        <w:rPr/>
        <w:t>市以来，低毛利率的家电配件产业一直是本公司</w:t>
      </w:r>
      <w:r>
        <w:rPr>
          <w:rFonts w:ascii="Times New Roman" w:hAnsi="Times New Roman" w:cs="Times New Roman" w:eastAsia="Times New Roman" w:hint="default"/>
        </w:rPr>
        <w:t>“</w:t>
      </w:r>
      <w:r>
        <w:rPr/>
        <w:t>革命</w:t>
      </w:r>
      <w:r>
        <w:rPr>
          <w:rFonts w:ascii="Times New Roman" w:hAnsi="Times New Roman" w:cs="Times New Roman" w:eastAsia="Times New Roman" w:hint="default"/>
        </w:rPr>
        <w:t>”</w:t>
      </w:r>
      <w:r>
        <w:rPr/>
        <w:t>的对象，公司借此时机进一步优化家电配件产品和客户结构。经过近</w:t>
      </w:r>
    </w:p>
    <w:p>
      <w:pPr>
        <w:pStyle w:val="BodyText"/>
        <w:spacing w:line="240" w:lineRule="auto" w:before="64"/>
        <w:ind w:right="0"/>
        <w:jc w:val="both"/>
      </w:pPr>
      <w:r>
        <w:rPr/>
        <w:t>几年持续的产品优化和客户优化，公司家电配件产品竞争力获得进一步增强。</w:t>
      </w:r>
    </w:p>
    <w:p>
      <w:pPr>
        <w:spacing w:line="360" w:lineRule="auto" w:before="115"/>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（二）行业发展趋势和公司面临的竞争格局</w:t>
      </w:r>
      <w:r>
        <w:rPr>
          <w:rFonts w:ascii="宋体" w:hAnsi="宋体" w:cs="宋体" w:eastAsia="宋体" w:hint="default"/>
          <w:b/>
          <w:bCs/>
          <w:w w:val="99"/>
          <w:sz w:val="18"/>
          <w:szCs w:val="18"/>
        </w:rPr>
        <w:t> </w:t>
      </w:r>
      <w:r>
        <w:rPr>
          <w:rFonts w:ascii="宋体" w:hAnsi="宋体" w:cs="宋体" w:eastAsia="宋体" w:hint="default"/>
          <w:b/>
          <w:bCs/>
          <w:spacing w:val="-2"/>
          <w:sz w:val="18"/>
          <w:szCs w:val="18"/>
        </w:rPr>
        <w:t>金融科技领域：</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年，金融科技继续沿纵深领域快速发展。一方面，云计算、大数据、人工智能以及区块链等新一代</w:t>
      </w:r>
    </w:p>
    <w:p>
      <w:pPr>
        <w:pStyle w:val="BodyText"/>
        <w:spacing w:line="198" w:lineRule="exact"/>
        <w:ind w:right="0"/>
        <w:jc w:val="both"/>
      </w:pPr>
      <w:r>
        <w:rPr/>
        <w:t>信息技术进一步发展成熟；另一方面，科技和金融的融合更加广泛、深入，涵盖互联网支付、大数据风控、智能投资顾问、</w:t>
      </w:r>
    </w:p>
    <w:p>
      <w:pPr>
        <w:pStyle w:val="BodyText"/>
        <w:spacing w:line="319" w:lineRule="auto" w:before="76"/>
        <w:ind w:right="1130"/>
        <w:jc w:val="both"/>
      </w:pPr>
      <w:r>
        <w:rPr>
          <w:spacing w:val="-2"/>
        </w:rPr>
        <w:t>互联网财富管理等领域，创新商业模式和创新业态不断涌现，行业分工和业务边界日渐清晰。与此同时，监管机构进一步强</w:t>
      </w:r>
      <w:r>
        <w:rPr>
          <w:spacing w:val="-66"/>
        </w:rPr>
        <w:t> </w:t>
      </w:r>
      <w:r>
        <w:rPr>
          <w:spacing w:val="-66"/>
        </w:rPr>
      </w:r>
      <w:r>
        <w:rPr>
          <w:spacing w:val="-2"/>
        </w:rPr>
        <w:t>化金融科技创新规范引导，推动金融科技成为服务实体经济、防控金融风险、深化金融供给侧结构性改革的重要力量。当前</w:t>
      </w:r>
      <w:r>
        <w:rPr>
          <w:spacing w:val="-65"/>
        </w:rPr>
        <w:t> </w:t>
      </w:r>
      <w:r>
        <w:rPr>
          <w:spacing w:val="-65"/>
        </w:rPr>
      </w:r>
      <w:r>
        <w:rPr>
          <w:spacing w:val="-2"/>
        </w:rPr>
        <w:t>的金融科技仍然具备政策红利和市场前景，具备广阔的发展空间。日益成熟的金融科技行业主要趋势包括：一是监管政策逐</w:t>
      </w:r>
      <w:r>
        <w:rPr>
          <w:spacing w:val="-66"/>
        </w:rPr>
        <w:t> </w:t>
      </w:r>
      <w:r>
        <w:rPr>
          <w:spacing w:val="-66"/>
        </w:rPr>
      </w:r>
      <w:r>
        <w:rPr>
          <w:spacing w:val="-2"/>
        </w:rPr>
        <w:t>渐强化、成熟，合规成为行业发展创新的基本要求；二是企业更加注重原创型金融科技研发，行业专利数量持续上升，用户</w:t>
      </w:r>
      <w:r>
        <w:rPr>
          <w:spacing w:val="-66"/>
        </w:rPr>
        <w:t> </w:t>
      </w:r>
      <w:r>
        <w:rPr>
          <w:spacing w:val="-66"/>
        </w:rPr>
      </w:r>
      <w:r>
        <w:rPr>
          <w:spacing w:val="-2"/>
        </w:rPr>
        <w:t>体验迅速更新迭代；三是行业跨界合作更加细化，金融科技平台赋能金融机构和实体企业，金融科技基础服务输出有效的提</w:t>
      </w:r>
      <w:r>
        <w:rPr>
          <w:spacing w:val="-66"/>
        </w:rPr>
        <w:t> </w:t>
      </w:r>
      <w:r>
        <w:rPr>
          <w:spacing w:val="-66"/>
        </w:rPr>
      </w:r>
      <w:r>
        <w:rPr>
          <w:spacing w:val="-2"/>
        </w:rPr>
        <w:t>升了全行业的智能化水平，金融科技成为推动普惠金融、绿色金融发展的重要力量；四是金融科技企业开拓国际化市场，特</w:t>
      </w:r>
      <w:r>
        <w:rPr>
          <w:spacing w:val="-66"/>
        </w:rPr>
        <w:t> </w:t>
      </w:r>
      <w:r>
        <w:rPr>
          <w:spacing w:val="-66"/>
        </w:rPr>
      </w:r>
      <w:r>
        <w:rPr/>
        <w:t>别是在新兴经济体国家，中国的金融科技企业市场份额和品牌影响力快速提升。</w:t>
      </w:r>
    </w:p>
    <w:p>
      <w:pPr>
        <w:pStyle w:val="BodyText"/>
        <w:spacing w:line="312" w:lineRule="auto" w:before="56"/>
        <w:ind w:right="0" w:firstLine="361"/>
        <w:jc w:val="left"/>
      </w:pPr>
      <w:r>
        <w:rPr>
          <w:rFonts w:ascii="宋体" w:hAnsi="宋体" w:cs="宋体" w:eastAsia="宋体" w:hint="default"/>
          <w:b/>
          <w:bCs/>
          <w:spacing w:val="-2"/>
        </w:rPr>
        <w:t>智能制造领域：</w:t>
      </w:r>
      <w:r>
        <w:rPr>
          <w:spacing w:val="-2"/>
        </w:rPr>
        <w:t>在国内经济下行压力加大，消费增速减慢，有效投资增长乏力的大经济环境下，中国汽车市场难以呈现</w:t>
      </w:r>
      <w:r>
        <w:rPr/>
        <w:t> 以前的发展态势，但</w:t>
      </w:r>
      <w:r>
        <w:rPr>
          <w:rFonts w:ascii="Times New Roman" w:hAnsi="Times New Roman" w:cs="Times New Roman" w:eastAsia="Times New Roman" w:hint="default"/>
        </w:rPr>
        <w:t>“</w:t>
      </w:r>
      <w:r>
        <w:rPr/>
        <w:t>以旧换新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消费升级</w:t>
      </w:r>
      <w:r>
        <w:rPr>
          <w:rFonts w:ascii="Times New Roman" w:hAnsi="Times New Roman" w:cs="Times New Roman" w:eastAsia="Times New Roman" w:hint="default"/>
        </w:rPr>
        <w:t>”</w:t>
      </w:r>
      <w:r>
        <w:rPr/>
        <w:t>也带来广阔的市场空间。随着行业格局的持续优化，行业集中度将逐渐提高，</w:t>
      </w:r>
      <w:r>
        <w:rPr>
          <w:spacing w:val="-51"/>
        </w:rPr>
        <w:t> </w:t>
      </w:r>
      <w:r>
        <w:rPr>
          <w:spacing w:val="-51"/>
        </w:rPr>
      </w:r>
      <w:r>
        <w:rPr>
          <w:spacing w:val="-2"/>
        </w:rPr>
        <w:t>中小配套厂商将逐渐被淘汰，各大主机厂对优质配套厂商的需求更大，随着近年来对智能制造板块的积极布局，公司在该领</w:t>
      </w:r>
      <w:r>
        <w:rPr>
          <w:spacing w:val="-66"/>
        </w:rPr>
        <w:t> </w:t>
      </w:r>
      <w:r>
        <w:rPr>
          <w:spacing w:val="-66"/>
        </w:rPr>
      </w:r>
      <w:r>
        <w:rPr/>
        <w:t>域的技术优势显现、核心竞争能力增强，公司所处的以汽车及配件产业为主导的智能制造产业风险与机遇并存。</w:t>
      </w:r>
    </w:p>
    <w:p>
      <w:pPr>
        <w:spacing w:line="240" w:lineRule="auto" w:before="11"/>
        <w:rPr>
          <w:rFonts w:ascii="宋体" w:hAnsi="宋体" w:cs="宋体" w:eastAsia="宋体" w:hint="default"/>
          <w:sz w:val="20"/>
          <w:szCs w:val="20"/>
        </w:rPr>
      </w:pPr>
    </w:p>
    <w:p>
      <w:pPr>
        <w:pStyle w:val="Heading4"/>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95" w:type="dxa"/>
        <w:tblLayout w:type="fixed"/>
        <w:tblCellMar>
          <w:top w:w="0" w:type="dxa"/>
          <w:left w:w="0" w:type="dxa"/>
          <w:bottom w:w="0" w:type="dxa"/>
          <w:right w:w="0" w:type="dxa"/>
        </w:tblCellMar>
        <w:tblLook w:val="01E0"/>
      </w:tblPr>
      <w:tblGrid>
        <w:gridCol w:w="3041"/>
        <w:gridCol w:w="6518"/>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主要是报告期公司收购上海和达的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0" w:right="0"/>
              <w:jc w:val="left"/>
              <w:rPr>
                <w:rFonts w:ascii="宋体" w:hAnsi="宋体" w:cs="宋体" w:eastAsia="宋体" w:hint="default"/>
                <w:sz w:val="18"/>
                <w:szCs w:val="18"/>
              </w:rPr>
            </w:pPr>
            <w:r>
              <w:rPr>
                <w:rFonts w:ascii="宋体" w:hAnsi="宋体" w:cs="宋体" w:eastAsia="宋体" w:hint="default"/>
                <w:sz w:val="18"/>
                <w:szCs w:val="18"/>
              </w:rPr>
              <w:t>一是报告期公司智能制造板块增加新纳入合并范围的控股子公司上海和达带来的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83" w:type="dxa"/>
        <w:tblLayout w:type="fixed"/>
        <w:tblCellMar>
          <w:top w:w="0" w:type="dxa"/>
          <w:left w:w="0" w:type="dxa"/>
          <w:bottom w:w="0" w:type="dxa"/>
          <w:right w:w="0" w:type="dxa"/>
        </w:tblCellMar>
        <w:tblLook w:val="01E0"/>
      </w:tblPr>
      <w:tblGrid>
        <w:gridCol w:w="3052"/>
        <w:gridCol w:w="6518"/>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固定资产；二是报告期公司智能制造板块增加项目投入。</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一是报告期公司增加新纳入合并范围的控股子公司上海和达带来的无形资产；二是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报告期公司出租、拟出售厂房按照会计准则要求重分类导致无形资产减少。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本报告期无重大变化。</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left="514" w:right="0" w:hanging="360"/>
        <w:jc w:val="left"/>
      </w:pPr>
      <w:r>
        <w:rPr/>
        <w:t>软件与信息技术服务业 </w:t>
      </w:r>
      <w:r>
        <w:rPr>
          <w:spacing w:val="-2"/>
        </w:rPr>
        <w:t>基于</w:t>
      </w:r>
      <w:r>
        <w:rPr>
          <w:rFonts w:ascii="Times New Roman" w:hAnsi="Times New Roman" w:cs="Times New Roman" w:eastAsia="Times New Roman" w:hint="default"/>
          <w:spacing w:val="-2"/>
        </w:rPr>
        <w:t>“</w:t>
      </w:r>
      <w:r>
        <w:rPr>
          <w:spacing w:val="-2"/>
        </w:rPr>
        <w:t>全球视野、客户导向、创新驱动、价值多赢</w:t>
      </w:r>
      <w:r>
        <w:rPr>
          <w:rFonts w:ascii="Times New Roman" w:hAnsi="Times New Roman" w:cs="Times New Roman" w:eastAsia="Times New Roman" w:hint="default"/>
          <w:spacing w:val="-2"/>
        </w:rPr>
        <w:t>”</w:t>
      </w:r>
      <w:r>
        <w:rPr>
          <w:spacing w:val="-2"/>
        </w:rPr>
        <w:t>的战略目标，报告期内，公司董事会战略委员会根据行业监管及行业</w:t>
      </w:r>
    </w:p>
    <w:p>
      <w:pPr>
        <w:pStyle w:val="BodyText"/>
        <w:spacing w:line="201" w:lineRule="exact"/>
        <w:ind w:right="0"/>
        <w:jc w:val="both"/>
      </w:pPr>
      <w:r>
        <w:rPr/>
        <w:t>政策调整了经营方针，金融科技板块以科技赋能金融为发展方向，制造板块继续以乘用车为主力，双主业齐头并进。经过多</w:t>
      </w:r>
    </w:p>
    <w:p>
      <w:pPr>
        <w:pStyle w:val="BodyText"/>
        <w:spacing w:line="316" w:lineRule="auto" w:before="76"/>
        <w:ind w:right="1132"/>
        <w:jc w:val="both"/>
      </w:pPr>
      <w:r>
        <w:rPr>
          <w:spacing w:val="-2"/>
        </w:rPr>
        <w:t>年的积淀，公司金融科技板块形成了以金融服务为基础平台，以融合支付、大数据、信息科技为手段的技术优势，为客户群</w:t>
      </w:r>
      <w:r>
        <w:rPr>
          <w:spacing w:val="-66"/>
        </w:rPr>
        <w:t> </w:t>
      </w:r>
      <w:r>
        <w:rPr>
          <w:spacing w:val="-66"/>
        </w:rPr>
      </w:r>
      <w:r>
        <w:rPr>
          <w:spacing w:val="-2"/>
        </w:rPr>
        <w:t>提供包括风控、精准营销、信息、清结算在内的一揽子服务，充分体现了公司的资源整合能力；公司智能制造板块将利用现</w:t>
      </w:r>
      <w:r>
        <w:rPr>
          <w:spacing w:val="-66"/>
        </w:rPr>
        <w:t> </w:t>
      </w:r>
      <w:r>
        <w:rPr>
          <w:spacing w:val="-66"/>
        </w:rPr>
      </w:r>
      <w:r>
        <w:rPr>
          <w:spacing w:val="-2"/>
        </w:rPr>
        <w:t>有资源，创新经营管理，持续提升产品质量、优化产品结构、拓展销售市场，构建企业规模优势、研发优势、品牌优势、管</w:t>
      </w:r>
      <w:r>
        <w:rPr>
          <w:spacing w:val="-66"/>
        </w:rPr>
        <w:t> </w:t>
      </w:r>
      <w:r>
        <w:rPr>
          <w:spacing w:val="-66"/>
        </w:rPr>
      </w:r>
      <w:r>
        <w:rPr/>
        <w:t>理及人才等优势。</w:t>
      </w:r>
    </w:p>
    <w:p>
      <w:pPr>
        <w:spacing w:line="300" w:lineRule="auto" w:before="19"/>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、领先的独立第三方支付服务机构</w:t>
      </w:r>
      <w:r>
        <w:rPr>
          <w:rFonts w:ascii="宋体" w:hAnsi="宋体" w:cs="宋体" w:eastAsia="宋体" w:hint="default"/>
          <w:b/>
          <w:bCs/>
          <w:w w:val="99"/>
          <w:sz w:val="18"/>
          <w:szCs w:val="18"/>
        </w:rPr>
        <w:t> </w:t>
      </w:r>
      <w:r>
        <w:rPr>
          <w:rFonts w:ascii="宋体" w:hAnsi="宋体" w:cs="宋体" w:eastAsia="宋体" w:hint="default"/>
          <w:spacing w:val="-2"/>
          <w:sz w:val="18"/>
          <w:szCs w:val="18"/>
        </w:rPr>
        <w:t>联动优势拥有领先的独立第三方支付品牌优势，在全国范围持牌开展互联网支付、移动电话支付、银行卡收单、基金销</w:t>
      </w:r>
    </w:p>
    <w:p>
      <w:pPr>
        <w:pStyle w:val="BodyText"/>
        <w:spacing w:line="300" w:lineRule="auto" w:before="31"/>
        <w:ind w:right="1130"/>
        <w:jc w:val="both"/>
      </w:pPr>
      <w:r>
        <w:rPr/>
        <w:t>售支付结算、跨境外汇</w:t>
      </w:r>
      <w:r>
        <w:rPr>
          <w:rFonts w:ascii="Times New Roman" w:hAnsi="Times New Roman" w:cs="Times New Roman" w:eastAsia="Times New Roman" w:hint="default"/>
        </w:rPr>
        <w:t>/</w:t>
      </w:r>
      <w:r>
        <w:rPr/>
        <w:t>人民币支付业务。通过在不同行业、不同场景、不同地域的创新产品，提供自研综合支付、信息推 </w:t>
      </w:r>
      <w:r>
        <w:rPr>
          <w:spacing w:val="-1"/>
        </w:rPr>
        <w:t>送、智能营销、大数据、高速清算、智能反欺诈、反洗钱交易平台等服务。根据</w:t>
      </w:r>
      <w:r>
        <w:rPr>
          <w:rFonts w:ascii="Times New Roman" w:hAnsi="Times New Roman" w:cs="Times New Roman" w:eastAsia="Times New Roman" w:hint="default"/>
          <w:spacing w:val="-1"/>
        </w:rPr>
        <w:t>Analysys</w:t>
      </w:r>
      <w:r>
        <w:rPr>
          <w:spacing w:val="-1"/>
        </w:rPr>
        <w:t>易观发布的数据显示，联动优势在</w:t>
      </w:r>
      <w:r>
        <w:rPr>
          <w:spacing w:val="-69"/>
        </w:rPr>
        <w:t> </w:t>
      </w:r>
      <w:r>
        <w:rPr>
          <w:spacing w:val="-69"/>
        </w:rPr>
      </w:r>
      <w:r>
        <w:rPr>
          <w:spacing w:val="-2"/>
        </w:rPr>
        <w:t>移动支付领域排名全国第四，</w:t>
      </w:r>
      <w:r>
        <w:rPr>
          <w:rFonts w:ascii="Times New Roman" w:hAnsi="Times New Roman" w:cs="Times New Roman" w:eastAsia="Times New Roman" w:hint="default"/>
          <w:spacing w:val="-2"/>
        </w:rPr>
        <w:t>2018</w:t>
      </w:r>
      <w:r>
        <w:rPr>
          <w:spacing w:val="-2"/>
        </w:rPr>
        <w:t>年工信部信息中心、中国互联网协会发布</w:t>
      </w:r>
      <w:r>
        <w:rPr>
          <w:rFonts w:ascii="Times New Roman" w:hAnsi="Times New Roman" w:cs="Times New Roman" w:eastAsia="Times New Roman" w:hint="default"/>
          <w:spacing w:val="-2"/>
        </w:rPr>
        <w:t>“2018</w:t>
      </w:r>
      <w:r>
        <w:rPr>
          <w:spacing w:val="-2"/>
        </w:rPr>
        <w:t>年中国互联网百强企业</w:t>
      </w:r>
      <w:r>
        <w:rPr>
          <w:rFonts w:ascii="Times New Roman" w:hAnsi="Times New Roman" w:cs="Times New Roman" w:eastAsia="Times New Roman" w:hint="default"/>
          <w:spacing w:val="-2"/>
        </w:rPr>
        <w:t>”</w:t>
      </w:r>
      <w:r>
        <w:rPr>
          <w:spacing w:val="-2"/>
        </w:rPr>
        <w:t>榜单，联动优势连</w:t>
      </w:r>
      <w:r>
        <w:rPr>
          <w:spacing w:val="-35"/>
        </w:rPr>
        <w:t> </w:t>
      </w:r>
      <w:r>
        <w:rPr>
          <w:spacing w:val="-35"/>
        </w:rPr>
      </w:r>
      <w:r>
        <w:rPr/>
        <w:t>续</w:t>
      </w:r>
      <w:r>
        <w:rPr>
          <w:rFonts w:ascii="Times New Roman" w:hAnsi="Times New Roman" w:cs="Times New Roman" w:eastAsia="Times New Roman" w:hint="default"/>
        </w:rPr>
        <w:t>5</w:t>
      </w:r>
      <w:r>
        <w:rPr/>
        <w:t>年榜上有名，并位列中国互联网百强企业发明专利榜第</w:t>
      </w:r>
      <w:r>
        <w:rPr>
          <w:rFonts w:ascii="Times New Roman" w:hAnsi="Times New Roman" w:cs="Times New Roman" w:eastAsia="Times New Roman" w:hint="default"/>
        </w:rPr>
        <w:t>30</w:t>
      </w:r>
      <w:r>
        <w:rPr/>
        <w:t>位。</w:t>
      </w:r>
    </w:p>
    <w:p>
      <w:pPr>
        <w:pStyle w:val="Heading8"/>
        <w:spacing w:line="240" w:lineRule="auto" w:before="13"/>
        <w:ind w:left="515" w:right="0"/>
        <w:jc w:val="left"/>
        <w:rPr>
          <w:b w:val="0"/>
          <w:bCs w:val="0"/>
        </w:rPr>
      </w:pPr>
      <w:r>
        <w:rPr>
          <w:rFonts w:ascii="Times New Roman" w:hAnsi="Times New Roman" w:cs="Times New Roman" w:eastAsia="Times New Roman" w:hint="default"/>
        </w:rPr>
        <w:t>2</w:t>
      </w:r>
      <w:r>
        <w:rPr/>
        <w:t>、领先的金融科技产品、超前的技术创新能力</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）区块链技术的研究与创新 </w:t>
      </w:r>
      <w:r>
        <w:rPr>
          <w:spacing w:val="-2"/>
        </w:rPr>
        <w:t>近年来，联动优势一直专注于金融科技服务领域相关技术研究和产品的创新，在区块链技术的改进和应用上持续投入雄</w:t>
      </w:r>
    </w:p>
    <w:p>
      <w:pPr>
        <w:pStyle w:val="BodyText"/>
        <w:spacing w:line="300" w:lineRule="auto" w:before="31"/>
        <w:ind w:right="1128"/>
        <w:jc w:val="both"/>
      </w:pPr>
      <w:r>
        <w:rPr>
          <w:spacing w:val="-4"/>
        </w:rPr>
        <w:t>厚的研发力量，取得了一系列成果和创新。截止</w:t>
      </w:r>
      <w:r>
        <w:rPr>
          <w:rFonts w:ascii="Times New Roman" w:hAnsi="Times New Roman" w:cs="Times New Roman" w:eastAsia="Times New Roman" w:hint="default"/>
          <w:spacing w:val="-4"/>
        </w:rPr>
        <w:t>2018</w:t>
      </w:r>
      <w:r>
        <w:rPr>
          <w:spacing w:val="-4"/>
        </w:rPr>
        <w:t>年底，公司累计申请</w:t>
      </w:r>
      <w:r>
        <w:rPr>
          <w:rFonts w:ascii="Times New Roman" w:hAnsi="Times New Roman" w:cs="Times New Roman" w:eastAsia="Times New Roman" w:hint="default"/>
          <w:spacing w:val="-4"/>
        </w:rPr>
        <w:t>38</w:t>
      </w:r>
      <w:r>
        <w:rPr>
          <w:spacing w:val="-4"/>
        </w:rPr>
        <w:t>项区块链发明专利，取得</w:t>
      </w:r>
      <w:r>
        <w:rPr>
          <w:rFonts w:ascii="Times New Roman" w:hAnsi="Times New Roman" w:cs="Times New Roman" w:eastAsia="Times New Roman" w:hint="default"/>
          <w:spacing w:val="-4"/>
        </w:rPr>
        <w:t>3</w:t>
      </w:r>
      <w:r>
        <w:rPr>
          <w:spacing w:val="-4"/>
        </w:rPr>
        <w:t>项区块链软件著作权。</w:t>
      </w:r>
      <w:r>
        <w:rPr>
          <w:spacing w:val="-34"/>
        </w:rPr>
        <w:t> </w:t>
      </w:r>
      <w:r>
        <w:rPr/>
        <w:t>公司自主研发的区块链底层框架优链系统（英文名：</w:t>
      </w:r>
      <w:r>
        <w:rPr>
          <w:rFonts w:ascii="Times New Roman" w:hAnsi="Times New Roman" w:cs="Times New Roman" w:eastAsia="Times New Roman" w:hint="default"/>
        </w:rPr>
        <w:t>UChains</w:t>
      </w:r>
      <w:r>
        <w:rPr/>
        <w:t>）通过中国信息通信研究院可信区块链标准测试，表现优异。</w:t>
      </w:r>
      <w:r>
        <w:rPr>
          <w:spacing w:val="-85"/>
        </w:rPr>
        <w:t> </w:t>
      </w:r>
      <w:r>
        <w:rPr>
          <w:spacing w:val="-85"/>
        </w:rPr>
      </w:r>
      <w:r>
        <w:rPr>
          <w:spacing w:val="-1"/>
        </w:rPr>
        <w:t>基于优链系统的</w:t>
      </w:r>
      <w:r>
        <w:rPr>
          <w:rFonts w:ascii="Times New Roman" w:hAnsi="Times New Roman" w:cs="Times New Roman" w:eastAsia="Times New Roman" w:hint="default"/>
          <w:spacing w:val="-1"/>
        </w:rPr>
        <w:t>“</w:t>
      </w:r>
      <w:r>
        <w:rPr>
          <w:spacing w:val="-1"/>
        </w:rPr>
        <w:t>优链云存证平台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基于区块链的跨境保理融资授信管理平台</w:t>
      </w:r>
      <w:r>
        <w:rPr>
          <w:rFonts w:ascii="Times New Roman" w:hAnsi="Times New Roman" w:cs="Times New Roman" w:eastAsia="Times New Roman" w:hint="default"/>
          <w:spacing w:val="-1"/>
        </w:rPr>
        <w:t>”</w:t>
      </w:r>
      <w:r>
        <w:rPr>
          <w:spacing w:val="-1"/>
        </w:rPr>
        <w:t>均已上线运行，后者被中国支付清算协会评</w:t>
      </w:r>
      <w:r>
        <w:rPr>
          <w:spacing w:val="-77"/>
        </w:rPr>
        <w:t> </w:t>
      </w:r>
      <w:r>
        <w:rPr>
          <w:spacing w:val="-77"/>
        </w:rPr>
      </w:r>
      <w:r>
        <w:rPr/>
        <w:t>为</w:t>
      </w:r>
      <w:r>
        <w:rPr>
          <w:rFonts w:ascii="Times New Roman" w:hAnsi="Times New Roman" w:cs="Times New Roman" w:eastAsia="Times New Roman" w:hint="default"/>
        </w:rPr>
        <w:t>“2018</w:t>
      </w:r>
      <w:r>
        <w:rPr/>
        <w:t>金融区块链创新应用优秀案例</w:t>
      </w:r>
      <w:r>
        <w:rPr>
          <w:rFonts w:ascii="Times New Roman" w:hAnsi="Times New Roman" w:cs="Times New Roman" w:eastAsia="Times New Roman" w:hint="default"/>
        </w:rPr>
        <w:t>”</w:t>
      </w:r>
      <w:r>
        <w:rPr/>
        <w:t>。继</w:t>
      </w:r>
      <w:r>
        <w:rPr>
          <w:rFonts w:ascii="Times New Roman" w:hAnsi="Times New Roman" w:cs="Times New Roman" w:eastAsia="Times New Roman" w:hint="default"/>
        </w:rPr>
        <w:t>2017</w:t>
      </w:r>
      <w:r>
        <w:rPr/>
        <w:t>年完成电子合同存证和数字货币</w:t>
      </w:r>
      <w:r>
        <w:rPr>
          <w:rFonts w:ascii="Times New Roman" w:hAnsi="Times New Roman" w:cs="Times New Roman" w:eastAsia="Times New Roman" w:hint="default"/>
        </w:rPr>
        <w:t>2</w:t>
      </w:r>
      <w:r>
        <w:rPr/>
        <w:t>项重点课题研究之后，公司又在监管科技</w:t>
      </w:r>
      <w:r>
        <w:rPr>
          <w:spacing w:val="-69"/>
        </w:rPr>
        <w:t> </w:t>
      </w:r>
      <w:r>
        <w:rPr>
          <w:spacing w:val="-69"/>
        </w:rPr>
      </w:r>
      <w:r>
        <w:rPr/>
        <w:t>领域积极探索，承担并完成</w:t>
      </w:r>
      <w:r>
        <w:rPr>
          <w:rFonts w:ascii="Times New Roman" w:hAnsi="Times New Roman" w:cs="Times New Roman" w:eastAsia="Times New Roman" w:hint="default"/>
        </w:rPr>
        <w:t>“</w:t>
      </w:r>
      <w:r>
        <w:rPr/>
        <w:t>区块链技术在网络借贷监管领域的应用研究</w:t>
      </w:r>
      <w:r>
        <w:rPr>
          <w:rFonts w:ascii="Times New Roman" w:hAnsi="Times New Roman" w:cs="Times New Roman" w:eastAsia="Times New Roman" w:hint="default"/>
        </w:rPr>
        <w:t>”</w:t>
      </w:r>
      <w:r>
        <w:rPr/>
        <w:t>重点课题，获得中国支付清算协会</w:t>
      </w:r>
      <w:r>
        <w:rPr>
          <w:rFonts w:ascii="Times New Roman" w:hAnsi="Times New Roman" w:cs="Times New Roman" w:eastAsia="Times New Roman" w:hint="default"/>
        </w:rPr>
        <w:t>“2018</w:t>
      </w:r>
      <w:r>
        <w:rPr/>
        <w:t>监管科技</w:t>
      </w:r>
      <w:r>
        <w:rPr>
          <w:spacing w:val="-54"/>
        </w:rPr>
        <w:t> </w:t>
      </w:r>
      <w:r>
        <w:rPr>
          <w:spacing w:val="-54"/>
        </w:rPr>
      </w:r>
      <w:r>
        <w:rPr/>
        <w:t>重点课题</w:t>
      </w:r>
      <w:r>
        <w:rPr>
          <w:rFonts w:ascii="Times New Roman" w:hAnsi="Times New Roman" w:cs="Times New Roman" w:eastAsia="Times New Roman" w:hint="default"/>
        </w:rPr>
        <w:t>”</w:t>
      </w:r>
      <w:r>
        <w:rPr/>
        <w:t>二等奖。</w:t>
      </w:r>
    </w:p>
    <w:p>
      <w:pPr>
        <w:pStyle w:val="BodyText"/>
        <w:spacing w:line="307" w:lineRule="auto" w:before="13"/>
        <w:ind w:left="514" w:right="1118"/>
        <w:jc w:val="left"/>
      </w:pPr>
      <w:r>
        <w:rPr/>
        <w:t>（</w:t>
      </w:r>
      <w:r>
        <w:rPr>
          <w:rFonts w:ascii="Times New Roman" w:hAnsi="Times New Roman" w:cs="Times New Roman" w:eastAsia="Times New Roman" w:hint="default"/>
        </w:rPr>
        <w:t>2</w:t>
      </w:r>
      <w:r>
        <w:rPr/>
        <w:t>）大数据风控可支撑多层级产品服务 联动优势大数据业务倡导以技术为主驱动，紧贴客户应用场景，提供以实际价值转化为目标的精准数据服务。 </w:t>
      </w:r>
      <w:r>
        <w:rPr>
          <w:rFonts w:ascii="Times New Roman" w:hAnsi="Times New Roman" w:cs="Times New Roman" w:eastAsia="Times New Roman" w:hint="default"/>
        </w:rPr>
        <w:t>1</w:t>
      </w:r>
      <w:r>
        <w:rPr/>
        <w:t>）金融级的基础能力 </w:t>
      </w:r>
      <w:r>
        <w:rPr>
          <w:spacing w:val="-1"/>
        </w:rPr>
        <w:t>联动优势拥有</w:t>
      </w:r>
      <w:r>
        <w:rPr>
          <w:rFonts w:ascii="Times New Roman" w:hAnsi="Times New Roman" w:cs="Times New Roman" w:eastAsia="Times New Roman" w:hint="default"/>
          <w:spacing w:val="-1"/>
        </w:rPr>
        <w:t>10</w:t>
      </w:r>
      <w:r>
        <w:rPr>
          <w:spacing w:val="-1"/>
        </w:rPr>
        <w:t>余年金融级技术沉淀，</w:t>
      </w:r>
      <w:r>
        <w:rPr>
          <w:rFonts w:ascii="Times New Roman" w:hAnsi="Times New Roman" w:cs="Times New Roman" w:eastAsia="Times New Roman" w:hint="default"/>
          <w:spacing w:val="-1"/>
        </w:rPr>
        <w:t>3</w:t>
      </w:r>
      <w:r>
        <w:rPr>
          <w:spacing w:val="-1"/>
        </w:rPr>
        <w:t>个分布式机房、</w:t>
      </w:r>
      <w:r>
        <w:rPr>
          <w:rFonts w:ascii="Times New Roman" w:hAnsi="Times New Roman" w:cs="Times New Roman" w:eastAsia="Times New Roman" w:hint="default"/>
          <w:spacing w:val="-1"/>
        </w:rPr>
        <w:t>300+</w:t>
      </w:r>
      <w:r>
        <w:rPr>
          <w:spacing w:val="-1"/>
        </w:rPr>
        <w:t>金融级设备、</w:t>
      </w:r>
      <w:r>
        <w:rPr>
          <w:rFonts w:ascii="Times New Roman" w:hAnsi="Times New Roman" w:cs="Times New Roman" w:eastAsia="Times New Roman" w:hint="default"/>
          <w:spacing w:val="-1"/>
        </w:rPr>
        <w:t>5Pb+</w:t>
      </w:r>
      <w:r>
        <w:rPr>
          <w:spacing w:val="-1"/>
        </w:rPr>
        <w:t>数据存储的金融级硬件系统支撑；拥有</w:t>
      </w:r>
    </w:p>
    <w:p>
      <w:pPr>
        <w:pStyle w:val="BodyText"/>
        <w:spacing w:line="316" w:lineRule="auto" w:before="7"/>
        <w:ind w:right="1130"/>
        <w:jc w:val="both"/>
      </w:pPr>
      <w:r>
        <w:rPr>
          <w:spacing w:val="-2"/>
        </w:rPr>
        <w:t>统一数据定义标准、饱和度分析、极值分析、分词解析技术、多维度进行数据汇总等数据清洗、汇总与加强能力；还具备敏</w:t>
      </w:r>
      <w:r>
        <w:rPr>
          <w:spacing w:val="-68"/>
        </w:rPr>
        <w:t> </w:t>
      </w:r>
      <w:r>
        <w:rPr>
          <w:spacing w:val="-68"/>
        </w:rPr>
      </w:r>
      <w:r>
        <w:rPr/>
        <w:t>感数据模糊化处理、全方位的信息安全管理、人民银行安全检测与认证等高安全性能。</w:t>
      </w:r>
    </w:p>
    <w:p>
      <w:pPr>
        <w:pStyle w:val="BodyText"/>
        <w:spacing w:line="340" w:lineRule="auto" w:before="19"/>
        <w:ind w:left="514" w:right="0"/>
        <w:jc w:val="left"/>
      </w:pPr>
      <w:r>
        <w:rPr>
          <w:rFonts w:ascii="Times New Roman" w:hAnsi="Times New Roman" w:cs="Times New Roman" w:eastAsia="Times New Roman" w:hint="default"/>
        </w:rPr>
        <w:t>2</w:t>
      </w:r>
      <w:r>
        <w:rPr/>
        <w:t>）准实时的大数据处理平台 </w:t>
      </w:r>
      <w:r>
        <w:rPr>
          <w:spacing w:val="-1"/>
        </w:rPr>
        <w:t>联动优势拥有</w:t>
      </w:r>
      <w:r>
        <w:rPr>
          <w:rFonts w:ascii="Times New Roman" w:hAnsi="Times New Roman" w:cs="Times New Roman" w:eastAsia="Times New Roman" w:hint="default"/>
          <w:spacing w:val="-1"/>
        </w:rPr>
        <w:t>Hadoop</w:t>
      </w:r>
      <w:r>
        <w:rPr>
          <w:spacing w:val="-1"/>
        </w:rPr>
        <w:t>分布式平台、</w:t>
      </w:r>
      <w:r>
        <w:rPr>
          <w:rFonts w:ascii="Times New Roman" w:hAnsi="Times New Roman" w:cs="Times New Roman" w:eastAsia="Times New Roman" w:hint="default"/>
          <w:spacing w:val="-1"/>
        </w:rPr>
        <w:t>hdfs+hive+hbase</w:t>
      </w:r>
      <w:r>
        <w:rPr>
          <w:spacing w:val="-1"/>
        </w:rPr>
        <w:t>、</w:t>
      </w:r>
      <w:r>
        <w:rPr>
          <w:rFonts w:ascii="Times New Roman" w:hAnsi="Times New Roman" w:cs="Times New Roman" w:eastAsia="Times New Roman" w:hint="default"/>
          <w:spacing w:val="-1"/>
        </w:rPr>
        <w:t>NOSQL</w:t>
      </w:r>
      <w:r>
        <w:rPr>
          <w:spacing w:val="-1"/>
        </w:rPr>
        <w:t>数据库等分布式存储与计算能力，</w:t>
      </w:r>
      <w:r>
        <w:rPr>
          <w:rFonts w:ascii="Times New Roman" w:hAnsi="Times New Roman" w:cs="Times New Roman" w:eastAsia="Times New Roman" w:hint="default"/>
          <w:spacing w:val="-1"/>
        </w:rPr>
        <w:t>spark</w:t>
      </w:r>
      <w:r>
        <w:rPr>
          <w:spacing w:val="-1"/>
        </w:rPr>
        <w:t>、</w:t>
      </w:r>
      <w:r>
        <w:rPr>
          <w:rFonts w:ascii="Times New Roman" w:hAnsi="Times New Roman" w:cs="Times New Roman" w:eastAsia="Times New Roman" w:hint="default"/>
          <w:spacing w:val="-1"/>
        </w:rPr>
        <w:t>graph</w:t>
      </w:r>
      <w:r>
        <w:rPr>
          <w:spacing w:val="-1"/>
        </w:rPr>
        <w:t>计算框架可</w:t>
      </w:r>
    </w:p>
    <w:p>
      <w:pPr>
        <w:spacing w:after="0" w:line="3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0"/>
        <w:jc w:val="both"/>
      </w:pPr>
      <w:r>
        <w:rPr/>
        <w:t>进行关系图谱的识别描述以及</w:t>
      </w:r>
      <w:r>
        <w:rPr>
          <w:rFonts w:ascii="Times New Roman" w:hAnsi="Times New Roman" w:cs="Times New Roman" w:eastAsia="Times New Roman" w:hint="default"/>
        </w:rPr>
        <w:t>gpu</w:t>
      </w:r>
      <w:r>
        <w:rPr/>
        <w:t>计算集群构建深度学习模型；拥有回归分析、决策树、神经网络、聚类分析、语义分析、</w:t>
      </w:r>
      <w:r>
        <w:rPr>
          <w:spacing w:val="-83"/>
        </w:rPr>
        <w:t> </w:t>
      </w:r>
      <w:r>
        <w:rPr>
          <w:spacing w:val="-83"/>
        </w:rPr>
      </w:r>
      <w:r>
        <w:rPr/>
        <w:t>关联分析、时间序列、支持向量机、模糊识别等数据分析、建模能力。</w:t>
      </w:r>
    </w:p>
    <w:p>
      <w:pPr>
        <w:pStyle w:val="BodyText"/>
        <w:spacing w:line="300" w:lineRule="auto" w:before="68"/>
        <w:ind w:left="514" w:right="0"/>
        <w:jc w:val="left"/>
      </w:pPr>
      <w:r>
        <w:rPr>
          <w:rFonts w:ascii="Times New Roman" w:hAnsi="Times New Roman" w:cs="Times New Roman" w:eastAsia="Times New Roman" w:hint="default"/>
        </w:rPr>
        <w:t>3</w:t>
      </w:r>
      <w:r>
        <w:rPr/>
        <w:t>）领先的标准数据产品、数据模型</w:t>
      </w:r>
      <w:r>
        <w:rPr>
          <w:rFonts w:ascii="Times New Roman" w:hAnsi="Times New Roman" w:cs="Times New Roman" w:eastAsia="Times New Roman" w:hint="default"/>
        </w:rPr>
        <w:t>+</w:t>
      </w:r>
      <w:r>
        <w:rPr/>
        <w:t>衍生资源等精细建模和服务封装能力 </w:t>
      </w:r>
      <w:r>
        <w:rPr>
          <w:spacing w:val="-2"/>
        </w:rPr>
        <w:t>联动优势大数据风控产品和服务可以从信息核查、信贷风控、反欺诈识别、风控工具组件支撑等多角度直达客户的业务</w:t>
      </w:r>
    </w:p>
    <w:p>
      <w:pPr>
        <w:pStyle w:val="BodyText"/>
        <w:spacing w:line="316" w:lineRule="auto" w:before="32"/>
        <w:ind w:right="1130"/>
        <w:jc w:val="both"/>
      </w:pPr>
      <w:r>
        <w:rPr>
          <w:spacing w:val="-2"/>
        </w:rPr>
        <w:t>痛点，提供多层级产品服务支撑。通过大数据采集及处理、数据分析和挖掘、机器学习、智能决策等技术，提供基于海量大</w:t>
      </w:r>
      <w:r>
        <w:rPr>
          <w:spacing w:val="-68"/>
        </w:rPr>
        <w:t> </w:t>
      </w:r>
      <w:r>
        <w:rPr>
          <w:spacing w:val="-68"/>
        </w:rPr>
      </w:r>
      <w:r>
        <w:rPr/>
        <w:t>数据分析的企业经营多方位决策服务，帮助合作伙伴提高整体运营效率，降低整体运营成本，有效控制业务风险。</w:t>
      </w:r>
    </w:p>
    <w:p>
      <w:pPr>
        <w:spacing w:line="300" w:lineRule="auto" w:before="19"/>
        <w:ind w:left="514"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、丰富、稳定的核心客户群资源</w:t>
      </w:r>
      <w:r>
        <w:rPr>
          <w:rFonts w:ascii="宋体" w:hAnsi="宋体" w:cs="宋体" w:eastAsia="宋体" w:hint="default"/>
          <w:b/>
          <w:bCs/>
          <w:w w:val="99"/>
          <w:sz w:val="18"/>
          <w:szCs w:val="18"/>
        </w:rPr>
        <w:t> </w:t>
      </w:r>
      <w:r>
        <w:rPr>
          <w:rFonts w:ascii="宋体" w:hAnsi="宋体" w:cs="宋体" w:eastAsia="宋体" w:hint="default"/>
          <w:spacing w:val="-4"/>
          <w:sz w:val="18"/>
          <w:szCs w:val="18"/>
        </w:rPr>
        <w:t>得益于第三方支付、金融信息等业务的多年技术积累和稳定的市场发展，联动优势平台积累了丰富的客户资源，包括</w:t>
      </w:r>
      <w:r>
        <w:rPr>
          <w:rFonts w:ascii="Times New Roman" w:hAnsi="Times New Roman" w:cs="Times New Roman" w:eastAsia="Times New Roman" w:hint="default"/>
          <w:spacing w:val="-4"/>
          <w:sz w:val="18"/>
          <w:szCs w:val="18"/>
        </w:rPr>
        <w:t>140</w:t>
      </w:r>
    </w:p>
    <w:p>
      <w:pPr>
        <w:pStyle w:val="BodyText"/>
        <w:spacing w:line="300" w:lineRule="auto" w:before="13"/>
        <w:ind w:right="1185"/>
        <w:jc w:val="both"/>
      </w:pPr>
      <w:r>
        <w:rPr/>
        <w:t>多家传统的金融机构以及</w:t>
      </w:r>
      <w:r>
        <w:rPr>
          <w:rFonts w:ascii="Times New Roman" w:hAnsi="Times New Roman" w:cs="Times New Roman" w:eastAsia="Times New Roman" w:hint="default"/>
        </w:rPr>
        <w:t>3,500</w:t>
      </w:r>
      <w:r>
        <w:rPr/>
        <w:t>多家大型合作企业、</w:t>
      </w:r>
      <w:r>
        <w:rPr>
          <w:rFonts w:ascii="Times New Roman" w:hAnsi="Times New Roman" w:cs="Times New Roman" w:eastAsia="Times New Roman" w:hint="default"/>
        </w:rPr>
        <w:t>100</w:t>
      </w:r>
      <w:r>
        <w:rPr/>
        <w:t>万家中小企业和</w:t>
      </w:r>
      <w:r>
        <w:rPr>
          <w:rFonts w:ascii="Times New Roman" w:hAnsi="Times New Roman" w:cs="Times New Roman" w:eastAsia="Times New Roman" w:hint="default"/>
        </w:rPr>
        <w:t>5</w:t>
      </w:r>
      <w:r>
        <w:rPr/>
        <w:t>亿个人用户。客户资源的不断储备为后续开展卡券 营销、大数据风控、消费金融等增值服务打下了坚实的基础。</w:t>
      </w:r>
    </w:p>
    <w:p>
      <w:pPr>
        <w:pStyle w:val="BodyText"/>
        <w:spacing w:line="316" w:lineRule="auto" w:before="31"/>
        <w:ind w:right="1132" w:firstLine="360"/>
        <w:jc w:val="both"/>
      </w:pPr>
      <w:r>
        <w:rPr>
          <w:spacing w:val="-2"/>
        </w:rPr>
        <w:t>智能制造板块亦拥有以上汽大众、吉利、上汽通用五菱、长城汽车、五菱工业、上海大众、广汽、比亚迪为代表的乘用</w:t>
      </w:r>
      <w:r>
        <w:rPr/>
        <w:t> </w:t>
      </w:r>
      <w:r>
        <w:rPr>
          <w:spacing w:val="-2"/>
        </w:rPr>
        <w:t>车生产领域的知名客户，和以中国重汽、福田戴姆勒、一汽解放、陕汽为代表的商用车领域的知名客户，公司经过多年的技</w:t>
      </w:r>
      <w:r>
        <w:rPr>
          <w:spacing w:val="-66"/>
        </w:rPr>
        <w:t> </w:t>
      </w:r>
      <w:r>
        <w:rPr>
          <w:spacing w:val="-66"/>
        </w:rPr>
      </w:r>
      <w:r>
        <w:rPr>
          <w:spacing w:val="-2"/>
        </w:rPr>
        <w:t>术储备和对产品精益求精的不懈追求，现已经成为上述客户在仪表横梁总成、制动踏板总成、离合踏板总成、车门总成、车</w:t>
      </w:r>
      <w:r>
        <w:rPr>
          <w:spacing w:val="-66"/>
        </w:rPr>
        <w:t> </w:t>
      </w:r>
      <w:r>
        <w:rPr>
          <w:spacing w:val="-66"/>
        </w:rPr>
      </w:r>
      <w:r>
        <w:rPr/>
        <w:t>架总成等汽车总成件的核心供应商。</w:t>
      </w:r>
    </w:p>
    <w:p>
      <w:pPr>
        <w:spacing w:line="300" w:lineRule="auto" w:before="19"/>
        <w:ind w:left="514"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、优越的专利及非专利技术优势</w:t>
      </w:r>
      <w:r>
        <w:rPr>
          <w:rFonts w:ascii="宋体" w:hAnsi="宋体" w:cs="宋体" w:eastAsia="宋体" w:hint="default"/>
          <w:b/>
          <w:bCs/>
          <w:w w:val="99"/>
          <w:sz w:val="18"/>
          <w:szCs w:val="18"/>
        </w:rPr>
        <w:t> </w:t>
      </w:r>
      <w:r>
        <w:rPr>
          <w:rFonts w:ascii="宋体" w:hAnsi="宋体" w:cs="宋体" w:eastAsia="宋体" w:hint="default"/>
          <w:sz w:val="18"/>
          <w:szCs w:val="18"/>
        </w:rPr>
        <w:t>经过多年的技术积累和技术创新，公司及子公司在金融科技技术方面拥有</w:t>
      </w:r>
      <w:r>
        <w:rPr>
          <w:rFonts w:ascii="Times New Roman" w:hAnsi="Times New Roman" w:cs="Times New Roman" w:eastAsia="Times New Roman" w:hint="default"/>
          <w:sz w:val="18"/>
          <w:szCs w:val="18"/>
        </w:rPr>
        <w:t>21</w:t>
      </w:r>
      <w:r>
        <w:rPr>
          <w:rFonts w:ascii="宋体" w:hAnsi="宋体" w:cs="宋体" w:eastAsia="宋体" w:hint="default"/>
          <w:sz w:val="18"/>
          <w:szCs w:val="18"/>
        </w:rPr>
        <w:t>项发明专利及</w:t>
      </w:r>
      <w:r>
        <w:rPr>
          <w:rFonts w:ascii="Times New Roman" w:hAnsi="Times New Roman" w:cs="Times New Roman" w:eastAsia="Times New Roman" w:hint="default"/>
          <w:sz w:val="18"/>
          <w:szCs w:val="18"/>
        </w:rPr>
        <w:t>2</w:t>
      </w:r>
      <w:r>
        <w:rPr>
          <w:rFonts w:ascii="宋体" w:hAnsi="宋体" w:cs="宋体" w:eastAsia="宋体" w:hint="default"/>
          <w:sz w:val="18"/>
          <w:szCs w:val="18"/>
        </w:rPr>
        <w:t>项实用新型专利，另有</w:t>
      </w:r>
      <w:r>
        <w:rPr>
          <w:rFonts w:ascii="Times New Roman" w:hAnsi="Times New Roman" w:cs="Times New Roman" w:eastAsia="Times New Roman" w:hint="default"/>
          <w:sz w:val="18"/>
          <w:szCs w:val="18"/>
        </w:rPr>
        <w:t>152</w:t>
      </w:r>
    </w:p>
    <w:p>
      <w:pPr>
        <w:pStyle w:val="BodyText"/>
        <w:spacing w:line="300" w:lineRule="auto" w:before="13"/>
        <w:ind w:right="1129"/>
        <w:jc w:val="both"/>
      </w:pPr>
      <w:r>
        <w:rPr>
          <w:spacing w:val="-2"/>
        </w:rPr>
        <w:t>项发明专利处于审查阶段，拥有软著</w:t>
      </w:r>
      <w:r>
        <w:rPr>
          <w:rFonts w:ascii="Times New Roman" w:hAnsi="Times New Roman" w:cs="Times New Roman" w:eastAsia="Times New Roman" w:hint="default"/>
          <w:spacing w:val="-2"/>
        </w:rPr>
        <w:t>204</w:t>
      </w:r>
      <w:r>
        <w:rPr>
          <w:spacing w:val="-2"/>
        </w:rPr>
        <w:t>件，在模具、冲压、高效变频电机等方面共拥有</w:t>
      </w:r>
      <w:r>
        <w:rPr>
          <w:rFonts w:ascii="Times New Roman" w:hAnsi="Times New Roman" w:cs="Times New Roman" w:eastAsia="Times New Roman" w:hint="default"/>
          <w:spacing w:val="-2"/>
        </w:rPr>
        <w:t>25</w:t>
      </w:r>
      <w:r>
        <w:rPr>
          <w:spacing w:val="-2"/>
        </w:rPr>
        <w:t>项发明专利、</w:t>
      </w:r>
      <w:r>
        <w:rPr>
          <w:rFonts w:ascii="Times New Roman" w:hAnsi="Times New Roman" w:cs="Times New Roman" w:eastAsia="Times New Roman" w:hint="default"/>
          <w:spacing w:val="-2"/>
        </w:rPr>
        <w:t>104</w:t>
      </w:r>
      <w:r>
        <w:rPr>
          <w:spacing w:val="-2"/>
        </w:rPr>
        <w:t>项实用新型专利</w:t>
      </w:r>
      <w:r>
        <w:rPr>
          <w:spacing w:val="-58"/>
        </w:rPr>
        <w:t> </w:t>
      </w:r>
      <w:r>
        <w:rPr/>
        <w:t>及</w:t>
      </w:r>
      <w:r>
        <w:rPr>
          <w:rFonts w:ascii="Times New Roman" w:hAnsi="Times New Roman" w:cs="Times New Roman" w:eastAsia="Times New Roman" w:hint="default"/>
        </w:rPr>
        <w:t>3</w:t>
      </w:r>
      <w:r>
        <w:rPr/>
        <w:t>项外观设计等自主知识产权专利。在专用车及新能源电动车方面拥有</w:t>
      </w:r>
      <w:r>
        <w:rPr>
          <w:rFonts w:ascii="Times New Roman" w:hAnsi="Times New Roman" w:cs="Times New Roman" w:eastAsia="Times New Roman" w:hint="default"/>
        </w:rPr>
        <w:t>16</w:t>
      </w:r>
      <w:r>
        <w:rPr/>
        <w:t>项专利、《车辆生产企业及产品公告》目录（工</w:t>
      </w:r>
      <w:r>
        <w:rPr>
          <w:spacing w:val="-82"/>
        </w:rPr>
        <w:t> </w:t>
      </w:r>
      <w:r>
        <w:rPr>
          <w:spacing w:val="-82"/>
        </w:rPr>
      </w:r>
      <w:r>
        <w:rPr>
          <w:spacing w:val="-2"/>
        </w:rPr>
        <w:t>信部）车型</w:t>
      </w:r>
      <w:r>
        <w:rPr>
          <w:rFonts w:ascii="Times New Roman" w:hAnsi="Times New Roman" w:cs="Times New Roman" w:eastAsia="Times New Roman" w:hint="default"/>
          <w:spacing w:val="-2"/>
        </w:rPr>
        <w:t>88</w:t>
      </w:r>
      <w:r>
        <w:rPr>
          <w:spacing w:val="-2"/>
        </w:rPr>
        <w:t>项和</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1"/>
          <w:w w:val="100"/>
        </w:rPr>
        <w:drawing>
          <wp:inline distT="0" distB="0" distL="0" distR="0">
            <wp:extent cx="120650" cy="1206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20650" cy="120650"/>
                    </a:xfrm>
                    <a:prstGeom prst="rect">
                      <a:avLst/>
                    </a:prstGeom>
                  </pic:spPr>
                </pic:pic>
              </a:graphicData>
            </a:graphic>
          </wp:inline>
        </w:drawing>
      </w:r>
      <w:r>
        <w:rPr>
          <w:rFonts w:ascii="Times New Roman" w:hAnsi="Times New Roman" w:cs="Times New Roman" w:eastAsia="Times New Roman" w:hint="default"/>
          <w:spacing w:val="-1"/>
          <w:w w:val="100"/>
        </w:rPr>
      </w:r>
      <w:r>
        <w:rPr>
          <w:rFonts w:ascii="Times New Roman" w:hAnsi="Times New Roman" w:cs="Times New Roman" w:eastAsia="Times New Roman" w:hint="default"/>
          <w:spacing w:val="-3"/>
        </w:rPr>
        <w:t>”</w:t>
      </w:r>
      <w:r>
        <w:rPr>
          <w:spacing w:val="-3"/>
        </w:rPr>
        <w:t>标识、</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1"/>
          <w:w w:val="100"/>
        </w:rPr>
        <w:drawing>
          <wp:inline distT="0" distB="0" distL="0" distR="0">
            <wp:extent cx="1143000" cy="1333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1143000" cy="133350"/>
                    </a:xfrm>
                    <a:prstGeom prst="rect">
                      <a:avLst/>
                    </a:prstGeom>
                  </pic:spPr>
                </pic:pic>
              </a:graphicData>
            </a:graphic>
          </wp:inline>
        </w:drawing>
      </w:r>
      <w:r>
        <w:rPr>
          <w:rFonts w:ascii="Times New Roman" w:hAnsi="Times New Roman" w:cs="Times New Roman" w:eastAsia="Times New Roman" w:hint="default"/>
          <w:spacing w:val="-1"/>
          <w:w w:val="100"/>
        </w:rPr>
      </w:r>
      <w:r>
        <w:rPr>
          <w:rFonts w:ascii="Times New Roman" w:hAnsi="Times New Roman" w:cs="Times New Roman" w:eastAsia="Times New Roman" w:hint="default"/>
          <w:spacing w:val="-1"/>
        </w:rPr>
        <w:t>”</w:t>
      </w:r>
      <w:r>
        <w:rPr>
          <w:spacing w:val="-1"/>
        </w:rPr>
        <w:t>标识及</w:t>
      </w:r>
      <w:r>
        <w:rPr>
          <w:rFonts w:ascii="Times New Roman" w:hAnsi="Times New Roman" w:cs="Times New Roman" w:eastAsia="Times New Roman" w:hint="default"/>
          <w:spacing w:val="-1"/>
        </w:rPr>
        <w:t>“</w:t>
      </w:r>
      <w:r>
        <w:rPr>
          <w:spacing w:val="-1"/>
        </w:rPr>
        <w:t>湖北福田</w:t>
      </w:r>
      <w:r>
        <w:rPr>
          <w:rFonts w:ascii="Times New Roman" w:hAnsi="Times New Roman" w:cs="Times New Roman" w:eastAsia="Times New Roman" w:hint="default"/>
          <w:spacing w:val="-1"/>
        </w:rPr>
        <w:t>”</w:t>
      </w:r>
      <w:r>
        <w:rPr>
          <w:spacing w:val="-1"/>
        </w:rPr>
        <w:t>字号。公司子公司湖北海立美达汽车有限公司被授</w:t>
      </w:r>
      <w:r>
        <w:rPr>
          <w:spacing w:val="-69"/>
        </w:rPr>
        <w:t> </w:t>
      </w:r>
      <w:r>
        <w:rPr>
          <w:spacing w:val="-69"/>
        </w:rPr>
      </w:r>
      <w:r>
        <w:rPr>
          <w:spacing w:val="-1"/>
        </w:rPr>
        <w:t>予</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500</w:t>
      </w:r>
      <w:r>
        <w:rPr>
          <w:spacing w:val="-1"/>
        </w:rPr>
        <w:t>家最大交通运输设备制造企业</w:t>
      </w:r>
      <w:r>
        <w:rPr>
          <w:rFonts w:ascii="Times New Roman" w:hAnsi="Times New Roman" w:cs="Times New Roman" w:eastAsia="Times New Roman" w:hint="default"/>
          <w:spacing w:val="-1"/>
        </w:rPr>
        <w:t>”</w:t>
      </w:r>
      <w:r>
        <w:rPr>
          <w:spacing w:val="-1"/>
        </w:rPr>
        <w:t>等荣誉称号。公司及多家子公司技术中心被评为</w:t>
      </w:r>
      <w:r>
        <w:rPr>
          <w:rFonts w:ascii="Times New Roman" w:hAnsi="Times New Roman" w:cs="Times New Roman" w:eastAsia="Times New Roman" w:hint="default"/>
          <w:spacing w:val="-1"/>
        </w:rPr>
        <w:t>“</w:t>
      </w:r>
      <w:r>
        <w:rPr>
          <w:spacing w:val="-1"/>
        </w:rPr>
        <w:t>北京市企业技术中心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青岛市</w:t>
      </w:r>
      <w:r>
        <w:rPr>
          <w:spacing w:val="-65"/>
        </w:rPr>
        <w:t> </w:t>
      </w:r>
      <w:r>
        <w:rPr/>
        <w:t>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青岛市级工程技术研究中心（重点实验室）</w:t>
      </w:r>
      <w:r>
        <w:rPr>
          <w:rFonts w:ascii="Times New Roman" w:hAnsi="Times New Roman" w:cs="Times New Roman" w:eastAsia="Times New Roman" w:hint="default"/>
        </w:rPr>
        <w:t>”</w:t>
      </w:r>
      <w:r>
        <w:rPr/>
        <w:t>。公司拥有较强的技术研发队伍，与知</w:t>
      </w:r>
      <w:r>
        <w:rPr>
          <w:spacing w:val="-42"/>
        </w:rPr>
        <w:t> </w:t>
      </w:r>
      <w:r>
        <w:rPr>
          <w:spacing w:val="-42"/>
        </w:rPr>
      </w:r>
      <w:r>
        <w:rPr/>
        <w:t>名高校建立了产学研基地，能够为客户提供完整的产品设计、开发和生产方案，具有较强的技术和研发优势。</w:t>
      </w:r>
    </w:p>
    <w:p>
      <w:pPr>
        <w:pStyle w:val="BodyText"/>
        <w:spacing w:line="300" w:lineRule="auto" w:before="32"/>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、丰富、灵活的平台服务模式</w:t>
      </w:r>
      <w:r>
        <w:rPr>
          <w:rFonts w:ascii="宋体" w:hAnsi="宋体" w:cs="宋体" w:eastAsia="宋体" w:hint="default"/>
          <w:b/>
          <w:bCs/>
          <w:w w:val="99"/>
        </w:rPr>
        <w:t> </w:t>
      </w:r>
      <w:r>
        <w:rPr/>
        <w:t>联动优势积极布局并深耕金融科技</w:t>
      </w:r>
      <w:r>
        <w:rPr>
          <w:rFonts w:ascii="Times New Roman" w:hAnsi="Times New Roman" w:cs="Times New Roman" w:eastAsia="Times New Roman" w:hint="default"/>
        </w:rPr>
        <w:t>Fintech</w:t>
      </w:r>
      <w:r>
        <w:rPr/>
        <w:t>、保险科技</w:t>
      </w:r>
      <w:r>
        <w:rPr>
          <w:rFonts w:ascii="Times New Roman" w:hAnsi="Times New Roman" w:cs="Times New Roman" w:eastAsia="Times New Roman" w:hint="default"/>
        </w:rPr>
        <w:t>Insurtech</w:t>
      </w:r>
      <w:r>
        <w:rPr/>
        <w:t>生态圈。充分挖掘并利用金融科技板块现有第三方支付、</w:t>
      </w:r>
    </w:p>
    <w:p>
      <w:pPr>
        <w:pStyle w:val="BodyText"/>
        <w:spacing w:line="314" w:lineRule="auto" w:before="13"/>
        <w:ind w:right="1131"/>
        <w:jc w:val="both"/>
      </w:pPr>
      <w:r>
        <w:rPr>
          <w:spacing w:val="-2"/>
        </w:rPr>
        <w:t>运营商合作、金融信息服务、智能风控等优势，通过人工智能、大数据等工具，努力为银行、保险、基金等金融持牌机构赋</w:t>
      </w:r>
      <w:r>
        <w:rPr>
          <w:spacing w:val="-72"/>
        </w:rPr>
        <w:t> </w:t>
      </w:r>
      <w:r>
        <w:rPr>
          <w:spacing w:val="-72"/>
        </w:rPr>
      </w:r>
      <w:r>
        <w:rPr>
          <w:spacing w:val="-2"/>
        </w:rPr>
        <w:t>能，同时继续夯实区块链及云计算的技术积累，为科技赋能金融奠定坚实基础。报告期内，支付板块针对外部形势对子战略</w:t>
      </w:r>
      <w:r>
        <w:rPr>
          <w:spacing w:val="-66"/>
        </w:rPr>
        <w:t> </w:t>
      </w:r>
      <w:r>
        <w:rPr>
          <w:spacing w:val="-66"/>
        </w:rPr>
      </w:r>
      <w:r>
        <w:rPr>
          <w:spacing w:val="-2"/>
        </w:rPr>
        <w:t>进行了全面调整，完善了第三方支付业务布局，在国家防控金融风险、大力推进供给侧结构性改革的前提下，以合规运营为</w:t>
      </w:r>
      <w:r>
        <w:rPr>
          <w:spacing w:val="-66"/>
        </w:rPr>
        <w:t> </w:t>
      </w:r>
      <w:r>
        <w:rPr>
          <w:spacing w:val="-66"/>
        </w:rPr>
      </w:r>
      <w:r>
        <w:rPr>
          <w:spacing w:val="-1"/>
        </w:rPr>
        <w:t>前提、以快速发展补充公司服务供给侧场景为目的进一步优化第三方支付产业及客户结构，聚焦拓展交通出行、</w:t>
      </w:r>
      <w:r>
        <w:rPr>
          <w:rFonts w:ascii="Times New Roman" w:hAnsi="Times New Roman" w:cs="Times New Roman" w:eastAsia="Times New Roman" w:hint="default"/>
          <w:spacing w:val="-1"/>
        </w:rPr>
        <w:t>B2B</w:t>
      </w:r>
      <w:r>
        <w:rPr>
          <w:spacing w:val="-1"/>
        </w:rPr>
        <w:t>产业互</w:t>
      </w:r>
      <w:r>
        <w:rPr/>
        <w:t> 联网、金融行业、线下实体经济场景等行业做能力输出和科技赋能。</w:t>
      </w:r>
    </w:p>
    <w:p>
      <w:pPr>
        <w:pStyle w:val="BodyText"/>
        <w:spacing w:line="300" w:lineRule="auto" w:before="20"/>
        <w:ind w:left="514" w:right="0" w:firstLine="1"/>
        <w:jc w:val="left"/>
      </w:pPr>
      <w:r>
        <w:rPr>
          <w:rFonts w:ascii="Times New Roman" w:hAnsi="Times New Roman" w:cs="Times New Roman" w:eastAsia="Times New Roman" w:hint="default"/>
          <w:b/>
          <w:bCs/>
        </w:rPr>
        <w:t>6</w:t>
      </w:r>
      <w:r>
        <w:rPr>
          <w:rFonts w:ascii="宋体" w:hAnsi="宋体" w:cs="宋体" w:eastAsia="宋体" w:hint="default"/>
          <w:b/>
          <w:bCs/>
        </w:rPr>
        <w:t>、卓越的管理团队优势</w:t>
      </w:r>
      <w:r>
        <w:rPr>
          <w:rFonts w:ascii="宋体" w:hAnsi="宋体" w:cs="宋体" w:eastAsia="宋体" w:hint="default"/>
          <w:b/>
          <w:bCs/>
          <w:w w:val="99"/>
        </w:rPr>
        <w:t> </w:t>
      </w:r>
      <w:r>
        <w:rPr>
          <w:spacing w:val="-2"/>
        </w:rPr>
        <w:t>多年来，公司持续建设内部人才培养机制，重视内部人才培养，逐渐呈现出良性的人才阶梯发展态势，最大限度满足企</w:t>
      </w:r>
    </w:p>
    <w:p>
      <w:pPr>
        <w:pStyle w:val="BodyText"/>
        <w:spacing w:line="316" w:lineRule="auto" w:before="31"/>
        <w:ind w:right="1133"/>
        <w:jc w:val="both"/>
      </w:pPr>
      <w:r>
        <w:rPr>
          <w:spacing w:val="-5"/>
        </w:rPr>
        <w:t>业自身发展的需求，同时，公司还不断从大型优秀企业引进高端管理人才，与内部人才呈现互为补充、协同发展的良好环境，</w:t>
      </w:r>
      <w:r>
        <w:rPr>
          <w:spacing w:val="-82"/>
        </w:rPr>
        <w:t> </w:t>
      </w:r>
      <w:r>
        <w:rPr>
          <w:spacing w:val="-82"/>
        </w:rPr>
      </w:r>
      <w:r>
        <w:rPr/>
        <w:t>更好的支撑企业快速发展对管理人才的要求。</w:t>
      </w:r>
    </w:p>
    <w:p>
      <w:pPr>
        <w:pStyle w:val="BodyText"/>
        <w:spacing w:line="340" w:lineRule="auto" w:before="19"/>
        <w:ind w:left="497" w:right="0" w:firstLine="18"/>
        <w:jc w:val="left"/>
      </w:pPr>
      <w:r>
        <w:rPr>
          <w:rFonts w:ascii="Times New Roman" w:hAnsi="Times New Roman" w:cs="Times New Roman" w:eastAsia="Times New Roman" w:hint="default"/>
          <w:b/>
          <w:bCs/>
        </w:rPr>
        <w:t>7</w:t>
      </w:r>
      <w:r>
        <w:rPr>
          <w:rFonts w:ascii="宋体" w:hAnsi="宋体" w:cs="宋体" w:eastAsia="宋体" w:hint="default"/>
          <w:b/>
          <w:bCs/>
        </w:rPr>
        <w:t>、雄厚的技术实力</w:t>
      </w:r>
      <w:r>
        <w:rPr>
          <w:rFonts w:ascii="宋体" w:hAnsi="宋体" w:cs="宋体" w:eastAsia="宋体" w:hint="default"/>
          <w:b/>
          <w:bCs/>
          <w:w w:val="99"/>
        </w:rPr>
        <w:t> </w:t>
      </w:r>
      <w:r>
        <w:rPr/>
        <w:t>随着公司转型升级战略的逐步推进，公司的产品和技术不断向高精尖领域发展。公司多家子公司被授予高新技术企业，</w:t>
      </w:r>
    </w:p>
    <w:p>
      <w:pPr>
        <w:pStyle w:val="BodyText"/>
        <w:spacing w:line="319" w:lineRule="auto" w:before="1"/>
        <w:ind w:right="1131"/>
        <w:jc w:val="both"/>
      </w:pPr>
      <w:r>
        <w:rPr>
          <w:spacing w:val="-2"/>
        </w:rPr>
        <w:t>建有多个企业技术中心及工程技术研究中心且已获得相关政府部门批准。报告期内，联动优势《基于区块链的互联网金融数</w:t>
      </w:r>
      <w:r>
        <w:rPr>
          <w:spacing w:val="-66"/>
        </w:rPr>
        <w:t> </w:t>
      </w:r>
      <w:r>
        <w:rPr>
          <w:spacing w:val="-66"/>
        </w:rPr>
      </w:r>
      <w:r>
        <w:rPr>
          <w:spacing w:val="-2"/>
        </w:rPr>
        <w:t>据安全管理产业化项目》获得北京市高新技术成果转化项目认定；《基于区块链的互联网金融综合服务平台产业化项目》入</w:t>
      </w:r>
      <w:r>
        <w:rPr>
          <w:spacing w:val="-65"/>
        </w:rPr>
        <w:t> </w:t>
      </w:r>
      <w:r>
        <w:rPr>
          <w:spacing w:val="-65"/>
        </w:rPr>
      </w:r>
      <w:r>
        <w:rPr/>
        <w:t>围</w:t>
      </w:r>
      <w:r>
        <w:rPr>
          <w:rFonts w:ascii="Times New Roman" w:hAnsi="Times New Roman" w:cs="Times New Roman" w:eastAsia="Times New Roman" w:hint="default"/>
        </w:rPr>
        <w:t>2018</w:t>
      </w:r>
      <w:r>
        <w:rPr/>
        <w:t>年度西城区财政科技专项（科技创新类）项目，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月该项目进入结项验收阶段，</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月通过验收。</w:t>
      </w:r>
    </w:p>
    <w:p>
      <w:pPr>
        <w:pStyle w:val="BodyText"/>
        <w:spacing w:line="340" w:lineRule="auto" w:before="35"/>
        <w:ind w:left="514" w:right="0" w:firstLine="1"/>
        <w:jc w:val="left"/>
      </w:pPr>
      <w:r>
        <w:rPr>
          <w:rFonts w:ascii="Times New Roman" w:hAnsi="Times New Roman" w:cs="Times New Roman" w:eastAsia="Times New Roman" w:hint="default"/>
          <w:b/>
          <w:bCs/>
        </w:rPr>
        <w:t>8</w:t>
      </w:r>
      <w:r>
        <w:rPr>
          <w:rFonts w:ascii="宋体" w:hAnsi="宋体" w:cs="宋体" w:eastAsia="宋体" w:hint="default"/>
          <w:b/>
          <w:bCs/>
        </w:rPr>
        <w:t>、严谨的质量保证体系</w:t>
      </w:r>
      <w:r>
        <w:rPr>
          <w:rFonts w:ascii="宋体" w:hAnsi="宋体" w:cs="宋体" w:eastAsia="宋体" w:hint="default"/>
          <w:b/>
          <w:bCs/>
          <w:w w:val="99"/>
        </w:rPr>
        <w:t> </w:t>
      </w:r>
      <w:r>
        <w:rPr/>
        <w:t>公司及子公司通过了</w:t>
      </w:r>
      <w:r>
        <w:rPr>
          <w:rFonts w:ascii="Times New Roman" w:hAnsi="Times New Roman" w:cs="Times New Roman" w:eastAsia="Times New Roman" w:hint="default"/>
        </w:rPr>
        <w:t>TS16949</w:t>
      </w:r>
      <w:r>
        <w:rPr/>
        <w:t>、</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CCC</w:t>
      </w:r>
      <w:r>
        <w:rPr/>
        <w:t>认证、</w:t>
      </w:r>
      <w:r>
        <w:rPr>
          <w:rFonts w:ascii="Times New Roman" w:hAnsi="Times New Roman" w:cs="Times New Roman" w:eastAsia="Times New Roman" w:hint="default"/>
        </w:rPr>
        <w:t>UL</w:t>
      </w:r>
      <w:r>
        <w:rPr/>
        <w:t>认证、</w:t>
      </w:r>
      <w:r>
        <w:rPr>
          <w:rFonts w:ascii="Times New Roman" w:hAnsi="Times New Roman" w:cs="Times New Roman" w:eastAsia="Times New Roman" w:hint="default"/>
        </w:rPr>
        <w:t>ISO14001</w:t>
      </w:r>
      <w:r>
        <w:rPr/>
        <w:t>等体系认证，坚持采用国际质量标准，</w:t>
      </w:r>
    </w:p>
    <w:p>
      <w:pPr>
        <w:pStyle w:val="BodyText"/>
        <w:spacing w:line="214" w:lineRule="exact"/>
        <w:ind w:right="0"/>
        <w:jc w:val="both"/>
      </w:pPr>
      <w:r>
        <w:rPr/>
        <w:t>从生产组织、管理流程到承接订单、原材料采购、模具设计、工艺设计、质量控制、检测工序、装箱交货、客户服务等各个</w:t>
      </w:r>
    </w:p>
    <w:p>
      <w:pPr>
        <w:pStyle w:val="BodyText"/>
        <w:spacing w:line="319" w:lineRule="auto" w:before="76"/>
        <w:ind w:right="1133"/>
        <w:jc w:val="both"/>
      </w:pPr>
      <w:r>
        <w:rPr>
          <w:spacing w:val="-2"/>
        </w:rPr>
        <w:t>环节均严格执行上述体系的要求，保证产品质量符合客户的需要；通过推行六西格玛管理，极大的降低了产品质量缺陷的发</w:t>
      </w:r>
      <w:r>
        <w:rPr>
          <w:spacing w:val="-66"/>
        </w:rPr>
        <w:t> </w:t>
      </w:r>
      <w:r>
        <w:rPr>
          <w:spacing w:val="-66"/>
        </w:rPr>
      </w:r>
      <w:r>
        <w:rPr/>
        <w:t>生。</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Heading8"/>
        <w:spacing w:line="240" w:lineRule="auto" w:before="0"/>
        <w:ind w:left="515" w:right="0"/>
        <w:jc w:val="left"/>
        <w:rPr>
          <w:b w:val="0"/>
          <w:bCs w:val="0"/>
        </w:rPr>
      </w:pPr>
      <w:r>
        <w:rPr>
          <w:rFonts w:ascii="Times New Roman" w:hAnsi="Times New Roman" w:cs="Times New Roman" w:eastAsia="Times New Roman" w:hint="default"/>
        </w:rPr>
        <w:t>(</w:t>
      </w:r>
      <w:r>
        <w:rPr/>
        <w:t>一）主营业务分析</w:t>
      </w:r>
      <w:r>
        <w:rPr>
          <w:b w:val="0"/>
          <w:bCs w:val="0"/>
        </w:rPr>
      </w:r>
    </w:p>
    <w:p>
      <w:pPr>
        <w:pStyle w:val="BodyText"/>
        <w:spacing w:line="304" w:lineRule="auto" w:before="63"/>
        <w:ind w:right="1129" w:firstLine="360"/>
        <w:jc w:val="both"/>
      </w:pPr>
      <w:r>
        <w:rPr>
          <w:rFonts w:ascii="Times New Roman" w:hAnsi="Times New Roman" w:cs="Times New Roman" w:eastAsia="Times New Roman" w:hint="default"/>
          <w:spacing w:val="-5"/>
        </w:rPr>
        <w:t>2018</w:t>
      </w:r>
      <w:r>
        <w:rPr>
          <w:spacing w:val="-5"/>
        </w:rPr>
        <w:t>年，金融科技产业经过近几年的高速增长后进入规范期，制造业在深化供给侧改革的推动下，仍处于转型升级阶段。</w:t>
      </w:r>
      <w:r>
        <w:rPr/>
        <w:t> </w:t>
      </w:r>
      <w:r>
        <w:rPr>
          <w:spacing w:val="-2"/>
        </w:rPr>
        <w:t>在此经济背景下，公司金融科技板块及时顺应政策调整部署，在合规运营的前提下实现了稳健发展，智能制造板块在继续贯</w:t>
      </w:r>
      <w:r>
        <w:rPr>
          <w:spacing w:val="-66"/>
        </w:rPr>
        <w:t> </w:t>
      </w:r>
      <w:r>
        <w:rPr>
          <w:spacing w:val="-66"/>
        </w:rPr>
      </w:r>
      <w:r>
        <w:rPr>
          <w:spacing w:val="-2"/>
        </w:rPr>
        <w:t>彻</w:t>
      </w:r>
      <w:r>
        <w:rPr>
          <w:rFonts w:ascii="Times New Roman" w:hAnsi="Times New Roman" w:cs="Times New Roman" w:eastAsia="Times New Roman" w:hint="default"/>
          <w:spacing w:val="-2"/>
        </w:rPr>
        <w:t>“</w:t>
      </w:r>
      <w:r>
        <w:rPr>
          <w:spacing w:val="-2"/>
        </w:rPr>
        <w:t>产业聚焦、转型升级、优化提效</w:t>
      </w:r>
      <w:r>
        <w:rPr>
          <w:rFonts w:ascii="Times New Roman" w:hAnsi="Times New Roman" w:cs="Times New Roman" w:eastAsia="Times New Roman" w:hint="default"/>
          <w:spacing w:val="-2"/>
        </w:rPr>
        <w:t>”</w:t>
      </w:r>
      <w:r>
        <w:rPr>
          <w:spacing w:val="-2"/>
        </w:rPr>
        <w:t>的同时，进一步提升自身核心竞争力，实现了健康持续发展。公司</w:t>
      </w:r>
      <w:r>
        <w:rPr>
          <w:rFonts w:ascii="Times New Roman" w:hAnsi="Times New Roman" w:cs="Times New Roman" w:eastAsia="Times New Roman" w:hint="default"/>
          <w:spacing w:val="-2"/>
        </w:rPr>
        <w:t>2018</w:t>
      </w:r>
      <w:r>
        <w:rPr>
          <w:spacing w:val="-2"/>
        </w:rPr>
        <w:t>年实现营业收入</w:t>
      </w:r>
      <w:r>
        <w:rPr>
          <w:spacing w:val="-41"/>
        </w:rPr>
        <w:t> </w:t>
      </w:r>
      <w:r>
        <w:rPr>
          <w:rFonts w:ascii="Times New Roman" w:hAnsi="Times New Roman" w:cs="Times New Roman" w:eastAsia="Times New Roman" w:hint="default"/>
          <w:spacing w:val="-1"/>
        </w:rPr>
        <w:t>501,123.91</w:t>
      </w:r>
      <w:r>
        <w:rPr>
          <w:spacing w:val="-1"/>
        </w:rPr>
        <w:t>万元，较同期增长</w:t>
      </w:r>
      <w:r>
        <w:rPr>
          <w:rFonts w:ascii="Times New Roman" w:hAnsi="Times New Roman" w:cs="Times New Roman" w:eastAsia="Times New Roman" w:hint="default"/>
          <w:spacing w:val="-1"/>
        </w:rPr>
        <w:t>25.40%</w:t>
      </w:r>
      <w:r>
        <w:rPr>
          <w:spacing w:val="-1"/>
        </w:rPr>
        <w:t>，归属于上市公司股东的净利润</w:t>
      </w:r>
      <w:r>
        <w:rPr>
          <w:rFonts w:ascii="Times New Roman" w:hAnsi="Times New Roman" w:cs="Times New Roman" w:eastAsia="Times New Roman" w:hint="default"/>
          <w:spacing w:val="-1"/>
        </w:rPr>
        <w:t>13,323.92</w:t>
      </w:r>
      <w:r>
        <w:rPr>
          <w:spacing w:val="-1"/>
        </w:rPr>
        <w:t>万元，较同期下降</w:t>
      </w:r>
      <w:r>
        <w:rPr>
          <w:rFonts w:ascii="Times New Roman" w:hAnsi="Times New Roman" w:cs="Times New Roman" w:eastAsia="Times New Roman" w:hint="default"/>
          <w:spacing w:val="-1"/>
        </w:rPr>
        <w:t>67.81%</w:t>
      </w:r>
      <w:r>
        <w:rPr>
          <w:spacing w:val="-1"/>
        </w:rPr>
        <w:t>，不考虑商誉减值因</w:t>
      </w:r>
      <w:r>
        <w:rPr>
          <w:spacing w:val="-48"/>
        </w:rPr>
        <w:t> </w:t>
      </w:r>
      <w:r>
        <w:rPr>
          <w:spacing w:val="-48"/>
        </w:rPr>
      </w:r>
      <w:r>
        <w:rPr/>
        <w:t>素，公司实现归属于上市公司股东的净利润</w:t>
      </w:r>
      <w:r>
        <w:rPr>
          <w:rFonts w:ascii="Times New Roman" w:hAnsi="Times New Roman" w:cs="Times New Roman" w:eastAsia="Times New Roman" w:hint="default"/>
        </w:rPr>
        <w:t>42,319.22</w:t>
      </w:r>
      <w:r>
        <w:rPr/>
        <w:t>万元，较同期增长</w:t>
      </w:r>
      <w:r>
        <w:rPr>
          <w:rFonts w:ascii="Times New Roman" w:hAnsi="Times New Roman" w:cs="Times New Roman" w:eastAsia="Times New Roman" w:hint="default"/>
        </w:rPr>
        <w:t>2.23%</w:t>
      </w:r>
      <w:r>
        <w:rPr/>
        <w:t>。</w:t>
      </w:r>
    </w:p>
    <w:p>
      <w:pPr>
        <w:pStyle w:val="Heading8"/>
        <w:spacing w:line="240" w:lineRule="auto" w:before="9"/>
        <w:ind w:left="515" w:right="0"/>
        <w:jc w:val="left"/>
        <w:rPr>
          <w:b w:val="0"/>
          <w:bCs w:val="0"/>
        </w:rPr>
      </w:pPr>
      <w:r>
        <w:rPr/>
        <w:t>（二）、报告期内主要工作回顾及经营分析</w:t>
      </w:r>
      <w:r>
        <w:rPr>
          <w:b w:val="0"/>
          <w:bCs w:val="0"/>
        </w:rPr>
      </w:r>
    </w:p>
    <w:p>
      <w:pPr>
        <w:pStyle w:val="Heading8"/>
        <w:spacing w:line="240" w:lineRule="auto" w:before="76"/>
        <w:ind w:left="515" w:right="0"/>
        <w:jc w:val="left"/>
        <w:rPr>
          <w:b w:val="0"/>
          <w:bCs w:val="0"/>
        </w:rPr>
      </w:pPr>
      <w:r>
        <w:rPr>
          <w:rFonts w:ascii="Times New Roman" w:hAnsi="Times New Roman" w:cs="Times New Roman" w:eastAsia="Times New Roman" w:hint="default"/>
        </w:rPr>
        <w:t>1</w:t>
      </w:r>
      <w:r>
        <w:rPr/>
        <w:t>、金融科技板块保持稳健发展</w:t>
      </w:r>
      <w:r>
        <w:rPr>
          <w:b w:val="0"/>
          <w:bCs w:val="0"/>
        </w:rPr>
      </w:r>
    </w:p>
    <w:p>
      <w:pPr>
        <w:pStyle w:val="BodyText"/>
        <w:spacing w:line="309" w:lineRule="auto" w:before="63"/>
        <w:ind w:right="1130" w:firstLine="360"/>
        <w:jc w:val="both"/>
      </w:pPr>
      <w:r>
        <w:rPr>
          <w:rFonts w:ascii="Times New Roman" w:hAnsi="Times New Roman" w:cs="Times New Roman" w:eastAsia="Times New Roman" w:hint="default"/>
          <w:spacing w:val="-2"/>
        </w:rPr>
        <w:t>2018</w:t>
      </w:r>
      <w:r>
        <w:rPr>
          <w:spacing w:val="-2"/>
        </w:rPr>
        <w:t>年，公司金融科技板块在面临国家整体金融行业强监管、行业政策重大调整、竞争加剧的形势下，及时作出业务调</w:t>
      </w:r>
      <w:r>
        <w:rPr/>
        <w:t> </w:t>
      </w:r>
      <w:r>
        <w:rPr>
          <w:spacing w:val="-2"/>
        </w:rPr>
        <w:t>整，在发展目标、产品定位和客户方面重新梳理并确定方向，通过充分挖掘并利用现有第三方支付、运营商合作、金融信息</w:t>
      </w:r>
      <w:r>
        <w:rPr>
          <w:spacing w:val="-66"/>
        </w:rPr>
        <w:t> </w:t>
      </w:r>
      <w:r>
        <w:rPr>
          <w:spacing w:val="-66"/>
        </w:rPr>
      </w:r>
      <w:r>
        <w:rPr>
          <w:spacing w:val="-2"/>
        </w:rPr>
        <w:t>服务、智能风控等优势，同时引进优秀团队，积极布局新业务，公司金融科技板块保持稳健发展。报告期内，公司金融科技</w:t>
      </w:r>
      <w:r>
        <w:rPr>
          <w:spacing w:val="-67"/>
        </w:rPr>
        <w:t> </w:t>
      </w:r>
      <w:r>
        <w:rPr>
          <w:spacing w:val="-67"/>
        </w:rPr>
      </w:r>
      <w:r>
        <w:rPr>
          <w:spacing w:val="-1"/>
        </w:rPr>
        <w:t>板块实现营业收入</w:t>
      </w:r>
      <w:r>
        <w:rPr>
          <w:rFonts w:ascii="Times New Roman" w:hAnsi="Times New Roman" w:cs="Times New Roman" w:eastAsia="Times New Roman" w:hint="default"/>
          <w:spacing w:val="-1"/>
        </w:rPr>
        <w:t>112,024.59</w:t>
      </w:r>
      <w:r>
        <w:rPr>
          <w:spacing w:val="-1"/>
        </w:rPr>
        <w:t>万元，同比增长</w:t>
      </w:r>
      <w:r>
        <w:rPr>
          <w:rFonts w:ascii="Times New Roman" w:hAnsi="Times New Roman" w:cs="Times New Roman" w:eastAsia="Times New Roman" w:hint="default"/>
          <w:spacing w:val="-1"/>
        </w:rPr>
        <w:t>3.07%</w:t>
      </w:r>
      <w:r>
        <w:rPr>
          <w:spacing w:val="-1"/>
        </w:rPr>
        <w:t>，实现归属于上市公司股东的净利润</w:t>
      </w:r>
      <w:r>
        <w:rPr>
          <w:rFonts w:ascii="Times New Roman" w:hAnsi="Times New Roman" w:cs="Times New Roman" w:eastAsia="Times New Roman" w:hint="default"/>
          <w:spacing w:val="-1"/>
        </w:rPr>
        <w:t>23,860.72</w:t>
      </w:r>
      <w:r>
        <w:rPr>
          <w:spacing w:val="-1"/>
        </w:rPr>
        <w:t>万元，同比下降</w:t>
      </w:r>
      <w:r>
        <w:rPr>
          <w:rFonts w:ascii="Times New Roman" w:hAnsi="Times New Roman" w:cs="Times New Roman" w:eastAsia="Times New Roman" w:hint="default"/>
          <w:spacing w:val="-1"/>
        </w:rPr>
        <w:t>1.52%</w:t>
      </w:r>
      <w:r>
        <w:rPr>
          <w:spacing w:val="-1"/>
        </w:rPr>
        <w:t>。公</w:t>
      </w:r>
      <w:r>
        <w:rPr>
          <w:spacing w:val="-56"/>
        </w:rPr>
        <w:t> </w:t>
      </w:r>
      <w:r>
        <w:rPr/>
        <w:t>司金融科技产业在报告期内的主要工作回顾及经营情况分析如下：</w:t>
      </w:r>
    </w:p>
    <w:p>
      <w:pPr>
        <w:pStyle w:val="BodyText"/>
        <w:spacing w:line="300" w:lineRule="auto" w:before="24"/>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）第三方支付服务</w:t>
      </w:r>
      <w:r>
        <w:rPr>
          <w:rFonts w:ascii="宋体" w:hAnsi="宋体" w:cs="宋体" w:eastAsia="宋体" w:hint="default"/>
          <w:b/>
          <w:bCs/>
          <w:w w:val="99"/>
        </w:rPr>
        <w:t> </w:t>
      </w:r>
      <w:r>
        <w:rPr>
          <w:spacing w:val="-2"/>
        </w:rPr>
        <w:t>报告期内，公司通过</w:t>
      </w:r>
      <w:r>
        <w:rPr>
          <w:rFonts w:ascii="Times New Roman" w:hAnsi="Times New Roman" w:cs="Times New Roman" w:eastAsia="Times New Roman" w:hint="default"/>
          <w:spacing w:val="-2"/>
        </w:rPr>
        <w:t>“</w:t>
      </w:r>
      <w:r>
        <w:rPr>
          <w:spacing w:val="-2"/>
        </w:rPr>
        <w:t>组织创新保机制，风控偏好避风险</w:t>
      </w:r>
      <w:r>
        <w:rPr>
          <w:rFonts w:ascii="Times New Roman" w:hAnsi="Times New Roman" w:cs="Times New Roman" w:eastAsia="Times New Roman" w:hint="default"/>
          <w:spacing w:val="-2"/>
        </w:rPr>
        <w:t>”</w:t>
      </w:r>
      <w:r>
        <w:rPr>
          <w:spacing w:val="-2"/>
        </w:rPr>
        <w:t>克服了国家金融政策收紧、监管力度增强、行业增速骤降以及</w:t>
      </w:r>
    </w:p>
    <w:p>
      <w:pPr>
        <w:pStyle w:val="BodyText"/>
        <w:spacing w:line="307" w:lineRule="auto" w:before="13"/>
        <w:ind w:right="1129"/>
        <w:jc w:val="both"/>
      </w:pPr>
      <w:r>
        <w:rPr>
          <w:spacing w:val="-2"/>
        </w:rPr>
        <w:t>备付金集中存管等影响，以合规运营为前提、以快速发展补充公司服务供给侧场景为目的，进一步优化第三方支付产业及客</w:t>
      </w:r>
      <w:r>
        <w:rPr>
          <w:spacing w:val="-66"/>
        </w:rPr>
        <w:t> </w:t>
      </w:r>
      <w:r>
        <w:rPr>
          <w:spacing w:val="-66"/>
        </w:rPr>
      </w:r>
      <w:r>
        <w:rPr/>
        <w:t>户结构，使公司第三方支付业务保持健康、稳定发展。通过聚焦拓展</w:t>
      </w:r>
      <w:r>
        <w:rPr>
          <w:rFonts w:ascii="Times New Roman" w:hAnsi="Times New Roman" w:cs="Times New Roman" w:eastAsia="Times New Roman" w:hint="default"/>
        </w:rPr>
        <w:t>“</w:t>
      </w:r>
      <w:r>
        <w:rPr/>
        <w:t>交通出行、</w:t>
      </w:r>
      <w:r>
        <w:rPr>
          <w:rFonts w:ascii="Times New Roman" w:hAnsi="Times New Roman" w:cs="Times New Roman" w:eastAsia="Times New Roman" w:hint="default"/>
        </w:rPr>
        <w:t>B2B</w:t>
      </w:r>
      <w:r>
        <w:rPr/>
        <w:t>产业互联网、金融业、线下实体经济</w:t>
      </w:r>
      <w:r>
        <w:rPr>
          <w:spacing w:val="-46"/>
        </w:rPr>
        <w:t> </w:t>
      </w:r>
      <w:r>
        <w:rPr>
          <w:spacing w:val="-46"/>
        </w:rPr>
      </w:r>
      <w:r>
        <w:rPr/>
        <w:t>场景</w:t>
      </w:r>
      <w:r>
        <w:rPr>
          <w:rFonts w:ascii="Times New Roman" w:hAnsi="Times New Roman" w:cs="Times New Roman" w:eastAsia="Times New Roman" w:hint="default"/>
        </w:rPr>
        <w:t>”</w:t>
      </w:r>
      <w:r>
        <w:rPr/>
        <w:t>等领域，公司已成功中标中国铁路网络有限公司移动支付服务商项目，已为接近</w:t>
      </w:r>
      <w:r>
        <w:rPr>
          <w:rFonts w:ascii="Times New Roman" w:hAnsi="Times New Roman" w:cs="Times New Roman" w:eastAsia="Times New Roman" w:hint="default"/>
        </w:rPr>
        <w:t>50</w:t>
      </w:r>
      <w:r>
        <w:rPr/>
        <w:t>余家具有行业代表性互联网企业提</w:t>
      </w:r>
      <w:r>
        <w:rPr>
          <w:spacing w:val="-75"/>
        </w:rPr>
        <w:t> </w:t>
      </w:r>
      <w:r>
        <w:rPr>
          <w:spacing w:val="-75"/>
        </w:rPr>
      </w:r>
      <w:r>
        <w:rPr>
          <w:spacing w:val="-2"/>
        </w:rPr>
        <w:t>供服务，已与招行、中信、浦发、兴业等多家股份制银行逐步开展全国范围联合收单合作。据易观等数据统计显示，公司在</w:t>
      </w:r>
      <w:r>
        <w:rPr>
          <w:spacing w:val="-67"/>
        </w:rPr>
        <w:t> </w:t>
      </w:r>
      <w:r>
        <w:rPr>
          <w:spacing w:val="-67"/>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季度移动支付交易规模继续排名第</w:t>
      </w:r>
      <w:r>
        <w:rPr>
          <w:rFonts w:ascii="Times New Roman" w:hAnsi="Times New Roman" w:cs="Times New Roman" w:eastAsia="Times New Roman" w:hint="default"/>
        </w:rPr>
        <w:t>4</w:t>
      </w:r>
      <w:r>
        <w:rPr/>
        <w:t>。公司搭建的中立第三方消费金融云服务平台，已为包括</w:t>
      </w:r>
      <w:r>
        <w:rPr>
          <w:rFonts w:ascii="Times New Roman" w:hAnsi="Times New Roman" w:cs="Times New Roman" w:eastAsia="Times New Roman" w:hint="default"/>
        </w:rPr>
        <w:t>140</w:t>
      </w:r>
      <w:r>
        <w:rPr/>
        <w:t>多家传统的金融机</w:t>
      </w:r>
      <w:r>
        <w:rPr>
          <w:spacing w:val="-82"/>
        </w:rPr>
        <w:t> </w:t>
      </w:r>
      <w:r>
        <w:rPr>
          <w:spacing w:val="-82"/>
        </w:rPr>
      </w:r>
      <w:r>
        <w:rPr>
          <w:spacing w:val="-1"/>
        </w:rPr>
        <w:t>构、</w:t>
      </w:r>
      <w:r>
        <w:rPr>
          <w:rFonts w:ascii="Times New Roman" w:hAnsi="Times New Roman" w:cs="Times New Roman" w:eastAsia="Times New Roman" w:hint="default"/>
          <w:spacing w:val="-1"/>
        </w:rPr>
        <w:t>3,500</w:t>
      </w:r>
      <w:r>
        <w:rPr>
          <w:spacing w:val="-1"/>
        </w:rPr>
        <w:t>多家大型企业合作、</w:t>
      </w:r>
      <w:r>
        <w:rPr>
          <w:rFonts w:ascii="Times New Roman" w:hAnsi="Times New Roman" w:cs="Times New Roman" w:eastAsia="Times New Roman" w:hint="default"/>
          <w:spacing w:val="-1"/>
        </w:rPr>
        <w:t>100</w:t>
      </w:r>
      <w:r>
        <w:rPr>
          <w:spacing w:val="-1"/>
        </w:rPr>
        <w:t>万家中小企业提供综合支付、信息推送、智能营销、大数据、高速清算、智能反欺诈、反</w:t>
      </w:r>
      <w:r>
        <w:rPr>
          <w:spacing w:val="-72"/>
        </w:rPr>
        <w:t> </w:t>
      </w:r>
      <w:r>
        <w:rPr>
          <w:spacing w:val="-72"/>
        </w:rPr>
      </w:r>
      <w:r>
        <w:rPr/>
        <w:t>洗钱交易等服务。</w:t>
      </w:r>
    </w:p>
    <w:p>
      <w:pPr>
        <w:pStyle w:val="BodyText"/>
        <w:spacing w:line="300" w:lineRule="auto" w:before="26"/>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）大数据服务</w:t>
      </w:r>
      <w:r>
        <w:rPr>
          <w:rFonts w:ascii="宋体" w:hAnsi="宋体" w:cs="宋体" w:eastAsia="宋体" w:hint="default"/>
          <w:b/>
          <w:bCs/>
          <w:w w:val="99"/>
        </w:rPr>
        <w:t> </w:t>
      </w:r>
      <w:r>
        <w:rPr>
          <w:spacing w:val="-2"/>
        </w:rPr>
        <w:t>报告期内，公司在大数据分布式存储和计算、数据挖掘等方面持续投入，科技创新得到突破，提交专利申请</w:t>
      </w:r>
      <w:r>
        <w:rPr>
          <w:rFonts w:ascii="Times New Roman" w:hAnsi="Times New Roman" w:cs="Times New Roman" w:eastAsia="Times New Roman" w:hint="default"/>
          <w:spacing w:val="-2"/>
        </w:rPr>
        <w:t>25</w:t>
      </w:r>
      <w:r>
        <w:rPr>
          <w:spacing w:val="-2"/>
        </w:rPr>
        <w:t>项，相继</w:t>
      </w:r>
    </w:p>
    <w:p>
      <w:pPr>
        <w:pStyle w:val="BodyText"/>
        <w:spacing w:line="307" w:lineRule="auto" w:before="13"/>
        <w:ind w:right="1130"/>
        <w:jc w:val="both"/>
      </w:pPr>
      <w:r>
        <w:rPr>
          <w:spacing w:val="-1"/>
        </w:rPr>
        <w:t>研发出了</w:t>
      </w:r>
      <w:r>
        <w:rPr>
          <w:rFonts w:ascii="Times New Roman" w:hAnsi="Times New Roman" w:cs="Times New Roman" w:eastAsia="Times New Roman" w:hint="default"/>
          <w:spacing w:val="-1"/>
        </w:rPr>
        <w:t>“</w:t>
      </w:r>
      <w:r>
        <w:rPr>
          <w:spacing w:val="-1"/>
        </w:rPr>
        <w:t>云模型工厂</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风控云平台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智能推荐系统</w:t>
      </w:r>
      <w:r>
        <w:rPr>
          <w:rFonts w:ascii="Times New Roman" w:hAnsi="Times New Roman" w:cs="Times New Roman" w:eastAsia="Times New Roman" w:hint="default"/>
          <w:spacing w:val="-1"/>
        </w:rPr>
        <w:t>”</w:t>
      </w:r>
      <w:r>
        <w:rPr>
          <w:spacing w:val="-1"/>
        </w:rPr>
        <w:t>等智能化产品，同时自然语言处理获得手机厂商认同及应用。公司</w:t>
      </w:r>
      <w:r>
        <w:rPr>
          <w:spacing w:val="-57"/>
        </w:rPr>
        <w:t> </w:t>
      </w:r>
      <w:r>
        <w:rPr>
          <w:spacing w:val="-57"/>
        </w:rPr>
      </w:r>
      <w:r>
        <w:rPr>
          <w:spacing w:val="-2"/>
        </w:rPr>
        <w:t>通过科技创新推动业务创新，持续构建核心竞争力，结合业务场景，提供全业务链整体服务，实现了从提供单一数据分析服</w:t>
      </w:r>
      <w:r>
        <w:rPr>
          <w:spacing w:val="-66"/>
        </w:rPr>
        <w:t> </w:t>
      </w:r>
      <w:r>
        <w:rPr>
          <w:spacing w:val="-66"/>
        </w:rPr>
      </w:r>
      <w:r>
        <w:rPr>
          <w:spacing w:val="-2"/>
        </w:rPr>
        <w:t>务向一站式综合服务或模块化服务发展。报告期内，公司大数据业务步入亿元俱乐部，实现营业收入</w:t>
      </w:r>
      <w:r>
        <w:rPr>
          <w:rFonts w:ascii="Times New Roman" w:hAnsi="Times New Roman" w:cs="Times New Roman" w:eastAsia="Times New Roman" w:hint="default"/>
          <w:spacing w:val="-2"/>
        </w:rPr>
        <w:t>14,604.14</w:t>
      </w:r>
      <w:r>
        <w:rPr>
          <w:spacing w:val="-2"/>
        </w:rPr>
        <w:t>万元，较去年</w:t>
      </w:r>
      <w:r>
        <w:rPr>
          <w:spacing w:val="-56"/>
        </w:rPr>
        <w:t> </w:t>
      </w:r>
      <w:r>
        <w:rPr>
          <w:spacing w:val="-56"/>
        </w:rPr>
      </w:r>
      <w:r>
        <w:rPr/>
        <w:t>同期增长</w:t>
      </w:r>
      <w:r>
        <w:rPr>
          <w:rFonts w:ascii="Times New Roman" w:hAnsi="Times New Roman" w:cs="Times New Roman" w:eastAsia="Times New Roman" w:hint="default"/>
        </w:rPr>
        <w:t>48.88%</w:t>
      </w:r>
      <w:r>
        <w:rPr/>
        <w:t>。</w:t>
      </w:r>
    </w:p>
    <w:p>
      <w:pPr>
        <w:pStyle w:val="BodyText"/>
        <w:spacing w:line="300" w:lineRule="auto" w:before="7"/>
        <w:ind w:right="1128" w:firstLine="360"/>
        <w:jc w:val="both"/>
      </w:pPr>
      <w:r>
        <w:rPr>
          <w:spacing w:val="-2"/>
        </w:rPr>
        <w:t>同时，公司在区块链研究及应用方面有了新的进展。报告期内，完成了区块链底层框架优链系统（英文名：</w:t>
      </w:r>
      <w:r>
        <w:rPr>
          <w:rFonts w:ascii="Times New Roman" w:hAnsi="Times New Roman" w:cs="Times New Roman" w:eastAsia="Times New Roman" w:hint="default"/>
          <w:spacing w:val="-2"/>
        </w:rPr>
        <w:t>UChains</w:t>
      </w:r>
      <w:r>
        <w:rPr>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 </w:t>
      </w:r>
      <w:r>
        <w:rPr/>
        <w:t>个版本的迭代，极大优化和改进了优链系统的性能、稳定性、扩展性，性能均值提升</w:t>
      </w:r>
      <w:r>
        <w:rPr>
          <w:rFonts w:ascii="Times New Roman" w:hAnsi="Times New Roman" w:cs="Times New Roman" w:eastAsia="Times New Roman" w:hint="default"/>
        </w:rPr>
        <w:t>5</w:t>
      </w:r>
      <w:r>
        <w:rPr/>
        <w:t>倍，并通过中国信息通信研究院可信</w:t>
      </w:r>
      <w:r>
        <w:rPr>
          <w:spacing w:val="-82"/>
        </w:rPr>
        <w:t> </w:t>
      </w:r>
      <w:r>
        <w:rPr>
          <w:spacing w:val="-82"/>
        </w:rPr>
      </w:r>
      <w:r>
        <w:rPr/>
        <w:t>区块链标准测试。继</w:t>
      </w:r>
      <w:r>
        <w:rPr>
          <w:rFonts w:ascii="Times New Roman" w:hAnsi="Times New Roman" w:cs="Times New Roman" w:eastAsia="Times New Roman" w:hint="default"/>
        </w:rPr>
        <w:t>2017</w:t>
      </w:r>
      <w:r>
        <w:rPr/>
        <w:t>年完成电子合同存证和数字货币</w:t>
      </w:r>
      <w:r>
        <w:rPr>
          <w:rFonts w:ascii="Times New Roman" w:hAnsi="Times New Roman" w:cs="Times New Roman" w:eastAsia="Times New Roman" w:hint="default"/>
        </w:rPr>
        <w:t>2</w:t>
      </w:r>
      <w:r>
        <w:rPr/>
        <w:t>项重点课题研究之后，公司又在监管科技领域积极探索，承担并</w:t>
      </w:r>
      <w:r>
        <w:rPr>
          <w:spacing w:val="-83"/>
        </w:rPr>
        <w:t> </w:t>
      </w:r>
      <w:r>
        <w:rPr>
          <w:spacing w:val="-83"/>
        </w:rPr>
      </w:r>
      <w:r>
        <w:rPr/>
        <w:t>完成</w:t>
      </w:r>
      <w:r>
        <w:rPr>
          <w:rFonts w:ascii="Times New Roman" w:hAnsi="Times New Roman" w:cs="Times New Roman" w:eastAsia="Times New Roman" w:hint="default"/>
        </w:rPr>
        <w:t>“</w:t>
      </w:r>
      <w:r>
        <w:rPr/>
        <w:t>区块链技术在网络借贷监管领域的应用研究</w:t>
      </w:r>
      <w:r>
        <w:rPr>
          <w:rFonts w:ascii="Times New Roman" w:hAnsi="Times New Roman" w:cs="Times New Roman" w:eastAsia="Times New Roman" w:hint="default"/>
        </w:rPr>
        <w:t>”</w:t>
      </w:r>
      <w:r>
        <w:rPr/>
        <w:t>重点课题，获得中国支付清算协会</w:t>
      </w:r>
      <w:r>
        <w:rPr>
          <w:rFonts w:ascii="Times New Roman" w:hAnsi="Times New Roman" w:cs="Times New Roman" w:eastAsia="Times New Roman" w:hint="default"/>
        </w:rPr>
        <w:t>“2018</w:t>
      </w:r>
      <w:r>
        <w:rPr/>
        <w:t>监管科技重点课题</w:t>
      </w:r>
      <w:r>
        <w:rPr>
          <w:rFonts w:ascii="Times New Roman" w:hAnsi="Times New Roman" w:cs="Times New Roman" w:eastAsia="Times New Roman" w:hint="default"/>
        </w:rPr>
        <w:t>”</w:t>
      </w:r>
      <w:r>
        <w:rPr/>
        <w:t>二等奖。</w:t>
      </w:r>
    </w:p>
    <w:p>
      <w:pPr>
        <w:pStyle w:val="BodyText"/>
        <w:spacing w:line="300" w:lineRule="auto" w:before="13"/>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）移动信息服务</w:t>
      </w:r>
      <w:r>
        <w:rPr>
          <w:rFonts w:ascii="宋体" w:hAnsi="宋体" w:cs="宋体" w:eastAsia="宋体" w:hint="default"/>
          <w:b/>
          <w:bCs/>
          <w:w w:val="99"/>
        </w:rPr>
        <w:t> </w:t>
      </w:r>
      <w:r>
        <w:rPr>
          <w:spacing w:val="-2"/>
        </w:rPr>
        <w:t>随着近年来移动互联网及移动应用的大力发展，短信服务业务增速整体放缓，但银行业短信（短信验证码、动帐通知短</w:t>
      </w:r>
    </w:p>
    <w:p>
      <w:pPr>
        <w:pStyle w:val="BodyText"/>
        <w:spacing w:line="316" w:lineRule="auto" w:before="32"/>
        <w:ind w:right="1132"/>
        <w:jc w:val="both"/>
      </w:pPr>
      <w:r>
        <w:rPr>
          <w:spacing w:val="-2"/>
        </w:rPr>
        <w:t>信、会员营销短信等）作为连接线上线下沟通的重要桥梁，仍保持较好的增长趋势。同时，行业客户已开始以紧盯精准营销</w:t>
      </w:r>
      <w:r>
        <w:rPr>
          <w:spacing w:val="-66"/>
        </w:rPr>
        <w:t> </w:t>
      </w:r>
      <w:r>
        <w:rPr>
          <w:spacing w:val="-66"/>
        </w:rPr>
      </w:r>
      <w:r>
        <w:rPr/>
        <w:t>等手段来带动业务创新，对短信业务服务自身业务的要求愈来愈高。</w:t>
      </w:r>
    </w:p>
    <w:p>
      <w:pPr>
        <w:pStyle w:val="BodyText"/>
        <w:spacing w:line="300" w:lineRule="auto" w:before="19"/>
        <w:ind w:right="1131" w:firstLine="360"/>
        <w:jc w:val="both"/>
      </w:pPr>
      <w:r>
        <w:rPr/>
        <w:t>为适应市场变化，加速市场化转型，公司移动信息服务在保持</w:t>
      </w:r>
      <w:r>
        <w:rPr>
          <w:rFonts w:ascii="Times New Roman" w:hAnsi="Times New Roman" w:cs="Times New Roman" w:eastAsia="Times New Roman" w:hint="default"/>
        </w:rPr>
        <w:t>“</w:t>
      </w:r>
      <w:r>
        <w:rPr/>
        <w:t>通道</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业务模式下，进一步强化和完善平台功能， 通过大数据、云计算、</w:t>
      </w:r>
      <w:r>
        <w:rPr>
          <w:rFonts w:ascii="Times New Roman" w:hAnsi="Times New Roman" w:cs="Times New Roman" w:eastAsia="Times New Roman" w:hint="default"/>
        </w:rPr>
        <w:t>AI</w:t>
      </w:r>
      <w:r>
        <w:rPr/>
        <w:t>、区块链等工具，搭建了联信通智能沟通云平台，以满足客户多样化需求。同时，根据行业发展</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和市场需求，公司重点拓展粘性强、需求量大的金融及类金融客户，报告期，公司移动信息服务保持平稳发展，短信发送量</w:t>
      </w:r>
      <w:r>
        <w:rPr>
          <w:spacing w:val="-66"/>
        </w:rPr>
        <w:t> </w:t>
      </w:r>
      <w:r>
        <w:rPr>
          <w:spacing w:val="-66"/>
        </w:rPr>
      </w:r>
      <w:r>
        <w:rPr/>
        <w:t>达到</w:t>
      </w:r>
      <w:r>
        <w:rPr>
          <w:rFonts w:ascii="Times New Roman" w:hAnsi="Times New Roman" w:cs="Times New Roman" w:eastAsia="Times New Roman" w:hint="default"/>
        </w:rPr>
        <w:t>1700</w:t>
      </w:r>
      <w:r>
        <w:rPr/>
        <w:t>余亿条。</w:t>
      </w:r>
    </w:p>
    <w:p>
      <w:pPr>
        <w:spacing w:line="300"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）移动运营商计费结算服务</w:t>
      </w:r>
      <w:r>
        <w:rPr>
          <w:rFonts w:ascii="宋体" w:hAnsi="宋体" w:cs="宋体" w:eastAsia="宋体" w:hint="default"/>
          <w:b/>
          <w:bCs/>
          <w:w w:val="99"/>
          <w:sz w:val="18"/>
          <w:szCs w:val="18"/>
        </w:rPr>
        <w:t> </w:t>
      </w:r>
      <w:r>
        <w:rPr>
          <w:rFonts w:ascii="宋体" w:hAnsi="宋体" w:cs="宋体" w:eastAsia="宋体" w:hint="default"/>
          <w:spacing w:val="-2"/>
          <w:sz w:val="18"/>
          <w:szCs w:val="18"/>
        </w:rPr>
        <w:t>移动运营商计费结算服务系以电信运营商为主要计费渠道，向互联网行业提供三网融合计费及结算服务。报告期内，受</w:t>
      </w:r>
    </w:p>
    <w:p>
      <w:pPr>
        <w:pStyle w:val="BodyText"/>
        <w:spacing w:line="316" w:lineRule="auto" w:before="32"/>
        <w:ind w:right="1133"/>
        <w:jc w:val="both"/>
      </w:pPr>
      <w:r>
        <w:rPr>
          <w:spacing w:val="-2"/>
        </w:rPr>
        <w:t>市场环境和运营商政策调整影响，公司积极调整策略，打造营销链与产品创新齐步推进，实现运营商、互联网巨头、银行权</w:t>
      </w:r>
      <w:r>
        <w:rPr>
          <w:spacing w:val="-66"/>
        </w:rPr>
        <w:t> </w:t>
      </w:r>
      <w:r>
        <w:rPr>
          <w:spacing w:val="-66"/>
        </w:rPr>
      </w:r>
      <w:r>
        <w:rPr/>
        <w:t>益组合与营销交叉互动。报告期内，移动运营商计费结算服务实现平稳过渡。</w:t>
      </w:r>
    </w:p>
    <w:p>
      <w:pPr>
        <w:spacing w:line="300" w:lineRule="auto" w:before="19"/>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）积极布局金融赋能服务新领域</w:t>
      </w:r>
      <w:r>
        <w:rPr>
          <w:rFonts w:ascii="宋体" w:hAnsi="宋体" w:cs="宋体" w:eastAsia="宋体" w:hint="default"/>
          <w:b/>
          <w:bCs/>
          <w:w w:val="99"/>
          <w:sz w:val="18"/>
          <w:szCs w:val="18"/>
        </w:rPr>
        <w:t> </w:t>
      </w:r>
      <w:r>
        <w:rPr>
          <w:rFonts w:ascii="宋体" w:hAnsi="宋体" w:cs="宋体" w:eastAsia="宋体" w:hint="default"/>
          <w:sz w:val="18"/>
          <w:szCs w:val="18"/>
        </w:rPr>
        <w:t>为全面促进金融科技板块业务转型与发展，实现科技赋能普惠金融的新模式，报告期内，公司成立了海联金汇（北京）</w:t>
      </w:r>
    </w:p>
    <w:p>
      <w:pPr>
        <w:pStyle w:val="BodyText"/>
        <w:spacing w:line="300" w:lineRule="auto" w:before="31"/>
        <w:ind w:right="1131"/>
        <w:jc w:val="both"/>
      </w:pPr>
      <w:r>
        <w:rPr>
          <w:spacing w:val="4"/>
        </w:rPr>
        <w:t>金融科技有限公司，同时引进了金融科技及保险科技领域优秀人才及团队，积极布局并深耕金融科技</w:t>
      </w:r>
      <w:r>
        <w:rPr>
          <w:rFonts w:ascii="Times New Roman" w:hAnsi="Times New Roman" w:cs="Times New Roman" w:eastAsia="Times New Roman" w:hint="default"/>
          <w:spacing w:val="4"/>
        </w:rPr>
        <w:t>Fintech</w:t>
      </w:r>
      <w:r>
        <w:rPr>
          <w:spacing w:val="4"/>
        </w:rPr>
        <w:t>、保险科技</w:t>
      </w:r>
      <w:r>
        <w:rPr>
          <w:spacing w:val="-70"/>
        </w:rPr>
        <w:t> </w:t>
      </w:r>
      <w:r>
        <w:rPr>
          <w:spacing w:val="-70"/>
        </w:rPr>
      </w:r>
      <w:r>
        <w:rPr>
          <w:rFonts w:ascii="Times New Roman" w:hAnsi="Times New Roman" w:cs="Times New Roman" w:eastAsia="Times New Roman" w:hint="default"/>
        </w:rPr>
        <w:t>Insurtech</w:t>
      </w:r>
      <w:r>
        <w:rPr/>
        <w:t>生态圈，截至报告期末，相关团队搭建已基本完成，业务体系相对成熟，积极为</w:t>
      </w:r>
      <w:r>
        <w:rPr>
          <w:rFonts w:ascii="Times New Roman" w:hAnsi="Times New Roman" w:cs="Times New Roman" w:eastAsia="Times New Roman" w:hint="default"/>
        </w:rPr>
        <w:t>2019</w:t>
      </w:r>
      <w:r>
        <w:rPr/>
        <w:t>年业务增量奠定基础。</w:t>
      </w:r>
    </w:p>
    <w:p>
      <w:pPr>
        <w:spacing w:line="300" w:lineRule="auto" w:before="13"/>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、智能制造板块继续保持平稳增长</w:t>
      </w:r>
      <w:r>
        <w:rPr>
          <w:rFonts w:ascii="宋体" w:hAnsi="宋体" w:cs="宋体" w:eastAsia="宋体" w:hint="default"/>
          <w:b/>
          <w:bCs/>
          <w:w w:val="99"/>
          <w:sz w:val="18"/>
          <w:szCs w:val="18"/>
        </w:rPr>
        <w:t> </w:t>
      </w:r>
      <w:r>
        <w:rPr>
          <w:rFonts w:ascii="宋体" w:hAnsi="宋体" w:cs="宋体" w:eastAsia="宋体" w:hint="default"/>
          <w:spacing w:val="-2"/>
          <w:sz w:val="18"/>
          <w:szCs w:val="18"/>
        </w:rPr>
        <w:t>公司智能制造板块为推进公司董事会制定的发展战略和经营目标，深入贯彻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产业聚焦、转型升级、优化提效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的经营主</w:t>
      </w:r>
    </w:p>
    <w:p>
      <w:pPr>
        <w:pStyle w:val="BodyText"/>
        <w:spacing w:line="300" w:lineRule="auto" w:before="13"/>
        <w:ind w:right="1130"/>
        <w:jc w:val="both"/>
      </w:pPr>
      <w:r>
        <w:rPr>
          <w:spacing w:val="-2"/>
        </w:rPr>
        <w:t>题，将</w:t>
      </w:r>
      <w:r>
        <w:rPr>
          <w:rFonts w:ascii="Times New Roman" w:hAnsi="Times New Roman" w:cs="Times New Roman" w:eastAsia="Times New Roman" w:hint="default"/>
          <w:spacing w:val="-2"/>
        </w:rPr>
        <w:t>2018</w:t>
      </w:r>
      <w:r>
        <w:rPr>
          <w:spacing w:val="-2"/>
        </w:rPr>
        <w:t>年作为</w:t>
      </w:r>
      <w:r>
        <w:rPr>
          <w:rFonts w:ascii="Times New Roman" w:hAnsi="Times New Roman" w:cs="Times New Roman" w:eastAsia="Times New Roman" w:hint="default"/>
          <w:spacing w:val="-2"/>
        </w:rPr>
        <w:t>“</w:t>
      </w:r>
      <w:r>
        <w:rPr>
          <w:spacing w:val="-2"/>
        </w:rPr>
        <w:t>管理年、提效年、问责年、休整年、执行年</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年，公司通过创新经营模式、轻资产运作、优化产品</w:t>
      </w:r>
      <w:r>
        <w:rPr>
          <w:spacing w:val="-41"/>
        </w:rPr>
        <w:t> </w:t>
      </w:r>
      <w:r>
        <w:rPr>
          <w:spacing w:val="-41"/>
        </w:rPr>
      </w:r>
      <w:r>
        <w:rPr/>
        <w:t>结构和生产工艺、资源整合、精员增效等一系列措施，智能制造板块继续保持平稳增长，实现营业收入</w:t>
      </w:r>
      <w:r>
        <w:rPr>
          <w:rFonts w:ascii="Times New Roman" w:hAnsi="Times New Roman" w:cs="Times New Roman" w:eastAsia="Times New Roman" w:hint="default"/>
        </w:rPr>
        <w:t>389,099.32</w:t>
      </w:r>
      <w:r>
        <w:rPr/>
        <w:t>万元，同</w:t>
      </w:r>
      <w:r>
        <w:rPr>
          <w:spacing w:val="-83"/>
        </w:rPr>
        <w:t> </w:t>
      </w:r>
      <w:r>
        <w:rPr/>
        <w:t>比增长</w:t>
      </w:r>
      <w:r>
        <w:rPr>
          <w:rFonts w:ascii="Times New Roman" w:hAnsi="Times New Roman" w:cs="Times New Roman" w:eastAsia="Times New Roman" w:hint="default"/>
        </w:rPr>
        <w:t>33.75%</w:t>
      </w:r>
      <w:r>
        <w:rPr/>
        <w:t>，实现归属于上市公司股东的净利润</w:t>
      </w:r>
      <w:r>
        <w:rPr>
          <w:rFonts w:ascii="Times New Roman" w:hAnsi="Times New Roman" w:cs="Times New Roman" w:eastAsia="Times New Roman" w:hint="default"/>
        </w:rPr>
        <w:t>18,458.50</w:t>
      </w:r>
      <w:r>
        <w:rPr/>
        <w:t>万元，较同期增长</w:t>
      </w:r>
      <w:r>
        <w:rPr>
          <w:rFonts w:ascii="Times New Roman" w:hAnsi="Times New Roman" w:cs="Times New Roman" w:eastAsia="Times New Roman" w:hint="default"/>
        </w:rPr>
        <w:t>7.54%</w:t>
      </w:r>
      <w:r>
        <w:rPr/>
        <w:t>。</w:t>
      </w:r>
    </w:p>
    <w:p>
      <w:pPr>
        <w:pStyle w:val="Heading8"/>
        <w:spacing w:line="240" w:lineRule="auto" w:before="13"/>
        <w:ind w:left="515" w:right="0"/>
        <w:jc w:val="left"/>
        <w:rPr>
          <w:b w:val="0"/>
          <w:bCs w:val="0"/>
        </w:rPr>
      </w:pPr>
      <w:r>
        <w:rPr/>
        <w:t>（</w:t>
      </w:r>
      <w:r>
        <w:rPr>
          <w:rFonts w:ascii="Times New Roman" w:hAnsi="Times New Roman" w:cs="Times New Roman" w:eastAsia="Times New Roman" w:hint="default"/>
        </w:rPr>
        <w:t>1</w:t>
      </w:r>
      <w:r>
        <w:rPr/>
        <w:t>）整合资源继续聚焦乘用车零部件产业发展</w:t>
      </w:r>
      <w:r>
        <w:rPr>
          <w:b w:val="0"/>
          <w:bCs w:val="0"/>
        </w:rPr>
      </w:r>
    </w:p>
    <w:p>
      <w:pPr>
        <w:pStyle w:val="BodyText"/>
        <w:spacing w:line="300" w:lineRule="auto" w:before="63"/>
        <w:ind w:right="1132" w:firstLine="360"/>
        <w:jc w:val="both"/>
      </w:pPr>
      <w:r>
        <w:rPr/>
        <w:t>在压力与机遇并存的</w:t>
      </w:r>
      <w:r>
        <w:rPr>
          <w:rFonts w:ascii="Times New Roman" w:hAnsi="Times New Roman" w:cs="Times New Roman" w:eastAsia="Times New Roman" w:hint="default"/>
        </w:rPr>
        <w:t>2018</w:t>
      </w:r>
      <w:r>
        <w:rPr/>
        <w:t>年，公司着眼未来</w:t>
      </w:r>
      <w:r>
        <w:rPr>
          <w:rFonts w:ascii="Times New Roman" w:hAnsi="Times New Roman" w:cs="Times New Roman" w:eastAsia="Times New Roman" w:hint="default"/>
        </w:rPr>
        <w:t>3-5</w:t>
      </w:r>
      <w:r>
        <w:rPr/>
        <w:t>年的战略发展，用心谋划、积极布局、深度挖掘、横向整合，乘用车零 部件业务实现销售收入较去年同期增长</w:t>
      </w:r>
      <w:r>
        <w:rPr>
          <w:rFonts w:ascii="Times New Roman" w:hAnsi="Times New Roman" w:cs="Times New Roman" w:eastAsia="Times New Roman" w:hint="default"/>
        </w:rPr>
        <w:t>72.68%</w:t>
      </w:r>
      <w:r>
        <w:rPr/>
        <w:t>，同时在报告期内实现了以</w:t>
      </w:r>
      <w:r>
        <w:rPr>
          <w:rFonts w:ascii="Times New Roman" w:hAnsi="Times New Roman" w:cs="Times New Roman" w:eastAsia="Times New Roman" w:hint="default"/>
        </w:rPr>
        <w:t>“</w:t>
      </w:r>
      <w:r>
        <w:rPr/>
        <w:t>传统优质零部件产品为基础、聚焦发力轻量化产 品</w:t>
      </w:r>
      <w:r>
        <w:rPr>
          <w:rFonts w:ascii="Times New Roman" w:hAnsi="Times New Roman" w:cs="Times New Roman" w:eastAsia="Times New Roman" w:hint="default"/>
        </w:rPr>
        <w:t>”</w:t>
      </w:r>
      <w:r>
        <w:rPr/>
        <w:t>的产业结构，为未来公司乘用车零部件事业的突破发展奠定了良好的产业基础。</w:t>
      </w:r>
    </w:p>
    <w:p>
      <w:pPr>
        <w:pStyle w:val="BodyText"/>
        <w:spacing w:line="300" w:lineRule="auto" w:before="13"/>
        <w:ind w:right="1122" w:firstLine="360"/>
        <w:jc w:val="left"/>
      </w:pPr>
      <w:r>
        <w:rPr/>
        <w:t>①公司在报告期内大力提升乘用车零部件产业的整体制造能力，进一步完善产业布局，于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月完成了对上海和达 的股权收购工作，通过规模效应不断挖掘内部潜力；</w:t>
      </w:r>
    </w:p>
    <w:p>
      <w:pPr>
        <w:pStyle w:val="BodyText"/>
        <w:spacing w:line="319" w:lineRule="auto" w:before="31"/>
        <w:ind w:right="1032" w:firstLine="360"/>
        <w:jc w:val="left"/>
      </w:pPr>
      <w:r>
        <w:rPr>
          <w:spacing w:val="-2"/>
        </w:rPr>
        <w:t>②面对未来竞争压力，公司积极布局核心生产力，于报告期内联合国内多所知名高校筹建乘用车技术研发中心，与全球</w:t>
      </w:r>
      <w:r>
        <w:rPr/>
        <w:t> 知名的创新和高科技工程咨询服务提供商、轻量化材料及技术服务提供商开展战略合作，打造公司在汽车轻量化产品研发、</w:t>
      </w:r>
      <w:r>
        <w:rPr>
          <w:spacing w:val="-85"/>
        </w:rPr>
        <w:t> </w:t>
      </w:r>
      <w:r>
        <w:rPr>
          <w:spacing w:val="-85"/>
        </w:rPr>
      </w:r>
      <w:r>
        <w:rPr/>
        <w:t>高精尖汽车零部件开发、新技术孵化、模具设计等方面的核心能力，从而进一步提升公司核心竞争力；</w:t>
      </w:r>
    </w:p>
    <w:p>
      <w:pPr>
        <w:pStyle w:val="BodyText"/>
        <w:spacing w:line="316" w:lineRule="auto" w:before="17"/>
        <w:ind w:right="0" w:firstLine="360"/>
        <w:jc w:val="left"/>
      </w:pPr>
      <w:r>
        <w:rPr>
          <w:spacing w:val="-2"/>
        </w:rPr>
        <w:t>③报告期内，公司借助研发中心的搭建进一步加强乘用车零部件事业部内部资源的横向整合力度，打通内部壁垒，实现</w:t>
      </w:r>
      <w:r>
        <w:rPr/>
        <w:t> 技术、信息、资源深度共享与整合，在报告期内成功为公司乘用车零部件事业的发展贡献了力量。</w:t>
      </w:r>
    </w:p>
    <w:p>
      <w:pPr>
        <w:pStyle w:val="BodyText"/>
        <w:spacing w:line="300" w:lineRule="auto" w:before="19"/>
        <w:ind w:right="0" w:firstLine="360"/>
        <w:jc w:val="left"/>
      </w:pPr>
      <w:r>
        <w:rPr>
          <w:spacing w:val="-2"/>
        </w:rPr>
        <w:t>④报告期内，公司继续推行</w:t>
      </w:r>
      <w:r>
        <w:rPr>
          <w:rFonts w:ascii="Times New Roman" w:hAnsi="Times New Roman" w:cs="Times New Roman" w:eastAsia="Times New Roman" w:hint="default"/>
          <w:spacing w:val="-2"/>
        </w:rPr>
        <w:t>“</w:t>
      </w:r>
      <w:r>
        <w:rPr>
          <w:spacing w:val="-2"/>
        </w:rPr>
        <w:t>以模养件</w:t>
      </w:r>
      <w:r>
        <w:rPr>
          <w:rFonts w:ascii="Times New Roman" w:hAnsi="Times New Roman" w:cs="Times New Roman" w:eastAsia="Times New Roman" w:hint="default"/>
          <w:spacing w:val="-2"/>
        </w:rPr>
        <w:t>”</w:t>
      </w:r>
      <w:r>
        <w:rPr>
          <w:spacing w:val="-2"/>
        </w:rPr>
        <w:t>的轻资产运营产业链，通过汽车模具的自主研发、生产、制造，提升了公司乘用</w:t>
      </w:r>
      <w:r>
        <w:rPr/>
        <w:t> 车零部件产业竞争优势，保障了乘用车零部件产品的市场竞争优势。</w:t>
      </w:r>
    </w:p>
    <w:p>
      <w:pPr>
        <w:spacing w:line="300" w:lineRule="auto" w:before="31"/>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）积极布局智能化工厂，创新经营管理</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报告期内，公司在智能制造板块继续布局智能化工厂建设，一方面加大投入自动化改造和信息化升级，同时不断优化生</w:t>
      </w:r>
    </w:p>
    <w:p>
      <w:pPr>
        <w:pStyle w:val="BodyText"/>
        <w:spacing w:line="316" w:lineRule="auto" w:before="31"/>
        <w:ind w:right="1132"/>
        <w:jc w:val="both"/>
      </w:pPr>
      <w:r>
        <w:rPr>
          <w:spacing w:val="-2"/>
        </w:rPr>
        <w:t>产工艺，推行模式化生产和流程化作业，提高了生产效率；另一方面，在现有管理基础上持续推进创新经营，实行经营体运</w:t>
      </w:r>
      <w:r>
        <w:rPr>
          <w:spacing w:val="-66"/>
        </w:rPr>
        <w:t> </w:t>
      </w:r>
      <w:r>
        <w:rPr>
          <w:spacing w:val="-66"/>
        </w:rPr>
      </w:r>
      <w:r>
        <w:rPr>
          <w:spacing w:val="-2"/>
        </w:rPr>
        <w:t>营模式，推动组织扁平化管理，达到精员增效的效果。同时，通过对全员实行鼓励创新的激励政策，大大提升了基层员工的</w:t>
      </w:r>
      <w:r>
        <w:rPr>
          <w:spacing w:val="-66"/>
        </w:rPr>
        <w:t> </w:t>
      </w:r>
      <w:r>
        <w:rPr>
          <w:spacing w:val="-66"/>
        </w:rPr>
      </w:r>
      <w:r>
        <w:rPr/>
        <w:t>创新意识，为一线生产提效节能、创新发展打造了良好的氛围，进一步提升了公司产品竞争力。</w:t>
      </w:r>
    </w:p>
    <w:p>
      <w:pPr>
        <w:spacing w:line="300" w:lineRule="auto" w:before="19"/>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）持续优化产品和客户结构</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报告期内，公司持续优化和丰富产品结构，聚焦新能源及轻量化产品，发展汽车功能性电机，逐步提升高附加值产品的</w:t>
      </w:r>
    </w:p>
    <w:p>
      <w:pPr>
        <w:pStyle w:val="BodyText"/>
        <w:spacing w:line="316" w:lineRule="auto" w:before="31"/>
        <w:ind w:right="1131"/>
        <w:jc w:val="both"/>
      </w:pPr>
      <w:r>
        <w:rPr>
          <w:spacing w:val="-2"/>
        </w:rPr>
        <w:t>比重。同时，在经济环境严峻的大环境下，公司在报告期内继续优化客户结构，大力拓展规模较大、抗风险能力较强的大中</w:t>
      </w:r>
      <w:r>
        <w:rPr>
          <w:spacing w:val="-66"/>
        </w:rPr>
        <w:t> </w:t>
      </w:r>
      <w:r>
        <w:rPr>
          <w:spacing w:val="-66"/>
        </w:rPr>
      </w:r>
      <w:r>
        <w:rPr>
          <w:spacing w:val="-2"/>
        </w:rPr>
        <w:t>型客户，并充分发挥公司自身优势与优质客户深度合作，增加与客户的粘性，提高对客户的管理力度，从而为公司智能制造</w:t>
      </w:r>
      <w:r>
        <w:rPr>
          <w:spacing w:val="-66"/>
        </w:rPr>
        <w:t> </w:t>
      </w:r>
      <w:r>
        <w:rPr>
          <w:spacing w:val="-66"/>
        </w:rPr>
      </w:r>
      <w:r>
        <w:rPr/>
        <w:t>板块的稳健发展奠定良好的客户基础。</w:t>
      </w:r>
    </w:p>
    <w:p>
      <w:pPr>
        <w:spacing w:line="300" w:lineRule="auto" w:before="19"/>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、加强内控体系建设，健全风险控制系统，强化风险管理</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报告期内，公司按照上市公司内部控制的要求，持续搭建、优化公司内控制度，进一步加大对子公司的控制力度，尤其</w:t>
      </w:r>
    </w:p>
    <w:p>
      <w:pPr>
        <w:pStyle w:val="BodyText"/>
        <w:spacing w:line="316" w:lineRule="auto" w:before="32"/>
        <w:ind w:right="1042"/>
        <w:jc w:val="both"/>
      </w:pPr>
      <w:r>
        <w:rPr/>
        <w:t>是对公司合并范围内的下属子公司经营、资金、财务、投资、人员等方面的管控；同时健全风险控制系统，强化风险管理，</w:t>
      </w:r>
      <w:r>
        <w:rPr>
          <w:spacing w:val="-84"/>
        </w:rPr>
        <w:t> </w:t>
      </w:r>
      <w:r>
        <w:rPr>
          <w:spacing w:val="-84"/>
        </w:rPr>
      </w:r>
      <w:r>
        <w:rPr/>
        <w:t>重点关注重要业务事项和高风险领域，提高公司的抗风险能力。</w:t>
      </w:r>
    </w:p>
    <w:p>
      <w:pPr>
        <w:pStyle w:val="Heading8"/>
        <w:spacing w:line="240" w:lineRule="auto" w:before="19"/>
        <w:ind w:left="515" w:right="0"/>
        <w:jc w:val="left"/>
        <w:rPr>
          <w:b w:val="0"/>
          <w:bCs w:val="0"/>
        </w:rPr>
      </w:pPr>
      <w:r>
        <w:rPr>
          <w:rFonts w:ascii="Times New Roman" w:hAnsi="Times New Roman" w:cs="Times New Roman" w:eastAsia="Times New Roman" w:hint="default"/>
        </w:rPr>
        <w:t>4</w:t>
      </w:r>
      <w:r>
        <w:rPr/>
        <w:t>、开展全方位的资金运营，提高资金的使用效率和收益</w:t>
      </w:r>
      <w:r>
        <w:rPr>
          <w:b w:val="0"/>
          <w:bCs w:val="0"/>
        </w:rPr>
      </w:r>
    </w:p>
    <w:p>
      <w:pPr>
        <w:pStyle w:val="BodyText"/>
        <w:spacing w:line="240" w:lineRule="auto" w:before="63"/>
        <w:ind w:left="514" w:right="0"/>
        <w:jc w:val="left"/>
      </w:pPr>
      <w:r>
        <w:rPr>
          <w:rFonts w:ascii="Times New Roman" w:hAnsi="Times New Roman" w:cs="Times New Roman" w:eastAsia="Times New Roman" w:hint="default"/>
          <w:spacing w:val="-5"/>
        </w:rPr>
        <w:t>2018</w:t>
      </w:r>
      <w:r>
        <w:rPr>
          <w:spacing w:val="-5"/>
        </w:rPr>
        <w:t>年国家货币政策收紧，金融监管加强，结构性去杠杆稳步推进。为保证资金得到有效利用，公司积极部署资金预算，</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4" w:right="1118" w:hanging="360"/>
        <w:jc w:val="left"/>
      </w:pPr>
      <w:r>
        <w:rPr/>
        <w:t>采取多种融资手段，降低资金成本，提高资金使用效率和收益，保证公司业务持续稳健发展。 </w:t>
      </w:r>
      <w:r>
        <w:rPr>
          <w:rFonts w:ascii="Times New Roman" w:hAnsi="Times New Roman" w:cs="Times New Roman" w:eastAsia="Times New Roman" w:hint="default"/>
          <w:b/>
          <w:bCs/>
        </w:rPr>
        <w:t>5</w:t>
      </w:r>
      <w:r>
        <w:rPr>
          <w:rFonts w:ascii="宋体" w:hAnsi="宋体" w:cs="宋体" w:eastAsia="宋体" w:hint="default"/>
          <w:b/>
          <w:bCs/>
        </w:rPr>
        <w:t>、维护股东权益，健全公司长效激励机制</w:t>
      </w:r>
      <w:r>
        <w:rPr>
          <w:rFonts w:ascii="宋体" w:hAnsi="宋体" w:cs="宋体" w:eastAsia="宋体" w:hint="default"/>
          <w:b/>
          <w:bCs/>
          <w:w w:val="99"/>
        </w:rPr>
        <w:t> </w:t>
      </w:r>
      <w:r>
        <w:rPr>
          <w:spacing w:val="-2"/>
        </w:rPr>
        <w:t>报告期内，公司响应回购政策，进行了两次股份回购，积极维护股东权益。公司利用回购的股份实施了</w:t>
      </w:r>
      <w:r>
        <w:rPr>
          <w:rFonts w:ascii="Times New Roman" w:hAnsi="Times New Roman" w:cs="Times New Roman" w:eastAsia="Times New Roman" w:hint="default"/>
          <w:spacing w:val="-2"/>
        </w:rPr>
        <w:t>2018</w:t>
      </w:r>
      <w:r>
        <w:rPr>
          <w:spacing w:val="-2"/>
        </w:rPr>
        <w:t>年股权激励</w:t>
      </w:r>
    </w:p>
    <w:p>
      <w:pPr>
        <w:pStyle w:val="BodyText"/>
        <w:spacing w:line="319" w:lineRule="auto" w:before="5"/>
        <w:ind w:right="0"/>
        <w:jc w:val="left"/>
      </w:pPr>
      <w:r>
        <w:rPr>
          <w:spacing w:val="-2"/>
        </w:rPr>
        <w:t>计划，健全了公司的中长期激励机制，充分调动公司核心团队的积极性和创造性，提升核心团队凝聚力和竞争力，促进公司</w:t>
      </w:r>
      <w:r>
        <w:rPr>
          <w:spacing w:val="-66"/>
        </w:rPr>
        <w:t> </w:t>
      </w:r>
      <w:r>
        <w:rPr>
          <w:spacing w:val="-66"/>
        </w:rPr>
      </w:r>
      <w:r>
        <w:rPr/>
        <w:t>业绩持续稳定增长。</w:t>
      </w:r>
    </w:p>
    <w:p>
      <w:pPr>
        <w:spacing w:line="300" w:lineRule="auto" w:before="17"/>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、提升公司治理水平，保障公司规范、高效运营</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报告期内，公司依据证监会、深交所等部门的相关规定，不断完善法人治理结构，健全内部管理制度，加强内部控制建</w:t>
      </w:r>
    </w:p>
    <w:p>
      <w:pPr>
        <w:pStyle w:val="BodyText"/>
        <w:spacing w:line="316" w:lineRule="auto" w:before="31"/>
        <w:ind w:right="0"/>
        <w:jc w:val="left"/>
      </w:pPr>
      <w:r>
        <w:rPr>
          <w:spacing w:val="-2"/>
        </w:rPr>
        <w:t>设，提升公司综合治理水平。同时，进一步加强董事会职责建设，充分发挥独立董事和董事会战略委员会、审计委员会、薪</w:t>
      </w:r>
      <w:r>
        <w:rPr>
          <w:spacing w:val="-68"/>
        </w:rPr>
        <w:t> </w:t>
      </w:r>
      <w:r>
        <w:rPr>
          <w:spacing w:val="-68"/>
        </w:rPr>
      </w:r>
      <w:r>
        <w:rPr/>
        <w:t>酬与考核委员会、提名委员会等专业委员会的作用，促进公司决策科学、高效，推进公司向更好的方向发展。</w:t>
      </w: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7"/>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1"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5,011,239,084.54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3,996,047,149.80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3,890,993,187.01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2,909,173,035.48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1,120,245,897.53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1,086,874,114.32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2,777,703,198.87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1,898,146,960.23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804,950,583.58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619,531,937.99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181,547,748.23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201,838,734.56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5,998,946.92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86,651,036.26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-93.08%</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移动运营商计费结 算服务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112,709,631.86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120,970,735.50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185,557,502.59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231,762,812.59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547,083,785.09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544,953,115.39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5,471,232.98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49,456,310.48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146,041,360.36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98,095,992.68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197,222,256.80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144,639,514.12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46,952,837.26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4,914,588,379.33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3,911,795,084.00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3"/>
              <w:jc w:val="left"/>
              <w:rPr>
                <w:rFonts w:ascii="Times New Roman" w:hAnsi="Times New Roman" w:cs="Times New Roman" w:eastAsia="Times New Roman" w:hint="default"/>
                <w:sz w:val="18"/>
                <w:szCs w:val="18"/>
              </w:rPr>
            </w:pPr>
            <w:r>
              <w:rPr>
                <w:rFonts w:ascii="宋体" w:hAnsi="宋体" w:cs="宋体" w:eastAsia="宋体" w:hint="default"/>
                <w:sz w:val="18"/>
                <w:szCs w:val="18"/>
              </w:rPr>
              <w:t>国外</w:t>
            </w:r>
            <w:r>
              <w:rPr>
                <w:rFonts w:ascii="Times New Roman" w:hAnsi="Times New Roman" w:cs="Times New Roman" w:eastAsia="Times New Roman" w:hint="default"/>
                <w:sz w:val="18"/>
                <w:szCs w:val="18"/>
              </w:rPr>
              <w:t>(</w:t>
            </w:r>
            <w:r>
              <w:rPr>
                <w:rFonts w:ascii="宋体" w:hAnsi="宋体" w:cs="宋体" w:eastAsia="宋体" w:hint="default"/>
                <w:sz w:val="18"/>
                <w:szCs w:val="18"/>
              </w:rPr>
              <w:t>含国内保税 区</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96,650,705.21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84,252,065.80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14.72%</w:t>
            </w:r>
          </w:p>
        </w:tc>
      </w:tr>
    </w:tbl>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206"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18"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1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1,181,349,16</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9.97</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1,324,993,63</w:t>
            </w:r>
          </w:p>
          <w:p>
            <w:pPr>
              <w:pStyle w:val="TableParagraph"/>
              <w:spacing w:line="240" w:lineRule="auto" w:before="105"/>
              <w:ind w:left="662" w:right="0"/>
              <w:jc w:val="left"/>
              <w:rPr>
                <w:rFonts w:ascii="Times New Roman" w:hAnsi="Times New Roman" w:cs="Times New Roman" w:eastAsia="Times New Roman" w:hint="default"/>
                <w:sz w:val="18"/>
                <w:szCs w:val="18"/>
              </w:rPr>
            </w:pPr>
            <w:r>
              <w:rPr>
                <w:rFonts w:ascii="Times New Roman"/>
                <w:sz w:val="18"/>
              </w:rPr>
              <w:t>8.34</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1,164,263,68</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5.78</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1,340,632,59</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0.45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808,045,767.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881,177,289.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896,729,345.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1,410,094,74</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7.89</w:t>
            </w:r>
          </w:p>
        </w:tc>
      </w:tr>
      <w:tr>
        <w:trPr>
          <w:trHeight w:val="391" w:hRule="exact"/>
        </w:trPr>
        <w:tc>
          <w:tcPr>
            <w:tcW w:w="1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94,529,563.0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100,257,392.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93,602,773.5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-155,150,50</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6.30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93,599,423.6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84,285,805.6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105,949,543.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130,111,042.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bl>
    <w:p>
      <w:pPr>
        <w:pStyle w:val="BodyText"/>
        <w:spacing w:line="357" w:lineRule="auto" w:before="51"/>
        <w:ind w:right="6612"/>
        <w:jc w:val="left"/>
      </w:pPr>
      <w:r>
        <w:rPr/>
        <w:t>说明经营季节性（或周期性）发生的原因及波动风险 公司经营不存在显著的季节性或周期性特征。</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3"/>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3,890,993,187.01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3,411,768,109.32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1,120,245,897.53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517,464,125.79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2,777,703,198.87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2,384,858,861.73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804,950,583.58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745,624,404.19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181,547,748.23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162,238,996.60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移动运营商计费 结算服务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112,709,631.86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20,416,940.79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移动信息服务业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185,557,502.59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127,592,534.65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-36.11%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547,083,785.09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321,243,766.18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146,041,360.36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24,505,501.44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4,914,588,379.33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3,860,069,396.58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85" w:type="dxa"/>
        <w:tblLayout w:type="fixed"/>
        <w:tblCellMar>
          <w:top w:w="0" w:type="dxa"/>
          <w:left w:w="0" w:type="dxa"/>
          <w:bottom w:w="0" w:type="dxa"/>
          <w:right w:w="0" w:type="dxa"/>
        </w:tblCellMar>
        <w:tblLook w:val="01E0"/>
      </w:tblPr>
      <w:tblGrid>
        <w:gridCol w:w="1596"/>
        <w:gridCol w:w="1582"/>
        <w:gridCol w:w="1607"/>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117.31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-74.04%</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-77.54%</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-35.71%</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10,813.21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7,644.78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41.45%</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3"/>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10,378.75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8,146.95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27.39%</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1,123.44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1,557.9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-27.89%</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691.12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468.26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47.59%</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697.67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449.66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55.16%</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12.03%</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-85.71%</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-83.33%</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3"/>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11,534.79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8,230.42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40.15%</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125"/>
              <w:jc w:val="center"/>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11,103.58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1" w:right="0"/>
              <w:jc w:val="left"/>
              <w:rPr>
                <w:rFonts w:ascii="Times New Roman" w:hAnsi="Times New Roman" w:cs="Times New Roman" w:eastAsia="Times New Roman" w:hint="default"/>
                <w:sz w:val="18"/>
                <w:szCs w:val="18"/>
              </w:rPr>
            </w:pPr>
            <w:r>
              <w:rPr>
                <w:rFonts w:ascii="Times New Roman"/>
                <w:sz w:val="18"/>
              </w:rPr>
              <w:t>8,717.53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27.37%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7"/>
      </w:tblGrid>
      <w:tr>
        <w:trPr>
          <w:trHeight w:val="362" w:hRule="exact"/>
        </w:trPr>
        <w:tc>
          <w:tcPr>
            <w:tcW w:w="1596"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1,190.41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1,621.63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-26.59%</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4" w:lineRule="auto" w:before="10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、报告期公司家电配件类产量、销量较同期下降较大但营业收入较同期增长，主要原因是公司生产销售的以件计量的产品 减少影响； </w:t>
      </w:r>
      <w:r>
        <w:rPr>
          <w:rFonts w:ascii="Times New Roman" w:hAnsi="Times New Roman" w:cs="Times New Roman" w:eastAsia="Times New Roman" w:hint="default"/>
        </w:rPr>
        <w:t>2</w:t>
      </w:r>
      <w:r>
        <w:rPr/>
        <w:t>、报告期公司汽车及配件类销量较同期增长</w:t>
      </w:r>
      <w:r>
        <w:rPr>
          <w:rFonts w:ascii="Times New Roman" w:hAnsi="Times New Roman" w:cs="Times New Roman" w:eastAsia="Times New Roman" w:hint="default"/>
        </w:rPr>
        <w:t>41.45%</w:t>
      </w:r>
      <w:r>
        <w:rPr/>
        <w:t>，主要原因是报告期公司增加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月纳入合并范围的上海和达影响 所致；</w:t>
      </w:r>
    </w:p>
    <w:p>
      <w:pPr>
        <w:pStyle w:val="BodyText"/>
        <w:spacing w:line="300" w:lineRule="auto" w:before="20"/>
        <w:ind w:right="1122"/>
        <w:jc w:val="left"/>
      </w:pPr>
      <w:r>
        <w:rPr>
          <w:rFonts w:ascii="Times New Roman" w:hAnsi="Times New Roman" w:cs="Times New Roman" w:eastAsia="Times New Roman" w:hint="default"/>
        </w:rPr>
        <w:t>3</w:t>
      </w:r>
      <w:r>
        <w:rPr/>
        <w:t>、报告期公司电机及配件类生产量、销售量较同期增长但营业收入较同期下降，主要原因是报告期公司生产销售的以件计 量的产品增加影响；</w:t>
      </w:r>
    </w:p>
    <w:p>
      <w:pPr>
        <w:pStyle w:val="BodyText"/>
        <w:spacing w:line="240" w:lineRule="auto" w:before="31"/>
        <w:ind w:right="0"/>
        <w:jc w:val="left"/>
      </w:pPr>
      <w:r>
        <w:rPr>
          <w:rFonts w:ascii="Times New Roman" w:hAnsi="Times New Roman" w:cs="Times New Roman" w:eastAsia="Times New Roman" w:hint="default"/>
        </w:rPr>
        <w:t>4</w:t>
      </w:r>
      <w:r>
        <w:rPr/>
        <w:t>、报告期公司模具类销量较同期下降较大，主要原因是受业务规模影响所致。</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44"/>
        <w:ind w:right="5830"/>
        <w:jc w:val="left"/>
      </w:pPr>
      <w:r>
        <w:rPr/>
        <w:t>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2,384,858,861.73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1,567,683,237.52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745,624,404.19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557,519,242.84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162,238,996.60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189,183,030.39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5,450,301.41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60,933,620.39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移动运营商计费 结算服务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20,416,940.79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23,165,009.10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移动信息服务业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127,592,534.65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75,668,022.16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321,243,766.18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234,002,235.74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业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1,630,128.36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22,314,254.94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4,417,069.78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6,230,527.94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-29.11%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24,505,501.44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9,818,294.99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金融科技服务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13,670,369.24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1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详见第十一节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2"/>
          <w:szCs w:val="22"/>
        </w:rPr>
      </w:pPr>
    </w:p>
    <w:p>
      <w:pPr>
        <w:pStyle w:val="Heading7"/>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4258"/>
        <w:gridCol w:w="5312"/>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1,188,908,977.13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780"/>
        <w:gridCol w:w="3312"/>
        <w:gridCol w:w="2322"/>
        <w:gridCol w:w="3144"/>
      </w:tblGrid>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455,705,699.34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207,448,355.76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185,332,441.60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173,565,584.11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166,856,896.32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1,188,908,977.13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23.72%</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4258"/>
        <w:gridCol w:w="5312"/>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1,271,036,195.64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912"/>
        <w:gridCol w:w="3180"/>
        <w:gridCol w:w="2322"/>
        <w:gridCol w:w="3144"/>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698,791,883.87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315,773,538.84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98,663,779.15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95" w:type="dxa"/>
        <w:tblLayout w:type="fixed"/>
        <w:tblCellMar>
          <w:top w:w="0" w:type="dxa"/>
          <w:left w:w="0" w:type="dxa"/>
          <w:bottom w:w="0" w:type="dxa"/>
          <w:right w:w="0" w:type="dxa"/>
        </w:tblCellMar>
        <w:tblLook w:val="01E0"/>
      </w:tblPr>
      <w:tblGrid>
        <w:gridCol w:w="912"/>
        <w:gridCol w:w="3180"/>
        <w:gridCol w:w="2322"/>
        <w:gridCol w:w="3144"/>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82,608,306.09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75,198,687.69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1,271,036,195.64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146,592,233.79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140,856,037.71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64" w:right="0"/>
              <w:jc w:val="left"/>
              <w:rPr>
                <w:rFonts w:ascii="Times New Roman" w:hAnsi="Times New Roman" w:cs="Times New Roman" w:eastAsia="Times New Roman" w:hint="default"/>
                <w:sz w:val="18"/>
                <w:szCs w:val="18"/>
              </w:rPr>
            </w:pPr>
            <w:r>
              <w:rPr>
                <w:rFonts w:ascii="Times New Roman"/>
                <w:sz w:val="18"/>
              </w:rPr>
              <w:t>4.07%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主要是报告期公司增加新纳入合并 范围的控股子公司上海和达带来的 </w:t>
            </w:r>
            <w:r>
              <w:rPr>
                <w:rFonts w:ascii="宋体" w:hAnsi="宋体" w:cs="宋体" w:eastAsia="宋体" w:hint="default"/>
                <w:spacing w:val="-2"/>
                <w:sz w:val="18"/>
                <w:szCs w:val="18"/>
              </w:rPr>
              <w:t>销售费用，主要是职工薪酬、运费等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项目影响。</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86"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333,993,127.61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362,252,291.44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4" w:right="0"/>
              <w:jc w:val="left"/>
              <w:rPr>
                <w:rFonts w:ascii="Times New Roman" w:hAnsi="Times New Roman" w:cs="Times New Roman" w:eastAsia="Times New Roman" w:hint="default"/>
                <w:sz w:val="18"/>
                <w:szCs w:val="18"/>
              </w:rPr>
            </w:pPr>
            <w:r>
              <w:rPr>
                <w:rFonts w:ascii="Times New Roman"/>
                <w:sz w:val="18"/>
              </w:rPr>
              <w:t>-7.80%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主要是报告期一是公司智能制造板 块增加新纳入合并范围的控股子公 </w:t>
            </w:r>
            <w:r>
              <w:rPr>
                <w:rFonts w:ascii="宋体" w:hAnsi="宋体" w:cs="宋体" w:eastAsia="宋体" w:hint="default"/>
                <w:spacing w:val="-2"/>
                <w:sz w:val="18"/>
                <w:szCs w:val="18"/>
              </w:rPr>
              <w:t>司上海和达带来的管理费用，主要是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职工薪酬、摊折费等项目影响；二是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公司金融科技板块职工薪酬较同期 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785"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-39,286,092.65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-44,270,285.62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-11.26%</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主要是报告期公司金融科技板块跨 境业务交易额达到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亿美元以上规 </w:t>
            </w:r>
            <w:r>
              <w:rPr>
                <w:rFonts w:ascii="宋体" w:hAnsi="宋体" w:cs="宋体" w:eastAsia="宋体" w:hint="default"/>
                <w:spacing w:val="-2"/>
                <w:sz w:val="18"/>
                <w:szCs w:val="18"/>
              </w:rPr>
              <w:t>模，受汇率影响获得汇兑收益较同期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增幅较大。</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175,568,891.63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142,286,185.98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4" w:right="0"/>
              <w:jc w:val="left"/>
              <w:rPr>
                <w:rFonts w:ascii="Times New Roman" w:hAnsi="Times New Roman" w:cs="Times New Roman" w:eastAsia="Times New Roman" w:hint="default"/>
                <w:sz w:val="18"/>
                <w:szCs w:val="18"/>
              </w:rPr>
            </w:pPr>
            <w:r>
              <w:rPr>
                <w:rFonts w:ascii="Times New Roman"/>
                <w:sz w:val="18"/>
              </w:rPr>
              <w:t>23.39%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4"/>
              <w:jc w:val="both"/>
              <w:rPr>
                <w:rFonts w:ascii="宋体" w:hAnsi="宋体" w:cs="宋体" w:eastAsia="宋体" w:hint="default"/>
                <w:sz w:val="18"/>
                <w:szCs w:val="18"/>
              </w:rPr>
            </w:pPr>
            <w:r>
              <w:rPr>
                <w:rFonts w:ascii="宋体" w:hAnsi="宋体" w:cs="宋体" w:eastAsia="宋体" w:hint="default"/>
                <w:sz w:val="18"/>
                <w:szCs w:val="18"/>
              </w:rPr>
              <w:t>主要是报告期公司增加新纳入合并 范围的控股子公司上海和达研发投 入所致。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基于</w:t>
      </w:r>
      <w:r>
        <w:rPr>
          <w:rFonts w:ascii="Times New Roman" w:hAnsi="Times New Roman" w:cs="Times New Roman" w:eastAsia="Times New Roman" w:hint="default"/>
          <w:spacing w:val="-2"/>
        </w:rPr>
        <w:t>“</w:t>
      </w:r>
      <w:r>
        <w:rPr>
          <w:spacing w:val="-2"/>
        </w:rPr>
        <w:t>全球视野、客户导向、创新驱动、价值多赢</w:t>
      </w:r>
      <w:r>
        <w:rPr>
          <w:rFonts w:ascii="Times New Roman" w:hAnsi="Times New Roman" w:cs="Times New Roman" w:eastAsia="Times New Roman" w:hint="default"/>
          <w:spacing w:val="-2"/>
        </w:rPr>
        <w:t>”</w:t>
      </w:r>
      <w:r>
        <w:rPr>
          <w:spacing w:val="-2"/>
        </w:rPr>
        <w:t>的战略目标，公司董事会战略委员会在年初制定了坚持金融科技板块</w:t>
      </w:r>
    </w:p>
    <w:p>
      <w:pPr>
        <w:pStyle w:val="BodyText"/>
        <w:spacing w:line="217" w:lineRule="exact"/>
        <w:ind w:right="0"/>
        <w:jc w:val="left"/>
      </w:pPr>
      <w:r>
        <w:rPr/>
        <w:t>重点发力大数据及第三方支付业务、制造板块以乘用车为主力的经营方针，双主业在报告期内齐头并进。</w:t>
      </w:r>
    </w:p>
    <w:p>
      <w:pPr>
        <w:pStyle w:val="BodyText"/>
        <w:spacing w:line="309" w:lineRule="auto" w:before="76"/>
        <w:ind w:right="1133" w:firstLine="360"/>
        <w:jc w:val="both"/>
      </w:pPr>
      <w:r>
        <w:rPr>
          <w:rFonts w:ascii="Times New Roman" w:hAnsi="Times New Roman" w:cs="Times New Roman" w:eastAsia="Times New Roman" w:hint="default"/>
          <w:spacing w:val="-4"/>
        </w:rPr>
        <w:t>1</w:t>
      </w:r>
      <w:r>
        <w:rPr>
          <w:spacing w:val="-4"/>
        </w:rPr>
        <w:t>）公司在金融科技板块加大对第三方支付、大数据、金融信息及云平台等项目的研发投入，实现以金融作为基础工具，</w:t>
      </w:r>
      <w:r>
        <w:rPr/>
        <w:t> </w:t>
      </w:r>
      <w:r>
        <w:rPr>
          <w:spacing w:val="-2"/>
        </w:rPr>
        <w:t>融合支付、大数据、信息科技为手段的技术优势，为客户群提供包括风控、精准营销、信息、清结算在内的一揽子服务，真</w:t>
      </w:r>
      <w:r>
        <w:rPr>
          <w:spacing w:val="-71"/>
        </w:rPr>
        <w:t> </w:t>
      </w:r>
      <w:r>
        <w:rPr>
          <w:spacing w:val="-71"/>
        </w:rPr>
      </w:r>
      <w:r>
        <w:rPr/>
        <w:t>正体现公司的整合服务能力。</w:t>
      </w:r>
    </w:p>
    <w:p>
      <w:pPr>
        <w:pStyle w:val="BodyText"/>
        <w:spacing w:line="309" w:lineRule="auto" w:before="24"/>
        <w:ind w:right="1131" w:firstLine="360"/>
        <w:jc w:val="both"/>
      </w:pPr>
      <w:r>
        <w:rPr>
          <w:rFonts w:ascii="Times New Roman" w:hAnsi="Times New Roman" w:cs="Times New Roman" w:eastAsia="Times New Roman" w:hint="default"/>
        </w:rPr>
        <w:t>2</w:t>
      </w:r>
      <w:r>
        <w:rPr/>
        <w:t>）公司在汽车及配件领域大力发展汽车模具产业，通过汽车模具的自主研发、生产、制造，助力乘用车配件产业市场 </w:t>
      </w:r>
      <w:r>
        <w:rPr>
          <w:spacing w:val="-2"/>
        </w:rPr>
        <w:t>的快速开拓，有效降低乘用车配件生产成本，提升公司整体竞争能力。同时加大对汽车电机的研发力度，大力发展汽车功能</w:t>
      </w:r>
      <w:r>
        <w:rPr>
          <w:spacing w:val="-66"/>
        </w:rPr>
        <w:t> </w:t>
      </w:r>
      <w:r>
        <w:rPr>
          <w:spacing w:val="-66"/>
        </w:rPr>
      </w:r>
      <w:r>
        <w:rPr/>
        <w:t>电机，着重推进汽车电空调压缩机电机和车载冰箱压缩机电机。</w:t>
      </w:r>
    </w:p>
    <w:p>
      <w:pPr>
        <w:pStyle w:val="BodyText"/>
        <w:spacing w:line="240" w:lineRule="auto" w:before="65"/>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393"/>
        <w:gridCol w:w="2392"/>
        <w:gridCol w:w="2392"/>
        <w:gridCol w:w="2392"/>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2393"/>
        <w:gridCol w:w="2393"/>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47.11%</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190,634,894.55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142,286,185.98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15,066,002.92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12,303,992.06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2370"/>
        <w:gridCol w:w="2404"/>
        <w:gridCol w:w="2392"/>
        <w:gridCol w:w="2393"/>
      </w:tblGrid>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4,390,284,908.78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3,281,112,827.74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33.80%</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4,162,264,865.05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3,439,049,639.34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228,020,043.73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-157,936,811.60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244.37%</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3,437,535,720.01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196,590,591.25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1,648.58%</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3,561,968,746.36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412,115,151.34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764.31%</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-124,433,026.35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-215,524,560.09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345,897,200.00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422,437,600.00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853,176,706.41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253,391,911.19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236.70%</w:t>
            </w:r>
          </w:p>
        </w:tc>
      </w:tr>
      <w:tr>
        <w:trPr>
          <w:trHeight w:val="71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-507,279,506.41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169,045,688.81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-400.08%</w:t>
            </w:r>
            <w:r>
              <w:rPr>
                <w:rFonts w:ascii="Times New Roman"/>
                <w:sz w:val="18"/>
              </w:rPr>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-400,670,432.28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-207,411,312.48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-93.18%</w:t>
            </w:r>
          </w:p>
        </w:tc>
      </w:tr>
    </w:tbl>
    <w:p>
      <w:pPr>
        <w:pStyle w:val="BodyText"/>
        <w:spacing w:line="240" w:lineRule="auto" w:before="51"/>
        <w:ind w:right="0"/>
        <w:jc w:val="both"/>
      </w:pPr>
      <w:r>
        <w:rPr/>
        <w:t>相关数据同比发生重大变动的主要影响因素说明</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t>报告期末现金及现金等价物净增加额为</w:t>
      </w:r>
      <w:r>
        <w:rPr>
          <w:rFonts w:ascii="Times New Roman" w:hAnsi="Times New Roman" w:cs="Times New Roman" w:eastAsia="Times New Roman" w:hint="default"/>
        </w:rPr>
        <w:t>-40,067.04</w:t>
      </w:r>
      <w:r>
        <w:rPr>
          <w:rFonts w:ascii="Times New Roman" w:hAnsi="Times New Roman" w:cs="Times New Roman" w:eastAsia="Times New Roman" w:hint="default"/>
          <w:spacing w:val="-10"/>
        </w:rPr>
        <w:t> </w:t>
      </w:r>
      <w:r>
        <w:rPr/>
        <w:t>万元。其中：</w:t>
      </w:r>
    </w:p>
    <w:p>
      <w:pPr>
        <w:pStyle w:val="BodyText"/>
        <w:spacing w:line="309" w:lineRule="auto" w:before="102"/>
        <w:ind w:right="1133"/>
        <w:jc w:val="both"/>
      </w:pPr>
      <w:r>
        <w:rPr>
          <w:rFonts w:ascii="Times New Roman" w:hAnsi="Times New Roman" w:cs="Times New Roman" w:eastAsia="Times New Roman" w:hint="default"/>
        </w:rPr>
        <w:t>1</w:t>
      </w:r>
      <w:r>
        <w:rPr/>
        <w:t>、经营活动产生的现金净流量为</w:t>
      </w:r>
      <w:r>
        <w:rPr>
          <w:spacing w:val="-46"/>
        </w:rPr>
        <w:t> </w:t>
      </w:r>
      <w:r>
        <w:rPr>
          <w:rFonts w:ascii="Times New Roman" w:hAnsi="Times New Roman" w:cs="Times New Roman" w:eastAsia="Times New Roman" w:hint="default"/>
        </w:rPr>
        <w:t>22,802.00</w:t>
      </w:r>
      <w:r>
        <w:rPr>
          <w:rFonts w:ascii="Times New Roman" w:hAnsi="Times New Roman" w:cs="Times New Roman" w:eastAsia="Times New Roman" w:hint="default"/>
          <w:spacing w:val="-9"/>
        </w:rPr>
        <w:t> </w:t>
      </w:r>
      <w:r>
        <w:rPr/>
        <w:t>万元，较同期增加</w:t>
      </w:r>
      <w:r>
        <w:rPr>
          <w:spacing w:val="-46"/>
        </w:rPr>
        <w:t> </w:t>
      </w:r>
      <w:r>
        <w:rPr>
          <w:rFonts w:ascii="Times New Roman" w:hAnsi="Times New Roman" w:cs="Times New Roman" w:eastAsia="Times New Roman" w:hint="default"/>
        </w:rPr>
        <w:t>38,595.68</w:t>
      </w:r>
      <w:r>
        <w:rPr>
          <w:rFonts w:ascii="Times New Roman" w:hAnsi="Times New Roman" w:cs="Times New Roman" w:eastAsia="Times New Roman" w:hint="default"/>
          <w:spacing w:val="-9"/>
        </w:rPr>
        <w:t> </w:t>
      </w:r>
      <w:r>
        <w:rPr/>
        <w:t>万元。主要原因一是报告期公司办理应付票据用于 </w:t>
      </w:r>
      <w:r>
        <w:rPr>
          <w:spacing w:val="-2"/>
        </w:rPr>
        <w:t>支付供应商货款，使应付票据年末余额较年初增加，受其影响报告期经营活动现金流支出减少；二是报告期公司优化与客户</w:t>
      </w:r>
      <w:r>
        <w:rPr>
          <w:spacing w:val="-66"/>
        </w:rPr>
        <w:t> </w:t>
      </w:r>
      <w:r>
        <w:rPr>
          <w:spacing w:val="-66"/>
        </w:rPr>
      </w:r>
      <w:r>
        <w:rPr/>
        <w:t>的回款条件，加强应收款项催收力度，使</w:t>
      </w:r>
      <w:r>
        <w:rPr>
          <w:rFonts w:ascii="Times New Roman" w:hAnsi="Times New Roman" w:cs="Times New Roman" w:eastAsia="Times New Roman" w:hint="default"/>
        </w:rPr>
        <w:t>“</w:t>
      </w:r>
      <w:r>
        <w:rPr/>
        <w:t>销售商品、提供劳务收到的现金</w:t>
      </w:r>
      <w:r>
        <w:rPr>
          <w:rFonts w:ascii="Times New Roman" w:hAnsi="Times New Roman" w:cs="Times New Roman" w:eastAsia="Times New Roman" w:hint="default"/>
        </w:rPr>
        <w:t>”</w:t>
      </w:r>
      <w:r>
        <w:rPr/>
        <w:t>同比增加；</w:t>
      </w:r>
    </w:p>
    <w:p>
      <w:pPr>
        <w:pStyle w:val="BodyText"/>
        <w:spacing w:line="300" w:lineRule="auto" w:before="43"/>
        <w:ind w:right="1133"/>
        <w:jc w:val="both"/>
      </w:pPr>
      <w:r>
        <w:rPr>
          <w:rFonts w:ascii="Times New Roman" w:hAnsi="Times New Roman" w:cs="Times New Roman" w:eastAsia="Times New Roman" w:hint="default"/>
        </w:rPr>
        <w:t>2</w:t>
      </w:r>
      <w:r>
        <w:rPr/>
        <w:t>、投资活动产生的现金净流量为</w:t>
      </w:r>
      <w:r>
        <w:rPr>
          <w:rFonts w:ascii="Times New Roman" w:hAnsi="Times New Roman" w:cs="Times New Roman" w:eastAsia="Times New Roman" w:hint="default"/>
        </w:rPr>
        <w:t>-12,443.30</w:t>
      </w:r>
      <w:r>
        <w:rPr>
          <w:rFonts w:ascii="Times New Roman" w:hAnsi="Times New Roman" w:cs="Times New Roman" w:eastAsia="Times New Roman" w:hint="default"/>
          <w:spacing w:val="-13"/>
        </w:rPr>
        <w:t> </w:t>
      </w:r>
      <w:r>
        <w:rPr>
          <w:spacing w:val="-3"/>
        </w:rPr>
        <w:t>万元，较同期增加</w:t>
      </w:r>
      <w:r>
        <w:rPr>
          <w:spacing w:val="-50"/>
        </w:rPr>
        <w:t> </w:t>
      </w:r>
      <w:r>
        <w:rPr>
          <w:rFonts w:ascii="Times New Roman" w:hAnsi="Times New Roman" w:cs="Times New Roman" w:eastAsia="Times New Roman" w:hint="default"/>
        </w:rPr>
        <w:t>9,109.16</w:t>
      </w:r>
      <w:r>
        <w:rPr>
          <w:rFonts w:ascii="Times New Roman" w:hAnsi="Times New Roman" w:cs="Times New Roman" w:eastAsia="Times New Roman" w:hint="default"/>
          <w:spacing w:val="-12"/>
        </w:rPr>
        <w:t> </w:t>
      </w:r>
      <w:r>
        <w:rPr/>
        <w:t>万元，主要原因是报告期公司增加</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日 纳入合并范围的控股子公司上海和达合并日的现金及现金等价物，按照会计准则要求对</w:t>
      </w:r>
      <w:r>
        <w:rPr>
          <w:rFonts w:ascii="Times New Roman" w:hAnsi="Times New Roman" w:cs="Times New Roman" w:eastAsia="Times New Roman" w:hint="default"/>
        </w:rPr>
        <w:t>“</w:t>
      </w:r>
      <w:r>
        <w:rPr/>
        <w:t>取得子公司及其他营业单位支付的 现金净额</w:t>
      </w:r>
      <w:r>
        <w:rPr>
          <w:rFonts w:ascii="Times New Roman" w:hAnsi="Times New Roman" w:cs="Times New Roman" w:eastAsia="Times New Roman" w:hint="default"/>
        </w:rPr>
        <w:t>”</w:t>
      </w:r>
      <w:r>
        <w:rPr/>
        <w:t>重分类影响所致；</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rFonts w:ascii="Times New Roman" w:hAnsi="Times New Roman" w:cs="Times New Roman" w:eastAsia="Times New Roman" w:hint="default"/>
        </w:rPr>
        <w:t>3</w:t>
      </w:r>
      <w:r>
        <w:rPr/>
        <w:t>、筹资活动产生的现金净流量为</w:t>
      </w:r>
      <w:r>
        <w:rPr>
          <w:rFonts w:ascii="Times New Roman" w:hAnsi="Times New Roman" w:cs="Times New Roman" w:eastAsia="Times New Roman" w:hint="default"/>
        </w:rPr>
        <w:t>-50,727.95</w:t>
      </w:r>
      <w:r>
        <w:rPr>
          <w:rFonts w:ascii="Times New Roman" w:hAnsi="Times New Roman" w:cs="Times New Roman" w:eastAsia="Times New Roman" w:hint="default"/>
          <w:spacing w:val="-23"/>
        </w:rPr>
        <w:t> </w:t>
      </w:r>
      <w:r>
        <w:rPr>
          <w:spacing w:val="-3"/>
        </w:rPr>
        <w:t>万元，较同期减少</w:t>
      </w:r>
      <w:r>
        <w:rPr>
          <w:spacing w:val="-63"/>
        </w:rPr>
        <w:t> </w:t>
      </w:r>
      <w:r>
        <w:rPr>
          <w:rFonts w:ascii="Times New Roman" w:hAnsi="Times New Roman" w:cs="Times New Roman" w:eastAsia="Times New Roman" w:hint="default"/>
        </w:rPr>
        <w:t>67,632.52</w:t>
      </w:r>
      <w:r>
        <w:rPr>
          <w:rFonts w:ascii="Times New Roman" w:hAnsi="Times New Roman" w:cs="Times New Roman" w:eastAsia="Times New Roman" w:hint="default"/>
          <w:spacing w:val="-23"/>
        </w:rPr>
        <w:t> </w:t>
      </w:r>
      <w:r>
        <w:rPr/>
        <w:t>万元。主要原因一是报告期公司回购股份使</w:t>
      </w:r>
      <w:r>
        <w:rPr>
          <w:rFonts w:ascii="Times New Roman" w:hAnsi="Times New Roman" w:cs="Times New Roman" w:eastAsia="Times New Roman" w:hint="default"/>
        </w:rPr>
        <w:t>“</w:t>
      </w:r>
      <w:r>
        <w:rPr/>
        <w:t>支付其 他与筹资活动有关的现金</w:t>
      </w:r>
      <w:r>
        <w:rPr>
          <w:rFonts w:ascii="Times New Roman" w:hAnsi="Times New Roman" w:cs="Times New Roman" w:eastAsia="Times New Roman" w:hint="default"/>
        </w:rPr>
        <w:t>”</w:t>
      </w:r>
      <w:r>
        <w:rPr/>
        <w:t>同比增加；二是报告期公司与同期比偿还银行贷款多于银行借款，影响筹资活动产生的现金净流 量。</w:t>
      </w:r>
    </w:p>
    <w:p>
      <w:pPr>
        <w:pStyle w:val="BodyText"/>
        <w:spacing w:line="240" w:lineRule="auto" w:before="7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both"/>
      </w:pPr>
      <w:r>
        <w:rPr>
          <w:rFonts w:ascii="Times New Roman" w:hAnsi="Times New Roman" w:cs="Times New Roman" w:eastAsia="Times New Roman" w:hint="default"/>
        </w:rPr>
        <w:t>1</w:t>
      </w:r>
      <w:r>
        <w:rPr/>
        <w:t>、报告期计提商誉减值准备、固定资产折旧、无形资产摊销等不付现的费用影响；</w:t>
      </w:r>
    </w:p>
    <w:p>
      <w:pPr>
        <w:pStyle w:val="BodyText"/>
        <w:spacing w:line="300" w:lineRule="auto" w:before="63"/>
        <w:ind w:right="2562"/>
        <w:jc w:val="left"/>
      </w:pPr>
      <w:r>
        <w:rPr>
          <w:rFonts w:ascii="Times New Roman" w:hAnsi="Times New Roman" w:cs="Times New Roman" w:eastAsia="Times New Roman" w:hint="default"/>
        </w:rPr>
        <w:t>2</w:t>
      </w:r>
      <w:r>
        <w:rPr/>
        <w:t>、报告期公司销售规模较同期扩大但应收账款较同期下降，销售商品、提供劳务收到的现金同比增加； 综上原因，报告期内经营活动产生的现金净流量与本年度净利润存在较大差异。</w:t>
      </w:r>
    </w:p>
    <w:p>
      <w:pPr>
        <w:spacing w:line="240" w:lineRule="auto" w:before="9"/>
        <w:rPr>
          <w:rFonts w:ascii="宋体" w:hAnsi="宋体" w:cs="宋体" w:eastAsia="宋体" w:hint="default"/>
          <w:sz w:val="21"/>
          <w:szCs w:val="21"/>
        </w:rPr>
      </w:pPr>
    </w:p>
    <w:p>
      <w:pPr>
        <w:pStyle w:val="Heading4"/>
        <w:spacing w:line="240" w:lineRule="auto"/>
        <w:ind w:right="0"/>
        <w:jc w:val="both"/>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1512"/>
        <w:gridCol w:w="1915"/>
        <w:gridCol w:w="1624"/>
        <w:gridCol w:w="2451"/>
        <w:gridCol w:w="2057"/>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68,855,773.33</w:t>
            </w:r>
          </w:p>
        </w:tc>
        <w:tc>
          <w:tcPr>
            <w:tcW w:w="1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36.43%</w:t>
            </w:r>
          </w:p>
        </w:tc>
        <w:tc>
          <w:tcPr>
            <w:tcW w:w="24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76"/>
              <w:jc w:val="both"/>
              <w:rPr>
                <w:rFonts w:ascii="宋体" w:hAnsi="宋体" w:cs="宋体" w:eastAsia="宋体" w:hint="default"/>
                <w:sz w:val="18"/>
                <w:szCs w:val="18"/>
              </w:rPr>
            </w:pPr>
            <w:r>
              <w:rPr>
                <w:rFonts w:ascii="宋体" w:hAnsi="宋体" w:cs="宋体" w:eastAsia="宋体" w:hint="default"/>
                <w:sz w:val="18"/>
                <w:szCs w:val="18"/>
              </w:rPr>
              <w:t>主要是报告期公司金融科技板 块处置可供出售金融资产百融 股权产生的投资收益所致。</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9" w:space="0" w:color="D2D2D2"/>
              <w:right w:val="single" w:sz="4" w:space="0" w:color="000000"/>
            </w:tcBorders>
          </w:tcPr>
          <w:p>
            <w:pPr/>
          </w:p>
        </w:tc>
        <w:tc>
          <w:tcPr>
            <w:tcW w:w="1624"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9" w:space="0" w:color="D2D2D2"/>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474"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324,539,651.43</w:t>
            </w:r>
          </w:p>
        </w:tc>
        <w:tc>
          <w:tcPr>
            <w:tcW w:w="1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171.72%</w:t>
            </w:r>
          </w:p>
        </w:tc>
        <w:tc>
          <w:tcPr>
            <w:tcW w:w="24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76"/>
              <w:jc w:val="both"/>
              <w:rPr>
                <w:rFonts w:ascii="宋体" w:hAnsi="宋体" w:cs="宋体" w:eastAsia="宋体" w:hint="default"/>
                <w:sz w:val="18"/>
                <w:szCs w:val="18"/>
              </w:rPr>
            </w:pPr>
            <w:r>
              <w:rPr>
                <w:rFonts w:ascii="宋体" w:hAnsi="宋体" w:cs="宋体" w:eastAsia="宋体" w:hint="default"/>
                <w:sz w:val="18"/>
                <w:szCs w:val="18"/>
              </w:rPr>
              <w:t>主要是报告期公司按照会计政 策对未达业绩目标的联动商务 及湖北海立美达计提的商誉减 值准备影响所致。</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9" w:space="0" w:color="D2D2D2"/>
              <w:right w:val="single" w:sz="4" w:space="0" w:color="000000"/>
            </w:tcBorders>
          </w:tcPr>
          <w:p>
            <w:pPr/>
          </w:p>
        </w:tc>
        <w:tc>
          <w:tcPr>
            <w:tcW w:w="1624"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9" w:space="0" w:color="D2D2D2"/>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9,825,984.51</w:t>
            </w:r>
          </w:p>
        </w:tc>
        <w:tc>
          <w:tcPr>
            <w:tcW w:w="1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w:t>
            </w:r>
          </w:p>
        </w:tc>
        <w:tc>
          <w:tcPr>
            <w:tcW w:w="2451"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主要是报告期公司收到的与日 常活动无关的政府补助所致。</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9" w:space="0" w:color="D2D2D2"/>
              <w:right w:val="single" w:sz="4" w:space="0" w:color="000000"/>
            </w:tcBorders>
          </w:tcPr>
          <w:p>
            <w:pPr/>
          </w:p>
        </w:tc>
        <w:tc>
          <w:tcPr>
            <w:tcW w:w="1624"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9" w:space="0" w:color="D2D2D2"/>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r>
        <w:trPr>
          <w:trHeight w:val="630"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29,937,060.55</w:t>
            </w:r>
          </w:p>
        </w:tc>
        <w:tc>
          <w:tcPr>
            <w:tcW w:w="1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15.84%</w:t>
            </w:r>
          </w:p>
        </w:tc>
        <w:tc>
          <w:tcPr>
            <w:tcW w:w="24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76"/>
              <w:jc w:val="both"/>
              <w:rPr>
                <w:rFonts w:ascii="宋体" w:hAnsi="宋体" w:cs="宋体" w:eastAsia="宋体" w:hint="default"/>
                <w:sz w:val="18"/>
                <w:szCs w:val="18"/>
              </w:rPr>
            </w:pPr>
            <w:r>
              <w:rPr>
                <w:rFonts w:ascii="宋体" w:hAnsi="宋体" w:cs="宋体" w:eastAsia="宋体" w:hint="default"/>
                <w:sz w:val="18"/>
                <w:szCs w:val="18"/>
              </w:rPr>
              <w:t>主要是报告期公司子公司联动 商务因违反清算管理规定、非 金融机构支付服务管理办法相 关规定，受到中国人民银行营 业管理部的处罚所致。</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9" w:space="0" w:color="D2D2D2"/>
              <w:right w:val="single" w:sz="4" w:space="0" w:color="000000"/>
            </w:tcBorders>
          </w:tcPr>
          <w:p>
            <w:pPr/>
          </w:p>
        </w:tc>
        <w:tc>
          <w:tcPr>
            <w:tcW w:w="1624" w:type="dxa"/>
            <w:vMerge/>
            <w:tcBorders>
              <w:left w:val="single" w:sz="4" w:space="0" w:color="000000"/>
              <w:right w:val="single" w:sz="4" w:space="0" w:color="000000"/>
            </w:tcBorders>
          </w:tcPr>
          <w:p>
            <w:pPr/>
          </w:p>
        </w:tc>
        <w:tc>
          <w:tcPr>
            <w:tcW w:w="2451" w:type="dxa"/>
            <w:vMerge/>
            <w:tcBorders>
              <w:left w:val="single" w:sz="4" w:space="0" w:color="000000"/>
              <w:right w:val="single" w:sz="4" w:space="0" w:color="000000"/>
            </w:tcBorders>
          </w:tcPr>
          <w:p>
            <w:pPr/>
          </w:p>
        </w:tc>
        <w:tc>
          <w:tcPr>
            <w:tcW w:w="2057" w:type="dxa"/>
            <w:vMerge/>
            <w:tcBorders>
              <w:left w:val="single" w:sz="4" w:space="0" w:color="000000"/>
              <w:right w:val="single" w:sz="4" w:space="0" w:color="000000"/>
            </w:tcBorders>
          </w:tcPr>
          <w:p>
            <w:pPr/>
          </w:p>
        </w:tc>
      </w:tr>
      <w:tr>
        <w:trPr>
          <w:trHeight w:val="630"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9" w:space="0" w:color="D2D2D2"/>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2451"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356"/>
        <w:gridCol w:w="1164"/>
        <w:gridCol w:w="1063"/>
        <w:gridCol w:w="1196"/>
        <w:gridCol w:w="1063"/>
        <w:gridCol w:w="798"/>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1,749,565,293.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18.55%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2,124,762,581.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11.21%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7.34%</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4"/>
              <w:jc w:val="both"/>
              <w:rPr>
                <w:rFonts w:ascii="宋体" w:hAnsi="宋体" w:cs="宋体" w:eastAsia="宋体" w:hint="default"/>
                <w:sz w:val="18"/>
                <w:szCs w:val="18"/>
              </w:rPr>
            </w:pPr>
            <w:r>
              <w:rPr>
                <w:rFonts w:ascii="宋体" w:hAnsi="宋体" w:cs="宋体" w:eastAsia="宋体" w:hint="default"/>
                <w:sz w:val="18"/>
                <w:szCs w:val="18"/>
              </w:rPr>
              <w:t>主要是报告期公司使用自有资金采 用集中竞价方式回购公司股份导致 货币资金下降。</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926,524,193.6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969,155,701.05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4.71%</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主要是报告期公司加强应收款项催 收力度，客户及时回款所致。</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2" w:type="dxa"/>
        <w:tblLayout w:type="fixed"/>
        <w:tblCellMar>
          <w:top w:w="0" w:type="dxa"/>
          <w:left w:w="0" w:type="dxa"/>
          <w:bottom w:w="0" w:type="dxa"/>
          <w:right w:w="0" w:type="dxa"/>
        </w:tblCellMar>
        <w:tblLook w:val="01E0"/>
      </w:tblPr>
      <w:tblGrid>
        <w:gridCol w:w="1368"/>
        <w:gridCol w:w="1164"/>
        <w:gridCol w:w="1063"/>
        <w:gridCol w:w="1196"/>
        <w:gridCol w:w="1063"/>
        <w:gridCol w:w="798"/>
        <w:gridCol w:w="2919"/>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650,186,022.1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544,587,206.48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主要是报告期公司增加新纳入合并 范围的控股子公司上海和达带来的 存货所致。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22,414,831.55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主要是报告期公司子公司湖北海立 美达将闲置老厂区厂房、土地出租， 按照会计准则要求划分为投资性房 地产核算</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419,660.20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主要是报告期公司新增权益法核算 的河北雄安泽兴股权投资基金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股权所致。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972,791,151.2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734,477,018.23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一是报告期公司智能制造板块增加 新纳入合并范围的控股子公司上海 和达带来的固定资产所致；二是报告 期智能制造板块宁波泰鸿公司增加 对吉利新车型项目投入以及湖北海 立美达增加对冷藏车项目投入所致。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90,935,722.47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89,868,225.13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与期初基本持平。</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270,502,200.0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208,954,500.00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主要是报告期公司因经营业务规模 扩大增加融资需求所致。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99,000,000.00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主要是报告期公司按照合同约定偿 还借款所致。</w:t>
            </w:r>
          </w:p>
        </w:tc>
      </w:tr>
    </w:tbl>
    <w:p>
      <w:pPr>
        <w:spacing w:line="240" w:lineRule="auto" w:before="2"/>
        <w:rPr>
          <w:rFonts w:ascii="宋体" w:hAnsi="宋体" w:cs="宋体" w:eastAsia="宋体" w:hint="default"/>
          <w:sz w:val="19"/>
          <w:szCs w:val="19"/>
        </w:rPr>
      </w:pPr>
    </w:p>
    <w:p>
      <w:pPr>
        <w:pStyle w:val="Heading7"/>
        <w:spacing w:line="240" w:lineRule="auto" w:before="35"/>
        <w:ind w:left="174" w:right="355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3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left="174" w:right="3553"/>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8"/>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285"/>
        <w:gridCol w:w="3285"/>
        <w:gridCol w:w="3179"/>
      </w:tblGrid>
      <w:tr>
        <w:trPr>
          <w:trHeight w:val="38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149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48,195,663.67</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票据、贷款保证金、通道交易保证金</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920,918,712.08</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93,155,430.00</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15,182,699.02</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11,307,601.14</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457"/>
              <w:jc w:val="righ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1,088,760,105.91</w:t>
            </w:r>
          </w:p>
        </w:tc>
        <w:tc>
          <w:tcPr>
            <w:tcW w:w="31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6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189"/>
        <w:gridCol w:w="3190"/>
        <w:gridCol w:w="319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494,648,023.79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512,085,234.88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54"/>
        <w:gridCol w:w="652"/>
        <w:gridCol w:w="622"/>
        <w:gridCol w:w="623"/>
        <w:gridCol w:w="622"/>
        <w:gridCol w:w="622"/>
        <w:gridCol w:w="618"/>
        <w:gridCol w:w="617"/>
        <w:gridCol w:w="618"/>
        <w:gridCol w:w="592"/>
        <w:gridCol w:w="592"/>
        <w:gridCol w:w="694"/>
        <w:gridCol w:w="690"/>
        <w:gridCol w:w="690"/>
        <w:gridCol w:w="667"/>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2"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0"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6"/>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2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51" w:right="51"/>
              <w:jc w:val="both"/>
              <w:rPr>
                <w:rFonts w:ascii="宋体" w:hAnsi="宋体" w:cs="宋体" w:eastAsia="宋体" w:hint="default"/>
                <w:sz w:val="18"/>
                <w:szCs w:val="18"/>
              </w:rPr>
            </w:pPr>
            <w:r>
              <w:rPr>
                <w:rFonts w:ascii="宋体" w:hAnsi="宋体" w:cs="宋体" w:eastAsia="宋体" w:hint="default"/>
                <w:sz w:val="18"/>
                <w:szCs w:val="18"/>
              </w:rPr>
              <w:t>上海和 达汽车 配件有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9"/>
              <w:jc w:val="center"/>
              <w:rPr>
                <w:rFonts w:ascii="宋体" w:hAnsi="宋体" w:cs="宋体" w:eastAsia="宋体" w:hint="default"/>
                <w:sz w:val="18"/>
                <w:szCs w:val="18"/>
              </w:rPr>
            </w:pPr>
            <w:r>
              <w:rPr>
                <w:rFonts w:ascii="宋体" w:hAnsi="宋体" w:cs="宋体" w:eastAsia="宋体" w:hint="default"/>
                <w:sz w:val="18"/>
                <w:szCs w:val="18"/>
              </w:rPr>
              <w:t>设计、 生产汽 车的装 饰件、 玻璃 槽、滑 槽、门 框及其 它汽车 配件</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190,19</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股权质 押借款</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汽车配 件</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14" w:lineRule="auto" w:before="63"/>
              <w:ind w:left="110" w:right="91" w:hanging="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工商 变更 纳入 合并 范围</w:t>
            </w:r>
          </w:p>
        </w:tc>
        <w:tc>
          <w:tcPr>
            <w:tcW w:w="592"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29,093,2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77.38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8" w:right="56"/>
              <w:jc w:val="center"/>
              <w:rPr>
                <w:rFonts w:ascii="宋体" w:hAnsi="宋体" w:cs="宋体" w:eastAsia="宋体" w:hint="default"/>
                <w:sz w:val="18"/>
                <w:szCs w:val="18"/>
              </w:rPr>
            </w:pPr>
            <w:r>
              <w:rPr>
                <w:rFonts w:ascii="宋体" w:hAnsi="宋体" w:cs="宋体" w:eastAsia="宋体" w:hint="default"/>
                <w:sz w:val="18"/>
                <w:szCs w:val="18"/>
              </w:rPr>
              <w:t>巨潮资 讯网、 中国证 券报、 证券时 报、证 券日 报、上 海证券 报相关 公告。</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29,093,2</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77.38</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82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14,354.94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112,706.36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80,621.48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18"/>
                <w:sz w:val="18"/>
                <w:szCs w:val="18"/>
              </w:rPr>
              <w:t>年末，除公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司有</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41,170,901</w:t>
            </w:r>
          </w:p>
          <w:p>
            <w:pPr>
              <w:pStyle w:val="TableParagraph"/>
              <w:spacing w:line="316" w:lineRule="auto" w:before="65"/>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 资金作为 现金管理 的本金和 </w:t>
            </w:r>
            <w:r>
              <w:rPr>
                <w:rFonts w:ascii="宋体" w:hAnsi="宋体" w:cs="宋体" w:eastAsia="宋体" w:hint="default"/>
                <w:spacing w:val="-18"/>
                <w:sz w:val="18"/>
                <w:szCs w:val="18"/>
              </w:rPr>
              <w:t>利息外，本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公司尚未 使用募集 资金全部 作为银行 存款专户 </w:t>
            </w:r>
            <w:r>
              <w:rPr>
                <w:rFonts w:ascii="宋体" w:hAnsi="宋体" w:cs="宋体" w:eastAsia="宋体" w:hint="default"/>
                <w:spacing w:val="-18"/>
                <w:sz w:val="18"/>
                <w:szCs w:val="18"/>
              </w:rPr>
              <w:t>存储、专户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管理。截至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月末，</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41,170,901</w:t>
            </w:r>
          </w:p>
          <w:p>
            <w:pPr>
              <w:pStyle w:val="TableParagraph"/>
              <w:spacing w:line="314" w:lineRule="auto" w:before="65"/>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 现金管理 的募集资 金已全部 转回至募 集资金专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14,354.94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112,706.36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80,621.48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1341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号《关于核准青岛海立美达股份有限公司向中国移动通讯集团公司</w:t>
            </w:r>
            <w:r>
              <w:rPr>
                <w:rFonts w:ascii="宋体" w:hAnsi="宋体" w:cs="宋体" w:eastAsia="宋体" w:hint="default"/>
                <w:sz w:val="18"/>
                <w:szCs w:val="18"/>
              </w:rPr>
              <w:t> 等发行股份购买资产并募集配套资金的批复》文件核准，本公司于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月在主承销商广发证券股份有限公司的承办</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下以非公开发行股票的方式发行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73,120,406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股，每股发行价格为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1,870,419,985.48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1610" w:lineRule="exact"/>
        <w:ind w:left="191" w:right="0" w:firstLine="0"/>
        <w:rPr>
          <w:rFonts w:ascii="宋体" w:hAnsi="宋体" w:cs="宋体" w:eastAsia="宋体" w:hint="default"/>
          <w:sz w:val="20"/>
          <w:szCs w:val="20"/>
        </w:rPr>
      </w:pPr>
      <w:r>
        <w:rPr>
          <w:rFonts w:ascii="宋体" w:hAnsi="宋体" w:cs="宋体" w:eastAsia="宋体" w:hint="default"/>
          <w:position w:val="-31"/>
          <w:sz w:val="20"/>
          <w:szCs w:val="20"/>
        </w:rPr>
        <w:pict>
          <v:shape style="width:478.3pt;height:80.55pt;mso-position-horizontal-relative:char;mso-position-vertical-relative:line" type="#_x0000_t202" filled="false" stroked="true" strokeweight=".47998pt" strokecolor="#000000">
            <w10:anchorlock/>
            <v:textbox inset="0,0,0,0">
              <w:txbxContent>
                <w:p>
                  <w:pPr>
                    <w:pStyle w:val="BodyText"/>
                    <w:spacing w:line="300" w:lineRule="auto" w:before="10"/>
                    <w:ind w:left="22" w:right="81"/>
                    <w:jc w:val="left"/>
                  </w:pPr>
                  <w:r>
                    <w:rPr/>
                    <w:t>扣除发行有关费用后，公司实际收到募集资金</w:t>
                  </w:r>
                  <w:r>
                    <w:rPr>
                      <w:spacing w:val="-47"/>
                    </w:rPr>
                    <w:t> </w:t>
                  </w:r>
                  <w:r>
                    <w:rPr>
                      <w:rFonts w:ascii="Times New Roman" w:hAnsi="Times New Roman" w:cs="Times New Roman" w:eastAsia="Times New Roman" w:hint="default"/>
                    </w:rPr>
                    <w:t>1,835,304,525.67</w:t>
                  </w:r>
                  <w:r>
                    <w:rPr>
                      <w:rFonts w:ascii="Times New Roman" w:hAnsi="Times New Roman" w:cs="Times New Roman" w:eastAsia="Times New Roman" w:hint="default"/>
                      <w:spacing w:val="-1"/>
                    </w:rPr>
                    <w:t> </w:t>
                  </w:r>
                  <w:r>
                    <w:rPr/>
                    <w:t>元，公司已对募集资金采取了专户存储制度。上述募集资 金到位情况业经信永中和会计师事务所（特殊普通合伙）审验，并出具了</w:t>
                  </w:r>
                  <w:r>
                    <w:rPr>
                      <w:spacing w:val="-14"/>
                    </w:rPr>
                    <w:t> </w:t>
                  </w:r>
                  <w:r>
                    <w:rPr>
                      <w:rFonts w:ascii="Times New Roman" w:hAnsi="Times New Roman" w:cs="Times New Roman" w:eastAsia="Times New Roman" w:hint="default"/>
                    </w:rPr>
                    <w:t>XYZH/2016JNA10338</w:t>
                  </w:r>
                  <w:r>
                    <w:rPr>
                      <w:rFonts w:ascii="Times New Roman" w:hAnsi="Times New Roman" w:cs="Times New Roman" w:eastAsia="Times New Roman" w:hint="default"/>
                      <w:spacing w:val="-27"/>
                    </w:rPr>
                    <w:t> </w:t>
                  </w:r>
                  <w:r>
                    <w:rPr>
                      <w:spacing w:val="-12"/>
                    </w:rPr>
                    <w:t>号《验资报告》。</w:t>
                  </w:r>
                </w:p>
                <w:p>
                  <w:pPr>
                    <w:pStyle w:val="BodyText"/>
                    <w:spacing w:line="240" w:lineRule="auto" w:before="13"/>
                    <w:ind w:left="22" w:right="0"/>
                    <w:jc w:val="left"/>
                  </w:pPr>
                  <w:r>
                    <w:rPr/>
                    <w:t>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日，募集资金项目已累计投入</w:t>
                  </w:r>
                  <w:r>
                    <w:rPr>
                      <w:spacing w:val="-48"/>
                    </w:rPr>
                    <w:t> </w:t>
                  </w:r>
                  <w:r>
                    <w:rPr>
                      <w:rFonts w:ascii="Times New Roman" w:hAnsi="Times New Roman" w:cs="Times New Roman" w:eastAsia="Times New Roman" w:hint="default"/>
                    </w:rPr>
                    <w:t>112,706.36</w:t>
                  </w:r>
                  <w:r>
                    <w:rPr>
                      <w:rFonts w:ascii="Times New Roman" w:hAnsi="Times New Roman" w:cs="Times New Roman" w:eastAsia="Times New Roman" w:hint="default"/>
                      <w:spacing w:val="-3"/>
                    </w:rPr>
                    <w:t> </w:t>
                  </w:r>
                  <w:r>
                    <w:rPr/>
                    <w:t>万元，其中扣除发行有关费用</w:t>
                  </w:r>
                  <w:r>
                    <w:rPr>
                      <w:spacing w:val="-48"/>
                    </w:rPr>
                    <w:t> </w:t>
                  </w:r>
                  <w:r>
                    <w:rPr>
                      <w:rFonts w:ascii="Times New Roman" w:hAnsi="Times New Roman" w:cs="Times New Roman" w:eastAsia="Times New Roman" w:hint="default"/>
                    </w:rPr>
                    <w:t>3,511.55</w:t>
                  </w:r>
                  <w:r>
                    <w:rPr>
                      <w:rFonts w:ascii="Times New Roman" w:hAnsi="Times New Roman" w:cs="Times New Roman" w:eastAsia="Times New Roman" w:hint="default"/>
                      <w:spacing w:val="-3"/>
                    </w:rPr>
                    <w:t> </w:t>
                  </w:r>
                  <w:r>
                    <w:rPr/>
                    <w:t>万元，置换先期自</w:t>
                  </w:r>
                </w:p>
                <w:p>
                  <w:pPr>
                    <w:pStyle w:val="BodyText"/>
                    <w:spacing w:line="240" w:lineRule="auto" w:before="63"/>
                    <w:ind w:left="22" w:right="0"/>
                    <w:jc w:val="left"/>
                  </w:pPr>
                  <w:r>
                    <w:rPr/>
                    <w:t>筹投入的 </w:t>
                  </w:r>
                  <w:r>
                    <w:rPr>
                      <w:rFonts w:ascii="Times New Roman" w:hAnsi="Times New Roman" w:cs="Times New Roman" w:eastAsia="Times New Roman" w:hint="default"/>
                    </w:rPr>
                    <w:t>30,461.97 </w:t>
                  </w:r>
                  <w:r>
                    <w:rPr/>
                    <w:t>万元，直接投入募集资金项目 </w:t>
                  </w:r>
                  <w:r>
                    <w:rPr>
                      <w:rFonts w:ascii="Times New Roman" w:hAnsi="Times New Roman" w:cs="Times New Roman" w:eastAsia="Times New Roman" w:hint="default"/>
                    </w:rPr>
                    <w:t>78,732.84 </w:t>
                  </w:r>
                  <w:r>
                    <w:rPr/>
                    <w:t>万元。 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0"/>
                    </w:rPr>
                    <w:t> </w:t>
                  </w:r>
                  <w:r>
                    <w:rPr/>
                    <w:t>日，公司非公开发行募集资</w:t>
                  </w:r>
                </w:p>
                <w:p>
                  <w:pPr>
                    <w:pStyle w:val="BodyText"/>
                    <w:spacing w:line="240" w:lineRule="auto" w:before="64"/>
                    <w:ind w:left="22" w:right="0"/>
                    <w:jc w:val="left"/>
                  </w:pPr>
                  <w:r>
                    <w:rPr/>
                    <w:t>金专户余额</w:t>
                  </w:r>
                  <w:r>
                    <w:rPr>
                      <w:rFonts w:ascii="Times New Roman" w:hAnsi="Times New Roman" w:cs="Times New Roman" w:eastAsia="Times New Roman" w:hint="default"/>
                    </w:rPr>
                    <w:t>(</w:t>
                  </w:r>
                  <w:r>
                    <w:rPr/>
                    <w:t>含利息收入</w:t>
                  </w:r>
                  <w:r>
                    <w:rPr>
                      <w:rFonts w:ascii="Times New Roman" w:hAnsi="Times New Roman" w:cs="Times New Roman" w:eastAsia="Times New Roman" w:hint="default"/>
                    </w:rPr>
                    <w:t>)</w:t>
                  </w:r>
                  <w:r>
                    <w:rPr/>
                    <w:t>为</w:t>
                  </w:r>
                  <w:r>
                    <w:rPr>
                      <w:spacing w:val="-46"/>
                    </w:rPr>
                    <w:t> </w:t>
                  </w:r>
                  <w:r>
                    <w:rPr>
                      <w:rFonts w:ascii="Times New Roman" w:hAnsi="Times New Roman" w:cs="Times New Roman" w:eastAsia="Times New Roman" w:hint="default"/>
                    </w:rPr>
                    <w:t>80,621.48</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31"/>
          <w:sz w:val="20"/>
          <w:szCs w:val="20"/>
        </w:rPr>
      </w:r>
    </w:p>
    <w:p>
      <w:pPr>
        <w:spacing w:line="240" w:lineRule="auto" w:before="8"/>
        <w:rPr>
          <w:rFonts w:ascii="宋体" w:hAnsi="宋体" w:cs="宋体" w:eastAsia="宋体" w:hint="default"/>
          <w:sz w:val="19"/>
          <w:szCs w:val="19"/>
        </w:rPr>
      </w:pPr>
    </w:p>
    <w:p>
      <w:pPr>
        <w:pStyle w:val="Heading7"/>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770"/>
        <w:gridCol w:w="779"/>
        <w:gridCol w:w="780"/>
        <w:gridCol w:w="780"/>
        <w:gridCol w:w="780"/>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移动互联网智能融合 支付云平台项目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25,339.79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跨境电商综合服务平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联动优势支付中国移 动减资款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上市公司补充流动资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49,057.42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支付中介机构相关费 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本公司手续费支出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项目结余补充流动资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187,042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187,042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14,354.94</w:t>
            </w:r>
          </w:p>
        </w:tc>
        <w:tc>
          <w:tcPr>
            <w:tcW w:w="780"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112,706.3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187,042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187,042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14,354.94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9" w:space="0" w:color="D2D2D2"/>
              <w:bottom w:val="single" w:sz="4" w:space="0" w:color="000000"/>
              <w:right w:val="single" w:sz="4" w:space="0" w:color="000000"/>
            </w:tcBorders>
          </w:tcPr>
          <w:p>
            <w:pPr>
              <w:pStyle w:val="TableParagraph"/>
              <w:spacing w:line="338" w:lineRule="auto" w:before="51"/>
              <w:ind w:left="16" w:right="24"/>
              <w:jc w:val="left"/>
              <w:rPr>
                <w:rFonts w:ascii="宋体" w:hAnsi="宋体" w:cs="宋体" w:eastAsia="宋体" w:hint="default"/>
                <w:sz w:val="18"/>
                <w:szCs w:val="18"/>
              </w:rPr>
            </w:pPr>
            <w:r>
              <w:rPr>
                <w:rFonts w:ascii="宋体" w:hAnsi="宋体" w:cs="宋体" w:eastAsia="宋体" w:hint="default"/>
                <w:sz w:val="18"/>
                <w:szCs w:val="18"/>
              </w:rPr>
              <w:t>移动互联网智能融合支付云平台项目： 截至报告期末，移动互联网智能融合支付云平台项目已初步达到可使用状态。考虑到当前国内经济 形势、行业政策、行业竞争程度等因素，该募投项目的实施环境已发生变化，为保障投资者和公司</w:t>
            </w:r>
          </w:p>
        </w:tc>
      </w:tr>
    </w:tbl>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8.200001pt;margin-top:71.999985pt;width:479.25pt;height:676.4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137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整体利益，公司放缓了向</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移动互联网智能融合支付云平台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项目投入募集资金的速度。 跨境电商综合服务平台： 截至报告期末，跨境电商综合服务平台项目已初步达到可使用状态，已基本满足公司业务需求，公 司放缓了向</w:t>
                        </w:r>
                        <w:r>
                          <w:rPr>
                            <w:rFonts w:ascii="Times New Roman" w:hAnsi="Times New Roman" w:cs="Times New Roman" w:eastAsia="Times New Roman" w:hint="default"/>
                            <w:sz w:val="18"/>
                            <w:szCs w:val="18"/>
                          </w:rPr>
                          <w:t>“</w:t>
                        </w:r>
                        <w:r>
                          <w:rPr>
                            <w:rFonts w:ascii="宋体" w:hAnsi="宋体" w:cs="宋体" w:eastAsia="宋体" w:hint="default"/>
                            <w:sz w:val="18"/>
                            <w:szCs w:val="18"/>
                          </w:rPr>
                          <w:t>移动互联网智能融合支付云平台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项目投入募集资金的速度。</w:t>
                        </w:r>
                      </w:p>
                    </w:tc>
                  </w:tr>
                  <w:tr>
                    <w:trPr>
                      <w:trHeight w:val="714"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非公开发行募集资金到位前，本公司对中介机构相关费用已先期投入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万元，联动优势电子商务</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有限公司实施的移动互联网智能融合支付云平台项目利用自筹资金已先期投入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万元，联动</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优势科技有限公司对实施的支付中国移动减资款已先期投入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万元。募集资金到位后，根据本</w:t>
                        </w:r>
                        <w:r>
                          <w:rPr>
                            <w:rFonts w:ascii="宋体" w:hAnsi="宋体" w:cs="宋体" w:eastAsia="宋体" w:hint="default"/>
                            <w:sz w:val="18"/>
                            <w:szCs w:val="18"/>
                          </w:rPr>
                          <w:t> 公司第三届董事会第十四次（临时）会议审议通过的《关于使用募集资金置换预先投入募投项目自 </w:t>
                        </w:r>
                        <w:r>
                          <w:rPr>
                            <w:rFonts w:ascii="宋体" w:hAnsi="宋体" w:cs="宋体" w:eastAsia="宋体" w:hint="default"/>
                            <w:spacing w:val="-3"/>
                            <w:sz w:val="18"/>
                            <w:szCs w:val="18"/>
                          </w:rPr>
                          <w:t>筹资金的议案》，以募集资金置换预先投入募投项目的自筹资金合计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30,461.97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月，经第三届董事会第十四次（临时）会议和第三届监事会第十三次（临时）会议审议 </w:t>
                        </w:r>
                        <w:r>
                          <w:rPr>
                            <w:rFonts w:ascii="宋体" w:hAnsi="宋体" w:cs="宋体" w:eastAsia="宋体" w:hint="default"/>
                            <w:spacing w:val="-3"/>
                            <w:sz w:val="18"/>
                            <w:szCs w:val="18"/>
                          </w:rPr>
                          <w:t>通过了《关于使用节余募集资金暂时补充流动资金的议案》，将单项募投项目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上市公司支付中介机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w w:val="100"/>
                            <w:sz w:val="18"/>
                            <w:szCs w:val="18"/>
                          </w:rPr>
                          <w:t>构相关费用</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中节余的募集配套资金</w:t>
                        </w:r>
                        <w:r>
                          <w:rPr>
                            <w:rFonts w:ascii="宋体" w:hAnsi="宋体" w:cs="宋体" w:eastAsia="宋体" w:hint="default"/>
                            <w:spacing w:val="-47"/>
                            <w:w w:val="100"/>
                            <w:sz w:val="18"/>
                            <w:szCs w:val="18"/>
                          </w:rPr>
                          <w:t> </w:t>
                        </w:r>
                        <w:r>
                          <w:rPr>
                            <w:rFonts w:ascii="Times New Roman" w:hAnsi="Times New Roman" w:cs="Times New Roman" w:eastAsia="Times New Roman" w:hint="default"/>
                            <w:spacing w:val="-1"/>
                            <w:sz w:val="18"/>
                            <w:szCs w:val="18"/>
                          </w:rPr>
                          <w:t>5,634,540.19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元暂时补充流动资金，若因募集资金项目发展需要</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pacing w:val="-3"/>
                            <w:sz w:val="18"/>
                            <w:szCs w:val="18"/>
                          </w:rPr>
                          <w:t>本公司将随时利用自有资金及银行贷款及时归还，以确保项目进度。该资金使用期限不超过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到期本公司将以自有资金归还至募集资金专用账户</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日，本公司如数归还上述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5,634,540.19 </w:t>
                        </w:r>
                        <w:r>
                          <w:rPr>
                            <w:rFonts w:ascii="宋体" w:hAnsi="宋体" w:cs="宋体" w:eastAsia="宋体" w:hint="default"/>
                            <w:sz w:val="18"/>
                            <w:szCs w:val="18"/>
                          </w:rPr>
                          <w:t>元</w:t>
                        </w:r>
                        <w:r>
                          <w:rPr>
                            <w:rFonts w:ascii="宋体" w:hAnsi="宋体" w:cs="宋体" w:eastAsia="宋体" w:hint="default"/>
                            <w:spacing w:val="-2"/>
                            <w:sz w:val="18"/>
                            <w:szCs w:val="18"/>
                          </w:rPr>
                          <w:t>并</w:t>
                        </w:r>
                        <w:r>
                          <w:rPr>
                            <w:rFonts w:ascii="宋体" w:hAnsi="宋体" w:cs="宋体" w:eastAsia="宋体" w:hint="default"/>
                            <w:sz w:val="18"/>
                            <w:szCs w:val="18"/>
                          </w:rPr>
                          <w:t>于当日公告（公告编号：</w:t>
                        </w:r>
                        <w:r>
                          <w:rPr>
                            <w:rFonts w:ascii="Times New Roman" w:hAnsi="Times New Roman" w:cs="Times New Roman" w:eastAsia="Times New Roman" w:hint="default"/>
                            <w:sz w:val="18"/>
                            <w:szCs w:val="18"/>
                          </w:rPr>
                          <w:t>2016-127</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月，根据公司第三届董事会第十四次（临时）会议审议通过的《关于使用募集资金置换</w:t>
                        </w:r>
                        <w:r>
                          <w:rPr>
                            <w:rFonts w:ascii="宋体" w:hAnsi="宋体" w:cs="宋体" w:eastAsia="宋体" w:hint="default"/>
                            <w:sz w:val="18"/>
                            <w:szCs w:val="18"/>
                          </w:rPr>
                          <w:t> </w:t>
                        </w:r>
                        <w:r>
                          <w:rPr>
                            <w:rFonts w:ascii="宋体" w:hAnsi="宋体" w:cs="宋体" w:eastAsia="宋体" w:hint="default"/>
                            <w:spacing w:val="-5"/>
                            <w:sz w:val="18"/>
                            <w:szCs w:val="18"/>
                          </w:rPr>
                          <w:t>预先投入募投项目自筹资金的议案》，公司以募集资金对先期支付中国移动通信集团公司减资款的自</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筹资金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亿元进行了置换，置换金额为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亿元，置换完成后，该募集资金专项账户利息余额也</w:t>
                        </w:r>
                        <w:r>
                          <w:rPr>
                            <w:rFonts w:ascii="宋体" w:hAnsi="宋体" w:cs="宋体" w:eastAsia="宋体" w:hint="default"/>
                            <w:sz w:val="18"/>
                            <w:szCs w:val="18"/>
                          </w:rPr>
                          <w:t> 一并转出。</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年末，除公司有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41,170,901.48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元募集资金作为现金管理的本金和利息外，本公司尚未使</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pacing w:val="-3"/>
                            <w:sz w:val="18"/>
                            <w:szCs w:val="18"/>
                          </w:rPr>
                          <w:t>用募集资金全部作为银行存款专户存储、专户管理。截至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月末，</w:t>
                        </w:r>
                        <w:r>
                          <w:rPr>
                            <w:rFonts w:ascii="Times New Roman" w:hAnsi="Times New Roman" w:cs="Times New Roman" w:eastAsia="Times New Roman" w:hint="default"/>
                            <w:sz w:val="18"/>
                            <w:szCs w:val="18"/>
                          </w:rPr>
                          <w:t>41,170,901.48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元用于现金 管理的募集资金已全部转回至募集资金专户。</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0" w:right="1104"/>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07"/>
        <w:jc w:val="right"/>
      </w:pP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group style="position:absolute;margin-left:223.460007pt;margin-top:734.399963pt;width:51.8pt;height:25.4pt;mso-position-horizontal-relative:page;mso-position-vertical-relative:page;z-index:-1708912" coordorigin="4469,14688" coordsize="1036,508">
            <v:group style="position:absolute;left:4469;top:15040;width:1036;height:156" coordorigin="4469,15040" coordsize="1036,156">
              <v:shape style="position:absolute;left:4469;top:15040;width:1036;height:156" coordorigin="4469,15040" coordsize="1036,156" path="m4469,15196l5505,15196,5505,15040,4469,15040,4469,15196xe" filled="true" fillcolor="#ffffff" stroked="false">
                <v:path arrowok="t"/>
                <v:fill type="solid"/>
              </v:shape>
            </v:group>
            <v:group style="position:absolute;left:4492;top:14688;width:990;height:352" coordorigin="4492,14688" coordsize="990,352">
              <v:shape style="position:absolute;left:4492;top:14688;width:990;height:352" coordorigin="4492,14688" coordsize="990,352" path="m4492,15040l5481,15040,5481,14688,4492,14688,4492,15040xe" filled="true" fillcolor="#ffffff" stroked="false">
                <v:path arrowok="t"/>
                <v:fill type="solid"/>
              </v:shape>
            </v:group>
            <w10:wrap type="none"/>
          </v:group>
        </w:pict>
      </w:r>
    </w:p>
    <w:tbl>
      <w:tblPr>
        <w:tblW w:w="0" w:type="auto"/>
        <w:jc w:val="left"/>
        <w:tblInd w:w="183" w:type="dxa"/>
        <w:tblLayout w:type="fixed"/>
        <w:tblCellMar>
          <w:top w:w="0" w:type="dxa"/>
          <w:left w:w="0" w:type="dxa"/>
          <w:bottom w:w="0" w:type="dxa"/>
          <w:right w:w="0" w:type="dxa"/>
        </w:tblCellMar>
        <w:tblLook w:val="01E0"/>
      </w:tblPr>
      <w:tblGrid>
        <w:gridCol w:w="1055"/>
        <w:gridCol w:w="1195"/>
        <w:gridCol w:w="1045"/>
        <w:gridCol w:w="1046"/>
        <w:gridCol w:w="1046"/>
        <w:gridCol w:w="1044"/>
        <w:gridCol w:w="1046"/>
        <w:gridCol w:w="1045"/>
        <w:gridCol w:w="1046"/>
      </w:tblGrid>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青岛海立达 冲压件有限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钣金冲压； 钢板剪切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407,427,431.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363,417,761.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348,850,163.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32,733,497.0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29,681,726.7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湖南海立美 达钢板加工 配送有限公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钢板加工、 冲压加工、 模具设计、 制造及销售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141,388,806.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93,167,588.6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301,764,448.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24,408,680.9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18,271,024.9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50"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宁波泰鸿机 电有限公司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发电机、汽 车零部件、 摩托车零部 件的制造、 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229,220,000.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720,460,191.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319,479,581.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573,595,605.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56,635,951.1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46,227,540.0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650"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联动优势科 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互联网信息 服务业务； 移动网增值 电信业务业 务专项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715,697,284.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2,676,745,87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1,384,885,57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1,120,245,89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274,252,182.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238,404,791.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上海和达汽 车配件有限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99"/>
              <w:jc w:val="both"/>
              <w:rPr>
                <w:rFonts w:ascii="宋体" w:hAnsi="宋体" w:cs="宋体" w:eastAsia="宋体" w:hint="default"/>
                <w:sz w:val="18"/>
                <w:szCs w:val="18"/>
              </w:rPr>
            </w:pPr>
            <w:r>
              <w:rPr>
                <w:rFonts w:ascii="宋体" w:hAnsi="宋体" w:cs="宋体" w:eastAsia="宋体" w:hint="default"/>
                <w:sz w:val="18"/>
                <w:szCs w:val="18"/>
              </w:rPr>
              <w:t>设计、生产 汽车的装饰 件、玻璃槽</w:t>
            </w:r>
          </w:p>
        </w:tc>
        <w:tc>
          <w:tcPr>
            <w:tcW w:w="104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35,987,343.9</w:t>
            </w:r>
          </w:p>
          <w:p>
            <w:pPr>
              <w:pStyle w:val="TableParagraph"/>
              <w:spacing w:line="171" w:lineRule="exact" w:before="106"/>
              <w:ind w:right="23"/>
              <w:jc w:val="right"/>
              <w:rPr>
                <w:rFonts w:ascii="Times New Roman" w:hAnsi="Times New Roman" w:cs="Times New Roman" w:eastAsia="Times New Roman" w:hint="default"/>
                <w:sz w:val="18"/>
                <w:szCs w:val="18"/>
              </w:rPr>
            </w:pPr>
            <w:r>
              <w:rPr>
                <w:rFonts w:ascii="Times New Roman"/>
                <w:sz w:val="18"/>
              </w:rPr>
              <w:t>7</w:t>
            </w:r>
          </w:p>
          <w:p>
            <w:pPr>
              <w:pStyle w:val="TableParagraph"/>
              <w:spacing w:line="199"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498,005,549.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245,032,123.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644,790,513.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32,721,562.1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29,093,277.5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055"/>
        <w:gridCol w:w="1195"/>
        <w:gridCol w:w="1045"/>
        <w:gridCol w:w="1046"/>
        <w:gridCol w:w="1046"/>
        <w:gridCol w:w="1044"/>
        <w:gridCol w:w="1046"/>
        <w:gridCol w:w="1045"/>
        <w:gridCol w:w="1046"/>
      </w:tblGrid>
      <w:tr>
        <w:trPr>
          <w:trHeight w:val="986" w:hRule="exact"/>
        </w:trPr>
        <w:tc>
          <w:tcPr>
            <w:tcW w:w="105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滑槽、门框 及其它汽车 配件。</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189"/>
        <w:gridCol w:w="3190"/>
        <w:gridCol w:w="319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海联金汇（北京）金融科技有限公司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天津奥美林生物科技有限公司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53"/>
              <w:jc w:val="left"/>
              <w:rPr>
                <w:rFonts w:ascii="Times New Roman" w:hAnsi="Times New Roman" w:cs="Times New Roman" w:eastAsia="Times New Roman" w:hint="default"/>
                <w:sz w:val="18"/>
                <w:szCs w:val="18"/>
              </w:rPr>
            </w:pPr>
            <w:r>
              <w:rPr>
                <w:rFonts w:ascii="Times New Roman"/>
                <w:sz w:val="18"/>
              </w:rPr>
              <w:t>Zhongheng Construction</w:t>
            </w:r>
            <w:r>
              <w:rPr>
                <w:rFonts w:ascii="Times New Roman"/>
                <w:spacing w:val="-3"/>
                <w:sz w:val="18"/>
              </w:rPr>
              <w:t> </w:t>
            </w:r>
            <w:r>
              <w:rPr>
                <w:rFonts w:ascii="Times New Roman"/>
                <w:sz w:val="18"/>
              </w:rPr>
              <w:t>Group</w:t>
            </w:r>
            <w:r>
              <w:rPr>
                <w:rFonts w:ascii="Times New Roman"/>
                <w:sz w:val="18"/>
              </w:rPr>
              <w:t> Co.,Limited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九州环球国际融资租赁（天津）有限公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联保汇通（汕头）保险代理有限公司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蜜小蜂智慧（北京）科技有限公司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宁波康拓企业管理有限公司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left"/>
              <w:rPr>
                <w:rFonts w:ascii="宋体" w:hAnsi="宋体" w:cs="宋体" w:eastAsia="宋体" w:hint="default"/>
                <w:sz w:val="18"/>
                <w:szCs w:val="18"/>
              </w:rPr>
            </w:pPr>
            <w:r>
              <w:rPr>
                <w:rFonts w:ascii="宋体" w:hAnsi="宋体" w:cs="宋体" w:eastAsia="宋体" w:hint="default"/>
                <w:spacing w:val="3"/>
                <w:sz w:val="18"/>
                <w:szCs w:val="18"/>
              </w:rPr>
              <w:t>符合公司整体战略布局，未对公司整体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left"/>
              <w:rPr>
                <w:rFonts w:ascii="宋体" w:hAnsi="宋体" w:cs="宋体" w:eastAsia="宋体" w:hint="default"/>
                <w:sz w:val="18"/>
                <w:szCs w:val="18"/>
              </w:rPr>
            </w:pPr>
            <w:r>
              <w:rPr>
                <w:rFonts w:ascii="宋体" w:hAnsi="宋体" w:cs="宋体" w:eastAsia="宋体" w:hint="default"/>
                <w:spacing w:val="3"/>
                <w:sz w:val="18"/>
                <w:szCs w:val="18"/>
              </w:rPr>
              <w:t>符合公司整体战略布局，未对公司整体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left"/>
              <w:rPr>
                <w:rFonts w:ascii="宋体" w:hAnsi="宋体" w:cs="宋体" w:eastAsia="宋体" w:hint="default"/>
                <w:sz w:val="18"/>
                <w:szCs w:val="18"/>
              </w:rPr>
            </w:pPr>
            <w:r>
              <w:rPr>
                <w:rFonts w:ascii="宋体" w:hAnsi="宋体" w:cs="宋体" w:eastAsia="宋体" w:hint="default"/>
                <w:spacing w:val="3"/>
                <w:sz w:val="18"/>
                <w:szCs w:val="18"/>
              </w:rPr>
              <w:t>符合公司整体战略布局，未对公司整体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生产经营和业绩造成较大影响。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上海墨哈汽车销售有限公司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bl>
    <w:p>
      <w:pPr>
        <w:spacing w:after="0" w:line="319" w:lineRule="auto"/>
        <w:jc w:val="left"/>
        <w:rPr>
          <w:rFonts w:ascii="宋体" w:hAnsi="宋体" w:cs="宋体" w:eastAsia="宋体" w:hint="default"/>
          <w:sz w:val="18"/>
          <w:szCs w:val="18"/>
        </w:rPr>
        <w:sectPr>
          <w:footerReference w:type="default" r:id="rId16"/>
          <w:pgSz w:w="11910" w:h="16840"/>
          <w:pgMar w:footer="979" w:header="747" w:top="1060" w:bottom="1160" w:left="980" w:right="0"/>
          <w:pgNumType w:start="3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9"/>
        <w:gridCol w:w="3190"/>
        <w:gridCol w:w="3192"/>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湖北海立美达电动车有限公司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符合公司整体战略布局，未对公司整体 生产经营和业绩造成较大影响。</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firstLine="1"/>
        <w:jc w:val="left"/>
      </w:pPr>
      <w:r>
        <w:rPr>
          <w:rFonts w:ascii="宋体" w:hAnsi="宋体" w:cs="宋体" w:eastAsia="宋体" w:hint="default"/>
          <w:b/>
          <w:bCs/>
        </w:rPr>
        <w:t>（一）未来发展的展望</w:t>
      </w:r>
      <w:r>
        <w:rPr>
          <w:rFonts w:ascii="宋体" w:hAnsi="宋体" w:cs="宋体" w:eastAsia="宋体" w:hint="default"/>
          <w:b/>
          <w:bCs/>
          <w:w w:val="99"/>
        </w:rPr>
        <w:t> </w:t>
      </w:r>
      <w:r>
        <w:rPr>
          <w:spacing w:val="-2"/>
        </w:rPr>
        <w:t>未来几年，公司将在持续夯实汽车及配件在智能制造板块主力地位的同时，仍将重点发展金融科技板块业务，结合产业</w:t>
      </w:r>
    </w:p>
    <w:p>
      <w:pPr>
        <w:pStyle w:val="BodyText"/>
        <w:spacing w:line="309" w:lineRule="auto" w:before="19"/>
        <w:ind w:right="1037"/>
        <w:jc w:val="left"/>
      </w:pPr>
      <w:r>
        <w:rPr>
          <w:spacing w:val="-2"/>
        </w:rPr>
        <w:t>政策方向，积极部署金融科技板块发展规划，确定以经营轻型化、运营平台化、业务特色化、管理数据化、服务智能化为发</w:t>
      </w:r>
      <w:r>
        <w:rPr>
          <w:spacing w:val="-68"/>
        </w:rPr>
        <w:t> </w:t>
      </w:r>
      <w:r>
        <w:rPr>
          <w:spacing w:val="-68"/>
        </w:rPr>
      </w:r>
      <w:r>
        <w:rPr/>
        <w:t>展战略，以科技赋能普惠金融为主线，发挥支付、信息、数据服务优势，打造</w:t>
      </w:r>
      <w:r>
        <w:rPr>
          <w:rFonts w:ascii="Times New Roman" w:hAnsi="Times New Roman" w:cs="Times New Roman" w:eastAsia="Times New Roman" w:hint="default"/>
        </w:rPr>
        <w:t>“</w:t>
      </w:r>
      <w:r>
        <w:rPr/>
        <w:t>海数据</w:t>
      </w:r>
      <w:r>
        <w:rPr>
          <w:spacing w:val="8"/>
        </w:rPr>
        <w:t> </w:t>
      </w:r>
      <w:r>
        <w:rPr/>
        <w:t>金赋能</w:t>
      </w:r>
      <w:r>
        <w:rPr>
          <w:spacing w:val="7"/>
        </w:rPr>
        <w:t> </w:t>
      </w:r>
      <w:r>
        <w:rPr/>
        <w:t>倍（贝）生活</w:t>
      </w:r>
      <w:r>
        <w:rPr>
          <w:rFonts w:ascii="Times New Roman" w:hAnsi="Times New Roman" w:cs="Times New Roman" w:eastAsia="Times New Roman" w:hint="default"/>
        </w:rPr>
        <w:t>”</w:t>
      </w:r>
      <w:r>
        <w:rPr/>
        <w:t>的商业模式。</w:t>
      </w:r>
      <w:r>
        <w:rPr>
          <w:spacing w:val="-86"/>
        </w:rPr>
        <w:t> </w:t>
      </w:r>
      <w:r>
        <w:rPr/>
        <w:t>聚焦</w:t>
      </w:r>
      <w:r>
        <w:rPr>
          <w:rFonts w:ascii="Times New Roman" w:hAnsi="Times New Roman" w:cs="Times New Roman" w:eastAsia="Times New Roman" w:hint="default"/>
        </w:rPr>
        <w:t>“</w:t>
      </w:r>
      <w:r>
        <w:rPr/>
        <w:t>交通出行、</w:t>
      </w:r>
      <w:r>
        <w:rPr>
          <w:rFonts w:ascii="Times New Roman" w:hAnsi="Times New Roman" w:cs="Times New Roman" w:eastAsia="Times New Roman" w:hint="default"/>
        </w:rPr>
        <w:t>B2B</w:t>
      </w:r>
      <w:r>
        <w:rPr/>
        <w:t>产业互联网、金融业、线下实体经济场景</w:t>
      </w:r>
      <w:r>
        <w:rPr>
          <w:rFonts w:ascii="Times New Roman" w:hAnsi="Times New Roman" w:cs="Times New Roman" w:eastAsia="Times New Roman" w:hint="default"/>
        </w:rPr>
        <w:t>”</w:t>
      </w:r>
      <w:r>
        <w:rPr/>
        <w:t>等领域，为客户提供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的定制化综合解决方案。</w:t>
      </w:r>
    </w:p>
    <w:p>
      <w:pPr>
        <w:pStyle w:val="Heading8"/>
        <w:spacing w:line="240" w:lineRule="auto" w:before="5"/>
        <w:ind w:left="515" w:right="0"/>
        <w:jc w:val="left"/>
        <w:rPr>
          <w:b w:val="0"/>
          <w:bCs w:val="0"/>
        </w:rPr>
      </w:pPr>
      <w:r>
        <w:rPr/>
        <w:t>（二）</w:t>
      </w:r>
      <w:r>
        <w:rPr>
          <w:rFonts w:ascii="Times New Roman" w:hAnsi="Times New Roman" w:cs="Times New Roman" w:eastAsia="Times New Roman" w:hint="default"/>
        </w:rPr>
        <w:t>2019</w:t>
      </w:r>
      <w:r>
        <w:rPr/>
        <w:t>年重点经营计划</w:t>
      </w:r>
      <w:r>
        <w:rPr>
          <w:b w:val="0"/>
          <w:bCs w:val="0"/>
        </w:rPr>
      </w:r>
    </w:p>
    <w:p>
      <w:pPr>
        <w:pStyle w:val="BodyText"/>
        <w:spacing w:line="240" w:lineRule="auto" w:before="63"/>
        <w:ind w:left="514" w:right="0"/>
        <w:jc w:val="left"/>
      </w:pPr>
      <w:r>
        <w:rPr>
          <w:rFonts w:ascii="Times New Roman" w:hAnsi="Times New Roman" w:cs="Times New Roman" w:eastAsia="Times New Roman" w:hint="default"/>
        </w:rPr>
        <w:t>2019</w:t>
      </w:r>
      <w:r>
        <w:rPr/>
        <w:t>年，公司重点经营计划如下：</w:t>
      </w:r>
    </w:p>
    <w:p>
      <w:pPr>
        <w:pStyle w:val="BodyText"/>
        <w:spacing w:line="300" w:lineRule="auto" w:before="63"/>
        <w:ind w:right="1129" w:firstLine="361"/>
        <w:jc w:val="both"/>
      </w:pPr>
      <w:r>
        <w:rPr>
          <w:rFonts w:ascii="Times New Roman" w:hAnsi="Times New Roman" w:cs="Times New Roman" w:eastAsia="Times New Roman" w:hint="default"/>
          <w:b/>
          <w:bCs/>
          <w:spacing w:val="-1"/>
        </w:rPr>
        <w:t>1</w:t>
      </w:r>
      <w:r>
        <w:rPr>
          <w:rFonts w:ascii="宋体" w:hAnsi="宋体" w:cs="宋体" w:eastAsia="宋体" w:hint="default"/>
          <w:b/>
          <w:bCs/>
          <w:spacing w:val="-1"/>
        </w:rPr>
        <w:t>、第三方支付：</w:t>
      </w:r>
      <w:r>
        <w:rPr>
          <w:rFonts w:ascii="宋体" w:hAnsi="宋体" w:cs="宋体" w:eastAsia="宋体" w:hint="default"/>
          <w:b/>
          <w:bCs/>
          <w:spacing w:val="-2"/>
        </w:rPr>
        <w:t> </w:t>
      </w:r>
      <w:r>
        <w:rPr>
          <w:rFonts w:ascii="Times New Roman" w:hAnsi="Times New Roman" w:cs="Times New Roman" w:eastAsia="Times New Roman" w:hint="default"/>
          <w:spacing w:val="-2"/>
        </w:rPr>
        <w:t>2019</w:t>
      </w:r>
      <w:r>
        <w:rPr>
          <w:spacing w:val="-2"/>
        </w:rPr>
        <w:t>年，将以支付为基础，通过为商户提供产品及服务获取价值，并成为公司主要流量来源；通过提</w:t>
      </w:r>
      <w:r>
        <w:rPr/>
        <w:t> </w:t>
      </w:r>
      <w:r>
        <w:rPr>
          <w:spacing w:val="-3"/>
        </w:rPr>
        <w:t>供以支付为基础的产品，同时利用集团化优势，与其他板块一起为商户提供金融、风控、营销等服务。聚焦</w:t>
      </w:r>
      <w:r>
        <w:rPr>
          <w:rFonts w:ascii="Times New Roman" w:hAnsi="Times New Roman" w:cs="Times New Roman" w:eastAsia="Times New Roman" w:hint="default"/>
          <w:spacing w:val="-3"/>
        </w:rPr>
        <w:t>“</w:t>
      </w:r>
      <w:r>
        <w:rPr>
          <w:spacing w:val="-3"/>
        </w:rPr>
        <w:t>交通出行、</w:t>
      </w:r>
      <w:r>
        <w:rPr>
          <w:rFonts w:ascii="Times New Roman" w:hAnsi="Times New Roman" w:cs="Times New Roman" w:eastAsia="Times New Roman" w:hint="default"/>
          <w:spacing w:val="-3"/>
        </w:rPr>
        <w:t>B2B</w:t>
      </w:r>
      <w:r>
        <w:rPr>
          <w:rFonts w:ascii="Times New Roman" w:hAnsi="Times New Roman" w:cs="Times New Roman" w:eastAsia="Times New Roman" w:hint="default"/>
          <w:spacing w:val="-12"/>
        </w:rPr>
        <w:t> </w:t>
      </w:r>
      <w:r>
        <w:rPr/>
        <w:t>产业互联网、金融业、线下实体经济场景</w:t>
      </w:r>
      <w:r>
        <w:rPr>
          <w:rFonts w:ascii="Times New Roman" w:hAnsi="Times New Roman" w:cs="Times New Roman" w:eastAsia="Times New Roman" w:hint="default"/>
        </w:rPr>
        <w:t>”</w:t>
      </w:r>
      <w:r>
        <w:rPr/>
        <w:t>等领域，为客户提供</w:t>
      </w:r>
      <w:r>
        <w:rPr>
          <w:rFonts w:ascii="Times New Roman" w:hAnsi="Times New Roman" w:cs="Times New Roman" w:eastAsia="Times New Roman" w:hint="default"/>
        </w:rPr>
        <w:t>“</w:t>
      </w:r>
      <w:r>
        <w:rPr/>
        <w:t>支付</w:t>
      </w:r>
      <w:r>
        <w:rPr>
          <w:rFonts w:ascii="Times New Roman" w:hAnsi="Times New Roman" w:cs="Times New Roman" w:eastAsia="Times New Roman" w:hint="default"/>
        </w:rPr>
        <w:t>+”</w:t>
      </w:r>
      <w:r>
        <w:rPr/>
        <w:t>的定制化综合解决方案。</w:t>
      </w:r>
    </w:p>
    <w:p>
      <w:pPr>
        <w:pStyle w:val="BodyText"/>
        <w:spacing w:line="312" w:lineRule="auto" w:before="13"/>
        <w:ind w:right="1032" w:firstLine="361"/>
        <w:jc w:val="left"/>
      </w:pPr>
      <w:r>
        <w:rPr>
          <w:rFonts w:ascii="Times New Roman" w:hAnsi="Times New Roman" w:cs="Times New Roman" w:eastAsia="Times New Roman" w:hint="default"/>
          <w:b/>
          <w:bCs/>
        </w:rPr>
        <w:t>2</w:t>
      </w:r>
      <w:r>
        <w:rPr>
          <w:rFonts w:ascii="宋体" w:hAnsi="宋体" w:cs="宋体" w:eastAsia="宋体" w:hint="default"/>
          <w:b/>
          <w:bCs/>
        </w:rPr>
        <w:t>、大数据及区块链应用：</w:t>
      </w:r>
      <w:r>
        <w:rPr/>
        <w:t>国家大力发展大数据应用，强化产业赋能，大数据服务产业前景广阔。随着合规要求趋紧， </w:t>
      </w:r>
      <w:r>
        <w:rPr>
          <w:spacing w:val="-2"/>
        </w:rPr>
        <w:t>单纯数据原市场呈现衰退趋势，以数据为基础，与业务深度结合的金融科技输出，成为未来的发展趋势。通过大数据和智能</w:t>
      </w:r>
      <w:r>
        <w:rPr>
          <w:spacing w:val="-66"/>
        </w:rPr>
        <w:t> </w:t>
      </w:r>
      <w:r>
        <w:rPr>
          <w:spacing w:val="-66"/>
        </w:rPr>
      </w:r>
      <w:r>
        <w:rPr/>
        <w:t>科技，构建面向</w:t>
      </w:r>
      <w:r>
        <w:rPr>
          <w:rFonts w:ascii="Times New Roman" w:hAnsi="Times New Roman" w:cs="Times New Roman" w:eastAsia="Times New Roman" w:hint="default"/>
        </w:rPr>
        <w:t>DT</w:t>
      </w:r>
      <w:r>
        <w:rPr/>
        <w:t>（</w:t>
      </w:r>
      <w:r>
        <w:rPr>
          <w:rFonts w:ascii="Times New Roman" w:hAnsi="Times New Roman" w:cs="Times New Roman" w:eastAsia="Times New Roman" w:hint="default"/>
        </w:rPr>
        <w:t>Data</w:t>
      </w:r>
      <w:r>
        <w:rPr>
          <w:rFonts w:ascii="Times New Roman" w:hAnsi="Times New Roman" w:cs="Times New Roman" w:eastAsia="Times New Roman" w:hint="default"/>
          <w:spacing w:val="35"/>
        </w:rPr>
        <w:t> </w:t>
      </w:r>
      <w:r>
        <w:rPr>
          <w:rFonts w:ascii="Times New Roman" w:hAnsi="Times New Roman" w:cs="Times New Roman" w:eastAsia="Times New Roman" w:hint="default"/>
        </w:rPr>
        <w:t>Technology</w:t>
      </w:r>
      <w:r>
        <w:rPr/>
        <w:t>）时代的开放式数字金融生态体系，是公司大数据板块未来的战略定位与愿景。</w:t>
      </w: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t>年，公司将通过集团系统架构重构、数据治理、数据服务能力建设以及建设开放式数据服务平台（前台、中台、基础平台）</w:t>
      </w:r>
      <w:r>
        <w:rPr>
          <w:spacing w:val="-85"/>
        </w:rPr>
        <w:t> </w:t>
      </w:r>
      <w:r>
        <w:rPr>
          <w:spacing w:val="-85"/>
        </w:rPr>
      </w:r>
      <w:r>
        <w:rPr>
          <w:spacing w:val="-2"/>
        </w:rPr>
        <w:t>等，进行数据综合治理，提升数据质量、孵化创新技术。在区块链方面，公司将继续加强对自有技术的储备及技术成果的保</w:t>
      </w:r>
      <w:r>
        <w:rPr>
          <w:spacing w:val="-66"/>
        </w:rPr>
        <w:t> </w:t>
      </w:r>
      <w:r>
        <w:rPr>
          <w:spacing w:val="-66"/>
        </w:rPr>
      </w:r>
      <w:r>
        <w:rPr/>
        <w:t>护，在产品规划、监管合规、技术创新、项目落地方面深耕细作。</w:t>
      </w:r>
    </w:p>
    <w:p>
      <w:pPr>
        <w:pStyle w:val="BodyText"/>
        <w:spacing w:line="300" w:lineRule="auto" w:before="22"/>
        <w:ind w:right="1132" w:firstLine="361"/>
        <w:jc w:val="both"/>
      </w:pPr>
      <w:r>
        <w:rPr>
          <w:rFonts w:ascii="Times New Roman" w:hAnsi="Times New Roman" w:cs="Times New Roman" w:eastAsia="Times New Roman" w:hint="default"/>
          <w:b/>
          <w:bCs/>
        </w:rPr>
        <w:t>3</w:t>
      </w:r>
      <w:r>
        <w:rPr>
          <w:rFonts w:ascii="宋体" w:hAnsi="宋体" w:cs="宋体" w:eastAsia="宋体" w:hint="default"/>
          <w:b/>
          <w:bCs/>
        </w:rPr>
        <w:t>、金融信息：</w:t>
      </w:r>
      <w:r>
        <w:rPr/>
        <w:t>近年来，随着移动互联网及移动应用的大力发展，行业短信三年连续增幅，市场容量仍有向上潜力，尤 </w:t>
      </w:r>
      <w:r>
        <w:rPr>
          <w:spacing w:val="-2"/>
        </w:rPr>
        <w:t>其是银行业短信作为连接线上线下沟通的重要桥梁，有着不可替代的重要作用。</w:t>
      </w:r>
      <w:r>
        <w:rPr>
          <w:rFonts w:ascii="Times New Roman" w:hAnsi="Times New Roman" w:cs="Times New Roman" w:eastAsia="Times New Roman" w:hint="default"/>
          <w:spacing w:val="-2"/>
        </w:rPr>
        <w:t>2019</w:t>
      </w:r>
      <w:r>
        <w:rPr>
          <w:spacing w:val="-2"/>
        </w:rPr>
        <w:t>年公司将结合整体战略，金融信息服务</w:t>
      </w:r>
      <w:r>
        <w:rPr>
          <w:spacing w:val="-61"/>
        </w:rPr>
        <w:t> </w:t>
      </w:r>
      <w:r>
        <w:rPr>
          <w:spacing w:val="-61"/>
        </w:rPr>
      </w:r>
      <w:r>
        <w:rPr>
          <w:spacing w:val="-3"/>
        </w:rPr>
        <w:t>以保</w:t>
      </w:r>
      <w:r>
        <w:rPr>
          <w:rFonts w:ascii="Times New Roman" w:hAnsi="Times New Roman" w:cs="Times New Roman" w:eastAsia="Times New Roman" w:hint="default"/>
          <w:spacing w:val="-3"/>
        </w:rPr>
        <w:t>MAS</w:t>
      </w:r>
      <w:r>
        <w:rPr>
          <w:spacing w:val="-3"/>
        </w:rPr>
        <w:t>、拓通道、抓客户为经营思路，以金融机构、类金融机构为拓展目标，依托大数据、云计算、物联网、人工智能、</w:t>
      </w:r>
      <w:r>
        <w:rPr>
          <w:spacing w:val="-46"/>
        </w:rPr>
        <w:t> </w:t>
      </w:r>
      <w:r>
        <w:rPr>
          <w:spacing w:val="-46"/>
        </w:rPr>
      </w:r>
      <w:r>
        <w:rPr/>
        <w:t>区块链等技术，为客户提供核心价值的沟通平台，满足客户的多样化需求，增强与客户的粘性。</w:t>
      </w:r>
    </w:p>
    <w:p>
      <w:pPr>
        <w:pStyle w:val="BodyText"/>
        <w:spacing w:line="309" w:lineRule="auto" w:before="31"/>
        <w:ind w:right="1132" w:firstLine="361"/>
        <w:jc w:val="both"/>
      </w:pPr>
      <w:r>
        <w:rPr>
          <w:rFonts w:ascii="Times New Roman" w:hAnsi="Times New Roman" w:cs="Times New Roman" w:eastAsia="Times New Roman" w:hint="default"/>
          <w:b/>
          <w:bCs/>
        </w:rPr>
        <w:t>4</w:t>
      </w:r>
      <w:r>
        <w:rPr>
          <w:rFonts w:ascii="宋体" w:hAnsi="宋体" w:cs="宋体" w:eastAsia="宋体" w:hint="default"/>
          <w:b/>
          <w:bCs/>
        </w:rPr>
        <w:t>、跨境支付：</w:t>
      </w:r>
      <w:r>
        <w:rPr/>
        <w:t>公司将以国内、国外金融监管为基础，顺应国家一带一路策略，通过产品创新、渠道创新、技术创新， </w:t>
      </w:r>
      <w:r>
        <w:rPr>
          <w:spacing w:val="-2"/>
        </w:rPr>
        <w:t>为国内外中小型跨境贸易企业提供跨境金融产品方案及其他跨境贸易增值服务，打造公司国际品牌，成为以中国跨境贸易为</w:t>
      </w:r>
      <w:r>
        <w:rPr>
          <w:spacing w:val="-64"/>
        </w:rPr>
        <w:t> </w:t>
      </w:r>
      <w:r>
        <w:rPr>
          <w:spacing w:val="-64"/>
        </w:rPr>
      </w:r>
      <w:r>
        <w:rPr/>
        <w:t>核心的跨境金融服务的一流企业。</w:t>
      </w:r>
    </w:p>
    <w:p>
      <w:pPr>
        <w:pStyle w:val="BodyText"/>
        <w:spacing w:line="300" w:lineRule="auto" w:before="24"/>
        <w:ind w:right="1131" w:firstLine="361"/>
        <w:jc w:val="both"/>
      </w:pPr>
      <w:r>
        <w:rPr>
          <w:rFonts w:ascii="Times New Roman" w:hAnsi="Times New Roman" w:cs="Times New Roman" w:eastAsia="Times New Roman" w:hint="default"/>
          <w:b/>
          <w:bCs/>
          <w:w w:val="95"/>
        </w:rPr>
        <w:t>5</w:t>
      </w:r>
      <w:r>
        <w:rPr>
          <w:rFonts w:ascii="宋体" w:hAnsi="宋体" w:cs="宋体" w:eastAsia="宋体" w:hint="default"/>
          <w:b/>
          <w:bCs/>
          <w:w w:val="95"/>
        </w:rPr>
        <w:t>、完善金融生态体系，拓展金融赋能服务业务：</w:t>
      </w:r>
      <w:r>
        <w:rPr>
          <w:rFonts w:ascii="Times New Roman" w:hAnsi="Times New Roman" w:cs="Times New Roman" w:eastAsia="Times New Roman" w:hint="default"/>
          <w:w w:val="95"/>
        </w:rPr>
        <w:t>2019</w:t>
      </w:r>
      <w:r>
        <w:rPr>
          <w:w w:val="95"/>
        </w:rPr>
        <w:t>年公司金融科技板块确定了未来的发展方向和商业模式，以科技</w:t>
      </w:r>
      <w:r>
        <w:rPr>
          <w:spacing w:val="5"/>
          <w:w w:val="95"/>
        </w:rPr>
        <w:t> </w:t>
      </w:r>
      <w:r>
        <w:rPr>
          <w:spacing w:val="5"/>
          <w:w w:val="95"/>
        </w:rPr>
      </w:r>
      <w:r>
        <w:rPr/>
        <w:t>赋能普惠金融为主线，发挥支付、信息、数据服务优势，打造</w:t>
      </w:r>
      <w:r>
        <w:rPr>
          <w:rFonts w:ascii="Times New Roman" w:hAnsi="Times New Roman" w:cs="Times New Roman" w:eastAsia="Times New Roman" w:hint="default"/>
        </w:rPr>
        <w:t>“</w:t>
      </w:r>
      <w:r>
        <w:rPr/>
        <w:t>海数据</w:t>
      </w:r>
      <w:r>
        <w:rPr>
          <w:spacing w:val="12"/>
        </w:rPr>
        <w:t> </w:t>
      </w:r>
      <w:r>
        <w:rPr/>
        <w:t>金赋能</w:t>
      </w:r>
      <w:r>
        <w:rPr>
          <w:spacing w:val="10"/>
        </w:rPr>
        <w:t> </w:t>
      </w:r>
      <w:r>
        <w:rPr/>
        <w:t>倍（贝）生活</w:t>
      </w:r>
      <w:r>
        <w:rPr>
          <w:rFonts w:ascii="Times New Roman" w:hAnsi="Times New Roman" w:cs="Times New Roman" w:eastAsia="Times New Roman" w:hint="default"/>
        </w:rPr>
        <w:t>”</w:t>
      </w:r>
      <w:r>
        <w:rPr/>
        <w:t>的商业模式。未来公司以</w:t>
      </w:r>
      <w:r>
        <w:rPr>
          <w:rFonts w:ascii="Times New Roman" w:hAnsi="Times New Roman" w:cs="Times New Roman" w:eastAsia="Times New Roman" w:hint="default"/>
        </w:rPr>
        <w:t>“</w:t>
      </w:r>
      <w:r>
        <w:rPr/>
        <w:t>海</w:t>
      </w:r>
      <w:r>
        <w:rPr>
          <w:spacing w:val="-85"/>
        </w:rPr>
        <w:t> </w:t>
      </w:r>
      <w:r>
        <w:rPr/>
        <w:t>金贝</w:t>
      </w:r>
      <w:r>
        <w:rPr>
          <w:rFonts w:ascii="Times New Roman" w:hAnsi="Times New Roman" w:cs="Times New Roman" w:eastAsia="Times New Roman" w:hint="default"/>
        </w:rPr>
        <w:t>”</w:t>
      </w:r>
      <w:r>
        <w:rPr/>
        <w:t>智能优选平台为对外门户和业务载体，以人工智能、区块链、云计算、大数据为工具，进行全生态布局，深耕金融科</w:t>
      </w:r>
      <w:r>
        <w:rPr>
          <w:spacing w:val="-75"/>
        </w:rPr>
        <w:t> </w:t>
      </w:r>
      <w:r>
        <w:rPr>
          <w:spacing w:val="-75"/>
        </w:rPr>
      </w:r>
      <w:r>
        <w:rPr/>
        <w:t>技</w:t>
      </w:r>
      <w:r>
        <w:rPr>
          <w:rFonts w:ascii="Times New Roman" w:hAnsi="Times New Roman" w:cs="Times New Roman" w:eastAsia="Times New Roman" w:hint="default"/>
        </w:rPr>
        <w:t>Fintech</w:t>
      </w:r>
      <w:r>
        <w:rPr/>
        <w:t>，为金融机构与产业升级强力赋能。</w:t>
      </w:r>
    </w:p>
    <w:p>
      <w:pPr>
        <w:pStyle w:val="BodyText"/>
        <w:spacing w:line="309" w:lineRule="auto" w:before="13"/>
        <w:ind w:right="1132" w:firstLine="361"/>
        <w:jc w:val="both"/>
      </w:pPr>
      <w:r>
        <w:rPr>
          <w:rFonts w:ascii="Times New Roman" w:hAnsi="Times New Roman" w:cs="Times New Roman" w:eastAsia="Times New Roman" w:hint="default"/>
          <w:b/>
          <w:bCs/>
          <w:spacing w:val="-4"/>
        </w:rPr>
        <w:t>6</w:t>
      </w:r>
      <w:r>
        <w:rPr>
          <w:rFonts w:ascii="宋体" w:hAnsi="宋体" w:cs="宋体" w:eastAsia="宋体" w:hint="default"/>
          <w:b/>
          <w:bCs/>
          <w:spacing w:val="-4"/>
        </w:rPr>
        <w:t>、继续深化乘用车配件产业发展：</w:t>
      </w:r>
      <w:r>
        <w:rPr>
          <w:rFonts w:ascii="Times New Roman" w:hAnsi="Times New Roman" w:cs="Times New Roman" w:eastAsia="Times New Roman" w:hint="default"/>
          <w:spacing w:val="-4"/>
        </w:rPr>
        <w:t>2019</w:t>
      </w:r>
      <w:r>
        <w:rPr>
          <w:spacing w:val="-4"/>
        </w:rPr>
        <w:t>年，公司在智能制造板块将全面推行经营体运营模式，内部深度挖掘管理优势，</w:t>
      </w:r>
      <w:r>
        <w:rPr/>
        <w:t> </w:t>
      </w:r>
      <w:r>
        <w:rPr>
          <w:spacing w:val="-2"/>
        </w:rPr>
        <w:t>提高全员主动性、积极性，同时打造一流乘用车技术研发中心、积极布局智能制造工厂，进一步提升公司核心竞争力，快速</w:t>
      </w:r>
      <w:r>
        <w:rPr>
          <w:spacing w:val="-66"/>
        </w:rPr>
        <w:t> </w:t>
      </w:r>
      <w:r>
        <w:rPr>
          <w:spacing w:val="-66"/>
        </w:rPr>
      </w:r>
      <w:r>
        <w:rPr/>
        <w:t>进军国内外中高端汽车厂商。</w:t>
      </w:r>
    </w:p>
    <w:p>
      <w:pPr>
        <w:pStyle w:val="BodyText"/>
        <w:spacing w:line="309" w:lineRule="auto" w:before="24"/>
        <w:ind w:right="1132" w:firstLine="439"/>
        <w:jc w:val="both"/>
      </w:pPr>
      <w:r>
        <w:rPr>
          <w:rFonts w:ascii="Times New Roman" w:hAnsi="Times New Roman" w:cs="Times New Roman" w:eastAsia="Times New Roman" w:hint="default"/>
          <w:b/>
          <w:bCs/>
          <w:spacing w:val="-5"/>
        </w:rPr>
        <w:t>7</w:t>
      </w:r>
      <w:r>
        <w:rPr>
          <w:rFonts w:ascii="宋体" w:hAnsi="宋体" w:cs="宋体" w:eastAsia="宋体" w:hint="default"/>
          <w:b/>
          <w:bCs/>
          <w:spacing w:val="-5"/>
        </w:rPr>
        <w:t>、持续优化原有产品结构，提升产品竞争力：</w:t>
      </w:r>
      <w:r>
        <w:rPr>
          <w:rFonts w:ascii="Times New Roman" w:hAnsi="Times New Roman" w:cs="Times New Roman" w:eastAsia="Times New Roman" w:hint="default"/>
          <w:spacing w:val="-5"/>
        </w:rPr>
        <w:t>2019</w:t>
      </w:r>
      <w:r>
        <w:rPr>
          <w:spacing w:val="-5"/>
        </w:rPr>
        <w:t>年，公司在聚焦技术含量高、产品附加值高的汽车及汽车总成业务，</w:t>
      </w:r>
      <w:r>
        <w:rPr/>
        <w:t> </w:t>
      </w:r>
      <w:r>
        <w:rPr>
          <w:spacing w:val="-2"/>
        </w:rPr>
        <w:t>同时加大对轻量化产品及汽车功能性电机的研发、生产及销售力度，进一步优化和丰富产品结构，逐步提升高附加值产品的</w:t>
      </w:r>
      <w:r>
        <w:rPr>
          <w:spacing w:val="-66"/>
        </w:rPr>
        <w:t> </w:t>
      </w:r>
      <w:r>
        <w:rPr>
          <w:spacing w:val="-66"/>
        </w:rPr>
      </w:r>
      <w:r>
        <w:rPr/>
        <w:t>比重，提高产品的竞争力。</w:t>
      </w:r>
    </w:p>
    <w:p>
      <w:pPr>
        <w:spacing w:before="24"/>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、继续加强内部控制建设，提升公司抗风险能力：</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年，公司继续按照上市公司内部控制的要求，由公司内控审计</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部门牵头，优化更加适合公司管理模式的内部控制体系，不断完善公司内部风险管控制度；推进全员内部控制培训工作的持</w:t>
      </w:r>
      <w:r>
        <w:rPr>
          <w:spacing w:val="-66"/>
        </w:rPr>
        <w:t> </w:t>
      </w:r>
      <w:r>
        <w:rPr>
          <w:spacing w:val="-66"/>
        </w:rPr>
      </w:r>
      <w:r>
        <w:rPr>
          <w:spacing w:val="-2"/>
        </w:rPr>
        <w:t>续开展，以达到公司相关部门和人员做到学习、吸收、学以致用、防范风险的目的。业务部门作为风险的发生部门，要通过</w:t>
      </w:r>
      <w:r>
        <w:rPr>
          <w:spacing w:val="-67"/>
        </w:rPr>
        <w:t> </w:t>
      </w:r>
      <w:r>
        <w:rPr>
          <w:spacing w:val="-67"/>
        </w:rPr>
      </w:r>
      <w:r>
        <w:rPr>
          <w:spacing w:val="-2"/>
        </w:rPr>
        <w:t>学习、培训提升全员风险意识；法务部门作为风险管控部门，将风险防范放在首位，同时通过对业务的审核全力做好公司风</w:t>
      </w:r>
      <w:r>
        <w:rPr>
          <w:spacing w:val="-66"/>
        </w:rPr>
        <w:t> </w:t>
      </w:r>
      <w:r>
        <w:rPr>
          <w:spacing w:val="-66"/>
        </w:rPr>
      </w:r>
      <w:r>
        <w:rPr>
          <w:spacing w:val="-2"/>
        </w:rPr>
        <w:t>险管控的预防工作；公司财务部门作为风险管控的闸口部门，要根据内控制度对公司发生的每一笔业务做好风险控制的把关</w:t>
      </w:r>
      <w:r>
        <w:rPr>
          <w:spacing w:val="-64"/>
        </w:rPr>
        <w:t> </w:t>
      </w:r>
      <w:r>
        <w:rPr>
          <w:spacing w:val="-64"/>
        </w:rPr>
      </w:r>
      <w:r>
        <w:rPr>
          <w:spacing w:val="-2"/>
        </w:rPr>
        <w:t>工作。通过问责、管理及以上各环节的衔接以及公司全体员工的共同努力，将公司的各类风险控制在最小损失范围内，提升</w:t>
      </w:r>
      <w:r>
        <w:rPr>
          <w:spacing w:val="-66"/>
        </w:rPr>
        <w:t> </w:t>
      </w:r>
      <w:r>
        <w:rPr>
          <w:spacing w:val="-66"/>
        </w:rPr>
      </w:r>
      <w:r>
        <w:rPr/>
        <w:t>公司整体抗风险能力。</w:t>
      </w:r>
    </w:p>
    <w:p>
      <w:pPr>
        <w:pStyle w:val="BodyText"/>
        <w:spacing w:line="300" w:lineRule="auto" w:before="19"/>
        <w:ind w:right="1131" w:firstLine="361"/>
        <w:jc w:val="both"/>
      </w:pPr>
      <w:r>
        <w:rPr>
          <w:rFonts w:ascii="Times New Roman" w:hAnsi="Times New Roman" w:cs="Times New Roman" w:eastAsia="Times New Roman" w:hint="default"/>
          <w:b/>
          <w:bCs/>
        </w:rPr>
        <w:t>9</w:t>
      </w:r>
      <w:r>
        <w:rPr>
          <w:rFonts w:ascii="宋体" w:hAnsi="宋体" w:cs="宋体" w:eastAsia="宋体" w:hint="default"/>
          <w:b/>
          <w:bCs/>
        </w:rPr>
        <w:t>、积极布局智能化工厂：</w:t>
      </w:r>
      <w:r>
        <w:rPr>
          <w:rFonts w:ascii="Times New Roman" w:hAnsi="Times New Roman" w:cs="Times New Roman" w:eastAsia="Times New Roman" w:hint="default"/>
        </w:rPr>
        <w:t>2019</w:t>
      </w:r>
      <w:r>
        <w:rPr/>
        <w:t>年，公司继续推进智能化工厂的建设，引进全自动生产线的同时信息化升级，打造智能 化生产制造，以降低人工成本，提高生产效率。</w:t>
      </w:r>
    </w:p>
    <w:p>
      <w:pPr>
        <w:pStyle w:val="BodyText"/>
        <w:spacing w:line="312" w:lineRule="auto" w:before="31"/>
        <w:ind w:right="1130" w:firstLine="361"/>
        <w:jc w:val="both"/>
      </w:pPr>
      <w:r>
        <w:rPr>
          <w:rFonts w:ascii="Times New Roman" w:hAnsi="Times New Roman" w:cs="Times New Roman" w:eastAsia="Times New Roman" w:hint="default"/>
          <w:b/>
          <w:bCs/>
          <w:spacing w:val="-2"/>
        </w:rPr>
        <w:t>10</w:t>
      </w:r>
      <w:r>
        <w:rPr>
          <w:rFonts w:ascii="宋体" w:hAnsi="宋体" w:cs="宋体" w:eastAsia="宋体" w:hint="default"/>
          <w:b/>
          <w:bCs/>
          <w:spacing w:val="-2"/>
        </w:rPr>
        <w:t>、开展全方位的资金运营，实现产出最大化：</w:t>
      </w:r>
      <w:r>
        <w:rPr>
          <w:rFonts w:ascii="Times New Roman" w:hAnsi="Times New Roman" w:cs="Times New Roman" w:eastAsia="Times New Roman" w:hint="default"/>
          <w:spacing w:val="-2"/>
        </w:rPr>
        <w:t>2019</w:t>
      </w:r>
      <w:r>
        <w:rPr>
          <w:spacing w:val="-2"/>
        </w:rPr>
        <w:t>年，公司将根据董事会制定的发展战略规划，结合业务发展需要，</w:t>
      </w:r>
      <w:r>
        <w:rPr/>
        <w:t> </w:t>
      </w:r>
      <w:r>
        <w:rPr>
          <w:spacing w:val="-2"/>
        </w:rPr>
        <w:t>在考虑资金成本、资本结构的前提下，做好资金预算，合理配置资金资源，通过事前筹划减少资金沉淀；通过采取多种融资</w:t>
      </w:r>
      <w:r>
        <w:rPr>
          <w:spacing w:val="-66"/>
        </w:rPr>
        <w:t> </w:t>
      </w:r>
      <w:r>
        <w:rPr>
          <w:spacing w:val="-66"/>
        </w:rPr>
      </w:r>
      <w:r>
        <w:rPr>
          <w:spacing w:val="-2"/>
        </w:rPr>
        <w:t>方式筹集资金，降低资金成本，提高资金运用效率，力争实现资金投入产出效益最大化，推进公司业务健康、持续、稳健发</w:t>
      </w:r>
      <w:r>
        <w:rPr>
          <w:spacing w:val="-68"/>
        </w:rPr>
        <w:t> </w:t>
      </w:r>
      <w:r>
        <w:rPr>
          <w:spacing w:val="-68"/>
        </w:rPr>
      </w:r>
      <w:r>
        <w:rPr/>
        <w:t>展。</w:t>
      </w:r>
    </w:p>
    <w:p>
      <w:pPr>
        <w:spacing w:line="240" w:lineRule="auto" w:before="0"/>
        <w:rPr>
          <w:rFonts w:ascii="宋体" w:hAnsi="宋体" w:cs="宋体" w:eastAsia="宋体" w:hint="default"/>
          <w:sz w:val="21"/>
          <w:szCs w:val="21"/>
        </w:rPr>
      </w:pPr>
    </w:p>
    <w:p>
      <w:pPr>
        <w:pStyle w:val="Heading4"/>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276"/>
        <w:gridCol w:w="5600"/>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9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、中国政府对比特币和区块链的态度是什么？谈谈对区块链未来发展 趋势的看法。</w:t>
            </w:r>
            <w:r>
              <w:rPr>
                <w:rFonts w:ascii="Times New Roman" w:hAnsi="Times New Roman" w:cs="Times New Roman" w:eastAsia="Times New Roman" w:hint="default"/>
                <w:sz w:val="18"/>
                <w:szCs w:val="18"/>
              </w:rPr>
              <w:t>2</w:t>
            </w:r>
            <w:r>
              <w:rPr>
                <w:rFonts w:ascii="宋体" w:hAnsi="宋体" w:cs="宋体" w:eastAsia="宋体" w:hint="default"/>
                <w:sz w:val="18"/>
                <w:szCs w:val="18"/>
              </w:rPr>
              <w:t>、目前联动优势运用区块链技术实现收入的情况介绍， 与主营业务的关系又是怎么样的？</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、公司跨境业务收入占比如何？公 司在该业务领域实施的区块链项目带来的收入增长率如何？</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、公司跨 境支付业务中使用区块链技术，中国政府是否支持？</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、公司区块链研 究在国内的落地情况简要介绍。</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本公司严格按照公司《章程》和《未来分红回报规划（</w:t>
      </w:r>
      <w:r>
        <w:rPr>
          <w:rFonts w:ascii="Times New Roman" w:hAnsi="Times New Roman" w:cs="Times New Roman" w:eastAsia="Times New Roman" w:hint="default"/>
        </w:rPr>
        <w:t>2016-2018</w:t>
      </w:r>
      <w:r>
        <w:rPr/>
        <w:t>年）》的相关要求进行利润分配。</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4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96" w:type="dxa"/>
            <w:vMerge w:val="restart"/>
            <w:tcBorders>
              <w:top w:val="single" w:sz="4" w:space="0" w:color="000000"/>
              <w:left w:val="single" w:sz="9" w:space="0" w:color="D2D2D2"/>
              <w:right w:val="single" w:sz="4" w:space="0" w:color="000000"/>
            </w:tcBorders>
          </w:tcPr>
          <w:p>
            <w:pPr>
              <w:pStyle w:val="TableParagraph"/>
              <w:spacing w:line="300" w:lineRule="auto" w:before="51"/>
              <w:ind w:left="28" w:right="20"/>
              <w:jc w:val="both"/>
              <w:rPr>
                <w:rFonts w:ascii="宋体" w:hAnsi="宋体" w:cs="宋体" w:eastAsia="宋体" w:hint="default"/>
                <w:sz w:val="18"/>
                <w:szCs w:val="18"/>
              </w:rPr>
            </w:pPr>
            <w:r>
              <w:rPr>
                <w:rFonts w:ascii="宋体" w:hAnsi="宋体" w:cs="宋体" w:eastAsia="宋体" w:hint="default"/>
                <w:sz w:val="18"/>
                <w:szCs w:val="18"/>
              </w:rPr>
              <w:t>公司制定的《未来分红回报规划（</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年）》已经公司</w:t>
            </w:r>
            <w:r>
              <w:rPr>
                <w:rFonts w:ascii="宋体" w:hAnsi="宋体" w:cs="宋体" w:eastAsia="宋体" w:hint="default"/>
                <w:sz w:val="18"/>
                <w:szCs w:val="18"/>
              </w:rPr>
              <w:t> 第三届董事会第四次会议审议并经公司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年第一次临时股 东大会审议批准并生效。</w:t>
            </w:r>
          </w:p>
        </w:tc>
      </w:tr>
      <w:tr>
        <w:trPr>
          <w:trHeight w:val="704" w:hRule="exact"/>
        </w:trPr>
        <w:tc>
          <w:tcPr>
            <w:tcW w:w="4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vMerge/>
            <w:tcBorders>
              <w:left w:val="single" w:sz="9" w:space="0" w:color="D2D2D2"/>
              <w:right w:val="single" w:sz="4" w:space="0" w:color="000000"/>
            </w:tcBorders>
          </w:tcPr>
          <w:p>
            <w:pPr/>
          </w:p>
        </w:tc>
      </w:tr>
      <w:tr>
        <w:trPr>
          <w:trHeight w:val="161" w:hRule="exact"/>
        </w:trPr>
        <w:tc>
          <w:tcPr>
            <w:tcW w:w="4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96" w:type="dxa"/>
            <w:vMerge/>
            <w:tcBorders>
              <w:left w:val="single" w:sz="9" w:space="0" w:color="D2D2D2"/>
              <w:bottom w:val="single" w:sz="4" w:space="0" w:color="000000"/>
              <w:right w:val="single" w:sz="4" w:space="0" w:color="000000"/>
            </w:tcBorders>
          </w:tcPr>
          <w:p>
            <w:pP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2" w:lineRule="auto" w:before="102"/>
        <w:ind w:right="0" w:firstLine="36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年度，公司拟以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1,247,335,239</w:t>
      </w:r>
      <w:r>
        <w:rPr>
          <w:spacing w:val="-1"/>
        </w:rPr>
        <w:t>股扣除利润分配预案作出之日公司回购专户</w:t>
      </w:r>
      <w:r>
        <w:rPr>
          <w:rFonts w:ascii="Times New Roman" w:hAnsi="Times New Roman" w:cs="Times New Roman" w:eastAsia="Times New Roman" w:hint="default"/>
          <w:spacing w:val="-1"/>
        </w:rPr>
        <w:t>38,019,094</w:t>
      </w:r>
      <w:r>
        <w:rPr>
          <w:spacing w:val="-1"/>
        </w:rPr>
        <w:t>股</w:t>
      </w:r>
      <w:r>
        <w:rPr/>
        <w:t> 股份后的</w:t>
      </w:r>
      <w:r>
        <w:rPr>
          <w:rFonts w:ascii="Times New Roman" w:hAnsi="Times New Roman" w:cs="Times New Roman" w:eastAsia="Times New Roman" w:hint="default"/>
        </w:rPr>
        <w:t>1,209,316,145</w:t>
      </w:r>
      <w:r>
        <w:rPr/>
        <w:t>股为基数，以未分配利润向全体股东每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w:t>
      </w:r>
    </w:p>
    <w:p>
      <w:pPr>
        <w:pStyle w:val="BodyText"/>
        <w:spacing w:line="302" w:lineRule="auto" w:before="49"/>
        <w:ind w:right="1167"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1,251,350,095</w:t>
      </w:r>
      <w:r>
        <w:rPr/>
        <w:t>股扣除本预案作出之日公司回购专户</w:t>
      </w:r>
      <w:r>
        <w:rPr>
          <w:rFonts w:ascii="Times New Roman" w:hAnsi="Times New Roman" w:cs="Times New Roman" w:eastAsia="Times New Roman" w:hint="default"/>
        </w:rPr>
        <w:t>4,179,700</w:t>
      </w:r>
      <w:r>
        <w:rPr/>
        <w:t>股股份 后的</w:t>
      </w:r>
      <w:r>
        <w:rPr>
          <w:rFonts w:ascii="Times New Roman" w:hAnsi="Times New Roman" w:cs="Times New Roman" w:eastAsia="Times New Roman" w:hint="default"/>
        </w:rPr>
        <w:t>1,247,170,395</w:t>
      </w:r>
      <w:r>
        <w:rPr/>
        <w:t>股为基数，以未分配利润向全体股东每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w:t>
      </w:r>
    </w:p>
    <w:p>
      <w:pPr>
        <w:pStyle w:val="BodyText"/>
        <w:spacing w:line="319" w:lineRule="auto" w:before="50"/>
        <w:ind w:right="1123"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年度，公司以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568,795,498</w:t>
      </w:r>
      <w:r>
        <w:rPr>
          <w:spacing w:val="-2"/>
        </w:rPr>
        <w:t>股为基数，以未分配利润向全体股东每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0.50</w:t>
      </w:r>
      <w:r>
        <w:rPr>
          <w:rFonts w:ascii="Times New Roman" w:hAnsi="Times New Roman" w:cs="Times New Roman" w:eastAsia="Times New Roman" w:hint="default"/>
        </w:rPr>
        <w:t> </w:t>
      </w:r>
      <w:r>
        <w:rPr/>
        <w:t>元（含税），同时以股本溢价形成的资本公积向全体股东每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 公司近三年（包括本报告期）普通股现金分红情况表</w:t>
      </w:r>
    </w:p>
    <w:p>
      <w:pPr>
        <w:pStyle w:val="BodyText"/>
        <w:spacing w:line="240" w:lineRule="auto" w:before="5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6"/>
        <w:gridCol w:w="1185"/>
        <w:gridCol w:w="1207"/>
        <w:gridCol w:w="1184"/>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60,465,807.25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133,239,222.45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514,410,942.48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386.08%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574,876,749.73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431.46%</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62,358,519.75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413,945,815.86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62,358,519.75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15.06%</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28,439,774.90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232,922,577.80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28,439,774.90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12.21%</w:t>
            </w:r>
          </w:p>
        </w:tc>
      </w:tr>
    </w:tbl>
    <w:p>
      <w:pPr>
        <w:pStyle w:val="BodyText"/>
        <w:spacing w:line="240" w:lineRule="auto" w:before="51"/>
        <w:ind w:right="0"/>
        <w:jc w:val="left"/>
      </w:pPr>
      <w:r>
        <w:rPr/>
        <w:t>公司报告期内盈利且母公司可供普通股股东分配利润为正但未提出普通股现金红利分配预案</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1,209,316,145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60,465,807.25</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514,410,942.48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574,876,749.73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736,545,115.99</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78.05%</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1,247,335,239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股扣除本预案作出之日公司回购专户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38,019,094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股股份后的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1,209,316,145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为基</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数，以未分配利润向全体股东每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60,465,807.25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7"/>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7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关于股份锁 定期的承诺 函</w:t>
            </w:r>
          </w:p>
        </w:tc>
        <w:tc>
          <w:tcPr>
            <w:tcW w:w="1127"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、因本次交 易取得的海 立美达的股 </w:t>
            </w:r>
            <w:r>
              <w:rPr>
                <w:rFonts w:ascii="宋体" w:hAnsi="宋体" w:cs="宋体" w:eastAsia="宋体" w:hint="default"/>
                <w:spacing w:val="-2"/>
                <w:sz w:val="18"/>
                <w:szCs w:val="18"/>
              </w:rPr>
              <w:t>份，自股份上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07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pacing w:val="-15"/>
                <w:sz w:val="18"/>
                <w:szCs w:val="18"/>
              </w:rPr>
              <w:t>协议》，为保</w:t>
            </w:r>
            <w:r>
              <w:rPr>
                <w:rFonts w:ascii="宋体" w:hAnsi="宋体" w:cs="宋体" w:eastAsia="宋体" w:hint="default"/>
                <w:sz w:val="18"/>
                <w:szCs w:val="18"/>
              </w:rPr>
              <w:t> 障业绩补偿 承诺的履行， 自股份上市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月后，将根据 业绩承诺完 成情况承诺 相应数量的 股份在业绩 承诺完成前 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 前运营的达 拉苏通信账 户计费服务 平台将于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日前终止 全部为第三 方提供通信 账户计费服 务业务。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本公司在作 为海立美达 的股东期间， 除为本公司 自有产品提 供通信账户 计费服务外， 本公司及本 公司控制的 其他企业将 不直接或间 接从事任何 与海立美达 及其下属控 股企业相同 或相似且构 成或可能构 成竞争关系 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本公司若违 反上述承诺，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将承担因此 而给海立美 达及其下属 控股企业造 成的一切损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银联商务、博</w:t>
            </w:r>
            <w:r>
              <w:rPr>
                <w:rFonts w:ascii="宋体" w:hAnsi="宋体" w:cs="宋体" w:eastAsia="宋体" w:hint="default"/>
                <w:sz w:val="18"/>
                <w:szCs w:val="18"/>
              </w:rPr>
              <w:t> 升优势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规范关联交 易的承诺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 完成后，本公 司及本公司 控制的企业 将尽量减少 并规范与海 立美达的关 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 本次交易完 成后，对于无 法避免或有 合理原因而 发生的与海 立美达之间 的关联交易， 本公司及本 公司控制的 企业将遵循 市场原则以 公允、合理的 市场价格进 行交易，根据 有关法律、法 规及规范性 文件的规定 履行关联交 易决策程序， 依法履行信 息披露义务 和办理有关 报批程序，不 利用股东地 位损害海立 美达及其他 股东的合法 权益。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海立控股及 其一致行动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关于不放弃 上市公司控</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、自本次交 易完成之日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1.909981pt;width:54.65pt;height:18.8pt;mso-position-horizontal-relative:page;mso-position-vertical-relative:page;z-index:-1708888" coordorigin="7353,1438" coordsize="1093,376">
            <v:group style="position:absolute;left:7365;top:1450;width:2;height:353" coordorigin="7365,1450" coordsize="2,353">
              <v:shape style="position:absolute;left:7365;top:1450;width:2;height:353" coordorigin="7365,1450" coordsize="0,353" path="m7365,1450l7365,1802e" filled="false" stroked="true" strokeweight="1.140pt" strokecolor="#ffffff">
                <v:path arrowok="t"/>
              </v:shape>
            </v:group>
            <v:group style="position:absolute;left:7376;top:1450;width:1070;height:353" coordorigin="7376,1450" coordsize="1070,353">
              <v:shape style="position:absolute;left:7376;top:1450;width:1070;height:353" coordorigin="7376,1450" coordsize="1070,353" path="m7376,1802l8446,1802,8446,1450,7376,1450,7376,18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人、实际控制</w:t>
            </w:r>
            <w:r>
              <w:rPr>
                <w:rFonts w:ascii="宋体" w:hAnsi="宋体" w:cs="宋体" w:eastAsia="宋体" w:hint="default"/>
                <w:sz w:val="18"/>
                <w:szCs w:val="18"/>
              </w:rPr>
              <w:t> 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制权的相关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个月内，</w:t>
            </w:r>
            <w:r>
              <w:rPr>
                <w:rFonts w:ascii="宋体" w:hAnsi="宋体" w:cs="宋体" w:eastAsia="宋体" w:hint="default"/>
                <w:spacing w:val="-33"/>
                <w:sz w:val="18"/>
                <w:szCs w:val="18"/>
              </w:rPr>
              <w:t> </w:t>
            </w:r>
            <w:r>
              <w:rPr>
                <w:rFonts w:ascii="宋体" w:hAnsi="宋体" w:cs="宋体" w:eastAsia="宋体" w:hint="default"/>
                <w:sz w:val="18"/>
                <w:szCs w:val="18"/>
              </w:rPr>
              <w:t>承诺人不会</w:t>
            </w:r>
            <w:r>
              <w:rPr>
                <w:rFonts w:ascii="宋体" w:hAnsi="宋体" w:cs="宋体" w:eastAsia="宋体" w:hint="default"/>
                <w:sz w:val="18"/>
                <w:szCs w:val="18"/>
              </w:rPr>
              <w:t> 主动放弃承 诺人在海立 美达董事会 及股东大会 的表决权，也 不会协助任 何其他方谋 求海立美达 控股股东及 实际控制人 的地位。</w:t>
            </w:r>
            <w:r>
              <w:rPr>
                <w:rFonts w:ascii="Times New Roman" w:hAnsi="Times New Roman" w:cs="Times New Roman" w:eastAsia="Times New Roman" w:hint="default"/>
                <w:sz w:val="18"/>
                <w:szCs w:val="18"/>
              </w:rPr>
              <w:t>2</w:t>
            </w:r>
            <w:r>
              <w:rPr>
                <w:rFonts w:ascii="宋体" w:hAnsi="宋体" w:cs="宋体" w:eastAsia="宋体" w:hint="default"/>
                <w:sz w:val="18"/>
                <w:szCs w:val="18"/>
              </w:rPr>
              <w:t>、 自本次交易 完成之日起</w:t>
            </w:r>
          </w:p>
          <w:p>
            <w:pPr>
              <w:pStyle w:val="TableParagraph"/>
              <w:spacing w:line="316" w:lineRule="auto" w:before="2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个月内，承</w:t>
            </w:r>
            <w:r>
              <w:rPr>
                <w:rFonts w:ascii="宋体" w:hAnsi="宋体" w:cs="宋体" w:eastAsia="宋体" w:hint="default"/>
                <w:sz w:val="18"/>
                <w:szCs w:val="18"/>
              </w:rPr>
              <w:t> 诺人将根据 资本市场情 况与实际需 </w:t>
            </w:r>
            <w:r>
              <w:rPr>
                <w:rFonts w:ascii="宋体" w:hAnsi="宋体" w:cs="宋体" w:eastAsia="宋体" w:hint="default"/>
                <w:spacing w:val="-2"/>
                <w:sz w:val="18"/>
                <w:szCs w:val="18"/>
              </w:rPr>
              <w:t>要，通过采取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包括增持股 份等合法合 </w:t>
            </w:r>
            <w:r>
              <w:rPr>
                <w:rFonts w:ascii="宋体" w:hAnsi="宋体" w:cs="宋体" w:eastAsia="宋体" w:hint="default"/>
                <w:spacing w:val="-2"/>
                <w:sz w:val="18"/>
                <w:szCs w:val="18"/>
              </w:rPr>
              <w:t>规措施，以保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持对上市公 司的实际控 </w:t>
            </w:r>
            <w:r>
              <w:rPr>
                <w:rFonts w:ascii="宋体" w:hAnsi="宋体" w:cs="宋体" w:eastAsia="宋体" w:hint="default"/>
                <w:spacing w:val="-2"/>
                <w:sz w:val="18"/>
                <w:szCs w:val="18"/>
              </w:rPr>
              <w:t>制，维护上市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公司控制权 的稳定。</w:t>
            </w:r>
            <w:r>
              <w:rPr>
                <w:rFonts w:ascii="Times New Roman" w:hAnsi="Times New Roman" w:cs="Times New Roman" w:eastAsia="Times New Roman" w:hint="default"/>
                <w:sz w:val="18"/>
                <w:szCs w:val="18"/>
              </w:rPr>
              <w:t>3</w:t>
            </w:r>
            <w:r>
              <w:rPr>
                <w:rFonts w:ascii="宋体" w:hAnsi="宋体" w:cs="宋体" w:eastAsia="宋体" w:hint="default"/>
                <w:sz w:val="18"/>
                <w:szCs w:val="18"/>
              </w:rPr>
              <w:t>、 如果本次交 易触发调价 机制，刘国 </w:t>
            </w:r>
            <w:r>
              <w:rPr>
                <w:rFonts w:ascii="宋体" w:hAnsi="宋体" w:cs="宋体" w:eastAsia="宋体" w:hint="default"/>
                <w:spacing w:val="-2"/>
                <w:sz w:val="18"/>
                <w:szCs w:val="18"/>
              </w:rPr>
              <w:t>平、孙刚有义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务自己或促 使其关联方 在不晚于本 次交易完成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增持上市公 </w:t>
            </w:r>
            <w:r>
              <w:rPr>
                <w:rFonts w:ascii="宋体" w:hAnsi="宋体" w:cs="宋体" w:eastAsia="宋体" w:hint="default"/>
                <w:spacing w:val="-2"/>
                <w:sz w:val="18"/>
                <w:szCs w:val="18"/>
              </w:rPr>
              <w:t>司股份，确保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海立控股及 其一致行动 人合计持有 上市公司的 股权比例比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600.639954pt;width:62pt;height:162.8pt;mso-position-horizontal-relative:page;mso-position-vertical-relative:page;z-index:-1708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group style="position:absolute;margin-left:367.660004pt;margin-top:600.639954pt;width:55.85pt;height:162.8pt;mso-position-horizontal-relative:page;mso-position-vertical-relative:page;z-index:-1708840" coordorigin="7353,12013" coordsize="1117,3256">
            <v:shape style="position:absolute;left:7353;top:12013;width:1117;height:3256" coordorigin="7353,12013" coordsize="1117,3256" path="m7353,15269l8470,15269,8470,12013,7353,1201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博升优势及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人合计持股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比例高出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3.43%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后，海立美达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董事会拟由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九名董事组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成（包括三名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为推动本次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交易，海立控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股及其一致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行动人拟在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个月内向海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立美达推荐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四名非独立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完成后三十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会以本次交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易取得的海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立美达股份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单独或共同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达的实际控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博升优势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91"/>
              <w:jc w:val="both"/>
              <w:rPr>
                <w:rFonts w:ascii="宋体" w:hAnsi="宋体" w:cs="宋体" w:eastAsia="宋体" w:hint="default"/>
                <w:sz w:val="18"/>
                <w:szCs w:val="18"/>
              </w:rPr>
            </w:pPr>
            <w:r>
              <w:rPr>
                <w:rFonts w:ascii="宋体" w:hAnsi="宋体" w:cs="宋体" w:eastAsia="宋体" w:hint="default"/>
                <w:sz w:val="18"/>
                <w:szCs w:val="18"/>
              </w:rPr>
              <w:t>关于不谋求 上市公司控 制权的相关 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制权，亦不会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以通过二级 市场增持海 立美达股票 </w:t>
            </w:r>
            <w:r>
              <w:rPr>
                <w:rFonts w:ascii="宋体" w:hAnsi="宋体" w:cs="宋体" w:eastAsia="宋体" w:hint="default"/>
                <w:spacing w:val="-2"/>
                <w:sz w:val="18"/>
                <w:szCs w:val="18"/>
              </w:rPr>
              <w:t>的方式，或以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委托、征集投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票权、协议等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合其他股东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达控制权。</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成后，海立美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达董事会拟</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由九名董事 组成（包括三 名独立董 </w:t>
            </w:r>
            <w:r>
              <w:rPr>
                <w:rFonts w:ascii="宋体" w:hAnsi="宋体" w:cs="宋体" w:eastAsia="宋体" w:hint="default"/>
                <w:spacing w:val="-15"/>
                <w:sz w:val="18"/>
                <w:szCs w:val="18"/>
              </w:rPr>
              <w:t>事），博升优</w:t>
            </w:r>
            <w:r>
              <w:rPr>
                <w:rFonts w:ascii="宋体" w:hAnsi="宋体" w:cs="宋体" w:eastAsia="宋体" w:hint="default"/>
                <w:sz w:val="18"/>
                <w:szCs w:val="18"/>
              </w:rPr>
              <w:t> 势拟在本次 交易完成后 三十六个月 内向海立美 达推荐一名 非独立董事。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关于履行业 绩补偿义务 的承诺函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如海立控股 须履行《业绩 补偿协议》项 下的业绩补 偿义务时，海 立控股将通 过处置除海 立美达股份 以外的其他 资产、贷款融 资等多种手 段获取现金 以履行业绩 补偿义务，确 保不会通过 减持其持有 的海立美达 股份履行业 绩补偿义务。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海立控股实 际控制人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both"/>
              <w:rPr>
                <w:rFonts w:ascii="宋体" w:hAnsi="宋体" w:cs="宋体" w:eastAsia="宋体" w:hint="default"/>
                <w:sz w:val="18"/>
                <w:szCs w:val="18"/>
              </w:rPr>
            </w:pPr>
            <w:r>
              <w:rPr>
                <w:rFonts w:ascii="宋体" w:hAnsi="宋体" w:cs="宋体" w:eastAsia="宋体" w:hint="default"/>
                <w:sz w:val="18"/>
                <w:szCs w:val="18"/>
              </w:rPr>
              <w:t>关于为海立 控股业绩补 偿承诺提供 担保的承诺 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如海立控股 </w:t>
            </w:r>
            <w:r>
              <w:rPr>
                <w:rFonts w:ascii="宋体" w:hAnsi="宋体" w:cs="宋体" w:eastAsia="宋体" w:hint="default"/>
                <w:spacing w:val="-2"/>
                <w:sz w:val="18"/>
                <w:szCs w:val="18"/>
              </w:rPr>
              <w:t>需履行《业绩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补偿协议》项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下的业绩补 </w:t>
            </w:r>
            <w:r>
              <w:rPr>
                <w:rFonts w:ascii="宋体" w:hAnsi="宋体" w:cs="宋体" w:eastAsia="宋体" w:hint="default"/>
                <w:spacing w:val="-2"/>
                <w:sz w:val="18"/>
                <w:szCs w:val="18"/>
              </w:rPr>
              <w:t>偿义务，本保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证人承诺如 海立控股在 不减持海立 美达股份的 情况下没有 能力进行足 额现金补偿 </w:t>
            </w:r>
            <w:r>
              <w:rPr>
                <w:rFonts w:ascii="宋体" w:hAnsi="宋体" w:cs="宋体" w:eastAsia="宋体" w:hint="default"/>
                <w:spacing w:val="-2"/>
                <w:sz w:val="18"/>
                <w:szCs w:val="18"/>
              </w:rPr>
              <w:t>的，本保证人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将向海立控 股提供资金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支持或承担 差额部分的 </w:t>
            </w:r>
            <w:r>
              <w:rPr>
                <w:rFonts w:ascii="宋体" w:hAnsi="宋体" w:cs="宋体" w:eastAsia="宋体" w:hint="default"/>
                <w:spacing w:val="-2"/>
                <w:sz w:val="18"/>
                <w:szCs w:val="18"/>
              </w:rPr>
              <w:t>补偿义务，以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保证海立控 股能够按约 定履行业绩 补偿义务。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
              <w:jc w:val="left"/>
              <w:rPr>
                <w:rFonts w:ascii="宋体" w:hAnsi="宋体" w:cs="宋体" w:eastAsia="宋体" w:hint="default"/>
                <w:sz w:val="18"/>
                <w:szCs w:val="18"/>
              </w:rPr>
            </w:pPr>
            <w:r>
              <w:rPr>
                <w:rFonts w:ascii="宋体" w:hAnsi="宋体" w:cs="宋体" w:eastAsia="宋体" w:hint="default"/>
                <w:sz w:val="18"/>
                <w:szCs w:val="18"/>
              </w:rPr>
              <w:t>青岛海立控 股有限公司、 孙刚、刘国平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承诺函》；《关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于规范关联 交易的承诺 </w:t>
            </w:r>
            <w:r>
              <w:rPr>
                <w:rFonts w:ascii="宋体" w:hAnsi="宋体" w:cs="宋体" w:eastAsia="宋体" w:hint="default"/>
                <w:spacing w:val="-30"/>
                <w:sz w:val="18"/>
                <w:szCs w:val="18"/>
              </w:rPr>
              <w:t>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严格履行上 述承诺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7"/>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42"/>
        <w:jc w:val="right"/>
      </w:pPr>
      <w:r>
        <w:rPr/>
        <w:pict>
          <v:shape style="position:absolute;margin-left:411.119995pt;margin-top:34.851715pt;width:64.75pt;height:101.45pt;mso-position-horizontal-relative:page;mso-position-vertical-relative:paragraph;z-index:-1708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1"/>
                    <w:ind w:left="0" w:right="0"/>
                    <w:jc w:val="left"/>
                  </w:pPr>
                  <w:r>
                    <w:rPr/>
                    <w:t>，</w:t>
                  </w:r>
                </w:p>
              </w:txbxContent>
            </v:textbox>
            <w10:wrap type="none"/>
          </v:shape>
        </w:pict>
      </w:r>
      <w:r>
        <w:rPr/>
        <w:pict>
          <v:shape style="position:absolute;margin-left:56.459999pt;margin-top:-137.918259pt;width:479.05pt;height:294.8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77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海立控股承诺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18,000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17,825.24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报告期内，湖 北海立美达调 整产品结构， 未达经营目 标，未能完成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年业绩目 标。但截至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度累计已完成 业绩承诺的比 例为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101.58%</w:t>
                        </w: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累计已实现相 关业绩承诺。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5"/>
                          <w:jc w:val="both"/>
                          <w:rPr>
                            <w:rFonts w:ascii="宋体" w:hAnsi="宋体" w:cs="宋体" w:eastAsia="宋体" w:hint="default"/>
                            <w:sz w:val="18"/>
                            <w:szCs w:val="18"/>
                          </w:rPr>
                        </w:pPr>
                        <w:r>
                          <w:rPr>
                            <w:rFonts w:ascii="宋体" w:hAnsi="宋体" w:cs="宋体" w:eastAsia="宋体" w:hint="default"/>
                            <w:sz w:val="18"/>
                            <w:szCs w:val="18"/>
                          </w:rPr>
                          <w:t>《发行股份购 买资产并募集 配套资金暨关 联交易报告书</w:t>
                        </w:r>
                      </w:p>
                      <w:p>
                        <w:pPr>
                          <w:pStyle w:val="TableParagraph"/>
                          <w:spacing w:line="319" w:lineRule="auto" w:before="19"/>
                          <w:ind w:left="22" w:right="65"/>
                          <w:jc w:val="both"/>
                          <w:rPr>
                            <w:rFonts w:ascii="宋体" w:hAnsi="宋体" w:cs="宋体" w:eastAsia="宋体" w:hint="default"/>
                            <w:sz w:val="18"/>
                            <w:szCs w:val="18"/>
                          </w:rPr>
                        </w:pPr>
                        <w:r>
                          <w:rPr>
                            <w:rFonts w:ascii="宋体" w:hAnsi="宋体" w:cs="宋体" w:eastAsia="宋体" w:hint="default"/>
                            <w:spacing w:val="-9"/>
                            <w:sz w:val="18"/>
                            <w:szCs w:val="18"/>
                          </w:rPr>
                          <w:t>（草案）摘要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及《发行股份 购买资产并募 集配套资金暨 关联交易报告 </w:t>
                        </w:r>
                        <w:r>
                          <w:rPr>
                            <w:rFonts w:ascii="宋体" w:hAnsi="宋体" w:cs="宋体" w:eastAsia="宋体" w:hint="default"/>
                            <w:spacing w:val="-26"/>
                            <w:sz w:val="18"/>
                            <w:szCs w:val="18"/>
                          </w:rPr>
                          <w:t>书（草案）》。</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博升优势承诺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32,167.32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26,112.48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报告期内，联</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《发行股份购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2028" w:lineRule="exact"/>
        <w:ind w:left="7364"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58.65pt;height:101.45pt;mso-position-horizontal-relative:char;mso-position-vertical-relative:line" coordorigin="0,0" coordsize="1173,2029">
            <v:group style="position:absolute;left:0;top:0;width:1173;height:2029" coordorigin="0,0" coordsize="1173,2029">
              <v:shape style="position:absolute;left:0;top:0;width:1173;height:2029" coordorigin="0,0" coordsize="1173,2029" path="m0,2028l1172,2028,1172,0,0,0,0,2028xe" filled="true" fillcolor="#ffffff" stroked="false">
                <v:path arrowok="t"/>
                <v:fill type="solid"/>
              </v:shape>
            </v:group>
          </v:group>
        </w:pict>
      </w:r>
      <w:r>
        <w:rPr>
          <w:rFonts w:ascii="宋体" w:hAnsi="宋体" w:cs="宋体" w:eastAsia="宋体" w:hint="default"/>
          <w:position w:val="-40"/>
          <w:sz w:val="20"/>
          <w:szCs w:val="20"/>
        </w:rPr>
      </w:r>
    </w:p>
    <w:p>
      <w:pPr>
        <w:spacing w:after="0" w:line="2028"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750" w:lineRule="exact"/>
        <w:ind w:left="149" w:right="0" w:firstLine="0"/>
        <w:rPr>
          <w:rFonts w:ascii="宋体" w:hAnsi="宋体" w:cs="宋体" w:eastAsia="宋体" w:hint="default"/>
          <w:sz w:val="20"/>
          <w:szCs w:val="20"/>
        </w:rPr>
      </w:pPr>
      <w:r>
        <w:rPr>
          <w:rFonts w:ascii="宋体" w:hAnsi="宋体" w:cs="宋体" w:eastAsia="宋体" w:hint="default"/>
          <w:position w:val="-94"/>
          <w:sz w:val="20"/>
          <w:szCs w:val="20"/>
        </w:rPr>
        <w:pict>
          <v:group style="width:481.65pt;height:237.5pt;mso-position-horizontal-relative:char;mso-position-vertical-relative:line" coordorigin="0,0" coordsize="9633,4750">
            <v:group style="position:absolute;left:7216;top:367;width:1173;height:4369" coordorigin="7216,367" coordsize="1173,4369">
              <v:shape style="position:absolute;left:7216;top:367;width:1173;height:4369" coordorigin="7216,367" coordsize="1173,4369" path="m7216,4736l8388,4736,8388,367,7216,367,7216,4736xe" filled="true" fillcolor="#ffffff" stroked="false">
                <v:path arrowok="t"/>
                <v:fill type="solid"/>
              </v:shape>
            </v:group>
            <v:group style="position:absolute;left:10;top:10;width:1297;height:2" coordorigin="10,10" coordsize="1297,2">
              <v:shape style="position:absolute;left:10;top:10;width:1297;height:2" coordorigin="10,10" coordsize="1297,0" path="m10,10l1306,10e" filled="false" stroked="true" strokeweight=".48pt" strokecolor="#000000">
                <v:path arrowok="t"/>
              </v:shape>
            </v:group>
            <v:group style="position:absolute;left:1316;top:10;width:1169;height:2" coordorigin="1316,10" coordsize="1169,2">
              <v:shape style="position:absolute;left:1316;top:10;width:1169;height:2" coordorigin="1316,10" coordsize="1169,0" path="m1316,10l2484,10e" filled="false" stroked="true" strokeweight=".48pt" strokecolor="#000000">
                <v:path arrowok="t"/>
              </v:shape>
            </v:group>
            <v:group style="position:absolute;left:2494;top:10;width:1172;height:2" coordorigin="2494,10" coordsize="1172,2">
              <v:shape style="position:absolute;left:2494;top:10;width:1172;height:2" coordorigin="2494,10" coordsize="1172,0" path="m2494,10l3665,10e" filled="false" stroked="true" strokeweight=".48pt" strokecolor="#000000">
                <v:path arrowok="t"/>
              </v:shape>
            </v:group>
            <v:group style="position:absolute;left:3675;top:10;width:1172;height:2" coordorigin="3675,10" coordsize="1172,2">
              <v:shape style="position:absolute;left:3675;top:10;width:1172;height:2" coordorigin="3675,10" coordsize="1172,0" path="m3675,10l4846,10e" filled="false" stroked="true" strokeweight=".48pt" strokecolor="#000000">
                <v:path arrowok="t"/>
              </v:shape>
            </v:group>
            <v:group style="position:absolute;left:4856;top:10;width:1170;height:2" coordorigin="4856,10" coordsize="1170,2">
              <v:shape style="position:absolute;left:4856;top:10;width:1170;height:2" coordorigin="4856,10" coordsize="1170,0" path="m4856,10l6026,10e" filled="false" stroked="true" strokeweight=".48pt" strokecolor="#000000">
                <v:path arrowok="t"/>
              </v:shape>
            </v:group>
            <v:group style="position:absolute;left:6036;top:10;width:1171;height:2" coordorigin="6036,10" coordsize="1171,2">
              <v:shape style="position:absolute;left:6036;top:10;width:1171;height:2" coordorigin="6036,10" coordsize="1171,0" path="m6036,10l7206,10e" filled="false" stroked="true" strokeweight=".48pt" strokecolor="#000000">
                <v:path arrowok="t"/>
              </v:shape>
            </v:group>
            <v:group style="position:absolute;left:7216;top:10;width:1173;height:2" coordorigin="7216,10" coordsize="1173,2">
              <v:shape style="position:absolute;left:7216;top:10;width:1173;height:2" coordorigin="7216,10" coordsize="1173,0" path="m7216,10l8388,10e" filled="false" stroked="true" strokeweight=".48pt" strokecolor="#000000">
                <v:path arrowok="t"/>
              </v:shape>
            </v:group>
            <v:group style="position:absolute;left:8398;top:10;width:1169;height:2" coordorigin="8398,10" coordsize="1169,2">
              <v:shape style="position:absolute;left:8398;top:10;width:1169;height:2" coordorigin="8398,10" coordsize="1169,0" path="m8398,10l9566,10e" filled="false" stroked="true" strokeweight=".48pt" strokecolor="#000000">
                <v:path arrowok="t"/>
              </v:shape>
            </v:group>
            <v:group style="position:absolute;left:5;top:5;width:2;height:4741" coordorigin="5,5" coordsize="2,4741">
              <v:shape style="position:absolute;left:5;top:5;width:2;height:4741" coordorigin="5,5" coordsize="0,4741" path="m5,5l5,4745e" filled="false" stroked="true" strokeweight=".48pt" strokecolor="#000000">
                <v:path arrowok="t"/>
              </v:shape>
            </v:group>
            <v:group style="position:absolute;left:10;top:4740;width:1297;height:2" coordorigin="10,4740" coordsize="1297,2">
              <v:shape style="position:absolute;left:10;top:4740;width:1297;height:2" coordorigin="10,4740" coordsize="1297,0" path="m10,4740l1306,4740e" filled="false" stroked="true" strokeweight=".48001pt" strokecolor="#000000">
                <v:path arrowok="t"/>
              </v:shape>
            </v:group>
            <v:group style="position:absolute;left:1311;top:5;width:2;height:4741" coordorigin="1311,5" coordsize="2,4741">
              <v:shape style="position:absolute;left:1311;top:5;width:2;height:4741" coordorigin="1311,5" coordsize="0,4741" path="m1311,5l1311,4745e" filled="false" stroked="true" strokeweight=".48pt" strokecolor="#000000">
                <v:path arrowok="t"/>
              </v:shape>
            </v:group>
            <v:group style="position:absolute;left:1316;top:4740;width:1169;height:2" coordorigin="1316,4740" coordsize="1169,2">
              <v:shape style="position:absolute;left:1316;top:4740;width:1169;height:2" coordorigin="1316,4740" coordsize="1169,0" path="m1316,4740l2484,4740e" filled="false" stroked="true" strokeweight=".48001pt" strokecolor="#000000">
                <v:path arrowok="t"/>
              </v:shape>
            </v:group>
            <v:group style="position:absolute;left:2489;top:5;width:2;height:4741" coordorigin="2489,5" coordsize="2,4741">
              <v:shape style="position:absolute;left:2489;top:5;width:2;height:4741" coordorigin="2489,5" coordsize="0,4741" path="m2489,5l2489,4745e" filled="false" stroked="true" strokeweight=".48pt" strokecolor="#000000">
                <v:path arrowok="t"/>
              </v:shape>
            </v:group>
            <v:group style="position:absolute;left:2494;top:4740;width:1172;height:2" coordorigin="2494,4740" coordsize="1172,2">
              <v:shape style="position:absolute;left:2494;top:4740;width:1172;height:2" coordorigin="2494,4740" coordsize="1172,0" path="m2494,4740l3665,4740e" filled="false" stroked="true" strokeweight=".48001pt" strokecolor="#000000">
                <v:path arrowok="t"/>
              </v:shape>
            </v:group>
            <v:group style="position:absolute;left:3670;top:5;width:2;height:4741" coordorigin="3670,5" coordsize="2,4741">
              <v:shape style="position:absolute;left:3670;top:5;width:2;height:4741" coordorigin="3670,5" coordsize="0,4741" path="m3670,5l3670,4745e" filled="false" stroked="true" strokeweight=".48pt" strokecolor="#000000">
                <v:path arrowok="t"/>
              </v:shape>
            </v:group>
            <v:group style="position:absolute;left:3675;top:4740;width:1172;height:2" coordorigin="3675,4740" coordsize="1172,2">
              <v:shape style="position:absolute;left:3675;top:4740;width:1172;height:2" coordorigin="3675,4740" coordsize="1172,0" path="m3675,4740l4846,4740e" filled="false" stroked="true" strokeweight=".48001pt" strokecolor="#000000">
                <v:path arrowok="t"/>
              </v:shape>
            </v:group>
            <v:group style="position:absolute;left:4851;top:5;width:2;height:4741" coordorigin="4851,5" coordsize="2,4741">
              <v:shape style="position:absolute;left:4851;top:5;width:2;height:4741" coordorigin="4851,5" coordsize="0,4741" path="m4851,5l4851,4745e" filled="false" stroked="true" strokeweight=".47998pt" strokecolor="#000000">
                <v:path arrowok="t"/>
              </v:shape>
            </v:group>
            <v:group style="position:absolute;left:4856;top:4740;width:1170;height:2" coordorigin="4856,4740" coordsize="1170,2">
              <v:shape style="position:absolute;left:4856;top:4740;width:1170;height:2" coordorigin="4856,4740" coordsize="1170,0" path="m4856,4740l6026,4740e" filled="false" stroked="true" strokeweight=".48001pt" strokecolor="#000000">
                <v:path arrowok="t"/>
              </v:shape>
            </v:group>
            <v:group style="position:absolute;left:6031;top:5;width:2;height:4741" coordorigin="6031,5" coordsize="2,4741">
              <v:shape style="position:absolute;left:6031;top:5;width:2;height:4741" coordorigin="6031,5" coordsize="0,4741" path="m6031,5l6031,4745e" filled="false" stroked="true" strokeweight=".48001pt" strokecolor="#000000">
                <v:path arrowok="t"/>
              </v:shape>
            </v:group>
            <v:group style="position:absolute;left:6036;top:4740;width:1171;height:2" coordorigin="6036,4740" coordsize="1171,2">
              <v:shape style="position:absolute;left:6036;top:4740;width:1171;height:2" coordorigin="6036,4740" coordsize="1171,0" path="m6036,4740l7206,4740e" filled="false" stroked="true" strokeweight=".48001pt" strokecolor="#000000">
                <v:path arrowok="t"/>
              </v:shape>
            </v:group>
            <v:group style="position:absolute;left:7211;top:5;width:2;height:4741" coordorigin="7211,5" coordsize="2,4741">
              <v:shape style="position:absolute;left:7211;top:5;width:2;height:4741" coordorigin="7211,5" coordsize="0,4741" path="m7211,5l7211,4745e" filled="false" stroked="true" strokeweight=".48001pt" strokecolor="#000000">
                <v:path arrowok="t"/>
              </v:shape>
            </v:group>
            <v:group style="position:absolute;left:7216;top:4740;width:1173;height:2" coordorigin="7216,4740" coordsize="1173,2">
              <v:shape style="position:absolute;left:7216;top:4740;width:1173;height:2" coordorigin="7216,4740" coordsize="1173,0" path="m7216,4740l8388,4740e" filled="false" stroked="true" strokeweight=".48001pt" strokecolor="#000000">
                <v:path arrowok="t"/>
              </v:shape>
            </v:group>
            <v:group style="position:absolute;left:8393;top:5;width:2;height:4741" coordorigin="8393,5" coordsize="2,4741">
              <v:shape style="position:absolute;left:8393;top:5;width:2;height:4741" coordorigin="8393,5" coordsize="0,4741" path="m8393,5l8393,4745e" filled="false" stroked="true" strokeweight=".48001pt" strokecolor="#000000">
                <v:path arrowok="t"/>
              </v:shape>
            </v:group>
            <v:group style="position:absolute;left:8398;top:4740;width:1169;height:2" coordorigin="8398,4740" coordsize="1169,2">
              <v:shape style="position:absolute;left:8398;top:4740;width:1169;height:2" coordorigin="8398,4740" coordsize="1169,0" path="m8398,4740l9566,4740e" filled="false" stroked="true" strokeweight=".48001pt" strokecolor="#000000">
                <v:path arrowok="t"/>
              </v:shape>
            </v:group>
            <v:group style="position:absolute;left:9571;top:5;width:2;height:4741" coordorigin="9571,5" coordsize="2,4741">
              <v:shape style="position:absolute;left:9571;top:5;width:2;height:4741" coordorigin="9571,5" coordsize="0,4741" path="m9571,5l9571,4745e" filled="false" stroked="true" strokeweight=".48004pt" strokecolor="#000000">
                <v:path arrowok="t"/>
              </v:shape>
              <v:shape style="position:absolute;left:1338;top:82;width:40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2517;top:82;width:40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6058;top:81;width:1585;height:4550" type="#_x0000_t202" filled="false" stroked="false">
                <v:textbox inset="0,0,0,0">
                  <w:txbxContent>
                    <w:p>
                      <w:pPr>
                        <w:spacing w:line="19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动商务因战略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spacing w:line="314" w:lineRule="auto" w:before="61"/>
                        <w:ind w:left="0" w:right="459" w:firstLine="0"/>
                        <w:jc w:val="left"/>
                        <w:rPr>
                          <w:rFonts w:ascii="宋体" w:hAnsi="宋体" w:cs="宋体" w:eastAsia="宋体" w:hint="default"/>
                          <w:sz w:val="18"/>
                          <w:szCs w:val="18"/>
                        </w:rPr>
                      </w:pPr>
                      <w:r>
                        <w:rPr>
                          <w:rFonts w:ascii="宋体" w:hAnsi="宋体" w:cs="宋体" w:eastAsia="宋体" w:hint="default"/>
                          <w:sz w:val="18"/>
                          <w:szCs w:val="18"/>
                        </w:rPr>
                        <w:t>调整，导致其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年度整体 业绩同比下 滑，未能完成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年业绩目</w:t>
                      </w:r>
                    </w:p>
                    <w:p>
                      <w:pPr>
                        <w:spacing w:before="1"/>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标。截至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spacing w:line="309" w:lineRule="auto" w:before="63"/>
                        <w:ind w:left="0" w:right="578"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联动优势 </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312" w:lineRule="auto" w:before="5"/>
                        <w:ind w:left="0" w:right="473" w:firstLine="0"/>
                        <w:jc w:val="both"/>
                        <w:rPr>
                          <w:rFonts w:ascii="宋体" w:hAnsi="宋体" w:cs="宋体" w:eastAsia="宋体" w:hint="default"/>
                          <w:sz w:val="18"/>
                          <w:szCs w:val="18"/>
                        </w:rPr>
                      </w:pPr>
                      <w:r>
                        <w:rPr>
                          <w:rFonts w:ascii="宋体" w:hAnsi="宋体" w:cs="宋体" w:eastAsia="宋体" w:hint="default"/>
                          <w:sz w:val="18"/>
                          <w:szCs w:val="18"/>
                        </w:rPr>
                        <w:t>度累计完成业 绩承诺的比例 为</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94.88%</w:t>
                      </w:r>
                      <w:r>
                        <w:rPr>
                          <w:rFonts w:ascii="宋体" w:hAnsi="宋体" w:cs="宋体" w:eastAsia="宋体" w:hint="default"/>
                          <w:spacing w:val="-4"/>
                          <w:sz w:val="18"/>
                          <w:szCs w:val="18"/>
                        </w:rPr>
                        <w:t>，未</w:t>
                      </w:r>
                      <w:r>
                        <w:rPr>
                          <w:rFonts w:ascii="宋体" w:hAnsi="宋体" w:cs="宋体" w:eastAsia="宋体" w:hint="default"/>
                          <w:spacing w:val="-16"/>
                          <w:sz w:val="18"/>
                          <w:szCs w:val="18"/>
                        </w:rPr>
                        <w:t> </w:t>
                      </w:r>
                      <w:r>
                        <w:rPr>
                          <w:rFonts w:ascii="宋体" w:hAnsi="宋体" w:cs="宋体" w:eastAsia="宋体" w:hint="default"/>
                          <w:sz w:val="18"/>
                          <w:szCs w:val="18"/>
                        </w:rPr>
                        <w:t>能完成业绩承</w:t>
                      </w:r>
                    </w:p>
                    <w:p>
                      <w:pPr>
                        <w:spacing w:before="23"/>
                        <w:ind w:left="0" w:right="0" w:firstLine="0"/>
                        <w:jc w:val="left"/>
                        <w:rPr>
                          <w:rFonts w:ascii="宋体" w:hAnsi="宋体" w:cs="宋体" w:eastAsia="宋体" w:hint="default"/>
                          <w:sz w:val="18"/>
                          <w:szCs w:val="18"/>
                        </w:rPr>
                      </w:pPr>
                      <w:r>
                        <w:rPr>
                          <w:rFonts w:ascii="宋体" w:hAnsi="宋体" w:cs="宋体" w:eastAsia="宋体" w:hint="default"/>
                          <w:sz w:val="18"/>
                          <w:szCs w:val="18"/>
                        </w:rPr>
                        <w:t>诺。</w:t>
                      </w:r>
                    </w:p>
                  </w:txbxContent>
                </v:textbox>
                <w10:wrap type="none"/>
              </v:shape>
              <v:shape style="position:absolute;left:8420;top:81;width:1212;height:267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买资产并募集</w:t>
                      </w:r>
                    </w:p>
                    <w:p>
                      <w:pPr>
                        <w:spacing w:line="316" w:lineRule="auto" w:before="76"/>
                        <w:ind w:left="0" w:right="129" w:firstLine="0"/>
                        <w:jc w:val="left"/>
                        <w:rPr>
                          <w:rFonts w:ascii="宋体" w:hAnsi="宋体" w:cs="宋体" w:eastAsia="宋体" w:hint="default"/>
                          <w:sz w:val="18"/>
                          <w:szCs w:val="18"/>
                        </w:rPr>
                      </w:pPr>
                      <w:r>
                        <w:rPr>
                          <w:rFonts w:ascii="宋体" w:hAnsi="宋体" w:cs="宋体" w:eastAsia="宋体" w:hint="default"/>
                          <w:sz w:val="18"/>
                          <w:szCs w:val="18"/>
                        </w:rPr>
                        <w:t>配套资金暨关 联交易报告书</w:t>
                      </w:r>
                    </w:p>
                    <w:p>
                      <w:pPr>
                        <w:spacing w:line="319" w:lineRule="auto" w:before="19"/>
                        <w:ind w:left="0" w:right="0" w:firstLine="0"/>
                        <w:jc w:val="left"/>
                        <w:rPr>
                          <w:rFonts w:ascii="宋体" w:hAnsi="宋体" w:cs="宋体" w:eastAsia="宋体" w:hint="default"/>
                          <w:sz w:val="18"/>
                          <w:szCs w:val="18"/>
                        </w:rPr>
                      </w:pPr>
                      <w:r>
                        <w:rPr>
                          <w:rFonts w:ascii="宋体" w:hAnsi="宋体" w:cs="宋体" w:eastAsia="宋体" w:hint="default"/>
                          <w:spacing w:val="-7"/>
                          <w:sz w:val="18"/>
                          <w:szCs w:val="18"/>
                        </w:rPr>
                        <w:t>（草案）摘要》</w:t>
                      </w:r>
                      <w:r>
                        <w:rPr>
                          <w:rFonts w:ascii="宋体" w:hAnsi="宋体" w:cs="宋体" w:eastAsia="宋体" w:hint="default"/>
                          <w:sz w:val="18"/>
                          <w:szCs w:val="18"/>
                        </w:rPr>
                        <w:t> 及《发行股份 购买资产并募 集配套资金暨 关联交易报告</w:t>
                      </w:r>
                    </w:p>
                    <w:p>
                      <w:pPr>
                        <w:spacing w:before="18"/>
                        <w:ind w:left="0" w:right="0" w:firstLine="0"/>
                        <w:jc w:val="left"/>
                        <w:rPr>
                          <w:rFonts w:ascii="宋体" w:hAnsi="宋体" w:cs="宋体" w:eastAsia="宋体" w:hint="default"/>
                          <w:sz w:val="18"/>
                          <w:szCs w:val="18"/>
                        </w:rPr>
                      </w:pPr>
                      <w:r>
                        <w:rPr>
                          <w:rFonts w:ascii="宋体" w:hAnsi="宋体" w:cs="宋体" w:eastAsia="宋体" w:hint="default"/>
                          <w:sz w:val="18"/>
                          <w:szCs w:val="18"/>
                        </w:rPr>
                        <w:t>书（草案</w:t>
                      </w:r>
                      <w:r>
                        <w:rPr>
                          <w:rFonts w:ascii="宋体" w:hAnsi="宋体" w:cs="宋体" w:eastAsia="宋体" w:hint="default"/>
                          <w:spacing w:val="-90"/>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94"/>
          <w:sz w:val="20"/>
          <w:szCs w:val="20"/>
        </w:rPr>
      </w:r>
    </w:p>
    <w:p>
      <w:pPr>
        <w:pStyle w:val="BodyText"/>
        <w:spacing w:line="240" w:lineRule="auto" w:before="46"/>
        <w:ind w:right="0"/>
        <w:jc w:val="both"/>
      </w:pPr>
      <w:r>
        <w:rPr/>
        <w:pict>
          <v:shape style="position:absolute;margin-left:402.100006pt;margin-top:-219.168274pt;width:73.8pt;height:218.45pt;mso-position-horizontal-relative:page;mso-position-vertical-relative:paragraph;z-index:-1708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日，</w:t>
                  </w:r>
                </w:p>
              </w:txbxContent>
            </v:textbox>
            <w10:wrap type="none"/>
          </v:shape>
        </w:pict>
      </w:r>
      <w:r>
        <w:rPr/>
        <w:t>公司股东、交易对手方在报告年度经营业绩做出的承诺情况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、博升优势承诺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年度联动优势承诺净利润应分别不低于</w:t>
      </w:r>
      <w:r>
        <w:rPr>
          <w:spacing w:val="-46"/>
        </w:rPr>
        <w:t> </w:t>
      </w:r>
      <w:r>
        <w:rPr>
          <w:rFonts w:ascii="Times New Roman" w:hAnsi="Times New Roman" w:cs="Times New Roman" w:eastAsia="Times New Roman" w:hint="default"/>
        </w:rPr>
        <w:t>22,063.53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26,365.92</w:t>
      </w:r>
      <w:r>
        <w:rPr>
          <w:rFonts w:ascii="Times New Roman" w:hAnsi="Times New Roman" w:cs="Times New Roman" w:eastAsia="Times New Roman" w:hint="default"/>
          <w:spacing w:val="-1"/>
        </w:rPr>
        <w:t> </w:t>
      </w:r>
      <w:r>
        <w:rPr/>
        <w:t>万元 和</w:t>
      </w:r>
      <w:r>
        <w:rPr>
          <w:spacing w:val="-40"/>
        </w:rPr>
        <w:t> </w:t>
      </w:r>
      <w:r>
        <w:rPr>
          <w:rFonts w:ascii="Times New Roman" w:hAnsi="Times New Roman" w:cs="Times New Roman" w:eastAsia="Times New Roman" w:hint="default"/>
          <w:spacing w:val="-1"/>
        </w:rPr>
        <w:t>32,167.32</w:t>
      </w:r>
      <w:r>
        <w:rPr>
          <w:rFonts w:ascii="Times New Roman" w:hAnsi="Times New Roman" w:cs="Times New Roman" w:eastAsia="Times New Roman" w:hint="default"/>
          <w:spacing w:val="6"/>
        </w:rPr>
        <w:t> </w:t>
      </w:r>
      <w:r>
        <w:rPr>
          <w:spacing w:val="-12"/>
        </w:rPr>
        <w:t>万元，累计不低于</w:t>
      </w:r>
      <w:r>
        <w:rPr>
          <w:spacing w:val="-41"/>
        </w:rPr>
        <w:t> </w:t>
      </w:r>
      <w:r>
        <w:rPr>
          <w:rFonts w:ascii="Times New Roman" w:hAnsi="Times New Roman" w:cs="Times New Roman" w:eastAsia="Times New Roman" w:hint="default"/>
        </w:rPr>
        <w:t>80,596.77</w:t>
      </w:r>
      <w:r>
        <w:rPr>
          <w:rFonts w:ascii="Times New Roman" w:hAnsi="Times New Roman" w:cs="Times New Roman" w:eastAsia="Times New Roman" w:hint="default"/>
          <w:spacing w:val="5"/>
        </w:rPr>
        <w:t> </w:t>
      </w:r>
      <w:r>
        <w:rPr>
          <w:spacing w:val="-5"/>
        </w:rPr>
        <w:t>万元，实际实现承诺期内累计净利润为业绩承诺的</w:t>
      </w:r>
      <w:r>
        <w:rPr>
          <w:spacing w:val="-39"/>
        </w:rPr>
        <w:t> </w:t>
      </w:r>
      <w:r>
        <w:rPr>
          <w:rFonts w:ascii="Times New Roman" w:hAnsi="Times New Roman" w:cs="Times New Roman" w:eastAsia="Times New Roman" w:hint="default"/>
          <w:spacing w:val="-7"/>
        </w:rPr>
        <w:t>94.88%</w:t>
      </w:r>
      <w:r>
        <w:rPr>
          <w:spacing w:val="-7"/>
        </w:rPr>
        <w:t>，与业绩承诺相差</w:t>
      </w:r>
      <w:r>
        <w:rPr>
          <w:spacing w:val="-40"/>
        </w:rPr>
        <w:t> </w:t>
      </w:r>
      <w:r>
        <w:rPr>
          <w:rFonts w:ascii="Times New Roman" w:hAnsi="Times New Roman" w:cs="Times New Roman" w:eastAsia="Times New Roman" w:hint="default"/>
          <w:spacing w:val="-1"/>
        </w:rPr>
        <w:t>4,123.82</w:t>
      </w:r>
    </w:p>
    <w:p>
      <w:pPr>
        <w:pStyle w:val="BodyText"/>
        <w:spacing w:line="240" w:lineRule="auto" w:before="13"/>
        <w:ind w:right="0"/>
        <w:jc w:val="both"/>
      </w:pPr>
      <w:r>
        <w:rPr/>
        <w:t>万元</w:t>
      </w:r>
      <w:r>
        <w:rPr>
          <w:spacing w:val="-28"/>
        </w:rPr>
        <w:t>。</w:t>
      </w:r>
      <w:r>
        <w:rPr/>
        <w:t>根</w:t>
      </w:r>
      <w:r>
        <w:rPr>
          <w:spacing w:val="-28"/>
        </w:rPr>
        <w:t>据</w:t>
      </w:r>
      <w:r>
        <w:rPr/>
        <w:t>《业绩补偿协议</w:t>
      </w:r>
      <w:r>
        <w:rPr>
          <w:spacing w:val="-90"/>
        </w:rPr>
        <w:t>》</w:t>
      </w:r>
      <w:r>
        <w:rPr>
          <w:spacing w:val="-28"/>
        </w:rPr>
        <w:t>，</w:t>
      </w:r>
      <w:r>
        <w:rPr/>
        <w:t>博升优势应在联动优势</w:t>
      </w:r>
      <w:r>
        <w:rPr>
          <w:spacing w:val="-45"/>
        </w:rPr>
        <w:t> </w:t>
      </w:r>
      <w:r>
        <w:rPr>
          <w:rFonts w:ascii="Times New Roman" w:hAnsi="Times New Roman" w:cs="Times New Roman" w:eastAsia="Times New Roman" w:hint="default"/>
        </w:rPr>
        <w:t>2018 </w:t>
      </w:r>
      <w:r>
        <w:rPr/>
        <w:t>年专项审核报告出具之日起三个月内一次性对上市公司进行现金</w:t>
      </w:r>
    </w:p>
    <w:p>
      <w:pPr>
        <w:pStyle w:val="BodyText"/>
        <w:spacing w:line="309" w:lineRule="auto" w:before="63"/>
        <w:ind w:right="1130"/>
        <w:jc w:val="both"/>
      </w:pPr>
      <w:r>
        <w:rPr/>
        <w:t>补偿</w:t>
      </w:r>
      <w:r>
        <w:rPr>
          <w:spacing w:val="-64"/>
        </w:rPr>
        <w:t> </w:t>
      </w:r>
      <w:r>
        <w:rPr>
          <w:rFonts w:ascii="Times New Roman" w:hAnsi="Times New Roman" w:cs="Times New Roman" w:eastAsia="Times New Roman" w:hint="default"/>
        </w:rPr>
        <w:t>4,123.82</w:t>
      </w:r>
      <w:r>
        <w:rPr>
          <w:rFonts w:ascii="Times New Roman" w:hAnsi="Times New Roman" w:cs="Times New Roman" w:eastAsia="Times New Roman" w:hint="default"/>
          <w:spacing w:val="-19"/>
        </w:rPr>
        <w:t> </w:t>
      </w:r>
      <w:r>
        <w:rPr>
          <w:spacing w:val="-6"/>
        </w:rPr>
        <w:t>万元。为保证博升优势业绩补偿的履行，博升优势已按照承诺对其持有的</w:t>
      </w:r>
      <w:r>
        <w:rPr>
          <w:spacing w:val="-64"/>
        </w:rPr>
        <w:t> </w:t>
      </w:r>
      <w:r>
        <w:rPr>
          <w:rFonts w:ascii="Times New Roman" w:hAnsi="Times New Roman" w:cs="Times New Roman" w:eastAsia="Times New Roman" w:hint="default"/>
        </w:rPr>
        <w:t>42,833,136</w:t>
      </w:r>
      <w:r>
        <w:rPr>
          <w:rFonts w:ascii="Times New Roman" w:hAnsi="Times New Roman" w:cs="Times New Roman" w:eastAsia="Times New Roman" w:hint="default"/>
          <w:spacing w:val="-19"/>
        </w:rPr>
        <w:t> </w:t>
      </w:r>
      <w:r>
        <w:rPr/>
        <w:t>股本公司股份进行了锁定。 </w:t>
      </w:r>
      <w:r>
        <w:rPr>
          <w:spacing w:val="-2"/>
        </w:rPr>
        <w:t>公司董事会将根据《业绩补偿协议》书面通知博升优势本次业绩补偿事宜，并指派专人与其进行沟通，督促其严格按照业绩</w:t>
      </w:r>
      <w:r>
        <w:rPr>
          <w:spacing w:val="-66"/>
        </w:rPr>
        <w:t> </w:t>
      </w:r>
      <w:r>
        <w:rPr>
          <w:spacing w:val="-66"/>
        </w:rPr>
      </w:r>
      <w:r>
        <w:rPr/>
        <w:t>承诺要求履行补偿义务。</w:t>
      </w:r>
    </w:p>
    <w:p>
      <w:pPr>
        <w:pStyle w:val="BodyText"/>
        <w:spacing w:line="300" w:lineRule="auto" w:before="62"/>
        <w:ind w:right="1131" w:firstLine="360"/>
        <w:jc w:val="both"/>
      </w:pPr>
      <w:r>
        <w:rPr>
          <w:rFonts w:ascii="Times New Roman" w:hAnsi="Times New Roman" w:cs="Times New Roman" w:eastAsia="Times New Roman" w:hint="default"/>
        </w:rPr>
        <w:t>2</w:t>
      </w:r>
      <w:r>
        <w:rPr/>
        <w:t>、海立控股承诺</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年度上市公司（不含联动优势及其控制的主体）承诺净利润应分别不低 于</w:t>
      </w:r>
      <w:r>
        <w:rPr>
          <w:spacing w:val="-53"/>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14,000</w:t>
      </w:r>
      <w:r>
        <w:rPr>
          <w:rFonts w:ascii="Times New Roman" w:hAnsi="Times New Roman" w:cs="Times New Roman" w:eastAsia="Times New Roman" w:hint="default"/>
          <w:spacing w:val="-8"/>
        </w:rPr>
        <w:t> </w:t>
      </w:r>
      <w:r>
        <w:rPr/>
        <w:t>万元和</w:t>
      </w:r>
      <w:r>
        <w:rPr>
          <w:spacing w:val="-53"/>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8"/>
        </w:rPr>
        <w:t> </w:t>
      </w:r>
      <w:r>
        <w:rPr/>
        <w:t>万元，累计不低于</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亿元，实际实现承诺期内累计净利润为业绩承诺的</w:t>
      </w:r>
      <w:r>
        <w:rPr>
          <w:spacing w:val="-53"/>
        </w:rPr>
        <w:t> </w:t>
      </w:r>
      <w:r>
        <w:rPr>
          <w:rFonts w:ascii="Times New Roman" w:hAnsi="Times New Roman" w:cs="Times New Roman" w:eastAsia="Times New Roman" w:hint="default"/>
        </w:rPr>
        <w:t>101.58%</w:t>
      </w:r>
      <w:r>
        <w:rPr/>
        <w:t>，海立 控股无须进行补偿。</w:t>
      </w:r>
    </w:p>
    <w:p>
      <w:pPr>
        <w:pStyle w:val="BodyText"/>
        <w:spacing w:line="240" w:lineRule="auto" w:before="72"/>
        <w:ind w:right="0"/>
        <w:jc w:val="both"/>
      </w:pPr>
      <w:r>
        <w:rPr/>
        <w:t>业绩承诺的完成情况及其对商誉减值测试的影响</w:t>
      </w:r>
    </w:p>
    <w:p>
      <w:pPr>
        <w:pStyle w:val="BodyText"/>
        <w:spacing w:line="338" w:lineRule="auto" w:before="116"/>
        <w:ind w:left="514" w:right="3372"/>
        <w:jc w:val="left"/>
      </w:pPr>
      <w:r>
        <w:rPr>
          <w:rFonts w:ascii="Times New Roman" w:hAnsi="Times New Roman" w:cs="Times New Roman" w:eastAsia="Times New Roman" w:hint="default"/>
        </w:rPr>
        <w:t>1</w:t>
      </w:r>
      <w:r>
        <w:rPr/>
        <w:t>、业绩承诺完成情况 经审计，联动优势与上市公司（不含联动优势及其控制的主体）业绩承诺完成情况如下：</w:t>
      </w:r>
    </w:p>
    <w:p>
      <w:pPr>
        <w:pStyle w:val="BodyText"/>
        <w:spacing w:line="240" w:lineRule="auto" w:before="43"/>
        <w:ind w:left="514" w:right="0"/>
        <w:jc w:val="left"/>
      </w:pPr>
      <w:r>
        <w:rPr/>
        <w:t>（</w:t>
      </w:r>
      <w:r>
        <w:rPr>
          <w:rFonts w:ascii="Times New Roman" w:hAnsi="Times New Roman" w:cs="Times New Roman" w:eastAsia="Times New Roman" w:hint="default"/>
        </w:rPr>
        <w:t>1</w:t>
      </w:r>
      <w:r>
        <w:rPr/>
        <w:t>）联动优势业绩完成情况</w:t>
      </w:r>
    </w:p>
    <w:p>
      <w:pPr>
        <w:pStyle w:val="BodyText"/>
        <w:spacing w:line="302" w:lineRule="auto" w:before="101"/>
        <w:ind w:right="1132" w:firstLine="360"/>
        <w:jc w:val="both"/>
      </w:pPr>
      <w:r>
        <w:rPr/>
        <w:t>截至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4"/>
        </w:rPr>
        <w:t>日，联动优势</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2"/>
        </w:rPr>
        <w:t>年度、</w:t>
      </w:r>
      <w:r>
        <w:rPr>
          <w:rFonts w:ascii="Times New Roman" w:hAnsi="Times New Roman" w:cs="Times New Roman" w:eastAsia="Times New Roman" w:hint="default"/>
          <w:spacing w:val="-12"/>
        </w:rPr>
        <w:t>2017</w:t>
      </w:r>
      <w:r>
        <w:rPr>
          <w:rFonts w:ascii="Times New Roman" w:hAnsi="Times New Roman" w:cs="Times New Roman" w:eastAsia="Times New Roman" w:hint="default"/>
          <w:spacing w:val="1"/>
        </w:rPr>
        <w:t> </w:t>
      </w:r>
      <w:r>
        <w:rPr>
          <w:spacing w:val="-12"/>
        </w:rPr>
        <w:t>年度、</w:t>
      </w:r>
      <w:r>
        <w:rPr>
          <w:rFonts w:ascii="Times New Roman" w:hAnsi="Times New Roman" w:cs="Times New Roman" w:eastAsia="Times New Roman" w:hint="default"/>
          <w:spacing w:val="-12"/>
        </w:rPr>
        <w:t>2018</w:t>
      </w:r>
      <w:r>
        <w:rPr>
          <w:rFonts w:ascii="Times New Roman" w:hAnsi="Times New Roman" w:cs="Times New Roman" w:eastAsia="Times New Roman" w:hint="default"/>
          <w:spacing w:val="1"/>
        </w:rPr>
        <w:t> </w:t>
      </w:r>
      <w:r>
        <w:rPr/>
        <w:t>年度累计完成业绩</w:t>
      </w:r>
      <w:r>
        <w:rPr>
          <w:spacing w:val="-44"/>
        </w:rPr>
        <w:t> </w:t>
      </w:r>
      <w:r>
        <w:rPr>
          <w:rFonts w:ascii="Times New Roman" w:hAnsi="Times New Roman" w:cs="Times New Roman" w:eastAsia="Times New Roman" w:hint="default"/>
          <w:spacing w:val="-1"/>
        </w:rPr>
        <w:t>76,472.95</w:t>
      </w:r>
      <w:r>
        <w:rPr>
          <w:rFonts w:ascii="Times New Roman" w:hAnsi="Times New Roman" w:cs="Times New Roman" w:eastAsia="Times New Roman" w:hint="default"/>
          <w:spacing w:val="2"/>
        </w:rPr>
        <w:t> </w:t>
      </w:r>
      <w:r>
        <w:rPr>
          <w:spacing w:val="-11"/>
        </w:rPr>
        <w:t>万元，完成比例为</w:t>
      </w:r>
      <w:r>
        <w:rPr>
          <w:spacing w:val="-44"/>
        </w:rPr>
        <w:t> </w:t>
      </w:r>
      <w:r>
        <w:rPr>
          <w:rFonts w:ascii="Times New Roman" w:hAnsi="Times New Roman" w:cs="Times New Roman" w:eastAsia="Times New Roman" w:hint="default"/>
        </w:rPr>
        <w:t>94.88%</w:t>
      </w:r>
      <w:r>
        <w:rPr/>
        <w:t>， 联动优势未能完成业绩承诺。</w:t>
      </w:r>
    </w:p>
    <w:p>
      <w:pPr>
        <w:pStyle w:val="BodyText"/>
        <w:spacing w:line="240" w:lineRule="auto" w:before="69"/>
        <w:ind w:left="514" w:right="0"/>
        <w:jc w:val="left"/>
      </w:pPr>
      <w:r>
        <w:rPr/>
        <w:t>（</w:t>
      </w:r>
      <w:r>
        <w:rPr>
          <w:rFonts w:ascii="Times New Roman" w:hAnsi="Times New Roman" w:cs="Times New Roman" w:eastAsia="Times New Roman" w:hint="default"/>
        </w:rPr>
        <w:t>2</w:t>
      </w:r>
      <w:r>
        <w:rPr/>
        <w:t>）上市公司（不含联动优势及其控制的主体）业绩完成情况</w:t>
      </w:r>
    </w:p>
    <w:p>
      <w:pPr>
        <w:pStyle w:val="BodyText"/>
        <w:spacing w:line="240" w:lineRule="auto" w:before="102"/>
        <w:ind w:left="514"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日，上市公司（不含联动优势及其控制的主体）</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 </w:t>
      </w:r>
      <w:r>
        <w:rPr/>
        <w:t>年度累计完成业绩</w:t>
      </w:r>
    </w:p>
    <w:p>
      <w:pPr>
        <w:pStyle w:val="BodyText"/>
        <w:spacing w:line="240" w:lineRule="auto" w:before="64"/>
        <w:ind w:right="0"/>
        <w:jc w:val="both"/>
      </w:pPr>
      <w:r>
        <w:rPr>
          <w:rFonts w:ascii="Times New Roman" w:hAnsi="Times New Roman" w:cs="Times New Roman" w:eastAsia="Times New Roman" w:hint="default"/>
        </w:rPr>
        <w:t>40,631.02</w:t>
      </w:r>
      <w:r>
        <w:rPr>
          <w:rFonts w:ascii="Times New Roman" w:hAnsi="Times New Roman" w:cs="Times New Roman" w:eastAsia="Times New Roman" w:hint="default"/>
          <w:spacing w:val="-1"/>
        </w:rPr>
        <w:t> </w:t>
      </w:r>
      <w:r>
        <w:rPr/>
        <w:t>万元，完成比例为</w:t>
      </w:r>
      <w:r>
        <w:rPr>
          <w:spacing w:val="-47"/>
        </w:rPr>
        <w:t> </w:t>
      </w:r>
      <w:r>
        <w:rPr>
          <w:rFonts w:ascii="Times New Roman" w:hAnsi="Times New Roman" w:cs="Times New Roman" w:eastAsia="Times New Roman" w:hint="default"/>
        </w:rPr>
        <w:t>101.58%</w:t>
      </w:r>
      <w:r>
        <w:rPr/>
        <w:t>，已实现关于本次重大重组</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年度累计业绩的承诺。</w:t>
      </w:r>
    </w:p>
    <w:p>
      <w:pPr>
        <w:pStyle w:val="BodyText"/>
        <w:spacing w:line="338" w:lineRule="auto" w:before="102"/>
        <w:ind w:left="514" w:right="0"/>
        <w:jc w:val="left"/>
      </w:pPr>
      <w:r>
        <w:rPr>
          <w:rFonts w:ascii="Times New Roman" w:hAnsi="Times New Roman" w:cs="Times New Roman" w:eastAsia="Times New Roman" w:hint="default"/>
        </w:rPr>
        <w:t>2</w:t>
      </w:r>
      <w:r>
        <w:rPr/>
        <w:t>、业绩承诺实现情况对商誉减值测试的影响 </w:t>
      </w:r>
      <w:r>
        <w:rPr>
          <w:spacing w:val="-2"/>
        </w:rPr>
        <w:t>报告期内，联动商务资产组未实现业绩预期，导致联动优势整体业绩承诺未完成，对公司收购联动优势股权形成的商誉</w:t>
      </w:r>
    </w:p>
    <w:p>
      <w:pPr>
        <w:pStyle w:val="BodyText"/>
        <w:spacing w:line="338" w:lineRule="auto" w:before="4"/>
        <w:ind w:left="514" w:right="0" w:hanging="360"/>
        <w:jc w:val="left"/>
      </w:pPr>
      <w:r>
        <w:rPr/>
        <w:t>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日的评估价值产生一定影响，公司收购联动优势股权形成的商誉存在减值迹象。 </w:t>
      </w:r>
      <w:r>
        <w:rPr>
          <w:spacing w:val="-2"/>
        </w:rPr>
        <w:t>公司聘请上海东洲资产评估有限公司对收购联动优势科技有限公司股权形成的商誉进行商誉减值测试，依据上海东洲资</w:t>
      </w:r>
    </w:p>
    <w:p>
      <w:pPr>
        <w:pStyle w:val="BodyText"/>
        <w:spacing w:line="240" w:lineRule="auto" w:before="2"/>
        <w:ind w:right="0"/>
        <w:jc w:val="both"/>
      </w:pPr>
      <w:r>
        <w:rPr/>
        <w:t>产评估有限公司于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3"/>
        </w:rPr>
        <w:t>日出具的《联动优势科技有限公司以财务报告为目的涉及的联动优势科技有限公司、联动</w:t>
      </w:r>
    </w:p>
    <w:p>
      <w:pPr>
        <w:pStyle w:val="BodyText"/>
        <w:spacing w:line="240" w:lineRule="auto" w:before="63"/>
        <w:ind w:right="0"/>
        <w:jc w:val="both"/>
      </w:pPr>
      <w:r>
        <w:rPr/>
        <w:t>优势电子商务有限公司相关资产组组合可回收价值评估报告》东洲评报字【</w:t>
      </w:r>
      <w:r>
        <w:rPr>
          <w:rFonts w:ascii="Times New Roman" w:hAnsi="Times New Roman" w:cs="Times New Roman" w:eastAsia="Times New Roman" w:hint="default"/>
        </w:rPr>
        <w:t>2019</w:t>
      </w:r>
      <w:r>
        <w:rPr/>
        <w:t>】第</w:t>
      </w:r>
      <w:r>
        <w:rPr>
          <w:spacing w:val="-42"/>
        </w:rPr>
        <w:t> </w:t>
      </w:r>
      <w:r>
        <w:rPr>
          <w:rFonts w:ascii="Times New Roman" w:hAnsi="Times New Roman" w:cs="Times New Roman" w:eastAsia="Times New Roman" w:hint="default"/>
        </w:rPr>
        <w:t>0461</w:t>
      </w:r>
      <w:r>
        <w:rPr>
          <w:rFonts w:ascii="Times New Roman" w:hAnsi="Times New Roman" w:cs="Times New Roman" w:eastAsia="Times New Roman" w:hint="default"/>
          <w:spacing w:val="3"/>
        </w:rPr>
        <w:t> </w:t>
      </w:r>
      <w:r>
        <w:rPr/>
        <w:t>号显示，并购联动优势形成的商</w:t>
      </w:r>
    </w:p>
    <w:p>
      <w:pPr>
        <w:pStyle w:val="BodyText"/>
        <w:spacing w:line="240" w:lineRule="auto" w:before="64"/>
        <w:ind w:right="0"/>
        <w:jc w:val="both"/>
      </w:pPr>
      <w:r>
        <w:rPr/>
        <w:t>誉减值金额为</w:t>
      </w:r>
      <w:r>
        <w:rPr>
          <w:spacing w:val="-46"/>
        </w:rPr>
        <w:t> </w:t>
      </w:r>
      <w:r>
        <w:rPr>
          <w:rFonts w:ascii="Times New Roman" w:hAnsi="Times New Roman" w:cs="Times New Roman" w:eastAsia="Times New Roman" w:hint="default"/>
        </w:rPr>
        <w:t>27,069.81</w:t>
      </w:r>
      <w:r>
        <w:rPr>
          <w:rFonts w:ascii="Times New Roman" w:hAnsi="Times New Roman" w:cs="Times New Roman" w:eastAsia="Times New Roman" w:hint="default"/>
          <w:spacing w:val="-1"/>
        </w:rPr>
        <w:t> </w:t>
      </w:r>
      <w:r>
        <w:rPr/>
        <w:t>万元。</w:t>
      </w:r>
    </w:p>
    <w:p>
      <w:pPr>
        <w:spacing w:after="0" w:line="240"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left="214" w:right="456"/>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4"/>
        <w:spacing w:line="240" w:lineRule="auto"/>
        <w:ind w:left="214" w:right="45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14" w:right="4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left="214" w:right="456"/>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4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6346"/>
        <w:gridCol w:w="2268"/>
        <w:gridCol w:w="1241"/>
      </w:tblGrid>
      <w:tr>
        <w:trPr>
          <w:trHeight w:val="322" w:hRule="exact"/>
        </w:trPr>
        <w:tc>
          <w:tcPr>
            <w:tcW w:w="6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变更的内容和原因</w:t>
            </w:r>
            <w:r>
              <w:rPr>
                <w:rFonts w:ascii="宋体" w:hAnsi="宋体" w:cs="宋体" w:eastAsia="宋体" w:hint="default"/>
                <w:sz w:val="18"/>
                <w:szCs w:val="18"/>
              </w:rPr>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1651" w:hRule="exact"/>
        </w:trPr>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日，财政部颁布了《关于修订印发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 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，对一般企业财务报表格式进行了修订。根据上</w:t>
            </w:r>
            <w:r>
              <w:rPr>
                <w:rFonts w:ascii="宋体" w:hAnsi="宋体" w:cs="宋体" w:eastAsia="宋体" w:hint="default"/>
                <w:sz w:val="18"/>
                <w:szCs w:val="18"/>
              </w:rPr>
              <w:t> </w:t>
            </w:r>
            <w:r>
              <w:rPr>
                <w:rFonts w:ascii="宋体" w:hAnsi="宋体" w:cs="宋体" w:eastAsia="宋体" w:hint="default"/>
                <w:spacing w:val="-4"/>
                <w:sz w:val="18"/>
                <w:szCs w:val="18"/>
              </w:rPr>
              <w:t>述《通知》的要求，本公司按照《通知》附件</w:t>
            </w:r>
            <w:r>
              <w:rPr>
                <w:rFonts w:ascii="宋体" w:hAnsi="宋体" w:cs="宋体" w:eastAsia="宋体" w:hint="default"/>
                <w:spacing w:val="-3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《一般企业财务报表格式》（适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用于尚未执行新金融准则和新收入准则的企业）的规定，对会计政策进行相应 的变更并编制公司的财务报表。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38" w:right="138"/>
              <w:jc w:val="center"/>
              <w:rPr>
                <w:rFonts w:ascii="宋体" w:hAnsi="宋体" w:cs="宋体" w:eastAsia="宋体" w:hint="default"/>
                <w:sz w:val="18"/>
                <w:szCs w:val="18"/>
              </w:rPr>
            </w:pPr>
            <w:r>
              <w:rPr>
                <w:rFonts w:ascii="宋体" w:hAnsi="宋体" w:cs="宋体" w:eastAsia="宋体" w:hint="default"/>
                <w:sz w:val="18"/>
                <w:szCs w:val="18"/>
              </w:rPr>
              <w:t>相关会计政策变更已经本 公司第三届董事会第三十 四次会议通过。</w:t>
            </w:r>
          </w:p>
        </w:tc>
        <w:tc>
          <w:tcPr>
            <w:tcW w:w="12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5"/>
          <w:szCs w:val="15"/>
        </w:rPr>
      </w:pPr>
    </w:p>
    <w:p>
      <w:pPr>
        <w:pStyle w:val="BodyText"/>
        <w:spacing w:line="240" w:lineRule="auto" w:before="44"/>
        <w:ind w:left="214" w:right="456"/>
        <w:jc w:val="left"/>
      </w:pPr>
      <w:r>
        <w:rPr/>
        <w:t>上述会计政策变更采用追溯调整法。</w:t>
      </w:r>
      <w:r>
        <w:rPr>
          <w:rFonts w:ascii="Times New Roman" w:hAnsi="Times New Roman" w:cs="Times New Roman" w:eastAsia="Times New Roman" w:hint="default"/>
        </w:rPr>
        <w:t>2017</w:t>
      </w:r>
      <w:r>
        <w:rPr/>
        <w:t>年度财务报表受重要影响的报表项目和金额如下：</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322" w:hRule="exact"/>
        </w:trPr>
        <w:tc>
          <w:tcPr>
            <w:tcW w:w="49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55" w:right="0"/>
              <w:jc w:val="left"/>
              <w:rPr>
                <w:rFonts w:ascii="宋体" w:hAnsi="宋体" w:cs="宋体" w:eastAsia="宋体" w:hint="default"/>
                <w:sz w:val="18"/>
                <w:szCs w:val="18"/>
              </w:rPr>
            </w:pPr>
            <w:r>
              <w:rPr>
                <w:rFonts w:ascii="宋体" w:hAnsi="宋体" w:cs="宋体" w:eastAsia="宋体" w:hint="default"/>
                <w:b/>
                <w:bCs/>
                <w:sz w:val="18"/>
                <w:szCs w:val="18"/>
              </w:rPr>
              <w:t>原列报报表项目及金额</w:t>
            </w:r>
            <w:r>
              <w:rPr>
                <w:rFonts w:ascii="宋体" w:hAnsi="宋体" w:cs="宋体" w:eastAsia="宋体" w:hint="default"/>
                <w:sz w:val="18"/>
                <w:szCs w:val="18"/>
              </w:rPr>
            </w:r>
          </w:p>
        </w:tc>
        <w:tc>
          <w:tcPr>
            <w:tcW w:w="49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556" w:right="0"/>
              <w:jc w:val="left"/>
              <w:rPr>
                <w:rFonts w:ascii="宋体" w:hAnsi="宋体" w:cs="宋体" w:eastAsia="宋体" w:hint="default"/>
                <w:sz w:val="18"/>
                <w:szCs w:val="18"/>
              </w:rPr>
            </w:pPr>
            <w:r>
              <w:rPr>
                <w:rFonts w:ascii="宋体" w:hAnsi="宋体" w:cs="宋体" w:eastAsia="宋体" w:hint="default"/>
                <w:b/>
                <w:bCs/>
                <w:sz w:val="18"/>
                <w:szCs w:val="18"/>
              </w:rPr>
              <w:t>新列报报表项目及金额</w:t>
            </w:r>
            <w:r>
              <w:rPr>
                <w:rFonts w:ascii="宋体" w:hAnsi="宋体" w:cs="宋体" w:eastAsia="宋体" w:hint="default"/>
                <w:sz w:val="18"/>
                <w:szCs w:val="18"/>
              </w:rPr>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287,353,223.73</w:t>
            </w: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90" w:right="0"/>
              <w:jc w:val="left"/>
              <w:rPr>
                <w:rFonts w:ascii="Times New Roman" w:hAnsi="Times New Roman" w:cs="Times New Roman" w:eastAsia="Times New Roman" w:hint="default"/>
                <w:sz w:val="18"/>
                <w:szCs w:val="18"/>
              </w:rPr>
            </w:pPr>
            <w:r>
              <w:rPr>
                <w:rFonts w:ascii="Times New Roman"/>
                <w:sz w:val="18"/>
              </w:rPr>
              <w:t>1,256,508,924.78</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969,155,701.05</w:t>
            </w: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316" w:right="0"/>
              <w:jc w:val="left"/>
              <w:rPr>
                <w:rFonts w:ascii="Times New Roman" w:hAnsi="Times New Roman" w:cs="Times New Roman" w:eastAsia="Times New Roman" w:hint="default"/>
                <w:sz w:val="18"/>
                <w:szCs w:val="18"/>
              </w:rPr>
            </w:pPr>
            <w:r>
              <w:rPr>
                <w:rFonts w:ascii="Times New Roman"/>
                <w:sz w:val="18"/>
              </w:rPr>
              <w:t>27,075,909.01</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18,973.15</w:t>
            </w:r>
          </w:p>
        </w:tc>
        <w:tc>
          <w:tcPr>
            <w:tcW w:w="2464" w:type="dxa"/>
            <w:vMerge/>
            <w:tcBorders>
              <w:left w:val="single" w:sz="4" w:space="0" w:color="000000"/>
              <w:right w:val="single" w:sz="4" w:space="0" w:color="000000"/>
            </w:tcBorders>
          </w:tcPr>
          <w:p>
            <w:pPr/>
          </w:p>
        </w:tc>
        <w:tc>
          <w:tcPr>
            <w:tcW w:w="2465" w:type="dxa"/>
            <w:vMerge/>
            <w:tcBorders>
              <w:left w:val="single" w:sz="4" w:space="0" w:color="000000"/>
              <w:right w:val="single" w:sz="4" w:space="0" w:color="000000"/>
            </w:tcBorders>
          </w:tcPr>
          <w:p>
            <w:pP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27,056,935.86</w:t>
            </w: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734,477,018.23</w:t>
            </w: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6" w:right="0"/>
              <w:jc w:val="left"/>
              <w:rPr>
                <w:rFonts w:ascii="Times New Roman" w:hAnsi="Times New Roman" w:cs="Times New Roman" w:eastAsia="Times New Roman" w:hint="default"/>
                <w:sz w:val="18"/>
                <w:szCs w:val="18"/>
              </w:rPr>
            </w:pPr>
            <w:r>
              <w:rPr>
                <w:rFonts w:ascii="Times New Roman"/>
                <w:sz w:val="18"/>
              </w:rPr>
              <w:t>734,477,018.23</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89,868,225.13</w:t>
            </w: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16" w:right="0"/>
              <w:jc w:val="left"/>
              <w:rPr>
                <w:rFonts w:ascii="Times New Roman" w:hAnsi="Times New Roman" w:cs="Times New Roman" w:eastAsia="Times New Roman" w:hint="default"/>
                <w:sz w:val="18"/>
                <w:szCs w:val="18"/>
              </w:rPr>
            </w:pPr>
            <w:r>
              <w:rPr>
                <w:rFonts w:ascii="Times New Roman"/>
                <w:sz w:val="18"/>
              </w:rPr>
              <w:t>89,868,225.13</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399,700,703.71</w:t>
            </w: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6" w:right="0"/>
              <w:jc w:val="left"/>
              <w:rPr>
                <w:rFonts w:ascii="Times New Roman" w:hAnsi="Times New Roman" w:cs="Times New Roman" w:eastAsia="Times New Roman" w:hint="default"/>
                <w:sz w:val="18"/>
                <w:szCs w:val="18"/>
              </w:rPr>
            </w:pPr>
            <w:r>
              <w:rPr>
                <w:rFonts w:ascii="Times New Roman"/>
                <w:sz w:val="18"/>
              </w:rPr>
              <w:t>724,381,353.36</w:t>
            </w: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324,680,649.65</w:t>
            </w: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1,561,295.49</w:t>
            </w:r>
          </w:p>
        </w:tc>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226" w:right="0"/>
              <w:jc w:val="left"/>
              <w:rPr>
                <w:rFonts w:ascii="Times New Roman" w:hAnsi="Times New Roman" w:cs="Times New Roman" w:eastAsia="Times New Roman" w:hint="default"/>
                <w:sz w:val="18"/>
                <w:szCs w:val="18"/>
              </w:rPr>
            </w:pPr>
            <w:r>
              <w:rPr>
                <w:rFonts w:ascii="Times New Roman"/>
                <w:sz w:val="18"/>
              </w:rPr>
              <w:t>101,767,540.81</w:t>
            </w:r>
          </w:p>
        </w:tc>
      </w:tr>
      <w:tr>
        <w:trPr>
          <w:trHeight w:val="32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64" w:type="dxa"/>
            <w:vMerge/>
            <w:tcBorders>
              <w:left w:val="single" w:sz="4" w:space="0" w:color="000000"/>
              <w:right w:val="single" w:sz="4" w:space="0" w:color="000000"/>
            </w:tcBorders>
          </w:tcPr>
          <w:p>
            <w:pPr/>
          </w:p>
        </w:tc>
        <w:tc>
          <w:tcPr>
            <w:tcW w:w="2465" w:type="dxa"/>
            <w:vMerge/>
            <w:tcBorders>
              <w:left w:val="single" w:sz="4" w:space="0" w:color="000000"/>
              <w:right w:val="single" w:sz="4" w:space="0" w:color="000000"/>
            </w:tcBorders>
          </w:tcPr>
          <w:p>
            <w:pPr/>
          </w:p>
        </w:tc>
      </w:tr>
      <w:tr>
        <w:trPr>
          <w:trHeight w:val="323"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100,206,245.32</w:t>
            </w:r>
          </w:p>
        </w:tc>
        <w:tc>
          <w:tcPr>
            <w:tcW w:w="2464" w:type="dxa"/>
            <w:vMerge/>
            <w:tcBorders>
              <w:left w:val="single" w:sz="4" w:space="0" w:color="000000"/>
              <w:bottom w:val="single" w:sz="4" w:space="0" w:color="000000"/>
              <w:right w:val="single" w:sz="4" w:space="0" w:color="000000"/>
            </w:tcBorders>
          </w:tcPr>
          <w:p>
            <w:pPr/>
          </w:p>
        </w:tc>
        <w:tc>
          <w:tcPr>
            <w:tcW w:w="2465" w:type="dxa"/>
            <w:vMerge/>
            <w:tcBorders>
              <w:left w:val="single" w:sz="4" w:space="0" w:color="000000"/>
              <w:bottom w:val="single" w:sz="4" w:space="0" w:color="000000"/>
              <w:right w:val="single" w:sz="4" w:space="0" w:color="000000"/>
            </w:tcBorders>
          </w:tcPr>
          <w:p>
            <w:pPr/>
          </w:p>
        </w:tc>
      </w:tr>
      <w:tr>
        <w:trPr>
          <w:trHeight w:val="322" w:hRule="exact"/>
        </w:trPr>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5" w:right="0"/>
              <w:jc w:val="left"/>
              <w:rPr>
                <w:rFonts w:ascii="Times New Roman" w:hAnsi="Times New Roman" w:cs="Times New Roman" w:eastAsia="Times New Roman" w:hint="default"/>
                <w:sz w:val="18"/>
                <w:szCs w:val="18"/>
              </w:rPr>
            </w:pPr>
            <w:r>
              <w:rPr>
                <w:rFonts w:ascii="Times New Roman"/>
                <w:sz w:val="18"/>
              </w:rPr>
              <w:t>504,538,477.42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362,252,291.44</w:t>
            </w:r>
          </w:p>
        </w:tc>
      </w:tr>
      <w:tr>
        <w:trPr>
          <w:trHeight w:val="322" w:hRule="exact"/>
        </w:trPr>
        <w:tc>
          <w:tcPr>
            <w:tcW w:w="2464" w:type="dxa"/>
            <w:vMerge/>
            <w:tcBorders>
              <w:left w:val="single" w:sz="4" w:space="0" w:color="000000"/>
              <w:bottom w:val="single" w:sz="4" w:space="0" w:color="000000"/>
              <w:right w:val="single" w:sz="4" w:space="0" w:color="000000"/>
            </w:tcBorders>
          </w:tcPr>
          <w:p>
            <w:pPr/>
          </w:p>
        </w:tc>
        <w:tc>
          <w:tcPr>
            <w:tcW w:w="2463" w:type="dxa"/>
            <w:vMerge/>
            <w:tcBorders>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142,286,185.98</w:t>
            </w:r>
          </w:p>
        </w:tc>
      </w:tr>
      <w:tr>
        <w:trPr>
          <w:trHeight w:val="323" w:hRule="exact"/>
        </w:trPr>
        <w:tc>
          <w:tcPr>
            <w:tcW w:w="24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255" w:right="0"/>
              <w:jc w:val="left"/>
              <w:rPr>
                <w:rFonts w:ascii="Times New Roman" w:hAnsi="Times New Roman" w:cs="Times New Roman" w:eastAsia="Times New Roman" w:hint="default"/>
                <w:sz w:val="18"/>
                <w:szCs w:val="18"/>
              </w:rPr>
            </w:pPr>
            <w:r>
              <w:rPr>
                <w:rFonts w:ascii="Times New Roman"/>
                <w:sz w:val="18"/>
              </w:rPr>
              <w:t>-44,270,285.62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-44,270,285.62</w:t>
            </w:r>
          </w:p>
        </w:tc>
      </w:tr>
      <w:tr>
        <w:trPr>
          <w:trHeight w:val="322" w:hRule="exact"/>
        </w:trPr>
        <w:tc>
          <w:tcPr>
            <w:tcW w:w="2464" w:type="dxa"/>
            <w:vMerge/>
            <w:tcBorders>
              <w:left w:val="single" w:sz="4" w:space="0" w:color="000000"/>
              <w:right w:val="single" w:sz="4" w:space="0" w:color="000000"/>
            </w:tcBorders>
          </w:tcPr>
          <w:p>
            <w:pPr/>
          </w:p>
        </w:tc>
        <w:tc>
          <w:tcPr>
            <w:tcW w:w="2463" w:type="dxa"/>
            <w:vMerge/>
            <w:tcBorders>
              <w:left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14,740,352.01</w:t>
            </w:r>
          </w:p>
        </w:tc>
      </w:tr>
      <w:tr>
        <w:trPr>
          <w:trHeight w:val="322" w:hRule="exact"/>
        </w:trPr>
        <w:tc>
          <w:tcPr>
            <w:tcW w:w="2464" w:type="dxa"/>
            <w:vMerge/>
            <w:tcBorders>
              <w:left w:val="single" w:sz="4" w:space="0" w:color="000000"/>
              <w:bottom w:val="single" w:sz="4" w:space="0" w:color="000000"/>
              <w:right w:val="single" w:sz="4" w:space="0" w:color="000000"/>
            </w:tcBorders>
          </w:tcPr>
          <w:p>
            <w:pPr/>
          </w:p>
        </w:tc>
        <w:tc>
          <w:tcPr>
            <w:tcW w:w="2463" w:type="dxa"/>
            <w:vMerge/>
            <w:tcBorders>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56,723,485.19</w:t>
            </w:r>
          </w:p>
        </w:tc>
      </w:tr>
    </w:tbl>
    <w:p>
      <w:pPr>
        <w:spacing w:line="240" w:lineRule="auto" w:before="2"/>
        <w:rPr>
          <w:rFonts w:ascii="宋体" w:hAnsi="宋体" w:cs="宋体" w:eastAsia="宋体" w:hint="default"/>
          <w:sz w:val="18"/>
          <w:szCs w:val="18"/>
        </w:rPr>
      </w:pPr>
    </w:p>
    <w:p>
      <w:pPr>
        <w:pStyle w:val="Heading4"/>
        <w:spacing w:line="240" w:lineRule="auto" w:before="26"/>
        <w:ind w:left="214" w:right="456"/>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4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公司报告期无重大会计差错更正需追溯重述的情况。</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1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详见第十一节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之八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0"/>
          <w:szCs w:val="20"/>
        </w:rPr>
      </w:pPr>
    </w:p>
    <w:p>
      <w:pPr>
        <w:pStyle w:val="Heading4"/>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792"/>
        <w:gridCol w:w="4778"/>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路清、刘玉显</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2"/>
        <w:ind w:right="11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2016</w:t>
      </w:r>
      <w:r>
        <w:rPr/>
        <w:t>年度，公司因重大资产重组事项，聘请广发证券股份有限公司为公司的独立财务顾问，期间共支付财务顾问费用</w:t>
      </w:r>
      <w:r>
        <w:rPr>
          <w:rFonts w:ascii="Times New Roman" w:hAnsi="Times New Roman" w:cs="Times New Roman" w:eastAsia="Times New Roman" w:hint="default"/>
        </w:rPr>
        <w:t>1,380 </w:t>
      </w:r>
      <w:r>
        <w:rPr/>
        <w:t>万元。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联动优势电子商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联动商务违反了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宋体" w:hAnsi="宋体" w:cs="宋体" w:eastAsia="宋体" w:hint="default"/>
                <w:sz w:val="18"/>
                <w:szCs w:val="18"/>
              </w:rPr>
            </w:pPr>
            <w:r>
              <w:rPr>
                <w:rFonts w:ascii="宋体" w:hAnsi="宋体" w:cs="宋体" w:eastAsia="宋体" w:hint="default"/>
                <w:sz w:val="18"/>
                <w:szCs w:val="18"/>
              </w:rPr>
              <w:t>中国人民银行营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136"/>
        <w:jc w:val="right"/>
      </w:pPr>
      <w:r>
        <w:rPr/>
        <w:pict>
          <v:shape style="position:absolute;margin-left:255.919998pt;margin-top:-138.808304pt;width:74.1pt;height:251.7pt;mso-position-horizontal-relative:page;mso-position-vertical-relative:paragraph;z-index:-1708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0" w:right="0"/>
                    <w:jc w:val="left"/>
                  </w:pPr>
                  <w:r>
                    <w:rPr/>
                    <w:t>。</w:t>
                  </w:r>
                </w:p>
              </w:txbxContent>
            </v:textbox>
            <w10:wrap type="none"/>
          </v:shape>
        </w:pict>
      </w:r>
      <w:r>
        <w:rPr/>
        <w:pict>
          <v:group style="position:absolute;margin-left:262.119995pt;margin-top:-138.808304pt;width:67.9pt;height:251.7pt;mso-position-horizontal-relative:page;mso-position-vertical-relative:paragraph;z-index:1504" coordorigin="5242,-2776" coordsize="1358,5034">
            <v:shape style="position:absolute;left:5242;top:-2776;width:1358;height:5034" coordorigin="5242,-2776" coordsize="1358,5034" path="m5242,2257l6600,2257,6600,-2776,5242,-2776,5242,2257xe" filled="true" fillcolor="#ffffff" stroked="false">
              <v:path arrowok="t"/>
              <v:fill type="solid"/>
            </v:shape>
            <w10:wrap type="none"/>
          </v:group>
        </w:pict>
      </w:r>
      <w:r>
        <w:rPr/>
        <w:pict>
          <v:shape style="position:absolute;margin-left:56.459999pt;margin-top:-139.2883pt;width:479.35pt;height:252.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18"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《中华人民共和</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业管理部依据</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1"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国中国人民银行</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《中华人民共和</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《中华人民</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国中国人民银行</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巨</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共和国反洗钱</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《非金融机</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7"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《非金融机</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构支付服务管理</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构支付服务管理</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办法》等法律法</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nfo.com.cn</w:t>
                        </w:r>
                        <w:r>
                          <w:rPr>
                            <w:rFonts w:ascii="宋体" w:hAnsi="宋体" w:cs="宋体" w:eastAsia="宋体" w:hint="default"/>
                            <w:spacing w:val="-90"/>
                            <w:w w:val="99"/>
                            <w:sz w:val="18"/>
                            <w:szCs w:val="18"/>
                          </w:rPr>
                          <w:t>）</w:t>
                        </w:r>
                        <w:r>
                          <w:rPr>
                            <w:rFonts w:ascii="宋体" w:hAnsi="宋体" w:cs="宋体" w:eastAsia="宋体" w:hint="default"/>
                            <w:spacing w:val="-2"/>
                            <w:w w:val="99"/>
                            <w:sz w:val="18"/>
                            <w:szCs w:val="18"/>
                          </w:rPr>
                          <w:t>《</w:t>
                        </w:r>
                        <w:r>
                          <w:rPr>
                            <w:rFonts w:ascii="宋体" w:hAnsi="宋体" w:cs="宋体" w:eastAsia="宋体" w:hint="default"/>
                            <w:w w:val="99"/>
                            <w:sz w:val="18"/>
                            <w:szCs w:val="18"/>
                          </w:rPr>
                          <w:t>关</w:t>
                        </w:r>
                        <w:r>
                          <w:rPr>
                            <w:rFonts w:ascii="宋体" w:hAnsi="宋体" w:cs="宋体" w:eastAsia="宋体" w:hint="default"/>
                            <w:sz w:val="18"/>
                            <w:szCs w:val="18"/>
                          </w:rPr>
                        </w:r>
                      </w:p>
                    </w:tc>
                  </w:tr>
                  <w:tr>
                    <w:trPr>
                      <w:trHeight w:val="307"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办法</w:t>
                        </w:r>
                        <w:r>
                          <w:rPr>
                            <w:rFonts w:ascii="宋体" w:hAnsi="宋体" w:cs="宋体" w:eastAsia="宋体" w:hint="default"/>
                            <w:spacing w:val="-90"/>
                            <w:sz w:val="18"/>
                            <w:szCs w:val="18"/>
                          </w:rPr>
                          <w:t>》、</w:t>
                        </w:r>
                        <w:r>
                          <w:rPr>
                            <w:rFonts w:ascii="宋体" w:hAnsi="宋体" w:cs="宋体" w:eastAsia="宋体" w:hint="default"/>
                            <w:sz w:val="18"/>
                            <w:szCs w:val="18"/>
                          </w:rPr>
                          <w:t>《银行卡</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规，对联动优势</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于全资子公司收</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收单业务管理办</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电子商务有限公</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到行政处罚决定</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《非银行支</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司予以警告，并</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书的公告</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w:t>
                        </w:r>
                      </w:p>
                    </w:tc>
                  </w:tr>
                  <w:tr>
                    <w:trPr>
                      <w:trHeight w:val="318"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付机构网络支付</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罚没合计人民币</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2018-079</w:t>
                        </w: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16"/>
                          <w:jc w:val="left"/>
                          <w:rPr>
                            <w:rFonts w:ascii="宋体" w:hAnsi="宋体" w:cs="宋体" w:eastAsia="宋体" w:hint="default"/>
                            <w:sz w:val="18"/>
                            <w:szCs w:val="18"/>
                          </w:rPr>
                        </w:pPr>
                        <w:r>
                          <w:rPr>
                            <w:rFonts w:ascii="宋体" w:hAnsi="宋体" w:cs="宋体" w:eastAsia="宋体" w:hint="default"/>
                            <w:sz w:val="18"/>
                            <w:szCs w:val="18"/>
                          </w:rPr>
                          <w:t>业务管理办法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24,248,371.28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《国务院办公厅</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关于印发互联网</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金融风险专项整</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0"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治实施方案的通</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知》等有关规定</w:t>
                        </w:r>
                      </w:p>
                    </w:tc>
                    <w:tc>
                      <w:tcPr>
                        <w:tcW w:w="1367"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整改情况说明</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联动优势电子商务有限公司已经针对违规问题开展自查，并完成整改工作，后续将积极落实各项监管要求，加强商户审</w:t>
      </w:r>
    </w:p>
    <w:p>
      <w:pPr>
        <w:pStyle w:val="BodyText"/>
        <w:spacing w:line="240" w:lineRule="auto" w:before="2"/>
        <w:ind w:right="0"/>
        <w:jc w:val="left"/>
      </w:pPr>
      <w:r>
        <w:rPr/>
        <w:t>核及日常监控工作，完善风险合规相关管理制度，完善客户服务制度和流程，维护消费者合法权益。</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spacing w:line="304" w:lineRule="auto" w:before="0"/>
        <w:ind w:left="154" w:right="1118"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20"/>
          <w:szCs w:val="20"/>
        </w:rPr>
        <w:t>报告期内，公司及其控股股东、实际控制人不存在未履行法院生效判决、所负数额较大的债务到期未清偿等情</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况。</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2"/>
        <w:ind w:right="1117"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日，公司召开的第三届董事会第三十三次（临时）会议审议通过了《关于公司</w:t>
      </w:r>
      <w:r>
        <w:rPr>
          <w:rFonts w:ascii="Times New Roman" w:hAnsi="Times New Roman" w:cs="Times New Roman" w:eastAsia="Times New Roman" w:hint="default"/>
        </w:rPr>
        <w:t>&lt;2018</w:t>
      </w:r>
      <w:r>
        <w:rPr/>
        <w:t>年限制性股票激 </w:t>
      </w:r>
      <w:r>
        <w:rPr>
          <w:spacing w:val="-1"/>
        </w:rPr>
        <w:t>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&lt;2018</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的议案》、《关于提请股</w:t>
      </w:r>
      <w:r>
        <w:rPr>
          <w:spacing w:val="-63"/>
        </w:rPr>
        <w:t> </w:t>
      </w:r>
      <w:r>
        <w:rPr>
          <w:spacing w:val="-63"/>
        </w:rPr>
      </w:r>
      <w:r>
        <w:rPr>
          <w:spacing w:val="-2"/>
        </w:rPr>
        <w:t>东大会授权董事会办理限制性股票激励计划相关事宜的议案》，监事会对公司本激励计划的激励对象名单进行了核实，并发</w:t>
      </w:r>
      <w:r>
        <w:rPr>
          <w:spacing w:val="-66"/>
        </w:rPr>
        <w:t> </w:t>
      </w:r>
      <w:r>
        <w:rPr>
          <w:spacing w:val="-66"/>
        </w:rPr>
      </w:r>
      <w:r>
        <w:rPr>
          <w:spacing w:val="-2"/>
        </w:rPr>
        <w:t>表了核查意见。公司独立董事对此发表了独立意见。上海市联合律师事务所出具了法律意见书。详细信息见公司于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12</w:t>
      </w:r>
      <w:r>
        <w:rPr/>
        <w:t>日披露于《证券时报》、《上海证券报》、《中国证券报》、《证券日报》、巨潮资讯网（</w:t>
      </w:r>
      <w:hyperlink r:id="rId13">
        <w:r>
          <w:rPr>
            <w:rFonts w:ascii="Times New Roman" w:hAnsi="Times New Roman" w:cs="Times New Roman" w:eastAsia="Times New Roman" w:hint="default"/>
          </w:rPr>
          <w:t>http://www.cninfo.com.cn</w:t>
        </w:r>
      </w:hyperlink>
      <w:r>
        <w:rPr/>
        <w:t>）</w:t>
      </w:r>
    </w:p>
    <w:p>
      <w:pPr>
        <w:pStyle w:val="BodyText"/>
        <w:spacing w:line="300" w:lineRule="auto" w:before="9"/>
        <w:ind w:right="1132"/>
        <w:jc w:val="left"/>
      </w:pPr>
      <w:r>
        <w:rPr>
          <w:spacing w:val="-2"/>
        </w:rPr>
        <w:t>《</w:t>
      </w:r>
      <w:r>
        <w:rPr>
          <w:rFonts w:ascii="Times New Roman" w:hAnsi="Times New Roman" w:cs="Times New Roman" w:eastAsia="Times New Roman" w:hint="default"/>
          <w:spacing w:val="-2"/>
        </w:rPr>
        <w:t>2018</w:t>
      </w:r>
      <w:r>
        <w:rPr>
          <w:spacing w:val="-2"/>
        </w:rPr>
        <w:t>年限制性股票激励计划（草案）》及摘要、《</w:t>
      </w:r>
      <w:r>
        <w:rPr>
          <w:rFonts w:ascii="Times New Roman" w:hAnsi="Times New Roman" w:cs="Times New Roman" w:eastAsia="Times New Roman" w:hint="default"/>
          <w:spacing w:val="-2"/>
        </w:rPr>
        <w:t>2018</w:t>
      </w:r>
      <w:r>
        <w:rPr>
          <w:spacing w:val="-2"/>
        </w:rPr>
        <w:t>年限制性股票激励计划实施考核管理办法》、《第三届董事会第三</w:t>
      </w:r>
      <w:r>
        <w:rPr>
          <w:spacing w:val="-59"/>
        </w:rPr>
        <w:t> </w:t>
      </w:r>
      <w:r>
        <w:rPr>
          <w:spacing w:val="-59"/>
        </w:rPr>
      </w:r>
      <w:r>
        <w:rPr/>
        <w:t>十三次（临时）会议决议公告》（公告编号：</w:t>
      </w:r>
      <w:r>
        <w:rPr>
          <w:rFonts w:ascii="Times New Roman" w:hAnsi="Times New Roman" w:cs="Times New Roman" w:eastAsia="Times New Roman" w:hint="default"/>
        </w:rPr>
        <w:t>2018-112</w:t>
      </w:r>
      <w:r>
        <w:rPr/>
        <w:t>）。</w:t>
      </w:r>
    </w:p>
    <w:p>
      <w:pPr>
        <w:pStyle w:val="BodyText"/>
        <w:spacing w:line="300" w:lineRule="auto" w:before="13"/>
        <w:ind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日，公司召开的</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年第三次临时股东大会审议通过了《关于公司</w:t>
      </w:r>
      <w:r>
        <w:rPr>
          <w:rFonts w:ascii="Times New Roman" w:hAnsi="Times New Roman" w:cs="Times New Roman" w:eastAsia="Times New Roman" w:hint="default"/>
        </w:rPr>
        <w:t>&lt;2018</w:t>
      </w:r>
      <w:r>
        <w:rPr/>
        <w:t>年限制性股票激励计划（草 </w:t>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&lt;2018</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的议案》以及《关于提请公司股东大</w:t>
      </w:r>
      <w:r>
        <w:rPr>
          <w:spacing w:val="-62"/>
        </w:rPr>
        <w:t> </w:t>
      </w:r>
      <w:r>
        <w:rPr>
          <w:spacing w:val="-62"/>
        </w:rPr>
      </w:r>
      <w:r>
        <w:rPr>
          <w:spacing w:val="-2"/>
        </w:rPr>
        <w:t>会授权董事会办理限制性股票激励计划相关事宜的议案》。详细信息见公司于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日披露于《证券时报》、《上海</w:t>
      </w:r>
      <w:r>
        <w:rPr>
          <w:spacing w:val="-59"/>
        </w:rPr>
        <w:t> </w:t>
      </w:r>
      <w:r>
        <w:rPr>
          <w:spacing w:val="-59"/>
        </w:rPr>
      </w:r>
      <w:r>
        <w:rPr>
          <w:spacing w:val="-2"/>
        </w:rPr>
        <w:t>证券报》、《中国证券报》、《证券日报》、巨潮资讯网（</w:t>
      </w:r>
      <w:hyperlink r:id="rId13">
        <w:r>
          <w:rPr>
            <w:rFonts w:ascii="Times New Roman" w:hAnsi="Times New Roman" w:cs="Times New Roman" w:eastAsia="Times New Roman" w:hint="default"/>
            <w:spacing w:val="-2"/>
          </w:rPr>
          <w:t>http://www.cninfo.com.cn</w:t>
        </w:r>
      </w:hyperlink>
      <w:r>
        <w:rPr>
          <w:spacing w:val="-2"/>
        </w:rPr>
        <w:t>）《</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3"/>
        </w:rPr>
        <w:t> </w:t>
      </w:r>
      <w:r>
        <w:rPr>
          <w:spacing w:val="-1"/>
        </w:rPr>
        <w:t>年第三次临时股东大会决议公</w:t>
      </w:r>
      <w:r>
        <w:rPr>
          <w:spacing w:val="-82"/>
        </w:rPr>
        <w:t> </w:t>
      </w:r>
      <w:r>
        <w:rPr>
          <w:spacing w:val="-82"/>
        </w:rPr>
      </w:r>
      <w:r>
        <w:rPr/>
        <w:t>告》（公告编号：</w:t>
      </w:r>
      <w:r>
        <w:rPr>
          <w:rFonts w:ascii="Times New Roman" w:hAnsi="Times New Roman" w:cs="Times New Roman" w:eastAsia="Times New Roman" w:hint="default"/>
        </w:rPr>
        <w:t>2018-132</w:t>
      </w:r>
      <w:r>
        <w:rPr/>
        <w:t>）。</w:t>
      </w:r>
    </w:p>
    <w:p>
      <w:pPr>
        <w:pStyle w:val="BodyText"/>
        <w:spacing w:line="300" w:lineRule="auto" w:before="13"/>
        <w:ind w:right="1121" w:firstLine="360"/>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7</w:t>
      </w:r>
      <w:r>
        <w:rPr>
          <w:spacing w:val="-5"/>
        </w:rPr>
        <w:t>日，公司召开的第四届董事会第二次（临时）会议和第四届监事会第二次（临时）会议，审议通过了《关</w:t>
      </w:r>
      <w:r>
        <w:rPr/>
        <w:t> 于调整</w:t>
      </w:r>
      <w:r>
        <w:rPr>
          <w:spacing w:val="-44"/>
        </w:rPr>
        <w:t> </w:t>
      </w:r>
      <w:r>
        <w:rPr>
          <w:rFonts w:ascii="Times New Roman" w:hAnsi="Times New Roman" w:cs="Times New Roman" w:eastAsia="Times New Roman" w:hint="default"/>
        </w:rPr>
        <w:t>2018 </w:t>
      </w:r>
      <w:r>
        <w:rPr/>
        <w:t>年限制性股票激励计划相关事项的议案》和《关于向激励对象授予限制性股票的议案》，公司独立董事对本次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jc w:val="both"/>
      </w:pPr>
      <w:r>
        <w:rPr>
          <w:spacing w:val="-2"/>
        </w:rPr>
        <w:t>限制性股票激励计划调整及授予相关事项发表了独立意见，公司监事会亦发表了核查意见，上海市联合律师事务所出具了法</w:t>
      </w:r>
      <w:r>
        <w:rPr>
          <w:spacing w:val="-64"/>
        </w:rPr>
        <w:t> </w:t>
      </w:r>
      <w:r>
        <w:rPr>
          <w:spacing w:val="-64"/>
        </w:rPr>
      </w:r>
      <w:r>
        <w:rPr/>
        <w:t>律意见书。详细信息见公司于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日披露于《证券时报》、《上海证券报》、《中国证券报》、《证券日报》、巨 </w:t>
      </w:r>
      <w:r>
        <w:rPr>
          <w:spacing w:val="-3"/>
        </w:rPr>
        <w:t>潮资讯网（</w:t>
      </w:r>
      <w:hyperlink r:id="rId13">
        <w:r>
          <w:rPr>
            <w:rFonts w:ascii="Times New Roman" w:hAnsi="Times New Roman" w:cs="Times New Roman" w:eastAsia="Times New Roman" w:hint="default"/>
            <w:spacing w:val="-3"/>
          </w:rPr>
          <w:t>http://www.cninfo.com.cn</w:t>
        </w:r>
      </w:hyperlink>
      <w:r>
        <w:rPr>
          <w:spacing w:val="-3"/>
        </w:rPr>
        <w:t>）《关于调整</w:t>
      </w:r>
      <w:r>
        <w:rPr>
          <w:rFonts w:ascii="Times New Roman" w:hAnsi="Times New Roman" w:cs="Times New Roman" w:eastAsia="Times New Roman" w:hint="default"/>
          <w:spacing w:val="-3"/>
        </w:rPr>
        <w:t>2018</w:t>
      </w:r>
      <w:r>
        <w:rPr>
          <w:spacing w:val="-3"/>
        </w:rPr>
        <w:t>年限制性股票激励计划相关事项公告》（公告编号：</w:t>
      </w:r>
      <w:r>
        <w:rPr>
          <w:rFonts w:ascii="Times New Roman" w:hAnsi="Times New Roman" w:cs="Times New Roman" w:eastAsia="Times New Roman" w:hint="default"/>
          <w:spacing w:val="-3"/>
        </w:rPr>
        <w:t>2018-152</w:t>
      </w:r>
      <w:r>
        <w:rPr>
          <w:spacing w:val="-3"/>
        </w:rPr>
        <w:t>）、《关</w:t>
      </w:r>
      <w:r>
        <w:rPr>
          <w:spacing w:val="-23"/>
        </w:rPr>
        <w:t> </w:t>
      </w:r>
      <w:r>
        <w:rPr>
          <w:spacing w:val="-23"/>
        </w:rPr>
      </w:r>
      <w:r>
        <w:rPr/>
        <w:t>于向激励对象授予限制性股票的公告》（公告编号：</w:t>
      </w:r>
      <w:r>
        <w:rPr>
          <w:rFonts w:ascii="Times New Roman" w:hAnsi="Times New Roman" w:cs="Times New Roman" w:eastAsia="Times New Roman" w:hint="default"/>
        </w:rPr>
        <w:t>2018-153</w:t>
      </w:r>
      <w:r>
        <w:rPr/>
        <w:t>）。</w:t>
      </w:r>
    </w:p>
    <w:p>
      <w:pPr>
        <w:pStyle w:val="BodyText"/>
        <w:spacing w:line="300" w:lineRule="auto" w:before="7"/>
        <w:ind w:right="1135"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日，公司完成了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年限制性股票激励计划授予登记工作。详细信息见公司于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日披露 于《证券时报》、《上海证券报》、《中国证券报》、《证券日报》、巨潮资讯网（</w:t>
      </w:r>
      <w:hyperlink r:id="rId13">
        <w:r>
          <w:rPr>
            <w:rFonts w:ascii="Times New Roman" w:hAnsi="Times New Roman" w:cs="Times New Roman" w:eastAsia="Times New Roman" w:hint="default"/>
          </w:rPr>
          <w:t>http://www.cninfo.com.cn</w:t>
        </w:r>
      </w:hyperlink>
      <w:r>
        <w:rPr/>
        <w:t>）《关于限制 性股票授予登记完成的公告》（公告编号：</w:t>
      </w:r>
      <w:r>
        <w:rPr>
          <w:rFonts w:ascii="Times New Roman" w:hAnsi="Times New Roman" w:cs="Times New Roman" w:eastAsia="Times New Roman" w:hint="default"/>
        </w:rPr>
        <w:t>2018-161</w:t>
      </w:r>
      <w:r>
        <w:rPr/>
        <w:t>）。</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847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中国银联 股份有限 公司（含 其子公 司、分公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6" w:right="0"/>
              <w:jc w:val="left"/>
              <w:rPr>
                <w:rFonts w:ascii="Times New Roman" w:hAnsi="Times New Roman" w:cs="Times New Roman" w:eastAsia="Times New Roman" w:hint="default"/>
                <w:sz w:val="18"/>
                <w:szCs w:val="18"/>
              </w:rPr>
            </w:pPr>
            <w:r>
              <w:rPr>
                <w:rFonts w:ascii="Times New Roman"/>
                <w:sz w:val="18"/>
              </w:rPr>
              <w:t>71.61%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中国银 联及银 联商务 日常关 联交易 的公告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314" w:lineRule="auto" w:before="63"/>
              <w:ind w:left="22" w:right="67"/>
              <w:jc w:val="both"/>
              <w:rPr>
                <w:rFonts w:ascii="宋体" w:hAnsi="宋体" w:cs="宋体" w:eastAsia="宋体" w:hint="default"/>
                <w:sz w:val="18"/>
                <w:szCs w:val="18"/>
              </w:rPr>
            </w:pPr>
            <w:r>
              <w:rPr>
                <w:rFonts w:ascii="Times New Roman" w:hAnsi="Times New Roman" w:cs="Times New Roman" w:eastAsia="Times New Roman" w:hint="default"/>
                <w:spacing w:val="-30"/>
                <w:w w:val="99"/>
                <w:sz w:val="18"/>
                <w:szCs w:val="18"/>
              </w:rPr>
              <w:t>-040</w:t>
            </w:r>
            <w:r>
              <w:rPr>
                <w:rFonts w:ascii="宋体" w:hAnsi="宋体" w:cs="宋体" w:eastAsia="宋体" w:hint="default"/>
                <w:spacing w:val="-30"/>
                <w:w w:val="99"/>
                <w:sz w:val="18"/>
                <w:szCs w:val="18"/>
              </w:rPr>
              <w:t>）、</w:t>
            </w:r>
            <w:r>
              <w:rPr>
                <w:rFonts w:ascii="宋体" w:hAnsi="宋体" w:cs="宋体" w:eastAsia="宋体" w:hint="default"/>
                <w:spacing w:val="-90"/>
                <w:w w:val="99"/>
                <w:sz w:val="18"/>
                <w:szCs w:val="18"/>
              </w:rPr>
              <w:t> </w:t>
            </w:r>
            <w:r>
              <w:rPr>
                <w:rFonts w:ascii="宋体" w:hAnsi="宋体" w:cs="宋体" w:eastAsia="宋体" w:hint="default"/>
                <w:sz w:val="18"/>
                <w:szCs w:val="18"/>
              </w:rPr>
              <w:t>关于公</w:t>
            </w:r>
            <w:r>
              <w:rPr>
                <w:rFonts w:ascii="宋体" w:hAnsi="宋体" w:cs="宋体" w:eastAsia="宋体" w:hint="default"/>
                <w:w w:val="99"/>
                <w:sz w:val="18"/>
                <w:szCs w:val="18"/>
              </w:rPr>
              <w:t> </w:t>
            </w:r>
            <w:r>
              <w:rPr>
                <w:rFonts w:ascii="宋体" w:hAnsi="宋体" w:cs="宋体" w:eastAsia="宋体" w:hint="default"/>
                <w:sz w:val="18"/>
                <w:szCs w:val="18"/>
              </w:rPr>
              <w:t>司全资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与中国</w:t>
            </w:r>
            <w:r>
              <w:rPr>
                <w:rFonts w:ascii="宋体" w:hAnsi="宋体" w:cs="宋体" w:eastAsia="宋体" w:hint="default"/>
                <w:w w:val="99"/>
                <w:sz w:val="18"/>
                <w:szCs w:val="18"/>
              </w:rPr>
              <w:t> </w:t>
            </w:r>
            <w:r>
              <w:rPr>
                <w:rFonts w:ascii="宋体" w:hAnsi="宋体" w:cs="宋体" w:eastAsia="宋体" w:hint="default"/>
                <w:sz w:val="18"/>
                <w:szCs w:val="18"/>
              </w:rPr>
              <w:t>银联及</w:t>
            </w:r>
            <w:r>
              <w:rPr>
                <w:rFonts w:ascii="宋体" w:hAnsi="宋体" w:cs="宋体" w:eastAsia="宋体" w:hint="default"/>
                <w:w w:val="99"/>
                <w:sz w:val="18"/>
                <w:szCs w:val="18"/>
              </w:rPr>
              <w:t> </w:t>
            </w:r>
            <w:r>
              <w:rPr>
                <w:rFonts w:ascii="宋体" w:hAnsi="宋体" w:cs="宋体" w:eastAsia="宋体" w:hint="default"/>
                <w:sz w:val="18"/>
                <w:szCs w:val="18"/>
              </w:rPr>
              <w:t>银联商</w:t>
            </w:r>
          </w:p>
        </w:tc>
      </w:tr>
    </w:tbl>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务日常 交易的 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-037</w:t>
            </w:r>
            <w:r>
              <w:rPr>
                <w:rFonts w:ascii="宋体" w:hAnsi="宋体" w:cs="宋体" w:eastAsia="宋体" w:hint="default"/>
                <w:sz w:val="18"/>
                <w:szCs w:val="18"/>
              </w:rPr>
              <w:t>）</w:t>
            </w:r>
          </w:p>
        </w:tc>
      </w:tr>
      <w:tr>
        <w:trPr>
          <w:trHeight w:val="664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81.91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4" w:right="0"/>
              <w:jc w:val="center"/>
              <w:rPr>
                <w:rFonts w:ascii="Times New Roman" w:hAnsi="Times New Roman" w:cs="Times New Roman" w:eastAsia="Times New Roman" w:hint="default"/>
                <w:sz w:val="18"/>
                <w:szCs w:val="18"/>
              </w:rPr>
            </w:pPr>
            <w:r>
              <w:rPr>
                <w:rFonts w:ascii="Times New Roman"/>
                <w:sz w:val="18"/>
              </w:rPr>
              <w:t>0.30%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中国银 联及银 联商务 日常交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-037</w:t>
            </w:r>
            <w:r>
              <w:rPr>
                <w:rFonts w:ascii="宋体" w:hAnsi="宋体" w:cs="宋体" w:eastAsia="宋体" w:hint="default"/>
                <w:sz w:val="18"/>
                <w:szCs w:val="18"/>
              </w:rPr>
              <w:t>）</w:t>
            </w:r>
          </w:p>
        </w:tc>
      </w:tr>
      <w:tr>
        <w:trPr>
          <w:trHeight w:val="566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p>
            <w:pPr>
              <w:pStyle w:val="TableParagraph"/>
              <w:spacing w:line="319" w:lineRule="auto" w:before="19"/>
              <w:ind w:left="22" w:right="46"/>
              <w:jc w:val="both"/>
              <w:rPr>
                <w:rFonts w:ascii="宋体" w:hAnsi="宋体" w:cs="宋体" w:eastAsia="宋体" w:hint="default"/>
                <w:sz w:val="18"/>
                <w:szCs w:val="18"/>
              </w:rPr>
            </w:pPr>
            <w:r>
              <w:rPr>
                <w:rFonts w:ascii="宋体" w:hAnsi="宋体" w:cs="宋体" w:eastAsia="宋体" w:hint="default"/>
                <w:sz w:val="18"/>
                <w:szCs w:val="18"/>
              </w:rPr>
              <w:t>（含子公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通道服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于关于 公司全 资子公 司与北 京创世 漫道科 技有限 公司日</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常关联 交易的 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104"/>
              <w:ind w:left="22" w:right="0"/>
              <w:jc w:val="both"/>
              <w:rPr>
                <w:rFonts w:ascii="Times New Roman" w:hAnsi="Times New Roman" w:cs="Times New Roman" w:eastAsia="Times New Roman" w:hint="default"/>
                <w:sz w:val="18"/>
                <w:szCs w:val="18"/>
              </w:rPr>
            </w:pPr>
            <w:r>
              <w:rPr>
                <w:rFonts w:ascii="Times New Roman"/>
                <w:sz w:val="18"/>
              </w:rPr>
              <w:t>-038</w:t>
            </w:r>
          </w:p>
        </w:tc>
      </w:tr>
      <w:tr>
        <w:trPr>
          <w:trHeight w:val="664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中国银联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东方及 其子公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87.92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中国银 联及银 联商务 日常交 易的公 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-037</w:t>
            </w:r>
            <w:r>
              <w:rPr>
                <w:rFonts w:ascii="宋体" w:hAnsi="宋体" w:cs="宋体" w:eastAsia="宋体" w:hint="default"/>
                <w:sz w:val="18"/>
                <w:szCs w:val="18"/>
              </w:rPr>
              <w:t>）</w:t>
            </w:r>
          </w:p>
        </w:tc>
      </w:tr>
      <w:tr>
        <w:trPr>
          <w:trHeight w:val="566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中诚信征 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董事吴 鹰先生 在中诚 信任董 事职务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中国证 券报、 上海证 券报、 证券时 报、证 券日报 及巨潮 资讯网 上的关 于公司 全资子 公司与 中诚信 征信有 限公司 日常关 联交易</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473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的公告</w:t>
            </w:r>
          </w:p>
          <w:p>
            <w:pPr>
              <w:pStyle w:val="TableParagraph"/>
              <w:spacing w:line="240" w:lineRule="auto" w:before="76"/>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6" w:lineRule="auto" w:before="63"/>
              <w:ind w:left="22" w:right="67"/>
              <w:jc w:val="both"/>
              <w:rPr>
                <w:rFonts w:ascii="宋体" w:hAnsi="宋体" w:cs="宋体" w:eastAsia="宋体" w:hint="default"/>
                <w:sz w:val="18"/>
                <w:szCs w:val="18"/>
              </w:rPr>
            </w:pPr>
            <w:r>
              <w:rPr>
                <w:rFonts w:ascii="Times New Roman" w:hAnsi="Times New Roman" w:cs="Times New Roman" w:eastAsia="Times New Roman" w:hint="default"/>
                <w:spacing w:val="-30"/>
                <w:w w:val="99"/>
                <w:sz w:val="18"/>
                <w:szCs w:val="18"/>
              </w:rPr>
              <w:t>-039</w:t>
            </w:r>
            <w:r>
              <w:rPr>
                <w:rFonts w:ascii="宋体" w:hAnsi="宋体" w:cs="宋体" w:eastAsia="宋体" w:hint="default"/>
                <w:spacing w:val="-30"/>
                <w:w w:val="99"/>
                <w:sz w:val="18"/>
                <w:szCs w:val="18"/>
              </w:rPr>
              <w:t>）、</w:t>
            </w:r>
            <w:r>
              <w:rPr>
                <w:rFonts w:ascii="宋体" w:hAnsi="宋体" w:cs="宋体" w:eastAsia="宋体" w:hint="default"/>
                <w:spacing w:val="-90"/>
                <w:w w:val="99"/>
                <w:sz w:val="18"/>
                <w:szCs w:val="18"/>
              </w:rPr>
              <w:t> </w:t>
            </w:r>
            <w:r>
              <w:rPr>
                <w:rFonts w:ascii="宋体" w:hAnsi="宋体" w:cs="宋体" w:eastAsia="宋体" w:hint="default"/>
                <w:sz w:val="18"/>
                <w:szCs w:val="18"/>
              </w:rPr>
              <w:t>关于增</w:t>
            </w:r>
            <w:r>
              <w:rPr>
                <w:rFonts w:ascii="宋体" w:hAnsi="宋体" w:cs="宋体" w:eastAsia="宋体" w:hint="default"/>
                <w:w w:val="99"/>
                <w:sz w:val="18"/>
                <w:szCs w:val="18"/>
              </w:rPr>
              <w:t> </w:t>
            </w:r>
            <w:r>
              <w:rPr>
                <w:rFonts w:ascii="宋体" w:hAnsi="宋体" w:cs="宋体" w:eastAsia="宋体" w:hint="default"/>
                <w:sz w:val="18"/>
                <w:szCs w:val="18"/>
              </w:rPr>
              <w:t>加全资</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与中诚</w:t>
            </w:r>
            <w:r>
              <w:rPr>
                <w:rFonts w:ascii="宋体" w:hAnsi="宋体" w:cs="宋体" w:eastAsia="宋体" w:hint="default"/>
                <w:w w:val="99"/>
                <w:sz w:val="18"/>
                <w:szCs w:val="18"/>
              </w:rPr>
              <w:t> </w:t>
            </w:r>
            <w:r>
              <w:rPr>
                <w:rFonts w:ascii="宋体" w:hAnsi="宋体" w:cs="宋体" w:eastAsia="宋体" w:hint="default"/>
                <w:sz w:val="18"/>
                <w:szCs w:val="18"/>
              </w:rPr>
              <w:t>信征信</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司日常</w:t>
            </w:r>
            <w:r>
              <w:rPr>
                <w:rFonts w:ascii="宋体" w:hAnsi="宋体" w:cs="宋体" w:eastAsia="宋体" w:hint="default"/>
                <w:w w:val="99"/>
                <w:sz w:val="18"/>
                <w:szCs w:val="18"/>
              </w:rPr>
              <w:t> </w:t>
            </w:r>
            <w:r>
              <w:rPr>
                <w:rFonts w:ascii="宋体" w:hAnsi="宋体" w:cs="宋体" w:eastAsia="宋体" w:hint="default"/>
                <w:sz w:val="18"/>
                <w:szCs w:val="18"/>
              </w:rPr>
              <w:t>关联交</w:t>
            </w:r>
            <w:r>
              <w:rPr>
                <w:rFonts w:ascii="宋体" w:hAnsi="宋体" w:cs="宋体" w:eastAsia="宋体" w:hint="default"/>
                <w:w w:val="99"/>
                <w:sz w:val="18"/>
                <w:szCs w:val="18"/>
              </w:rPr>
              <w:t> </w:t>
            </w:r>
            <w:r>
              <w:rPr>
                <w:rFonts w:ascii="宋体" w:hAnsi="宋体" w:cs="宋体" w:eastAsia="宋体" w:hint="default"/>
                <w:sz w:val="18"/>
                <w:szCs w:val="18"/>
              </w:rPr>
              <w:t>易额度</w:t>
            </w:r>
            <w:r>
              <w:rPr>
                <w:rFonts w:ascii="宋体" w:hAnsi="宋体" w:cs="宋体" w:eastAsia="宋体" w:hint="default"/>
                <w:w w:val="99"/>
                <w:sz w:val="18"/>
                <w:szCs w:val="18"/>
              </w:rPr>
              <w:t> </w:t>
            </w:r>
            <w:r>
              <w:rPr>
                <w:rFonts w:ascii="宋体" w:hAnsi="宋体" w:cs="宋体" w:eastAsia="宋体" w:hint="default"/>
                <w:sz w:val="18"/>
                <w:szCs w:val="18"/>
              </w:rPr>
              <w:t>的公告</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-154</w:t>
            </w:r>
            <w:r>
              <w:rPr>
                <w:rFonts w:ascii="宋体" w:hAnsi="宋体" w:cs="宋体" w:eastAsia="宋体" w:hint="default"/>
                <w:sz w:val="18"/>
                <w:szCs w:val="18"/>
              </w:rPr>
              <w:t>）</w:t>
            </w: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银联智惠 信息服务</w:t>
            </w:r>
          </w:p>
          <w:p>
            <w:pPr>
              <w:pStyle w:val="TableParagraph"/>
              <w:spacing w:line="319" w:lineRule="auto" w:before="19"/>
              <w:ind w:left="22" w:right="46"/>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控股股 东方的 三级子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银联商务 股份有限 公司（含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数据分 析服务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left"/>
              <w:rPr>
                <w:rFonts w:ascii="宋体" w:hAnsi="宋体" w:cs="宋体" w:eastAsia="宋体" w:hint="default"/>
                <w:sz w:val="18"/>
                <w:szCs w:val="18"/>
              </w:rPr>
            </w:pPr>
            <w:r>
              <w:rPr>
                <w:rFonts w:ascii="宋体" w:hAnsi="宋体" w:cs="宋体" w:eastAsia="宋体" w:hint="default"/>
                <w:sz w:val="18"/>
                <w:szCs w:val="18"/>
              </w:rPr>
              <w:t>移动信 息服务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45.53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0.24%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298"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北京创世 漫道科技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0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31"/>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69.19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4" w:right="0"/>
              <w:jc w:val="center"/>
              <w:rPr>
                <w:rFonts w:ascii="Times New Roman" w:hAnsi="Times New Roman" w:cs="Times New Roman" w:eastAsia="Times New Roman" w:hint="default"/>
                <w:sz w:val="18"/>
                <w:szCs w:val="18"/>
              </w:rPr>
            </w:pPr>
            <w:r>
              <w:rPr>
                <w:rFonts w:ascii="Times New Roman"/>
                <w:sz w:val="18"/>
              </w:rPr>
              <w:t>65.21%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联动优势 商业保理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31"/>
              <w:jc w:val="left"/>
              <w:rPr>
                <w:rFonts w:ascii="宋体" w:hAnsi="宋体" w:cs="宋体" w:eastAsia="宋体" w:hint="default"/>
                <w:sz w:val="18"/>
                <w:szCs w:val="18"/>
              </w:rPr>
            </w:pPr>
            <w:r>
              <w:rPr>
                <w:rFonts w:ascii="宋体" w:hAnsi="宋体" w:cs="宋体" w:eastAsia="宋体" w:hint="default"/>
                <w:sz w:val="18"/>
                <w:szCs w:val="18"/>
              </w:rPr>
              <w:t>支付服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严格符 合监管 部门的 各项规 范和要 求，交 易定价 公允</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0.62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4"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33,811.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3"/>
        <w:rPr>
          <w:rFonts w:ascii="宋体" w:hAnsi="宋体" w:cs="宋体" w:eastAsia="宋体" w:hint="default"/>
          <w:sz w:val="20"/>
          <w:szCs w:val="20"/>
        </w:rPr>
      </w:pPr>
    </w:p>
    <w:p>
      <w:pPr>
        <w:pStyle w:val="Heading7"/>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公司报告期不存在关联债权债务往来。</w:t>
      </w:r>
    </w:p>
    <w:p>
      <w:pPr>
        <w:spacing w:line="240" w:lineRule="auto" w:before="10"/>
        <w:rPr>
          <w:rFonts w:ascii="宋体" w:hAnsi="宋体" w:cs="宋体" w:eastAsia="宋体" w:hint="default"/>
          <w:sz w:val="26"/>
          <w:szCs w:val="26"/>
        </w:rPr>
      </w:pPr>
    </w:p>
    <w:p>
      <w:pPr>
        <w:pStyle w:val="Heading7"/>
        <w:spacing w:line="240" w:lineRule="auto"/>
        <w:ind w:right="0"/>
        <w:jc w:val="both"/>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日召开的第三届董事会第二十七次（临时）会议，审议通过了《关于参与设立股权投资基金暨关联交</w:t>
      </w:r>
    </w:p>
    <w:p>
      <w:pPr>
        <w:pStyle w:val="BodyText"/>
        <w:spacing w:line="230" w:lineRule="exact"/>
        <w:ind w:right="0"/>
        <w:jc w:val="both"/>
      </w:pPr>
      <w:r>
        <w:rPr/>
        <w:t>易的议案》</w:t>
      </w:r>
      <w:r>
        <w:rPr>
          <w:rFonts w:ascii="Times New Roman" w:hAnsi="Times New Roman" w:cs="Times New Roman" w:eastAsia="Times New Roman" w:hint="default"/>
        </w:rPr>
        <w:t>,</w:t>
      </w:r>
      <w:r>
        <w:rPr/>
        <w:t>拟在雄安新区与上海稳实投资管理中心（普通合伙）、茂业通信网络股份有限公司共同设立股权投资基金（并</w:t>
      </w:r>
    </w:p>
    <w:p>
      <w:pPr>
        <w:pStyle w:val="BodyText"/>
        <w:spacing w:line="300" w:lineRule="auto" w:before="63"/>
        <w:ind w:right="1132"/>
        <w:jc w:val="both"/>
      </w:pPr>
      <w:r>
        <w:rPr/>
        <w:t>购</w:t>
      </w:r>
      <w:r>
        <w:rPr>
          <w:rFonts w:ascii="Times New Roman" w:hAnsi="Times New Roman" w:cs="Times New Roman" w:eastAsia="Times New Roman" w:hint="default"/>
        </w:rPr>
        <w:t>/</w:t>
      </w:r>
      <w:r>
        <w:rPr/>
        <w:t>产业），并签署《河北雄安泽兴股权投资基金（有限合伙）合伙协议》，其中：上海稳实投资管理中心（普通合伙）出 </w:t>
      </w:r>
      <w:r>
        <w:rPr>
          <w:spacing w:val="-1"/>
        </w:rPr>
        <w:t>资人民币</w:t>
      </w:r>
      <w:r>
        <w:rPr>
          <w:rFonts w:ascii="Times New Roman" w:hAnsi="Times New Roman" w:cs="Times New Roman" w:eastAsia="Times New Roman" w:hint="default"/>
          <w:spacing w:val="-1"/>
        </w:rPr>
        <w:t>100</w:t>
      </w:r>
      <w:r>
        <w:rPr>
          <w:spacing w:val="-1"/>
        </w:rPr>
        <w:t>万元</w:t>
      </w:r>
      <w:r>
        <w:rPr>
          <w:rFonts w:ascii="Times New Roman" w:hAnsi="Times New Roman" w:cs="Times New Roman" w:eastAsia="Times New Roman" w:hint="default"/>
          <w:spacing w:val="-1"/>
        </w:rPr>
        <w:t>,</w:t>
      </w:r>
      <w:r>
        <w:rPr>
          <w:spacing w:val="-1"/>
        </w:rPr>
        <w:t>持股比例</w:t>
      </w:r>
      <w:r>
        <w:rPr>
          <w:rFonts w:ascii="Times New Roman" w:hAnsi="Times New Roman" w:cs="Times New Roman" w:eastAsia="Times New Roman" w:hint="default"/>
          <w:spacing w:val="-1"/>
        </w:rPr>
        <w:t>0.3322%,</w:t>
      </w:r>
      <w:r>
        <w:rPr>
          <w:spacing w:val="-1"/>
        </w:rPr>
        <w:t>本公司出资人民币</w:t>
      </w:r>
      <w:r>
        <w:rPr>
          <w:rFonts w:ascii="Times New Roman" w:hAnsi="Times New Roman" w:cs="Times New Roman" w:eastAsia="Times New Roman" w:hint="default"/>
          <w:spacing w:val="-1"/>
        </w:rPr>
        <w:t>15,000</w:t>
      </w:r>
      <w:r>
        <w:rPr>
          <w:spacing w:val="-1"/>
        </w:rPr>
        <w:t>万元，持股比例</w:t>
      </w:r>
      <w:r>
        <w:rPr>
          <w:rFonts w:ascii="Times New Roman" w:hAnsi="Times New Roman" w:cs="Times New Roman" w:eastAsia="Times New Roman" w:hint="default"/>
          <w:spacing w:val="-1"/>
        </w:rPr>
        <w:t>49.8339%,</w:t>
      </w:r>
      <w:r>
        <w:rPr>
          <w:spacing w:val="-1"/>
        </w:rPr>
        <w:t>茂业通信网络股份有限公司出资人民</w:t>
      </w:r>
      <w:r>
        <w:rPr>
          <w:spacing w:val="-51"/>
        </w:rPr>
        <w:t> </w:t>
      </w:r>
      <w:r>
        <w:rPr>
          <w:spacing w:val="-51"/>
        </w:rPr>
      </w:r>
      <w:r>
        <w:rPr/>
        <w:t>币</w:t>
      </w:r>
      <w:r>
        <w:rPr>
          <w:rFonts w:ascii="Times New Roman" w:hAnsi="Times New Roman" w:cs="Times New Roman" w:eastAsia="Times New Roman" w:hint="default"/>
        </w:rPr>
        <w:t>15,000</w:t>
      </w:r>
      <w:r>
        <w:rPr/>
        <w:t>万元，持股比例</w:t>
      </w:r>
      <w:r>
        <w:rPr>
          <w:spacing w:val="-53"/>
        </w:rPr>
        <w:t> </w:t>
      </w:r>
      <w:r>
        <w:rPr>
          <w:rFonts w:ascii="Times New Roman" w:hAnsi="Times New Roman" w:cs="Times New Roman" w:eastAsia="Times New Roman" w:hint="default"/>
        </w:rPr>
        <w:t>49.8339%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日，该股权投资基金已经完成备案登记并取得了河北雄安新区公共服务局 核准颁发的营业执照，基金名称：河北雄安泽兴股权投资基金（有限合伙）。</w:t>
      </w:r>
    </w:p>
    <w:p>
      <w:pPr>
        <w:pStyle w:val="BodyText"/>
        <w:spacing w:line="240" w:lineRule="auto" w:before="72"/>
        <w:ind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126"/>
        <w:gridCol w:w="31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《关于参与设立股权投资基金暨关联交易的公告》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3">
              <w:r>
                <w:rPr>
                  <w:rFonts w:ascii="Times New Roman" w:hAnsi="Times New Roman" w:cs="Times New Roman" w:eastAsia="Times New Roman" w:hint="default"/>
                  <w:sz w:val="18"/>
                  <w:szCs w:val="18"/>
                </w:rPr>
                <w:t>http://www.cninfo.com.cn</w:t>
              </w:r>
            </w:hyperlink>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《关于参与设立股权投资基金完成备案登记的公告》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3">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5"/>
        <w:rPr>
          <w:rFonts w:ascii="宋体" w:hAnsi="宋体" w:cs="宋体" w:eastAsia="宋体" w:hint="default"/>
          <w:sz w:val="8"/>
          <w:szCs w:val="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2"/>
                    <w:ind w:left="2531" w:right="0"/>
                    <w:jc w:val="left"/>
                  </w:pPr>
                  <w:r>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3"/>
        <w:gridCol w:w="915"/>
        <w:gridCol w:w="926"/>
        <w:gridCol w:w="1306"/>
        <w:gridCol w:w="1049"/>
        <w:gridCol w:w="1045"/>
        <w:gridCol w:w="1048"/>
        <w:gridCol w:w="790"/>
        <w:gridCol w:w="783"/>
      </w:tblGrid>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1"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1"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宁波泰鸿冲压件有限 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2,300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2,400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湖北海立美达汽车有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5,985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5,985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湖北海立美达汽车有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24,015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上海和达汽车配件有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82,750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w:t>
            </w:r>
          </w:p>
        </w:tc>
      </w:tr>
      <w:tr>
        <w:trPr>
          <w:trHeight w:val="719"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87,800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8"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2"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9"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397"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82,750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87,800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467,493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467,493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1"/>
        <w:gridCol w:w="561"/>
        <w:gridCol w:w="562"/>
        <w:gridCol w:w="561"/>
        <w:gridCol w:w="550"/>
        <w:gridCol w:w="547"/>
        <w:gridCol w:w="546"/>
        <w:gridCol w:w="527"/>
      </w:tblGrid>
      <w:tr>
        <w:trPr>
          <w:trHeight w:val="1338"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240" w:lineRule="auto" w:before="19"/>
              <w:ind w:left="99" w:right="0"/>
              <w:jc w:val="both"/>
              <w:rPr>
                <w:rFonts w:ascii="宋体" w:hAnsi="宋体" w:cs="宋体" w:eastAsia="宋体" w:hint="default"/>
                <w:sz w:val="18"/>
                <w:szCs w:val="18"/>
              </w:rPr>
            </w:pPr>
            <w:r>
              <w:rPr>
                <w:rFonts w:ascii="宋体" w:hAnsi="宋体" w:cs="宋体" w:eastAsia="宋体" w:hint="default"/>
                <w:sz w:val="18"/>
                <w:szCs w:val="18"/>
              </w:rPr>
              <w:t>（或</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09" w:right="109"/>
              <w:jc w:val="left"/>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109" w:right="109"/>
              <w:jc w:val="left"/>
              <w:rPr>
                <w:rFonts w:ascii="宋体" w:hAnsi="宋体" w:cs="宋体" w:eastAsia="宋体" w:hint="default"/>
                <w:sz w:val="18"/>
                <w:szCs w:val="18"/>
              </w:rPr>
            </w:pPr>
            <w:r>
              <w:rPr>
                <w:rFonts w:ascii="宋体" w:hAnsi="宋体" w:cs="宋体" w:eastAsia="宋体" w:hint="default"/>
                <w:sz w:val="18"/>
                <w:szCs w:val="18"/>
              </w:rPr>
              <w:t>（或 受托</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 w:right="94"/>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5"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85" w:right="71"/>
              <w:jc w:val="both"/>
              <w:rPr>
                <w:rFonts w:ascii="宋体" w:hAnsi="宋体" w:cs="宋体" w:eastAsia="宋体" w:hint="default"/>
                <w:sz w:val="18"/>
                <w:szCs w:val="18"/>
              </w:rPr>
            </w:pPr>
            <w:r>
              <w:rPr>
                <w:rFonts w:ascii="宋体" w:hAnsi="宋体" w:cs="宋体" w:eastAsia="宋体" w:hint="default"/>
                <w:sz w:val="18"/>
                <w:szCs w:val="18"/>
              </w:rPr>
              <w:t>事项 概述 及相 关查</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9" w:right="100"/>
              <w:jc w:val="both"/>
              <w:rPr>
                <w:rFonts w:ascii="宋体" w:hAnsi="宋体" w:cs="宋体" w:eastAsia="宋体" w:hint="default"/>
                <w:sz w:val="18"/>
                <w:szCs w:val="18"/>
              </w:rPr>
            </w:pPr>
            <w:r>
              <w:rPr>
                <w:rFonts w:ascii="宋体" w:hAnsi="宋体" w:cs="宋体" w:eastAsia="宋体" w:hint="default"/>
                <w:sz w:val="18"/>
                <w:szCs w:val="18"/>
              </w:rPr>
              <w:t>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99" w:right="21" w:hanging="177"/>
              <w:jc w:val="left"/>
              <w:rPr>
                <w:rFonts w:ascii="宋体" w:hAnsi="宋体" w:cs="宋体" w:eastAsia="宋体" w:hint="default"/>
                <w:sz w:val="18"/>
                <w:szCs w:val="18"/>
              </w:rPr>
            </w:pPr>
            <w:r>
              <w:rPr>
                <w:rFonts w:ascii="宋体" w:hAnsi="宋体" w:cs="宋体" w:eastAsia="宋体" w:hint="default"/>
                <w:sz w:val="18"/>
                <w:szCs w:val="18"/>
              </w:rPr>
              <w:t>人）类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94" w:hanging="91"/>
              <w:jc w:val="left"/>
              <w:rPr>
                <w:rFonts w:ascii="宋体" w:hAnsi="宋体" w:cs="宋体" w:eastAsia="宋体" w:hint="default"/>
                <w:sz w:val="18"/>
                <w:szCs w:val="18"/>
              </w:rPr>
            </w:pPr>
            <w:r>
              <w:rPr>
                <w:rFonts w:ascii="宋体" w:hAnsi="宋体" w:cs="宋体" w:eastAsia="宋体" w:hint="default"/>
                <w:sz w:val="18"/>
                <w:szCs w:val="18"/>
              </w:rPr>
              <w:t>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8" w:right="89"/>
              <w:jc w:val="left"/>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7" w:right="86"/>
              <w:jc w:val="left"/>
              <w:rPr>
                <w:rFonts w:ascii="宋体" w:hAnsi="宋体" w:cs="宋体" w:eastAsia="宋体" w:hint="default"/>
                <w:sz w:val="18"/>
                <w:szCs w:val="18"/>
              </w:rPr>
            </w:pPr>
            <w:r>
              <w:rPr>
                <w:rFonts w:ascii="宋体" w:hAnsi="宋体" w:cs="宋体" w:eastAsia="宋体" w:hint="default"/>
                <w:sz w:val="18"/>
                <w:szCs w:val="18"/>
              </w:rPr>
              <w:t>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3" w:right="20"/>
              <w:jc w:val="center"/>
              <w:rPr>
                <w:rFonts w:ascii="宋体" w:hAnsi="宋体" w:cs="宋体" w:eastAsia="宋体" w:hint="default"/>
                <w:sz w:val="18"/>
                <w:szCs w:val="18"/>
              </w:rPr>
            </w:pPr>
            <w:r>
              <w:rPr>
                <w:rFonts w:ascii="宋体" w:hAnsi="宋体" w:cs="宋体" w:eastAsia="宋体" w:hint="default"/>
                <w:sz w:val="18"/>
                <w:szCs w:val="18"/>
              </w:rPr>
              <w:t>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284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42.08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美元 汇率 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13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建行 延安</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募投</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本产 品本</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419.22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公告 编号：</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06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三路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003</w:t>
            </w:r>
          </w:p>
        </w:tc>
      </w:tr>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296.19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296.19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39"/>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16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钩。</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21.94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21.94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1" w:right="0"/>
              <w:jc w:val="center"/>
              <w:rPr>
                <w:rFonts w:ascii="Times New Roman" w:hAnsi="Times New Roman" w:cs="Times New Roman" w:eastAsia="Times New Roman" w:hint="default"/>
                <w:sz w:val="18"/>
                <w:szCs w:val="18"/>
              </w:rPr>
            </w:pPr>
            <w:r>
              <w:rPr>
                <w:rFonts w:ascii="Times New Roman"/>
                <w:sz w:val="18"/>
              </w:rPr>
              <w:t>34.03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0" w:right="0"/>
              <w:jc w:val="center"/>
              <w:rPr>
                <w:rFonts w:ascii="Times New Roman" w:hAnsi="Times New Roman" w:cs="Times New Roman" w:eastAsia="Times New Roman" w:hint="default"/>
                <w:sz w:val="18"/>
                <w:szCs w:val="18"/>
              </w:rPr>
            </w:pPr>
            <w:r>
              <w:rPr>
                <w:rFonts w:ascii="Times New Roman"/>
                <w:sz w:val="18"/>
              </w:rPr>
              <w:t>34.03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5,102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 美元 汇率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44.03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13"/>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0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工行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当日 东京 时间 下午 </w:t>
            </w:r>
            <w:r>
              <w:rPr>
                <w:rFonts w:ascii="Times New Roman" w:hAnsi="Times New Roman" w:cs="Times New Roman" w:eastAsia="Times New Roman" w:hint="default"/>
                <w:sz w:val="18"/>
                <w:szCs w:val="18"/>
              </w:rPr>
              <w:t>3 </w:t>
            </w:r>
            <w:r>
              <w:rPr>
                <w:rFonts w:ascii="宋体" w:hAnsi="宋体" w:cs="宋体" w:eastAsia="宋体" w:hint="default"/>
                <w:sz w:val="18"/>
                <w:szCs w:val="18"/>
              </w:rPr>
              <w:t>点 路透</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“TKF</w:t>
            </w:r>
          </w:p>
          <w:p>
            <w:pPr>
              <w:pStyle w:val="TableParagraph"/>
              <w:spacing w:line="316" w:lineRule="auto" w:before="6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页 面显 示的 美元</w:t>
            </w:r>
            <w:r>
              <w:rPr>
                <w:rFonts w:ascii="Times New Roman" w:hAnsi="Times New Roman" w:cs="Times New Roman" w:eastAsia="Times New Roman" w:hint="default"/>
                <w:sz w:val="18"/>
                <w:szCs w:val="18"/>
              </w:rPr>
              <w:t>/ </w:t>
            </w:r>
            <w:r>
              <w:rPr>
                <w:rFonts w:ascii="宋体" w:hAnsi="宋体" w:cs="宋体" w:eastAsia="宋体" w:hint="default"/>
                <w:sz w:val="18"/>
                <w:szCs w:val="18"/>
              </w:rPr>
              <w:t>日元 汇率 买入 价和 卖出 价的 平均 </w:t>
            </w:r>
            <w:r>
              <w:rPr>
                <w:rFonts w:ascii="宋体" w:hAnsi="宋体" w:cs="宋体" w:eastAsia="宋体" w:hint="default"/>
                <w:spacing w:val="-12"/>
                <w:sz w:val="18"/>
                <w:szCs w:val="18"/>
              </w:rPr>
              <w:t>值，取</w:t>
            </w:r>
            <w:r>
              <w:rPr>
                <w:rFonts w:ascii="宋体" w:hAnsi="宋体" w:cs="宋体" w:eastAsia="宋体" w:hint="default"/>
                <w:sz w:val="18"/>
                <w:szCs w:val="18"/>
              </w:rPr>
              <w:t> 值四 舍五 入至 小数 点后</w:t>
            </w:r>
          </w:p>
          <w:p>
            <w:pPr>
              <w:pStyle w:val="TableParagraph"/>
              <w:spacing w:line="314" w:lineRule="auto" w:before="19"/>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表示 为一 美元 可兑 换的 日元 数。</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92.25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92.25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049</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于伦 敦黄 金市 场之 黄金 定盘</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57.95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57.95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15,210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 美元 汇率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138.77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138.77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13"/>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56.1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56.1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051</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33.66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33.66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051</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1" w:right="0"/>
              <w:jc w:val="center"/>
              <w:rPr>
                <w:rFonts w:ascii="Times New Roman" w:hAnsi="Times New Roman" w:cs="Times New Roman" w:eastAsia="Times New Roman" w:hint="default"/>
                <w:sz w:val="18"/>
                <w:szCs w:val="18"/>
              </w:rPr>
            </w:pPr>
            <w:r>
              <w:rPr>
                <w:rFonts w:ascii="Times New Roman"/>
                <w:sz w:val="18"/>
              </w:rPr>
              <w:t>1.67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1.67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099</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22.69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22.69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065</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center"/>
              <w:rPr>
                <w:rFonts w:ascii="Times New Roman" w:hAnsi="Times New Roman" w:cs="Times New Roman" w:eastAsia="Times New Roman" w:hint="default"/>
                <w:sz w:val="18"/>
                <w:szCs w:val="18"/>
              </w:rPr>
            </w:pPr>
            <w:r>
              <w:rPr>
                <w:rFonts w:ascii="Times New Roman"/>
                <w:sz w:val="18"/>
              </w:rPr>
              <w:t>34.41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34.41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挂钩 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浦发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同行 存款、 债券、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9" w:right="0"/>
              <w:jc w:val="left"/>
              <w:rPr>
                <w:rFonts w:ascii="Times New Roman" w:hAnsi="Times New Roman" w:cs="Times New Roman" w:eastAsia="Times New Roman" w:hint="default"/>
                <w:sz w:val="18"/>
                <w:szCs w:val="18"/>
              </w:rPr>
            </w:pPr>
            <w:r>
              <w:rPr>
                <w:rFonts w:ascii="Times New Roman"/>
                <w:sz w:val="18"/>
              </w:rPr>
              <w:t>110.63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9" w:right="0"/>
              <w:jc w:val="left"/>
              <w:rPr>
                <w:rFonts w:ascii="Times New Roman" w:hAnsi="Times New Roman" w:cs="Times New Roman" w:eastAsia="Times New Roman" w:hint="default"/>
                <w:sz w:val="18"/>
                <w:szCs w:val="18"/>
              </w:rPr>
            </w:pPr>
            <w:r>
              <w:rPr>
                <w:rFonts w:ascii="Times New Roman"/>
                <w:sz w:val="18"/>
              </w:rPr>
              <w:t>110.63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049</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456.16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456.16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 美元 汇率 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工行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国工 商银 行资 金统 一运 作管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与汇</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3" w:right="0"/>
              <w:jc w:val="left"/>
              <w:rPr>
                <w:rFonts w:ascii="Times New Roman" w:hAnsi="Times New Roman" w:cs="Times New Roman" w:eastAsia="Times New Roman" w:hint="default"/>
                <w:sz w:val="18"/>
                <w:szCs w:val="18"/>
              </w:rPr>
            </w:pPr>
            <w:r>
              <w:rPr>
                <w:rFonts w:ascii="Times New Roman"/>
                <w:sz w:val="18"/>
              </w:rPr>
              <w:t>2.60%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3" w:right="0"/>
              <w:jc w:val="left"/>
              <w:rPr>
                <w:rFonts w:ascii="Times New Roman" w:hAnsi="Times New Roman" w:cs="Times New Roman" w:eastAsia="Times New Roman" w:hint="default"/>
                <w:sz w:val="18"/>
                <w:szCs w:val="18"/>
              </w:rPr>
            </w:pPr>
            <w:r>
              <w:rPr>
                <w:rFonts w:ascii="Times New Roman"/>
                <w:sz w:val="18"/>
              </w:rPr>
              <w:t>64.82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3" w:right="0"/>
              <w:jc w:val="left"/>
              <w:rPr>
                <w:rFonts w:ascii="Times New Roman" w:hAnsi="Times New Roman" w:cs="Times New Roman" w:eastAsia="Times New Roman" w:hint="default"/>
                <w:sz w:val="18"/>
                <w:szCs w:val="18"/>
              </w:rPr>
            </w:pPr>
            <w:r>
              <w:rPr>
                <w:rFonts w:ascii="Times New Roman"/>
                <w:sz w:val="18"/>
              </w:rPr>
              <w:t>64.82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率挂 钩的 衍生 产品， 产品 收益 与欧 元兑 美元 即期 汇率 在观 察内 的表 现挂</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37" w:right="0"/>
              <w:jc w:val="left"/>
              <w:rPr>
                <w:rFonts w:ascii="Times New Roman" w:hAnsi="Times New Roman" w:cs="Times New Roman" w:eastAsia="Times New Roman" w:hint="default"/>
                <w:sz w:val="18"/>
                <w:szCs w:val="18"/>
              </w:rPr>
            </w:pPr>
            <w:r>
              <w:rPr>
                <w:rFonts w:ascii="Times New Roman"/>
                <w:sz w:val="18"/>
              </w:rPr>
              <w:t>2,200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主要 投资 于国 </w:t>
            </w:r>
            <w:r>
              <w:rPr>
                <w:rFonts w:ascii="宋体" w:hAnsi="宋体" w:cs="宋体" w:eastAsia="宋体" w:hint="default"/>
                <w:spacing w:val="-12"/>
                <w:sz w:val="18"/>
                <w:szCs w:val="18"/>
              </w:rPr>
              <w:t>债、金</w:t>
            </w:r>
            <w:r>
              <w:rPr>
                <w:rFonts w:ascii="宋体" w:hAnsi="宋体" w:cs="宋体" w:eastAsia="宋体" w:hint="default"/>
                <w:sz w:val="18"/>
                <w:szCs w:val="18"/>
              </w:rPr>
              <w:t> 融债、 央行 票据、 企业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债、资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 业等 债券 和货 币市 场工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63" w:right="0"/>
              <w:jc w:val="left"/>
              <w:rPr>
                <w:rFonts w:ascii="Times New Roman" w:hAnsi="Times New Roman" w:cs="Times New Roman" w:eastAsia="Times New Roman" w:hint="default"/>
                <w:sz w:val="18"/>
                <w:szCs w:val="18"/>
              </w:rPr>
            </w:pPr>
            <w:r>
              <w:rPr>
                <w:rFonts w:ascii="Times New Roman"/>
                <w:sz w:val="18"/>
              </w:rPr>
              <w:t>3.35%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47" w:right="0"/>
              <w:jc w:val="left"/>
              <w:rPr>
                <w:rFonts w:ascii="Times New Roman" w:hAnsi="Times New Roman" w:cs="Times New Roman" w:eastAsia="Times New Roman" w:hint="default"/>
                <w:sz w:val="18"/>
                <w:szCs w:val="18"/>
              </w:rPr>
            </w:pPr>
            <w:r>
              <w:rPr>
                <w:rFonts w:ascii="Times New Roman"/>
                <w:sz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48" w:right="0"/>
              <w:jc w:val="left"/>
              <w:rPr>
                <w:rFonts w:ascii="Times New Roman" w:hAnsi="Times New Roman" w:cs="Times New Roman" w:eastAsia="Times New Roman" w:hint="default"/>
                <w:sz w:val="18"/>
                <w:szCs w:val="18"/>
              </w:rPr>
            </w:pPr>
            <w:r>
              <w:rPr>
                <w:rFonts w:ascii="Times New Roman"/>
                <w:sz w:val="18"/>
              </w:rPr>
              <w:t>21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具类 资产， 债权 类资 </w:t>
            </w:r>
            <w:r>
              <w:rPr>
                <w:rFonts w:ascii="宋体" w:hAnsi="宋体" w:cs="宋体" w:eastAsia="宋体" w:hint="default"/>
                <w:spacing w:val="-12"/>
                <w:sz w:val="18"/>
                <w:szCs w:val="18"/>
              </w:rPr>
              <w:t>产，以</w:t>
            </w:r>
            <w:r>
              <w:rPr>
                <w:rFonts w:ascii="宋体" w:hAnsi="宋体" w:cs="宋体" w:eastAsia="宋体" w:hint="default"/>
                <w:sz w:val="18"/>
                <w:szCs w:val="18"/>
              </w:rPr>
              <w:t> 及其 他符 合监 管要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主要 投资 于国 </w:t>
            </w:r>
            <w:r>
              <w:rPr>
                <w:rFonts w:ascii="宋体" w:hAnsi="宋体" w:cs="宋体" w:eastAsia="宋体" w:hint="default"/>
                <w:spacing w:val="-12"/>
                <w:sz w:val="18"/>
                <w:szCs w:val="18"/>
              </w:rPr>
              <w:t>债、金</w:t>
            </w:r>
            <w:r>
              <w:rPr>
                <w:rFonts w:ascii="宋体" w:hAnsi="宋体" w:cs="宋体" w:eastAsia="宋体" w:hint="default"/>
                <w:sz w:val="18"/>
                <w:szCs w:val="18"/>
              </w:rPr>
              <w:t> 融债、 央行 票据、 企业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 </w:t>
            </w:r>
            <w:r>
              <w:rPr>
                <w:rFonts w:ascii="宋体" w:hAnsi="宋体" w:cs="宋体" w:eastAsia="宋体" w:hint="default"/>
                <w:spacing w:val="-12"/>
                <w:sz w:val="18"/>
                <w:szCs w:val="18"/>
              </w:rPr>
              <w:t>据、企</w:t>
            </w:r>
            <w:r>
              <w:rPr>
                <w:rFonts w:ascii="宋体" w:hAnsi="宋体" w:cs="宋体" w:eastAsia="宋体" w:hint="default"/>
                <w:sz w:val="18"/>
                <w:szCs w:val="18"/>
              </w:rPr>
              <w:t> 业债、 公司 </w:t>
            </w:r>
            <w:r>
              <w:rPr>
                <w:rFonts w:ascii="宋体" w:hAnsi="宋体" w:cs="宋体" w:eastAsia="宋体" w:hint="default"/>
                <w:spacing w:val="-12"/>
                <w:sz w:val="18"/>
                <w:szCs w:val="18"/>
              </w:rPr>
              <w:t>债、私</w:t>
            </w:r>
            <w:r>
              <w:rPr>
                <w:rFonts w:ascii="宋体" w:hAnsi="宋体" w:cs="宋体" w:eastAsia="宋体" w:hint="default"/>
                <w:sz w:val="18"/>
                <w:szCs w:val="18"/>
              </w:rPr>
              <w:t> 募债、 债券 逆回 </w:t>
            </w:r>
            <w:r>
              <w:rPr>
                <w:rFonts w:ascii="宋体" w:hAnsi="宋体" w:cs="宋体" w:eastAsia="宋体" w:hint="default"/>
                <w:spacing w:val="-12"/>
                <w:sz w:val="18"/>
                <w:szCs w:val="18"/>
              </w:rPr>
              <w:t>债、资</w:t>
            </w:r>
            <w:r>
              <w:rPr>
                <w:rFonts w:ascii="宋体" w:hAnsi="宋体" w:cs="宋体" w:eastAsia="宋体" w:hint="default"/>
                <w:sz w:val="18"/>
                <w:szCs w:val="18"/>
              </w:rPr>
              <w:t> 金拆 </w:t>
            </w:r>
            <w:r>
              <w:rPr>
                <w:rFonts w:ascii="宋体" w:hAnsi="宋体" w:cs="宋体" w:eastAsia="宋体" w:hint="default"/>
                <w:spacing w:val="-12"/>
                <w:sz w:val="18"/>
                <w:szCs w:val="18"/>
              </w:rPr>
              <w:t>借、存</w:t>
            </w:r>
            <w:r>
              <w:rPr>
                <w:rFonts w:ascii="宋体" w:hAnsi="宋体" w:cs="宋体" w:eastAsia="宋体" w:hint="default"/>
                <w:sz w:val="18"/>
                <w:szCs w:val="18"/>
              </w:rPr>
              <w:t> 放同 业等 债券 和货 币市 场工 具类 资产， 债权 类资 </w:t>
            </w:r>
            <w:r>
              <w:rPr>
                <w:rFonts w:ascii="宋体" w:hAnsi="宋体" w:cs="宋体" w:eastAsia="宋体" w:hint="default"/>
                <w:spacing w:val="-12"/>
                <w:sz w:val="18"/>
                <w:szCs w:val="18"/>
              </w:rPr>
              <w:t>产，以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64.51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64.51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及其 他符 合监 管要 求的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4.48%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center"/>
              <w:rPr>
                <w:rFonts w:ascii="Times New Roman" w:hAnsi="Times New Roman" w:cs="Times New Roman" w:eastAsia="Times New Roman" w:hint="default"/>
                <w:sz w:val="18"/>
                <w:szCs w:val="18"/>
              </w:rPr>
            </w:pPr>
            <w:r>
              <w:rPr>
                <w:rFonts w:ascii="Times New Roman"/>
                <w:sz w:val="18"/>
              </w:rPr>
              <w:t>46.64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center"/>
              <w:rPr>
                <w:rFonts w:ascii="Times New Roman" w:hAnsi="Times New Roman" w:cs="Times New Roman" w:eastAsia="Times New Roman" w:hint="default"/>
                <w:sz w:val="18"/>
                <w:szCs w:val="18"/>
              </w:rPr>
            </w:pPr>
            <w:r>
              <w:rPr>
                <w:rFonts w:ascii="Times New Roman"/>
                <w:sz w:val="18"/>
              </w:rPr>
              <w:t>46.64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070</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33.27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33.27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070</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55.45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55.45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070</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61.55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61.55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128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 美元 汇率 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7" w:right="0"/>
              <w:jc w:val="left"/>
              <w:rPr>
                <w:rFonts w:ascii="Times New Roman" w:hAnsi="Times New Roman" w:cs="Times New Roman" w:eastAsia="Times New Roman" w:hint="default"/>
                <w:sz w:val="18"/>
                <w:szCs w:val="18"/>
              </w:rPr>
            </w:pPr>
            <w:r>
              <w:rPr>
                <w:rFonts w:ascii="Times New Roman"/>
                <w:sz w:val="18"/>
              </w:rPr>
              <w:t>15,350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3" w:right="0"/>
              <w:jc w:val="left"/>
              <w:rPr>
                <w:rFonts w:ascii="Times New Roman" w:hAnsi="Times New Roman" w:cs="Times New Roman" w:eastAsia="Times New Roman" w:hint="default"/>
                <w:sz w:val="18"/>
                <w:szCs w:val="18"/>
              </w:rPr>
            </w:pPr>
            <w:r>
              <w:rPr>
                <w:rFonts w:ascii="Times New Roman"/>
                <w:sz w:val="18"/>
              </w:rPr>
              <w:t>170.15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3" w:right="0"/>
              <w:jc w:val="left"/>
              <w:rPr>
                <w:rFonts w:ascii="Times New Roman" w:hAnsi="Times New Roman" w:cs="Times New Roman" w:eastAsia="Times New Roman" w:hint="default"/>
                <w:sz w:val="18"/>
                <w:szCs w:val="18"/>
              </w:rPr>
            </w:pPr>
            <w:r>
              <w:rPr>
                <w:rFonts w:ascii="Times New Roman"/>
                <w:sz w:val="18"/>
              </w:rPr>
              <w:t>170.15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78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 到期 时刻 的表 现挂 钩。</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20.44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20.44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105</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6" w:lineRule="auto" w:before="76"/>
              <w:ind w:left="22" w:right="167"/>
              <w:jc w:val="left"/>
              <w:rPr>
                <w:rFonts w:ascii="宋体" w:hAnsi="宋体" w:cs="宋体" w:eastAsia="宋体" w:hint="default"/>
                <w:sz w:val="18"/>
                <w:szCs w:val="18"/>
              </w:rPr>
            </w:pPr>
            <w:r>
              <w:rPr>
                <w:rFonts w:ascii="宋体" w:hAnsi="宋体" w:cs="宋体" w:eastAsia="宋体" w:hint="default"/>
                <w:sz w:val="18"/>
                <w:szCs w:val="18"/>
              </w:rPr>
              <w:t>的金 融衍</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30.67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30.67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107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11.67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11.67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124</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民生 银行 华山 二路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USD3</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M-LI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BOR</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19.45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19.45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124</w:t>
            </w:r>
          </w:p>
        </w:tc>
      </w:tr>
      <w:tr>
        <w:trPr>
          <w:trHeight w:val="633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浦发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同行 存款、 债券、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1" w:right="0"/>
              <w:jc w:val="center"/>
              <w:rPr>
                <w:rFonts w:ascii="Times New Roman" w:hAnsi="Times New Roman" w:cs="Times New Roman" w:eastAsia="Times New Roman" w:hint="default"/>
                <w:sz w:val="18"/>
                <w:szCs w:val="18"/>
              </w:rPr>
            </w:pPr>
            <w:r>
              <w:rPr>
                <w:rFonts w:ascii="Times New Roman"/>
                <w:sz w:val="18"/>
              </w:rPr>
              <w:t>16.76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center"/>
              <w:rPr>
                <w:rFonts w:ascii="Times New Roman" w:hAnsi="Times New Roman" w:cs="Times New Roman" w:eastAsia="Times New Roman" w:hint="default"/>
                <w:sz w:val="18"/>
                <w:szCs w:val="18"/>
              </w:rPr>
            </w:pPr>
            <w:r>
              <w:rPr>
                <w:rFonts w:ascii="Times New Roman"/>
                <w:sz w:val="18"/>
              </w:rPr>
              <w:t>16.76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123</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浦发 银行 即墨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投资 于银 行间</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17.01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7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同行 存款、 债券、 票据 回购 等。</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146</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上海 黄金 交易 所之 上海 金上 午基 准价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3.71%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center"/>
              <w:rPr>
                <w:rFonts w:ascii="Times New Roman" w:hAnsi="Times New Roman" w:cs="Times New Roman" w:eastAsia="Times New Roman" w:hint="default"/>
                <w:sz w:val="18"/>
                <w:szCs w:val="18"/>
              </w:rPr>
            </w:pPr>
            <w:r>
              <w:rPr>
                <w:rFonts w:ascii="Times New Roman"/>
                <w:sz w:val="18"/>
              </w:rPr>
              <w:t>28.46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0" w:right="0"/>
              <w:jc w:val="center"/>
              <w:rPr>
                <w:rFonts w:ascii="Times New Roman" w:hAnsi="Times New Roman" w:cs="Times New Roman" w:eastAsia="Times New Roman" w:hint="default"/>
                <w:sz w:val="18"/>
                <w:szCs w:val="18"/>
              </w:rPr>
            </w:pPr>
            <w:r>
              <w:rPr>
                <w:rFonts w:ascii="Times New Roman"/>
                <w:sz w:val="18"/>
              </w:rPr>
              <w:t>28.46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129</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工行 即墨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国工 商银 行资 金统 一运 作管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与汇 率挂 钩的 衍生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50.05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50.05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10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产品， 产品 收益 与欧 元兑 美元 即期 汇率 在观 察内 的表 现挂</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77"/>
              <w:jc w:val="both"/>
              <w:rPr>
                <w:rFonts w:ascii="宋体" w:hAnsi="宋体" w:cs="宋体" w:eastAsia="宋体" w:hint="default"/>
                <w:sz w:val="18"/>
                <w:szCs w:val="18"/>
              </w:rPr>
            </w:pPr>
            <w:r>
              <w:rPr>
                <w:rFonts w:ascii="宋体" w:hAnsi="宋体" w:cs="宋体" w:eastAsia="宋体" w:hint="default"/>
                <w:sz w:val="18"/>
                <w:szCs w:val="18"/>
              </w:rPr>
              <w:t>建行 延安 三路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本产 品本 金部 分纳 入中 国建 设银 行内 部资 金统 一管 </w:t>
            </w:r>
            <w:r>
              <w:rPr>
                <w:rFonts w:ascii="宋体" w:hAnsi="宋体" w:cs="宋体" w:eastAsia="宋体" w:hint="default"/>
                <w:spacing w:val="-12"/>
                <w:sz w:val="18"/>
                <w:szCs w:val="18"/>
              </w:rPr>
              <w:t>理，收</w:t>
            </w:r>
            <w:r>
              <w:rPr>
                <w:rFonts w:ascii="宋体" w:hAnsi="宋体" w:cs="宋体" w:eastAsia="宋体" w:hint="default"/>
                <w:sz w:val="18"/>
                <w:szCs w:val="18"/>
              </w:rPr>
              <w:t> 益部 分投 资于 与欧 元兑 美元 汇率 挂钩 的衍 生产 </w:t>
            </w:r>
            <w:r>
              <w:rPr>
                <w:rFonts w:ascii="宋体" w:hAnsi="宋体" w:cs="宋体" w:eastAsia="宋体" w:hint="default"/>
                <w:spacing w:val="-12"/>
                <w:sz w:val="18"/>
                <w:szCs w:val="18"/>
              </w:rPr>
              <w:t>品，产</w:t>
            </w:r>
            <w:r>
              <w:rPr>
                <w:rFonts w:ascii="宋体" w:hAnsi="宋体" w:cs="宋体" w:eastAsia="宋体" w:hint="default"/>
                <w:sz w:val="18"/>
                <w:szCs w:val="18"/>
              </w:rPr>
              <w:t> 品收 益与 国际 市场 欧元 兑美 元汇 率在</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128.06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128.06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3"/>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到期 时刻 的表 现挂 </w:t>
            </w:r>
            <w:r>
              <w:rPr>
                <w:rFonts w:ascii="宋体" w:hAnsi="宋体" w:cs="宋体" w:eastAsia="宋体" w:hint="default"/>
                <w:spacing w:val="-12"/>
                <w:sz w:val="18"/>
                <w:szCs w:val="18"/>
              </w:rPr>
              <w:t>钩。投</w:t>
            </w:r>
            <w:r>
              <w:rPr>
                <w:rFonts w:ascii="宋体" w:hAnsi="宋体" w:cs="宋体" w:eastAsia="宋体" w:hint="default"/>
                <w:sz w:val="18"/>
                <w:szCs w:val="18"/>
              </w:rPr>
              <w:t> 资者 收益 取决 于欧 元兑 美元 汇率 在到 期时 刻的 表现。</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光大 银行 即墨 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保本保 息型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投资 于银 行间 市场 央票、 国债 金融 </w:t>
            </w:r>
            <w:r>
              <w:rPr>
                <w:rFonts w:ascii="宋体" w:hAnsi="宋体" w:cs="宋体" w:eastAsia="宋体" w:hint="default"/>
                <w:spacing w:val="-12"/>
                <w:sz w:val="18"/>
                <w:szCs w:val="18"/>
              </w:rPr>
              <w:t>债、企</w:t>
            </w:r>
            <w:r>
              <w:rPr>
                <w:rFonts w:ascii="宋体" w:hAnsi="宋体" w:cs="宋体" w:eastAsia="宋体" w:hint="default"/>
                <w:sz w:val="18"/>
                <w:szCs w:val="18"/>
              </w:rPr>
              <w:t> 业债、 短融、 中期 票据、 同业 拆借、 同行 存款、 债券、 票据 回购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1" w:right="0"/>
              <w:jc w:val="center"/>
              <w:rPr>
                <w:rFonts w:ascii="Times New Roman" w:hAnsi="Times New Roman" w:cs="Times New Roman" w:eastAsia="Times New Roman" w:hint="default"/>
                <w:sz w:val="18"/>
                <w:szCs w:val="18"/>
              </w:rPr>
            </w:pPr>
            <w:r>
              <w:rPr>
                <w:rFonts w:ascii="Times New Roman"/>
                <w:sz w:val="18"/>
              </w:rPr>
              <w:t>23.75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center"/>
              <w:rPr>
                <w:rFonts w:ascii="Times New Roman" w:hAnsi="Times New Roman" w:cs="Times New Roman" w:eastAsia="Times New Roman" w:hint="default"/>
                <w:sz w:val="18"/>
                <w:szCs w:val="18"/>
              </w:rPr>
            </w:pPr>
            <w:r>
              <w:rPr>
                <w:rFonts w:ascii="Times New Roman"/>
                <w:sz w:val="18"/>
              </w:rPr>
              <w:t>23.75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144</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1" w:right="0"/>
              <w:jc w:val="center"/>
              <w:rPr>
                <w:rFonts w:ascii="Times New Roman" w:hAnsi="Times New Roman" w:cs="Times New Roman" w:eastAsia="Times New Roman" w:hint="default"/>
                <w:sz w:val="18"/>
                <w:szCs w:val="18"/>
              </w:rPr>
            </w:pPr>
            <w:r>
              <w:rPr>
                <w:rFonts w:ascii="Times New Roman"/>
                <w:sz w:val="18"/>
              </w:rPr>
              <w:t>171.9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0" w:right="0"/>
              <w:jc w:val="center"/>
              <w:rPr>
                <w:rFonts w:ascii="Times New Roman" w:hAnsi="Times New Roman" w:cs="Times New Roman" w:eastAsia="Times New Roman" w:hint="default"/>
                <w:sz w:val="18"/>
                <w:szCs w:val="18"/>
              </w:rPr>
            </w:pPr>
            <w:r>
              <w:rPr>
                <w:rFonts w:ascii="Times New Roman"/>
                <w:sz w:val="18"/>
              </w:rPr>
              <w:t>171.9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广安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68.76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68.76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BOR</w:t>
            </w:r>
          </w:p>
          <w:p>
            <w:pPr>
              <w:pStyle w:val="TableParagraph"/>
              <w:spacing w:line="319" w:lineRule="auto" w:before="65"/>
              <w:ind w:left="22" w:right="-11"/>
              <w:jc w:val="left"/>
              <w:rPr>
                <w:rFonts w:ascii="宋体" w:hAnsi="宋体" w:cs="宋体" w:eastAsia="宋体" w:hint="default"/>
                <w:sz w:val="18"/>
                <w:szCs w:val="18"/>
              </w:rPr>
            </w:pPr>
            <w:r>
              <w:rPr>
                <w:rFonts w:ascii="宋体" w:hAnsi="宋体" w:cs="宋体" w:eastAsia="宋体" w:hint="default"/>
                <w:sz w:val="18"/>
                <w:szCs w:val="18"/>
              </w:rPr>
              <w:t>挂钩 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品主 要投 资范 围包 括但 不限 </w:t>
            </w:r>
            <w:r>
              <w:rPr>
                <w:rFonts w:ascii="宋体" w:hAnsi="宋体" w:cs="宋体" w:eastAsia="宋体" w:hint="default"/>
                <w:spacing w:val="-12"/>
                <w:sz w:val="18"/>
                <w:szCs w:val="18"/>
              </w:rPr>
              <w:t>于：第</w:t>
            </w:r>
            <w:r>
              <w:rPr>
                <w:rFonts w:ascii="宋体" w:hAnsi="宋体" w:cs="宋体" w:eastAsia="宋体" w:hint="default"/>
                <w:sz w:val="18"/>
                <w:szCs w:val="18"/>
              </w:rPr>
              <w:t> 一类</w:t>
            </w:r>
            <w:r>
              <w:rPr>
                <w:rFonts w:ascii="Times New Roman" w:hAnsi="Times New Roman" w:cs="Times New Roman" w:eastAsia="Times New Roman" w:hint="default"/>
                <w:sz w:val="18"/>
                <w:szCs w:val="18"/>
              </w:rPr>
              <w:t>: </w:t>
            </w:r>
            <w:r>
              <w:rPr>
                <w:rFonts w:ascii="宋体" w:hAnsi="宋体" w:cs="宋体" w:eastAsia="宋体" w:hint="default"/>
                <w:sz w:val="18"/>
                <w:szCs w:val="18"/>
              </w:rPr>
              <w:t>银行 存款、 债券 逆回 </w:t>
            </w:r>
            <w:r>
              <w:rPr>
                <w:rFonts w:ascii="宋体" w:hAnsi="宋体" w:cs="宋体" w:eastAsia="宋体" w:hint="default"/>
                <w:spacing w:val="-12"/>
                <w:sz w:val="18"/>
                <w:szCs w:val="18"/>
              </w:rPr>
              <w:t>购、货</w:t>
            </w:r>
            <w:r>
              <w:rPr>
                <w:rFonts w:ascii="宋体" w:hAnsi="宋体" w:cs="宋体" w:eastAsia="宋体" w:hint="default"/>
                <w:sz w:val="18"/>
                <w:szCs w:val="18"/>
              </w:rPr>
              <w:t> 币基 金等 货币 市场 工具 及其 它银 行间 和交 易所 资金 融通 工具。 第二 类</w:t>
            </w:r>
            <w:r>
              <w:rPr>
                <w:rFonts w:ascii="Times New Roman" w:hAnsi="Times New Roman" w:cs="Times New Roman" w:eastAsia="Times New Roman" w:hint="default"/>
                <w:sz w:val="18"/>
                <w:szCs w:val="18"/>
              </w:rPr>
              <w:t>:</w:t>
            </w:r>
            <w:r>
              <w:rPr>
                <w:rFonts w:ascii="宋体" w:hAnsi="宋体" w:cs="宋体" w:eastAsia="宋体" w:hint="default"/>
                <w:sz w:val="18"/>
                <w:szCs w:val="18"/>
              </w:rPr>
              <w:t>国 </w:t>
            </w:r>
            <w:r>
              <w:rPr>
                <w:rFonts w:ascii="宋体" w:hAnsi="宋体" w:cs="宋体" w:eastAsia="宋体" w:hint="default"/>
                <w:spacing w:val="-12"/>
                <w:sz w:val="18"/>
                <w:szCs w:val="18"/>
              </w:rPr>
              <w:t>债、政</w:t>
            </w:r>
            <w:r>
              <w:rPr>
                <w:rFonts w:ascii="宋体" w:hAnsi="宋体" w:cs="宋体" w:eastAsia="宋体" w:hint="default"/>
                <w:sz w:val="18"/>
                <w:szCs w:val="18"/>
              </w:rPr>
              <w:t> 策性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据、短</w:t>
            </w:r>
            <w:r>
              <w:rPr>
                <w:rFonts w:ascii="宋体" w:hAnsi="宋体" w:cs="宋体" w:eastAsia="宋体" w:hint="default"/>
                <w:sz w:val="18"/>
                <w:szCs w:val="18"/>
              </w:rPr>
              <w:t> 期融 资券、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61.15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6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超短</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期融</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中期</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票据、</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债、公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司债、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务融</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产支</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券、可</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转债、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债等</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间、交</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务融</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资具，</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类短</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期投</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三类</w:t>
            </w:r>
            <w:r>
              <w:rPr>
                <w:rFonts w:ascii="Times New Roman" w:hAnsi="Times New Roman" w:cs="Times New Roman" w:eastAsia="Times New Roman" w:hint="default"/>
                <w:sz w:val="18"/>
                <w:szCs w:val="18"/>
              </w:rPr>
              <w:t>:</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0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非标</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第四</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类：符</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8"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管机</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构规</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基金、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和保</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及上</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w:t>
            </w:r>
            <w:r>
              <w:rPr>
                <w:rFonts w:ascii="Times New Roman" w:hAnsi="Times New Roman" w:cs="Times New Roman" w:eastAsia="Times New Roman" w:hint="default"/>
                <w:sz w:val="18"/>
                <w:szCs w:val="18"/>
              </w:rPr>
              <w:t>/</w:t>
            </w:r>
            <w:r>
              <w:rPr>
                <w:rFonts w:ascii="宋体" w:hAnsi="宋体" w:cs="宋体" w:eastAsia="宋体" w:hint="default"/>
                <w:sz w:val="18"/>
                <w:szCs w:val="18"/>
              </w:rPr>
              <w:t>受</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07"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等，优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先股，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先级，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（受）</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益权，</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对冲</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先级，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以投</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基础</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8"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理计</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划等 其它 金融 资产 及其 组合。</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77"/>
              <w:jc w:val="both"/>
              <w:rPr>
                <w:rFonts w:ascii="宋体" w:hAnsi="宋体" w:cs="宋体" w:eastAsia="宋体" w:hint="default"/>
                <w:sz w:val="18"/>
                <w:szCs w:val="18"/>
              </w:rPr>
            </w:pPr>
            <w:r>
              <w:rPr>
                <w:rFonts w:ascii="宋体" w:hAnsi="宋体" w:cs="宋体" w:eastAsia="宋体" w:hint="default"/>
                <w:sz w:val="18"/>
                <w:szCs w:val="18"/>
              </w:rPr>
              <w:t>宁波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理财 产品 主要 投资 品种 包括 但不 限于 债券 及现 </w:t>
            </w:r>
            <w:r>
              <w:rPr>
                <w:rFonts w:ascii="宋体" w:hAnsi="宋体" w:cs="宋体" w:eastAsia="宋体" w:hint="default"/>
                <w:spacing w:val="-12"/>
                <w:sz w:val="18"/>
                <w:szCs w:val="18"/>
              </w:rPr>
              <w:t>金、同</w:t>
            </w:r>
            <w:r>
              <w:rPr>
                <w:rFonts w:ascii="宋体" w:hAnsi="宋体" w:cs="宋体" w:eastAsia="宋体" w:hint="default"/>
                <w:sz w:val="18"/>
                <w:szCs w:val="18"/>
              </w:rPr>
              <w:t> 业资 </w:t>
            </w:r>
            <w:r>
              <w:rPr>
                <w:rFonts w:ascii="宋体" w:hAnsi="宋体" w:cs="宋体" w:eastAsia="宋体" w:hint="default"/>
                <w:spacing w:val="-12"/>
                <w:sz w:val="18"/>
                <w:szCs w:val="18"/>
              </w:rPr>
              <w:t>产、货</w:t>
            </w:r>
            <w:r>
              <w:rPr>
                <w:rFonts w:ascii="宋体" w:hAnsi="宋体" w:cs="宋体" w:eastAsia="宋体" w:hint="default"/>
                <w:sz w:val="18"/>
                <w:szCs w:val="18"/>
              </w:rPr>
              <w:t> 币市 场工 </w:t>
            </w:r>
            <w:r>
              <w:rPr>
                <w:rFonts w:ascii="宋体" w:hAnsi="宋体" w:cs="宋体" w:eastAsia="宋体" w:hint="default"/>
                <w:spacing w:val="-12"/>
                <w:sz w:val="18"/>
                <w:szCs w:val="18"/>
              </w:rPr>
              <w:t>具、衍</w:t>
            </w:r>
            <w:r>
              <w:rPr>
                <w:rFonts w:ascii="宋体" w:hAnsi="宋体" w:cs="宋体" w:eastAsia="宋体" w:hint="default"/>
                <w:sz w:val="18"/>
                <w:szCs w:val="18"/>
              </w:rPr>
              <w:t> 生工 </w:t>
            </w:r>
            <w:r>
              <w:rPr>
                <w:rFonts w:ascii="宋体" w:hAnsi="宋体" w:cs="宋体" w:eastAsia="宋体" w:hint="default"/>
                <w:spacing w:val="-12"/>
                <w:sz w:val="18"/>
                <w:szCs w:val="18"/>
              </w:rPr>
              <w:t>具（包</w:t>
            </w:r>
            <w:r>
              <w:rPr>
                <w:rFonts w:ascii="宋体" w:hAnsi="宋体" w:cs="宋体" w:eastAsia="宋体" w:hint="default"/>
                <w:sz w:val="18"/>
                <w:szCs w:val="18"/>
              </w:rPr>
              <w:t> 括但 不限 于信 用风 险缓 释工 </w:t>
            </w:r>
            <w:r>
              <w:rPr>
                <w:rFonts w:ascii="宋体" w:hAnsi="宋体" w:cs="宋体" w:eastAsia="宋体" w:hint="default"/>
                <w:spacing w:val="-12"/>
                <w:sz w:val="18"/>
                <w:szCs w:val="18"/>
              </w:rPr>
              <w:t>具）及</w:t>
            </w:r>
            <w:r>
              <w:rPr>
                <w:rFonts w:ascii="宋体" w:hAnsi="宋体" w:cs="宋体" w:eastAsia="宋体" w:hint="default"/>
                <w:sz w:val="18"/>
                <w:szCs w:val="18"/>
              </w:rPr>
              <w:t> 其他 符合 监管 要求 等金 融资 产。</w:t>
            </w:r>
            <w:r>
              <w:rPr>
                <w:rFonts w:ascii="Times New Roman" w:hAnsi="Times New Roman" w:cs="Times New Roman" w:eastAsia="Times New Roman" w:hint="default"/>
                <w:sz w:val="18"/>
                <w:szCs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37.97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37.97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002</w:t>
            </w: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广安 门支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货币 基金、 同业 存放、 银行 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83.33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83.33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36"/>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产品 及其 他资 产管 理产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青岛 李沧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品投 资于 银行 间市 场信 用等 级较 </w:t>
            </w:r>
            <w:r>
              <w:rPr>
                <w:rFonts w:ascii="宋体" w:hAnsi="宋体" w:cs="宋体" w:eastAsia="宋体" w:hint="default"/>
                <w:spacing w:val="-12"/>
                <w:sz w:val="18"/>
                <w:szCs w:val="18"/>
              </w:rPr>
              <w:t>高、流</w:t>
            </w:r>
            <w:r>
              <w:rPr>
                <w:rFonts w:ascii="宋体" w:hAnsi="宋体" w:cs="宋体" w:eastAsia="宋体" w:hint="default"/>
                <w:sz w:val="18"/>
                <w:szCs w:val="18"/>
              </w:rPr>
              <w:t> 动性 较好 的债 券或 货币 市场 工具， 包括 但不 限于： 债券 回购、 拆借、 存放 同业、 央行 票据、 国债、 金融 </w:t>
            </w:r>
            <w:r>
              <w:rPr>
                <w:rFonts w:ascii="宋体" w:hAnsi="宋体" w:cs="宋体" w:eastAsia="宋体" w:hint="default"/>
                <w:spacing w:val="-12"/>
                <w:sz w:val="18"/>
                <w:szCs w:val="18"/>
              </w:rPr>
              <w:t>债、以</w:t>
            </w:r>
            <w:r>
              <w:rPr>
                <w:rFonts w:ascii="宋体" w:hAnsi="宋体" w:cs="宋体" w:eastAsia="宋体" w:hint="default"/>
                <w:sz w:val="18"/>
                <w:szCs w:val="18"/>
              </w:rPr>
              <w:t> 及高 信用 级别 的企 业债 </w:t>
            </w:r>
            <w:r>
              <w:rPr>
                <w:rFonts w:ascii="宋体" w:hAnsi="宋体" w:cs="宋体" w:eastAsia="宋体" w:hint="default"/>
                <w:spacing w:val="-12"/>
                <w:sz w:val="18"/>
                <w:szCs w:val="18"/>
              </w:rPr>
              <w:t>券（企</w:t>
            </w:r>
            <w:r>
              <w:rPr>
                <w:rFonts w:ascii="宋体" w:hAnsi="宋体" w:cs="宋体" w:eastAsia="宋体" w:hint="default"/>
                <w:sz w:val="18"/>
                <w:szCs w:val="18"/>
              </w:rPr>
              <w:t> 业债、 公司 </w:t>
            </w:r>
            <w:r>
              <w:rPr>
                <w:rFonts w:ascii="宋体" w:hAnsi="宋体" w:cs="宋体" w:eastAsia="宋体" w:hint="default"/>
                <w:spacing w:val="-12"/>
                <w:sz w:val="18"/>
                <w:szCs w:val="18"/>
              </w:rPr>
              <w:t>债、短</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9.88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9.88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6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期融 资券、 中期 票据 </w:t>
            </w:r>
            <w:r>
              <w:rPr>
                <w:rFonts w:ascii="宋体" w:hAnsi="宋体" w:cs="宋体" w:eastAsia="宋体" w:hint="default"/>
                <w:spacing w:val="-12"/>
                <w:sz w:val="18"/>
                <w:szCs w:val="18"/>
              </w:rPr>
              <w:t>等）等</w:t>
            </w:r>
            <w:r>
              <w:rPr>
                <w:rFonts w:ascii="宋体" w:hAnsi="宋体" w:cs="宋体" w:eastAsia="宋体" w:hint="default"/>
                <w:sz w:val="18"/>
                <w:szCs w:val="18"/>
              </w:rPr>
              <w:t>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平安 银行 青岛 李沧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品投 资于 银行 间市 场信 用等 级较 </w:t>
            </w:r>
            <w:r>
              <w:rPr>
                <w:rFonts w:ascii="宋体" w:hAnsi="宋体" w:cs="宋体" w:eastAsia="宋体" w:hint="default"/>
                <w:spacing w:val="-12"/>
                <w:sz w:val="18"/>
                <w:szCs w:val="18"/>
              </w:rPr>
              <w:t>高、流</w:t>
            </w:r>
            <w:r>
              <w:rPr>
                <w:rFonts w:ascii="宋体" w:hAnsi="宋体" w:cs="宋体" w:eastAsia="宋体" w:hint="default"/>
                <w:sz w:val="18"/>
                <w:szCs w:val="18"/>
              </w:rPr>
              <w:t> 动性 较好 的债 券或 货币 市场 工具， 包括 但不 限于： 债券 回购、 拆借、 存放 同业、 央行 票据、 国债、 金融 </w:t>
            </w:r>
            <w:r>
              <w:rPr>
                <w:rFonts w:ascii="宋体" w:hAnsi="宋体" w:cs="宋体" w:eastAsia="宋体" w:hint="default"/>
                <w:spacing w:val="-12"/>
                <w:sz w:val="18"/>
                <w:szCs w:val="18"/>
              </w:rPr>
              <w:t>债、以</w:t>
            </w:r>
            <w:r>
              <w:rPr>
                <w:rFonts w:ascii="宋体" w:hAnsi="宋体" w:cs="宋体" w:eastAsia="宋体" w:hint="default"/>
                <w:sz w:val="18"/>
                <w:szCs w:val="18"/>
              </w:rPr>
              <w:t> 及高 信用 级别 的企 业债 </w:t>
            </w:r>
            <w:r>
              <w:rPr>
                <w:rFonts w:ascii="宋体" w:hAnsi="宋体" w:cs="宋体" w:eastAsia="宋体" w:hint="default"/>
                <w:spacing w:val="-12"/>
                <w:sz w:val="18"/>
                <w:szCs w:val="18"/>
              </w:rPr>
              <w:t>券（企</w:t>
            </w:r>
            <w:r>
              <w:rPr>
                <w:rFonts w:ascii="宋体" w:hAnsi="宋体" w:cs="宋体" w:eastAsia="宋体" w:hint="default"/>
                <w:sz w:val="18"/>
                <w:szCs w:val="18"/>
              </w:rPr>
              <w:t> 业债、 公司 </w:t>
            </w:r>
            <w:r>
              <w:rPr>
                <w:rFonts w:ascii="宋体" w:hAnsi="宋体" w:cs="宋体" w:eastAsia="宋体" w:hint="default"/>
                <w:spacing w:val="-12"/>
                <w:sz w:val="18"/>
                <w:szCs w:val="18"/>
              </w:rPr>
              <w:t>债、短</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6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期融 资券、 中期 票据 </w:t>
            </w:r>
            <w:r>
              <w:rPr>
                <w:rFonts w:ascii="宋体" w:hAnsi="宋体" w:cs="宋体" w:eastAsia="宋体" w:hint="default"/>
                <w:spacing w:val="-12"/>
                <w:sz w:val="18"/>
                <w:szCs w:val="18"/>
              </w:rPr>
              <w:t>等）等</w:t>
            </w:r>
            <w:r>
              <w:rPr>
                <w:rFonts w:ascii="宋体" w:hAnsi="宋体" w:cs="宋体" w:eastAsia="宋体" w:hint="default"/>
                <w:sz w:val="18"/>
                <w:szCs w:val="18"/>
              </w:rPr>
              <w:t> 资产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77"/>
              <w:jc w:val="both"/>
              <w:rPr>
                <w:rFonts w:ascii="宋体" w:hAnsi="宋体" w:cs="宋体" w:eastAsia="宋体" w:hint="default"/>
                <w:sz w:val="18"/>
                <w:szCs w:val="18"/>
              </w:rPr>
            </w:pPr>
            <w:r>
              <w:rPr>
                <w:rFonts w:ascii="宋体" w:hAnsi="宋体" w:cs="宋体" w:eastAsia="宋体" w:hint="default"/>
                <w:sz w:val="18"/>
                <w:szCs w:val="18"/>
              </w:rPr>
              <w:t>中信 银行 长沙 雨花 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本产 品为 结构 性理 财产 </w:t>
            </w:r>
            <w:r>
              <w:rPr>
                <w:rFonts w:ascii="宋体" w:hAnsi="宋体" w:cs="宋体" w:eastAsia="宋体" w:hint="default"/>
                <w:spacing w:val="-12"/>
                <w:sz w:val="18"/>
                <w:szCs w:val="18"/>
              </w:rPr>
              <w:t>品，理</w:t>
            </w:r>
            <w:r>
              <w:rPr>
                <w:rFonts w:ascii="宋体" w:hAnsi="宋体" w:cs="宋体" w:eastAsia="宋体" w:hint="default"/>
                <w:sz w:val="18"/>
                <w:szCs w:val="18"/>
              </w:rPr>
              <w:t> 财资 金全 额通 过结 构性 利率 掉期 方式 进行 投资 运作。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272.22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005</w:t>
            </w:r>
          </w:p>
        </w:tc>
      </w:tr>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宁波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品主 要投 资品 种包 括但 不限 于债 券及 现金、 同业 资产、 货币 市场 工具、 衍生 工具</w:t>
            </w:r>
          </w:p>
          <w:p>
            <w:pPr>
              <w:pStyle w:val="TableParagraph"/>
              <w:spacing w:line="316" w:lineRule="auto" w:before="19"/>
              <w:ind w:left="22" w:right="167"/>
              <w:jc w:val="both"/>
              <w:rPr>
                <w:rFonts w:ascii="宋体" w:hAnsi="宋体" w:cs="宋体" w:eastAsia="宋体" w:hint="default"/>
                <w:sz w:val="18"/>
                <w:szCs w:val="18"/>
              </w:rPr>
            </w:pPr>
            <w:r>
              <w:rPr>
                <w:rFonts w:ascii="宋体" w:hAnsi="宋体" w:cs="宋体" w:eastAsia="宋体" w:hint="default"/>
                <w:sz w:val="18"/>
                <w:szCs w:val="18"/>
              </w:rPr>
              <w:t>（包 括但 不限</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79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于信 用风 险缓 释工 </w:t>
            </w:r>
            <w:r>
              <w:rPr>
                <w:rFonts w:ascii="宋体" w:hAnsi="宋体" w:cs="宋体" w:eastAsia="宋体" w:hint="default"/>
                <w:spacing w:val="-12"/>
                <w:sz w:val="18"/>
                <w:szCs w:val="18"/>
              </w:rPr>
              <w:t>具）及</w:t>
            </w:r>
            <w:r>
              <w:rPr>
                <w:rFonts w:ascii="宋体" w:hAnsi="宋体" w:cs="宋体" w:eastAsia="宋体" w:hint="default"/>
                <w:sz w:val="18"/>
                <w:szCs w:val="18"/>
              </w:rPr>
              <w:t> 其他 符合 监管 要求 等金 融资 产</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广安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1" w:right="0"/>
              <w:jc w:val="center"/>
              <w:rPr>
                <w:rFonts w:ascii="Times New Roman" w:hAnsi="Times New Roman" w:cs="Times New Roman" w:eastAsia="Times New Roman" w:hint="default"/>
                <w:sz w:val="18"/>
                <w:szCs w:val="18"/>
              </w:rPr>
            </w:pPr>
            <w:r>
              <w:rPr>
                <w:rFonts w:ascii="Times New Roman"/>
                <w:sz w:val="18"/>
              </w:rPr>
              <w:t>23.19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center"/>
              <w:rPr>
                <w:rFonts w:ascii="Times New Roman" w:hAnsi="Times New Roman" w:cs="Times New Roman" w:eastAsia="Times New Roman" w:hint="default"/>
                <w:sz w:val="18"/>
                <w:szCs w:val="18"/>
              </w:rPr>
            </w:pPr>
            <w:r>
              <w:rPr>
                <w:rFonts w:ascii="Times New Roman"/>
                <w:sz w:val="18"/>
              </w:rPr>
              <w:t>23.19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026</w:t>
            </w:r>
          </w:p>
        </w:tc>
      </w:tr>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品销</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36.82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36.82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816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北京 金融 街支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7"/>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026</w:t>
            </w:r>
          </w:p>
        </w:tc>
      </w:tr>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91.75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91.75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45"/>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广安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财产 品销 售所 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z w:val="18"/>
              </w:rPr>
              <w:t>35.9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z w:val="18"/>
              </w:rPr>
              <w:t>35.9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049</w:t>
            </w:r>
          </w:p>
        </w:tc>
      </w:tr>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13,000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本理 财产 品销 售所</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155.57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155.57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8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金融 街支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汇集 资金 作为 名义 本金， 并以 该名 义本 金的 资金 成本 与交 易对 手叙 作投 资收 益和</w:t>
            </w:r>
          </w:p>
          <w:p>
            <w:pPr>
              <w:pStyle w:val="TableParagraph"/>
              <w:spacing w:line="362" w:lineRule="auto" w:before="58"/>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挂钩</w:t>
            </w:r>
          </w:p>
          <w:p>
            <w:pPr>
              <w:pStyle w:val="TableParagraph"/>
              <w:spacing w:line="319"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的金 融衍 生品 交易。</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049</w:t>
            </w:r>
          </w:p>
        </w:tc>
      </w:tr>
      <w:tr>
        <w:trPr>
          <w:trHeight w:val="59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广东 华兴 银行 汕头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1,900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本理 财计 划的 投资 方向 包括 但不 限于 信用 级别 较高、 流动 性较 好的 金融 工具， 主要 包括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回购、 同业 拆借、 国债、 金融 </w:t>
            </w:r>
            <w:r>
              <w:rPr>
                <w:rFonts w:ascii="宋体" w:hAnsi="宋体" w:cs="宋体" w:eastAsia="宋体" w:hint="default"/>
                <w:spacing w:val="-12"/>
                <w:sz w:val="18"/>
                <w:szCs w:val="18"/>
              </w:rPr>
              <w:t>债、央</w:t>
            </w:r>
            <w:r>
              <w:rPr>
                <w:rFonts w:ascii="宋体" w:hAnsi="宋体" w:cs="宋体" w:eastAsia="宋体" w:hint="default"/>
                <w:sz w:val="18"/>
                <w:szCs w:val="18"/>
              </w:rPr>
              <w:t> 行票 </w:t>
            </w:r>
            <w:r>
              <w:rPr>
                <w:rFonts w:ascii="宋体" w:hAnsi="宋体" w:cs="宋体" w:eastAsia="宋体" w:hint="default"/>
                <w:spacing w:val="-12"/>
                <w:sz w:val="18"/>
                <w:szCs w:val="18"/>
              </w:rPr>
              <w:t>据、以</w:t>
            </w:r>
            <w:r>
              <w:rPr>
                <w:rFonts w:ascii="宋体" w:hAnsi="宋体" w:cs="宋体" w:eastAsia="宋体" w:hint="default"/>
                <w:sz w:val="18"/>
                <w:szCs w:val="18"/>
              </w:rPr>
              <w:t> 及高 信用 级别 的企 业债、 公司 </w:t>
            </w:r>
            <w:r>
              <w:rPr>
                <w:rFonts w:ascii="宋体" w:hAnsi="宋体" w:cs="宋体" w:eastAsia="宋体" w:hint="default"/>
                <w:spacing w:val="-12"/>
                <w:sz w:val="18"/>
                <w:szCs w:val="18"/>
              </w:rPr>
              <w:t>债、短</w:t>
            </w:r>
            <w:r>
              <w:rPr>
                <w:rFonts w:ascii="宋体" w:hAnsi="宋体" w:cs="宋体" w:eastAsia="宋体" w:hint="default"/>
                <w:sz w:val="18"/>
                <w:szCs w:val="18"/>
              </w:rPr>
              <w:t> 期融 资券 等。</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30.74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30.74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5"/>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072</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both"/>
              <w:rPr>
                <w:rFonts w:ascii="宋体" w:hAnsi="宋体" w:cs="宋体" w:eastAsia="宋体" w:hint="default"/>
                <w:sz w:val="18"/>
                <w:szCs w:val="18"/>
              </w:rPr>
            </w:pPr>
            <w:r>
              <w:rPr>
                <w:rFonts w:ascii="宋体" w:hAnsi="宋体" w:cs="宋体" w:eastAsia="宋体" w:hint="default"/>
                <w:sz w:val="18"/>
                <w:szCs w:val="18"/>
              </w:rPr>
              <w:t>中信 银行 长沙 雨花 亭支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伦敦 时间 上午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点 的美 元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p>
          <w:p>
            <w:pPr>
              <w:pStyle w:val="TableParagraph"/>
              <w:spacing w:line="362" w:lineRule="auto" w:before="62"/>
              <w:ind w:left="22" w:right="107"/>
              <w:jc w:val="left"/>
              <w:rPr>
                <w:rFonts w:ascii="Times New Roman" w:hAnsi="Times New Roman" w:cs="Times New Roman" w:eastAsia="Times New Roman" w:hint="default"/>
                <w:sz w:val="18"/>
                <w:szCs w:val="18"/>
              </w:rPr>
            </w:pPr>
            <w:r>
              <w:rPr>
                <w:rFonts w:ascii="Times New Roman"/>
                <w:sz w:val="18"/>
              </w:rPr>
              <w:t>LIBO</w:t>
            </w:r>
            <w:r>
              <w:rPr>
                <w:rFonts w:ascii="Times New Roman"/>
                <w:w w:val="99"/>
                <w:sz w:val="18"/>
              </w:rPr>
              <w:t> </w:t>
            </w:r>
            <w:r>
              <w:rPr>
                <w:rFonts w:ascii="Times New Roman"/>
                <w:sz w:val="18"/>
              </w:rPr>
              <w:t>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33.97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33.97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075</w:t>
            </w:r>
          </w:p>
        </w:tc>
      </w:tr>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工商 银行 深圳 东门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一是 债券、 存款 等高 流动 性资 </w:t>
            </w:r>
            <w:r>
              <w:rPr>
                <w:rFonts w:ascii="宋体" w:hAnsi="宋体" w:cs="宋体" w:eastAsia="宋体" w:hint="default"/>
                <w:spacing w:val="-12"/>
                <w:sz w:val="18"/>
                <w:szCs w:val="18"/>
              </w:rPr>
              <w:t>产，包</w:t>
            </w:r>
            <w:r>
              <w:rPr>
                <w:rFonts w:ascii="宋体" w:hAnsi="宋体" w:cs="宋体" w:eastAsia="宋体" w:hint="default"/>
                <w:sz w:val="18"/>
                <w:szCs w:val="18"/>
              </w:rPr>
              <w:t> 括但 不限</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0" w:lineRule="auto"/>
              <w:ind w:left="2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公告 编号：</w:t>
            </w:r>
          </w:p>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108"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于各</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券、存</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款、货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金、债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金、质</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押式</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场交</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具；二</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是其</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合，包</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8"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资产 管理 公司 投资 计划 </w:t>
            </w:r>
            <w:r>
              <w:rPr>
                <w:rFonts w:ascii="宋体" w:hAnsi="宋体" w:cs="宋体" w:eastAsia="宋体" w:hint="default"/>
                <w:spacing w:val="-12"/>
                <w:sz w:val="18"/>
                <w:szCs w:val="18"/>
              </w:rPr>
              <w:t>等；三</w:t>
            </w:r>
            <w:r>
              <w:rPr>
                <w:rFonts w:ascii="宋体" w:hAnsi="宋体" w:cs="宋体" w:eastAsia="宋体" w:hint="default"/>
                <w:sz w:val="18"/>
                <w:szCs w:val="18"/>
              </w:rPr>
              <w:t> 是债 权类 资产， 包括 但不 限于 债权 类信 托计 </w:t>
            </w:r>
            <w:r>
              <w:rPr>
                <w:rFonts w:ascii="宋体" w:hAnsi="宋体" w:cs="宋体" w:eastAsia="宋体" w:hint="default"/>
                <w:spacing w:val="-12"/>
                <w:sz w:val="18"/>
                <w:szCs w:val="18"/>
              </w:rPr>
              <w:t>划、北</w:t>
            </w:r>
            <w:r>
              <w:rPr>
                <w:rFonts w:ascii="宋体" w:hAnsi="宋体" w:cs="宋体" w:eastAsia="宋体" w:hint="default"/>
                <w:sz w:val="18"/>
                <w:szCs w:val="18"/>
              </w:rPr>
              <w:t> 京金 融资 产交 易所 委托 债权 等。</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金融 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5"/>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129</w:t>
            </w:r>
          </w:p>
        </w:tc>
      </w:tr>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工商 银行 深圳 东门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一是 债券、 存款 等高 流动 性资 </w:t>
            </w:r>
            <w:r>
              <w:rPr>
                <w:rFonts w:ascii="宋体" w:hAnsi="宋体" w:cs="宋体" w:eastAsia="宋体" w:hint="default"/>
                <w:spacing w:val="-12"/>
                <w:sz w:val="18"/>
                <w:szCs w:val="18"/>
              </w:rPr>
              <w:t>产，包</w:t>
            </w:r>
            <w:r>
              <w:rPr>
                <w:rFonts w:ascii="宋体" w:hAnsi="宋体" w:cs="宋体" w:eastAsia="宋体" w:hint="default"/>
                <w:sz w:val="18"/>
                <w:szCs w:val="18"/>
              </w:rPr>
              <w:t> 括但 不限 于各 类债 </w:t>
            </w:r>
            <w:r>
              <w:rPr>
                <w:rFonts w:ascii="宋体" w:hAnsi="宋体" w:cs="宋体" w:eastAsia="宋体" w:hint="default"/>
                <w:spacing w:val="-12"/>
                <w:sz w:val="18"/>
                <w:szCs w:val="18"/>
              </w:rPr>
              <w:t>券、存</w:t>
            </w:r>
            <w:r>
              <w:rPr>
                <w:rFonts w:ascii="宋体" w:hAnsi="宋体" w:cs="宋体" w:eastAsia="宋体" w:hint="default"/>
                <w:sz w:val="18"/>
                <w:szCs w:val="18"/>
              </w:rPr>
              <w:t> </w:t>
            </w:r>
            <w:r>
              <w:rPr>
                <w:rFonts w:ascii="宋体" w:hAnsi="宋体" w:cs="宋体" w:eastAsia="宋体" w:hint="default"/>
                <w:spacing w:val="-12"/>
                <w:sz w:val="18"/>
                <w:szCs w:val="18"/>
              </w:rPr>
              <w:t>款、货</w:t>
            </w:r>
            <w:r>
              <w:rPr>
                <w:rFonts w:ascii="宋体" w:hAnsi="宋体" w:cs="宋体" w:eastAsia="宋体" w:hint="default"/>
                <w:sz w:val="18"/>
                <w:szCs w:val="18"/>
              </w:rPr>
              <w:t> 币市</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42"/>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 w:hRule="exact"/>
        </w:trPr>
        <w:tc>
          <w:tcPr>
            <w:tcW w:w="572" w:type="dxa"/>
            <w:vMerge w:val="restart"/>
            <w:tcBorders>
              <w:top w:val="single" w:sz="4" w:space="0" w:color="000000"/>
              <w:left w:val="single" w:sz="4" w:space="0" w:color="000000"/>
              <w:right w:val="single" w:sz="4" w:space="0" w:color="000000"/>
            </w:tcBorders>
          </w:tcPr>
          <w:p>
            <w:pP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场基</w:t>
            </w: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金、债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券基</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金、质</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押式</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币市</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场交</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易工</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具；二</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是其</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合，包</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于证</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券公</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理计</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特定</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保险</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2" w:type="dxa"/>
            <w:vMerge/>
            <w:tcBorders>
              <w:left w:val="single" w:sz="4" w:space="0" w:color="000000"/>
              <w:right w:val="single" w:sz="4" w:space="0" w:color="000000"/>
            </w:tcBorders>
          </w:tcPr>
          <w:p>
            <w:pP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8" w:hRule="exact"/>
        </w:trPr>
        <w:tc>
          <w:tcPr>
            <w:tcW w:w="572"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66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pacing w:val="-12"/>
                <w:sz w:val="18"/>
                <w:szCs w:val="18"/>
              </w:rPr>
              <w:t>等；三</w:t>
            </w:r>
            <w:r>
              <w:rPr>
                <w:rFonts w:ascii="宋体" w:hAnsi="宋体" w:cs="宋体" w:eastAsia="宋体" w:hint="default"/>
                <w:sz w:val="18"/>
                <w:szCs w:val="18"/>
              </w:rPr>
              <w:t> 是债 权类 资产， 包括 但不 限于 债权 类信 托计 </w:t>
            </w:r>
            <w:r>
              <w:rPr>
                <w:rFonts w:ascii="宋体" w:hAnsi="宋体" w:cs="宋体" w:eastAsia="宋体" w:hint="default"/>
                <w:spacing w:val="-12"/>
                <w:sz w:val="18"/>
                <w:szCs w:val="18"/>
              </w:rPr>
              <w:t>划、北</w:t>
            </w:r>
            <w:r>
              <w:rPr>
                <w:rFonts w:ascii="宋体" w:hAnsi="宋体" w:cs="宋体" w:eastAsia="宋体" w:hint="default"/>
                <w:sz w:val="18"/>
                <w:szCs w:val="18"/>
              </w:rPr>
              <w:t> 京金 融资 产交 易所 委托 债权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复兴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保本保 息型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5"/>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pacing w:val="-3"/>
                <w:sz w:val="18"/>
              </w:rPr>
              <w:t>110</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复兴 门支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保本保 息型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78"/>
              <w:jc w:val="left"/>
              <w:rPr>
                <w:rFonts w:ascii="Times New Roman" w:hAnsi="Times New Roman" w:cs="Times New Roman" w:eastAsia="Times New Roman" w:hint="default"/>
                <w:sz w:val="18"/>
                <w:szCs w:val="18"/>
              </w:rPr>
            </w:pPr>
            <w:r>
              <w:rPr>
                <w:rFonts w:ascii="Times New Roman"/>
                <w:sz w:val="18"/>
              </w:rPr>
              <w:t>USD3</w:t>
            </w:r>
            <w:r>
              <w:rPr>
                <w:rFonts w:ascii="Times New Roman"/>
                <w:spacing w:val="-1"/>
                <w:w w:val="99"/>
                <w:sz w:val="18"/>
              </w:rPr>
              <w:t> </w:t>
            </w:r>
            <w:r>
              <w:rPr>
                <w:rFonts w:ascii="Times New Roman"/>
                <w:sz w:val="18"/>
              </w:rPr>
              <w:t>M-LI</w:t>
            </w:r>
            <w:r>
              <w:rPr>
                <w:rFonts w:ascii="Times New Roman"/>
                <w:w w:val="99"/>
                <w:sz w:val="18"/>
              </w:rPr>
              <w:t> </w:t>
            </w:r>
            <w:r>
              <w:rPr>
                <w:rFonts w:ascii="Times New Roman"/>
                <w:sz w:val="18"/>
              </w:rPr>
              <w:t>BOR</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5"/>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144</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3,970.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3,970.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35</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032" w:firstLine="360"/>
        <w:jc w:val="left"/>
      </w:pPr>
      <w:r>
        <w:rPr/>
        <w:t>公司秉承</w:t>
      </w:r>
      <w:r>
        <w:rPr>
          <w:rFonts w:ascii="Times New Roman" w:hAnsi="Times New Roman" w:cs="Times New Roman" w:eastAsia="Times New Roman" w:hint="default"/>
        </w:rPr>
        <w:t>“</w:t>
      </w:r>
      <w:r>
        <w:rPr/>
        <w:t>诚信、责任、和谐、感恩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为社会创造财富，为股东创造价值</w:t>
      </w:r>
      <w:r>
        <w:rPr>
          <w:rFonts w:ascii="Times New Roman" w:hAnsi="Times New Roman" w:cs="Times New Roman" w:eastAsia="Times New Roman" w:hint="default"/>
        </w:rPr>
        <w:t>”</w:t>
      </w:r>
      <w:r>
        <w:rPr/>
        <w:t>的企业使命，充分挖掘内部潜力，调动全体 员工的工作积极性，在企业持续稳健发展、保护股东利益的同时，认真履行对股东、员工、对客户、对供应商的社会责任，</w:t>
      </w:r>
      <w:r>
        <w:rPr>
          <w:spacing w:val="-85"/>
        </w:rPr>
        <w:t> </w:t>
      </w:r>
      <w:r>
        <w:rPr>
          <w:spacing w:val="-85"/>
        </w:rPr>
      </w:r>
      <w:r>
        <w:rPr/>
        <w:t>以实际行动履行公司在各方面应尽的责任和义务，创建和谐的发展环境，促进公司和谐发展。</w:t>
      </w:r>
    </w:p>
    <w:p>
      <w:pPr>
        <w:pStyle w:val="BodyText"/>
        <w:spacing w:line="314" w:lineRule="auto" w:before="62"/>
        <w:ind w:right="1130" w:firstLine="360"/>
        <w:jc w:val="both"/>
      </w:pPr>
      <w:r>
        <w:rPr>
          <w:rFonts w:ascii="Times New Roman" w:hAnsi="Times New Roman" w:cs="Times New Roman" w:eastAsia="Times New Roman" w:hint="default"/>
        </w:rPr>
        <w:t>1</w:t>
      </w:r>
      <w:r>
        <w:rPr/>
        <w:t>、在保障公司股东特别是中小股东权益方面，公司严格按照《公司法》、《深圳证券交易所规范运作指引》、《公司 </w:t>
      </w:r>
      <w:r>
        <w:rPr>
          <w:spacing w:val="-2"/>
        </w:rPr>
        <w:t>章程》等有关法律法规制度等要求，建立了涵盖公司运营全部环节和多层次的内控体系，使公司各项经营、决策等事项严格</w:t>
      </w:r>
      <w:r>
        <w:rPr>
          <w:spacing w:val="-66"/>
        </w:rPr>
        <w:t> </w:t>
      </w:r>
      <w:r>
        <w:rPr>
          <w:spacing w:val="-66"/>
        </w:rPr>
      </w:r>
      <w:r>
        <w:rPr>
          <w:spacing w:val="-5"/>
        </w:rPr>
        <w:t>按照规定执行，规范公司运作以提升经营业绩。同时公司通过落实分红等政策，积极回报股东，开通股东大会网络投票通道，</w:t>
      </w:r>
      <w:r>
        <w:rPr>
          <w:spacing w:val="-81"/>
        </w:rPr>
        <w:t> </w:t>
      </w:r>
      <w:r>
        <w:rPr>
          <w:spacing w:val="-81"/>
        </w:rPr>
      </w:r>
      <w:r>
        <w:rPr>
          <w:spacing w:val="-2"/>
        </w:rPr>
        <w:t>提高中小投资者参与公司重要事项决策权。公司通过及时、真实、完整的披露信息，保证信息披露的公平、公正性、切实维</w:t>
      </w:r>
      <w:r>
        <w:rPr>
          <w:spacing w:val="-68"/>
        </w:rPr>
        <w:t> </w:t>
      </w:r>
      <w:r>
        <w:rPr>
          <w:spacing w:val="-68"/>
        </w:rPr>
      </w:r>
      <w:r>
        <w:rPr/>
        <w:t>护公司和全体股东的合法权益。</w:t>
      </w:r>
    </w:p>
    <w:p>
      <w:pPr>
        <w:pStyle w:val="BodyText"/>
        <w:spacing w:line="309" w:lineRule="auto" w:before="59"/>
        <w:ind w:right="1133" w:firstLine="360"/>
        <w:jc w:val="both"/>
      </w:pPr>
      <w:r>
        <w:rPr>
          <w:rFonts w:ascii="Times New Roman" w:hAnsi="Times New Roman" w:cs="Times New Roman" w:eastAsia="Times New Roman" w:hint="default"/>
        </w:rPr>
        <w:t>2</w:t>
      </w:r>
      <w:r>
        <w:rPr/>
        <w:t>、公司坚持以人为本的原则，坚持员工利益至上。公司高度重视员工的生产安全、劳动防护、劳动保障工作，积极为 </w:t>
      </w:r>
      <w:r>
        <w:rPr>
          <w:spacing w:val="-2"/>
        </w:rPr>
        <w:t>员工缴纳各项社会保险费、提供多层次、全方位的各类培训，组织多形式的文体活动，不断提升员工的职业技能，丰富员工</w:t>
      </w:r>
      <w:r>
        <w:rPr>
          <w:spacing w:val="-66"/>
        </w:rPr>
        <w:t> </w:t>
      </w:r>
      <w:r>
        <w:rPr>
          <w:spacing w:val="-66"/>
        </w:rPr>
      </w:r>
      <w:r>
        <w:rPr/>
        <w:t>精神生活，提升员工发展空间。</w:t>
      </w:r>
    </w:p>
    <w:p>
      <w:pPr>
        <w:pStyle w:val="BodyText"/>
        <w:spacing w:line="302" w:lineRule="auto" w:before="64"/>
        <w:ind w:right="1142" w:firstLine="360"/>
        <w:jc w:val="left"/>
      </w:pPr>
      <w:r>
        <w:rPr>
          <w:rFonts w:ascii="Times New Roman" w:hAnsi="Times New Roman" w:cs="Times New Roman" w:eastAsia="Times New Roman" w:hint="default"/>
        </w:rPr>
        <w:t>3</w:t>
      </w:r>
      <w:r>
        <w:rPr/>
        <w:t>、公司坚持</w:t>
      </w:r>
      <w:r>
        <w:rPr>
          <w:rFonts w:ascii="Times New Roman" w:hAnsi="Times New Roman" w:cs="Times New Roman" w:eastAsia="Times New Roman" w:hint="default"/>
        </w:rPr>
        <w:t>“</w:t>
      </w:r>
      <w:r>
        <w:rPr/>
        <w:t>客户第一，服务至上</w:t>
      </w:r>
      <w:r>
        <w:rPr>
          <w:rFonts w:ascii="Times New Roman" w:hAnsi="Times New Roman" w:cs="Times New Roman" w:eastAsia="Times New Roman" w:hint="default"/>
        </w:rPr>
        <w:t>”</w:t>
      </w:r>
      <w:r>
        <w:rPr/>
        <w:t>的原则，为下游客户提供优质的产品和便捷的服务，同时加强与上游供应商的沟通 与合作，实现公司与客户多方互惠共赢，创造企业和谐的发展空间。</w:t>
      </w:r>
    </w:p>
    <w:p>
      <w:pPr>
        <w:pStyle w:val="BodyText"/>
        <w:spacing w:line="309" w:lineRule="auto" w:before="68"/>
        <w:ind w:right="1032" w:firstLine="360"/>
        <w:jc w:val="left"/>
      </w:pPr>
      <w:r>
        <w:rPr>
          <w:rFonts w:ascii="Times New Roman" w:hAnsi="Times New Roman" w:cs="Times New Roman" w:eastAsia="Times New Roman" w:hint="default"/>
        </w:rPr>
        <w:t>4</w:t>
      </w:r>
      <w:r>
        <w:rPr/>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w:t>
      </w:r>
      <w:r>
        <w:rPr>
          <w:spacing w:val="-85"/>
        </w:rPr>
        <w:t> </w:t>
      </w:r>
      <w:r>
        <w:rPr>
          <w:spacing w:val="-85"/>
        </w:rPr>
      </w:r>
      <w:r>
        <w:rPr/>
        <w:t>近年来，公司更是引进先进流水线，打造绿色生产制造企业，致力于打造环境友好型生产企业。</w:t>
      </w:r>
    </w:p>
    <w:p>
      <w:pPr>
        <w:spacing w:line="240" w:lineRule="auto" w:before="10"/>
        <w:rPr>
          <w:rFonts w:ascii="宋体" w:hAnsi="宋体" w:cs="宋体" w:eastAsia="宋体" w:hint="default"/>
          <w:sz w:val="22"/>
          <w:szCs w:val="22"/>
        </w:rPr>
      </w:pPr>
    </w:p>
    <w:p>
      <w:pPr>
        <w:pStyle w:val="Heading7"/>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精准扶贫规划" w:id="101"/>
      <w:bookmarkEnd w:id="101"/>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spacing w:val="-2"/>
        </w:rPr>
        <w:t>报告期内，公司积极响应国家精准扶贫号召，向安顺市平坝区十字乡大院小学综合楼建设项目捐赠</w:t>
      </w:r>
      <w:r>
        <w:rPr>
          <w:rFonts w:ascii="Times New Roman" w:hAnsi="Times New Roman" w:cs="Times New Roman" w:eastAsia="Times New Roman" w:hint="default"/>
          <w:spacing w:val="-2"/>
        </w:rPr>
        <w:t>10</w:t>
      </w:r>
      <w:r>
        <w:rPr>
          <w:spacing w:val="-2"/>
        </w:rPr>
        <w:t>万元。公司将紧紧</w:t>
      </w:r>
      <w:r>
        <w:rPr/>
        <w:t> 围绕所在地区的扶贫脱贫战略，履行精准扶贫社会责任。</w:t>
      </w:r>
    </w:p>
    <w:p>
      <w:pPr>
        <w:spacing w:line="240" w:lineRule="auto" w:before="2"/>
        <w:rPr>
          <w:rFonts w:ascii="宋体" w:hAnsi="宋体" w:cs="宋体" w:eastAsia="宋体" w:hint="default"/>
          <w:sz w:val="23"/>
          <w:szCs w:val="23"/>
        </w:rPr>
      </w:pPr>
    </w:p>
    <w:p>
      <w:pPr>
        <w:pStyle w:val="Heading7"/>
        <w:spacing w:line="240" w:lineRule="auto"/>
        <w:ind w:right="0"/>
        <w:jc w:val="left"/>
        <w:rPr>
          <w:b w:val="0"/>
          <w:bCs w:val="0"/>
        </w:rPr>
      </w:pPr>
      <w:bookmarkStart w:name="（2）年度精准扶贫概要" w:id="102"/>
      <w:bookmarkEnd w:id="102"/>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报告期内，公司积极响应国家精准扶贫号召，向安顺市平坝区十字乡大院小学综合楼建设项目捐赠</w:t>
      </w:r>
      <w:r>
        <w:rPr>
          <w:rFonts w:ascii="Times New Roman" w:hAnsi="Times New Roman" w:cs="Times New Roman" w:eastAsia="Times New Roman" w:hint="default"/>
        </w:rPr>
        <w:t>10</w:t>
      </w:r>
      <w:r>
        <w:rPr/>
        <w:t>万元。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bookmarkStart w:name="（3）精准扶贫成效" w:id="103"/>
      <w:bookmarkEnd w:id="103"/>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4）后续精准扶贫计划" w:id="104"/>
      <w:bookmarkEnd w:id="104"/>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公司将紧紧围绕所在地区的扶贫脱贫战略，履行精准扶贫社会责任。</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环境保护相关的情况" w:id="105"/>
      <w:bookmarkEnd w:id="10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240" w:lineRule="auto" w:before="25"/>
        <w:ind w:right="0"/>
        <w:jc w:val="left"/>
      </w:pPr>
      <w:r>
        <w:rPr/>
        <w:t>公司及其子公司不属于环境保护部门公布的重点排污单位</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bookmarkStart w:name="十九、其他重大事项的说明" w:id="106"/>
      <w:bookmarkEnd w:id="106"/>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二十、公司子公司重大事项" w:id="107"/>
      <w:bookmarkEnd w:id="107"/>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06" w:right="1122"/>
        <w:jc w:val="left"/>
        <w:rPr>
          <w:b w:val="0"/>
          <w:bCs w:val="0"/>
        </w:rPr>
      </w:pPr>
      <w:bookmarkStart w:name="第六节 股份变动及股东情况" w:id="108"/>
      <w:bookmarkEnd w:id="108"/>
      <w:r>
        <w:rPr>
          <w:b w:val="0"/>
          <w:bCs w:val="0"/>
        </w:rPr>
      </w:r>
      <w:bookmarkStart w:name="_bookmark4" w:id="109"/>
      <w:bookmarkEnd w:id="10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left="394" w:right="1122"/>
        <w:jc w:val="left"/>
        <w:rPr>
          <w:b w:val="0"/>
          <w:bCs w:val="0"/>
        </w:rPr>
      </w:pPr>
      <w:bookmarkStart w:name="一、股份变动情况" w:id="110"/>
      <w:bookmarkEnd w:id="11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394" w:right="1122"/>
        <w:jc w:val="left"/>
        <w:rPr>
          <w:b w:val="0"/>
          <w:bCs w:val="0"/>
        </w:rPr>
      </w:pPr>
      <w:bookmarkStart w:name="1、股份变动情况" w:id="111"/>
      <w:bookmarkEnd w:id="11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62"/>
        <w:gridCol w:w="1146"/>
        <w:gridCol w:w="708"/>
        <w:gridCol w:w="710"/>
        <w:gridCol w:w="709"/>
        <w:gridCol w:w="708"/>
        <w:gridCol w:w="994"/>
        <w:gridCol w:w="992"/>
        <w:gridCol w:w="1134"/>
        <w:gridCol w:w="784"/>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70" w:right="16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68"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82,302,559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12" w:space="0" w:color="D2D2D2"/>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-29,904,848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-29,904,848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52,397,711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82,302,559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-29,904,848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-29,904,848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52,397,711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82,237,984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-39,404,848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-39,404,848</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42,833,136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9,564,575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1,169,047,536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25,889,992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25,889,992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1,194,937,528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1,169,047,536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25,889,992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25,889,992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1,194,937,528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1,251,350,095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-4,014,856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-4,014,856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1,247,335,239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394" w:right="1122"/>
        <w:jc w:val="left"/>
      </w:pPr>
      <w:r>
        <w:rPr/>
        <w:t>股份变动的原因</w:t>
      </w:r>
    </w:p>
    <w:p>
      <w:pPr>
        <w:pStyle w:val="BodyText"/>
        <w:spacing w:line="338" w:lineRule="auto" w:before="117"/>
        <w:ind w:left="75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报告期内，博升优势因联动优势完成</w:t>
      </w:r>
      <w:r>
        <w:rPr>
          <w:rFonts w:ascii="Times New Roman" w:hAnsi="Times New Roman" w:cs="Times New Roman" w:eastAsia="Times New Roman" w:hint="default"/>
        </w:rPr>
        <w:t>2017</w:t>
      </w:r>
      <w:r>
        <w:rPr/>
        <w:t>年度业绩承诺解除限售股份</w:t>
      </w:r>
      <w:r>
        <w:rPr>
          <w:rFonts w:ascii="Times New Roman" w:hAnsi="Times New Roman" w:cs="Times New Roman" w:eastAsia="Times New Roman" w:hint="default"/>
        </w:rPr>
        <w:t>39,404,848</w:t>
      </w:r>
      <w:r>
        <w:rPr/>
        <w:t>股，公司实施股权激励计划增加限售股</w:t>
      </w:r>
    </w:p>
    <w:p>
      <w:pPr>
        <w:pStyle w:val="BodyText"/>
        <w:spacing w:line="230" w:lineRule="exact"/>
        <w:ind w:left="394" w:right="1032"/>
        <w:jc w:val="left"/>
        <w:rPr>
          <w:rFonts w:ascii="Times New Roman" w:hAnsi="Times New Roman" w:cs="Times New Roman" w:eastAsia="Times New Roman" w:hint="default"/>
        </w:rPr>
      </w:pPr>
      <w:r>
        <w:rPr/>
        <w:t>份</w:t>
      </w:r>
      <w:r>
        <w:rPr>
          <w:rFonts w:ascii="Times New Roman" w:hAnsi="Times New Roman" w:cs="Times New Roman" w:eastAsia="Times New Roman" w:hint="default"/>
        </w:rPr>
        <w:t>9,500,000</w:t>
      </w:r>
      <w:r>
        <w:rPr/>
        <w:t>股</w:t>
      </w:r>
      <w:r>
        <w:rPr>
          <w:spacing w:val="-89"/>
        </w:rPr>
        <w:t>，</w:t>
      </w:r>
      <w:r>
        <w:rPr/>
        <w:t>公司注销已回购股</w:t>
      </w:r>
      <w:r>
        <w:rPr>
          <w:spacing w:val="-1"/>
        </w:rPr>
        <w:t>份</w:t>
      </w:r>
      <w:r>
        <w:rPr>
          <w:rFonts w:ascii="Times New Roman" w:hAnsi="Times New Roman" w:cs="Times New Roman" w:eastAsia="Times New Roman" w:hint="default"/>
        </w:rPr>
        <w:t>4,014,8</w:t>
      </w:r>
      <w:r>
        <w:rPr>
          <w:rFonts w:ascii="Times New Roman" w:hAnsi="Times New Roman" w:cs="Times New Roman" w:eastAsia="Times New Roman" w:hint="default"/>
          <w:spacing w:val="-2"/>
        </w:rPr>
        <w:t>5</w:t>
      </w:r>
      <w:r>
        <w:rPr>
          <w:rFonts w:ascii="Times New Roman" w:hAnsi="Times New Roman" w:cs="Times New Roman" w:eastAsia="Times New Roman" w:hint="default"/>
        </w:rPr>
        <w:t>6</w:t>
      </w:r>
      <w:r>
        <w:rPr/>
        <w:t>股</w:t>
      </w:r>
      <w:r>
        <w:rPr>
          <w:spacing w:val="-88"/>
        </w:rPr>
        <w:t>，</w:t>
      </w:r>
      <w:r>
        <w:rPr/>
        <w:t>公司总股本由</w:t>
      </w:r>
      <w:r>
        <w:rPr>
          <w:rFonts w:ascii="Times New Roman" w:hAnsi="Times New Roman" w:cs="Times New Roman" w:eastAsia="Times New Roman" w:hint="default"/>
        </w:rPr>
        <w:t>1,251,35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95</w:t>
      </w:r>
      <w:r>
        <w:rPr/>
        <w:t>股减少为</w:t>
      </w:r>
      <w:r>
        <w:rPr>
          <w:rFonts w:ascii="Times New Roman" w:hAnsi="Times New Roman" w:cs="Times New Roman" w:eastAsia="Times New Roman" w:hint="default"/>
        </w:rPr>
        <w:t>1,2</w:t>
      </w:r>
      <w:r>
        <w:rPr>
          <w:rFonts w:ascii="Times New Roman" w:hAnsi="Times New Roman" w:cs="Times New Roman" w:eastAsia="Times New Roman" w:hint="default"/>
          <w:spacing w:val="-2"/>
        </w:rPr>
        <w:t>4</w:t>
      </w:r>
      <w:r>
        <w:rPr>
          <w:rFonts w:ascii="Times New Roman" w:hAnsi="Times New Roman" w:cs="Times New Roman" w:eastAsia="Times New Roman" w:hint="default"/>
        </w:rPr>
        <w:t>7,335,23</w:t>
      </w:r>
      <w:r>
        <w:rPr>
          <w:rFonts w:ascii="Times New Roman" w:hAnsi="Times New Roman" w:cs="Times New Roman" w:eastAsia="Times New Roman" w:hint="default"/>
          <w:spacing w:val="1"/>
        </w:rPr>
        <w:t>9</w:t>
      </w:r>
      <w:r>
        <w:rPr/>
        <w:t>股</w:t>
      </w:r>
      <w:r>
        <w:rPr>
          <w:spacing w:val="-88"/>
        </w:rPr>
        <w:t>，</w:t>
      </w:r>
      <w:r>
        <w:rPr>
          <w:spacing w:val="-2"/>
        </w:rPr>
        <w:t>限</w:t>
      </w:r>
      <w:r>
        <w:rPr/>
        <w:t>售股份由</w:t>
      </w:r>
      <w:r>
        <w:rPr>
          <w:rFonts w:ascii="Times New Roman" w:hAnsi="Times New Roman" w:cs="Times New Roman" w:eastAsia="Times New Roman" w:hint="default"/>
        </w:rPr>
        <w:t>82,30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55</w:t>
      </w:r>
      <w:r>
        <w:rPr>
          <w:rFonts w:ascii="Times New Roman" w:hAnsi="Times New Roman" w:cs="Times New Roman" w:eastAsia="Times New Roman" w:hint="default"/>
        </w:rPr>
        <w:t>9</w:t>
      </w:r>
    </w:p>
    <w:p>
      <w:pPr>
        <w:pStyle w:val="BodyText"/>
        <w:spacing w:line="340" w:lineRule="auto" w:before="63"/>
        <w:ind w:left="394" w:right="9042"/>
        <w:jc w:val="left"/>
      </w:pPr>
      <w:r>
        <w:rPr/>
        <w:t>股减至</w:t>
      </w:r>
      <w:r>
        <w:rPr>
          <w:rFonts w:ascii="Times New Roman" w:hAnsi="Times New Roman" w:cs="Times New Roman" w:eastAsia="Times New Roman" w:hint="default"/>
        </w:rPr>
        <w:t>52,397,711</w:t>
      </w:r>
      <w:r>
        <w:rPr/>
        <w:t>股。 股份变动的批准情况</w:t>
      </w:r>
    </w:p>
    <w:p>
      <w:pPr>
        <w:pStyle w:val="BodyText"/>
        <w:spacing w:line="240" w:lineRule="auto" w:before="41"/>
        <w:ind w:left="39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4" w:right="103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日，公司第三届董事会第三十三次（临时）会议和第三届监事会第三十二次（临时）会议审议通过了《关</w:t>
      </w:r>
      <w:r>
        <w:rPr/>
        <w:t> </w:t>
      </w:r>
      <w:r>
        <w:rPr>
          <w:spacing w:val="-4"/>
        </w:rPr>
        <w:t>于变更部分回购股份用途的议案》、《关于公司</w:t>
      </w:r>
      <w:r>
        <w:rPr>
          <w:rFonts w:ascii="Times New Roman" w:hAnsi="Times New Roman" w:cs="Times New Roman" w:eastAsia="Times New Roman" w:hint="default"/>
          <w:spacing w:val="-4"/>
        </w:rPr>
        <w:t>&lt;2018</w:t>
      </w:r>
      <w:r>
        <w:rPr>
          <w:spacing w:val="-4"/>
        </w:rPr>
        <w:t>年限制性股票激励计划（草案）</w:t>
      </w:r>
      <w:r>
        <w:rPr>
          <w:rFonts w:ascii="Times New Roman" w:hAnsi="Times New Roman" w:cs="Times New Roman" w:eastAsia="Times New Roman" w:hint="default"/>
          <w:spacing w:val="-4"/>
        </w:rPr>
        <w:t>&gt;</w:t>
      </w:r>
      <w:r>
        <w:rPr>
          <w:spacing w:val="-4"/>
        </w:rPr>
        <w:t>及其摘要的议案》、《关于公司</w:t>
      </w:r>
      <w:r>
        <w:rPr>
          <w:rFonts w:ascii="Times New Roman" w:hAnsi="Times New Roman" w:cs="Times New Roman" w:eastAsia="Times New Roman" w:hint="default"/>
          <w:spacing w:val="-4"/>
        </w:rPr>
        <w:t>&lt;2018</w:t>
      </w:r>
      <w:r>
        <w:rPr>
          <w:rFonts w:ascii="Times New Roman" w:hAnsi="Times New Roman" w:cs="Times New Roman" w:eastAsia="Times New Roman" w:hint="default"/>
          <w:spacing w:val="-16"/>
        </w:rPr>
        <w:t> </w:t>
      </w:r>
      <w:r>
        <w:rPr/>
        <w:t>年限制性股票激励计划实施考核管理办法</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日召开的公司</w:t>
      </w:r>
      <w:r>
        <w:rPr>
          <w:rFonts w:ascii="Times New Roman" w:hAnsi="Times New Roman" w:cs="Times New Roman" w:eastAsia="Times New Roman" w:hint="default"/>
        </w:rPr>
        <w:t>2018</w:t>
      </w:r>
      <w:r>
        <w:rPr/>
        <w:t>年第三次临时股东大会审议批准了上 </w:t>
      </w:r>
      <w:r>
        <w:rPr>
          <w:spacing w:val="-2"/>
        </w:rPr>
        <w:t>述议案，同意公司授予</w:t>
      </w:r>
      <w:r>
        <w:rPr>
          <w:rFonts w:ascii="Times New Roman" w:hAnsi="Times New Roman" w:cs="Times New Roman" w:eastAsia="Times New Roman" w:hint="default"/>
          <w:spacing w:val="-2"/>
        </w:rPr>
        <w:t>25</w:t>
      </w:r>
      <w:r>
        <w:rPr>
          <w:spacing w:val="-2"/>
        </w:rPr>
        <w:t>名激励对象</w:t>
      </w:r>
      <w:r>
        <w:rPr>
          <w:rFonts w:ascii="Times New Roman" w:hAnsi="Times New Roman" w:cs="Times New Roman" w:eastAsia="Times New Roman" w:hint="default"/>
          <w:spacing w:val="-2"/>
        </w:rPr>
        <w:t>960</w:t>
      </w:r>
      <w:r>
        <w:rPr>
          <w:spacing w:val="-2"/>
        </w:rPr>
        <w:t>万股，同意公司注销股份</w:t>
      </w:r>
      <w:r>
        <w:rPr>
          <w:rFonts w:ascii="Times New Roman" w:hAnsi="Times New Roman" w:cs="Times New Roman" w:eastAsia="Times New Roman" w:hint="default"/>
          <w:spacing w:val="-2"/>
        </w:rPr>
        <w:t>4,014,856</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日，公司召开的第四届董事会第</w:t>
      </w:r>
      <w:r>
        <w:rPr>
          <w:spacing w:val="-45"/>
        </w:rPr>
        <w:t> </w:t>
      </w:r>
      <w:r>
        <w:rPr>
          <w:spacing w:val="-45"/>
        </w:rPr>
      </w:r>
      <w:r>
        <w:rPr/>
        <w:t>二次（临时）会议和第四届监事会第二次（临时）会议审议通过了《关于调整</w:t>
      </w:r>
      <w:r>
        <w:rPr>
          <w:rFonts w:ascii="Times New Roman" w:hAnsi="Times New Roman" w:cs="Times New Roman" w:eastAsia="Times New Roman" w:hint="default"/>
        </w:rPr>
        <w:t>2018</w:t>
      </w:r>
      <w:r>
        <w:rPr/>
        <w:t>年限制性股票激励计划相关事项的议案》</w:t>
      </w:r>
      <w:r>
        <w:rPr>
          <w:spacing w:val="-85"/>
        </w:rPr>
        <w:t> </w:t>
      </w:r>
      <w:r>
        <w:rPr>
          <w:spacing w:val="-85"/>
        </w:rPr>
      </w:r>
      <w:r>
        <w:rPr/>
        <w:t>和《关于向激励对象授予限制性股票的议案》，同意公司授予</w:t>
      </w:r>
      <w:r>
        <w:rPr>
          <w:rFonts w:ascii="Times New Roman" w:hAnsi="Times New Roman" w:cs="Times New Roman" w:eastAsia="Times New Roman" w:hint="default"/>
        </w:rPr>
        <w:t>24</w:t>
      </w:r>
      <w:r>
        <w:rPr/>
        <w:t>名激励对象</w:t>
      </w:r>
      <w:r>
        <w:rPr>
          <w:rFonts w:ascii="Times New Roman" w:hAnsi="Times New Roman" w:cs="Times New Roman" w:eastAsia="Times New Roman" w:hint="default"/>
        </w:rPr>
        <w:t>950</w:t>
      </w:r>
      <w:r>
        <w:rPr/>
        <w:t>万股，授予日为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w:t>
      </w:r>
    </w:p>
    <w:p>
      <w:pPr>
        <w:pStyle w:val="BodyText"/>
        <w:spacing w:line="240" w:lineRule="auto" w:before="53"/>
        <w:ind w:left="394" w:right="1122"/>
        <w:jc w:val="left"/>
      </w:pPr>
      <w:r>
        <w:rPr/>
        <w:t>股份变动的过户情况</w:t>
      </w:r>
    </w:p>
    <w:p>
      <w:pPr>
        <w:pStyle w:val="BodyText"/>
        <w:spacing w:line="240" w:lineRule="auto" w:before="116"/>
        <w:ind w:left="39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4" w:right="112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日，公司已在中国证券登记结算有限责任公司深圳分公司完成注销手续。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日，公司已在中国</w:t>
      </w:r>
      <w:r>
        <w:rPr/>
        <w:t> 证券登记结算有限责任公司深圳分公司完成向激励对象授予限制性股票的过户手续。</w:t>
      </w:r>
    </w:p>
    <w:p>
      <w:pPr>
        <w:pStyle w:val="BodyText"/>
        <w:spacing w:line="240" w:lineRule="auto" w:before="72"/>
        <w:ind w:left="394" w:right="1122"/>
        <w:jc w:val="left"/>
      </w:pPr>
      <w:r>
        <w:rPr/>
        <w:t>股份回购的实施进展情况</w:t>
      </w:r>
    </w:p>
    <w:p>
      <w:pPr>
        <w:pStyle w:val="BodyText"/>
        <w:spacing w:line="240" w:lineRule="auto" w:before="117"/>
        <w:ind w:left="39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394" w:right="1122" w:firstLine="360"/>
        <w:jc w:val="left"/>
      </w:pPr>
      <w:r>
        <w:rPr>
          <w:rFonts w:ascii="Times New Roman" w:hAnsi="Times New Roman" w:cs="Times New Roman" w:eastAsia="Times New Roman" w:hint="default"/>
          <w:spacing w:val="-2"/>
        </w:rPr>
        <w:t>1</w:t>
      </w:r>
      <w:r>
        <w:rPr>
          <w:spacing w:val="-2"/>
        </w:rPr>
        <w:t>、公司分别于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日召开了第三届董事会第二十七次（临时）会议、</w:t>
      </w:r>
      <w:r>
        <w:rPr>
          <w:rFonts w:ascii="Times New Roman" w:hAnsi="Times New Roman" w:cs="Times New Roman" w:eastAsia="Times New Roman" w:hint="default"/>
          <w:spacing w:val="-2"/>
        </w:rPr>
        <w:t>2018</w:t>
      </w:r>
      <w:r>
        <w:rPr>
          <w:spacing w:val="-2"/>
        </w:rPr>
        <w:t>年第一次临时股东大会，审</w:t>
      </w:r>
      <w:r>
        <w:rPr/>
        <w:t> 议通过了《关于回购公司股份以实施股权激励的议案》。截至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日，公司累计回购股份</w:t>
      </w:r>
      <w:r>
        <w:rPr>
          <w:rFonts w:ascii="Times New Roman" w:hAnsi="Times New Roman" w:cs="Times New Roman" w:eastAsia="Times New Roman" w:hint="default"/>
        </w:rPr>
        <w:t>13,614,856</w:t>
      </w:r>
      <w:r>
        <w:rPr/>
        <w:t>股，占公司当时</w:t>
      </w:r>
    </w:p>
    <w:p>
      <w:pPr>
        <w:spacing w:after="0" w:line="300" w:lineRule="auto"/>
        <w:jc w:val="left"/>
        <w:sectPr>
          <w:pgSz w:w="11910" w:h="16840"/>
          <w:pgMar w:header="747" w:footer="979" w:top="1060" w:bottom="1160" w:left="740" w:right="0"/>
        </w:sectPr>
      </w:pPr>
    </w:p>
    <w:p>
      <w:pPr>
        <w:spacing w:line="240" w:lineRule="auto" w:before="12"/>
        <w:rPr>
          <w:rFonts w:ascii="宋体" w:hAnsi="宋体" w:cs="宋体" w:eastAsia="宋体" w:hint="default"/>
          <w:sz w:val="25"/>
          <w:szCs w:val="25"/>
        </w:rPr>
      </w:pPr>
    </w:p>
    <w:p>
      <w:pPr>
        <w:pStyle w:val="BodyText"/>
        <w:spacing w:line="300" w:lineRule="auto" w:before="44"/>
        <w:ind w:right="1133"/>
        <w:jc w:val="both"/>
      </w:pPr>
      <w:r>
        <w:rPr/>
        <w:t>总股本的</w:t>
      </w:r>
      <w:r>
        <w:rPr>
          <w:rFonts w:ascii="Times New Roman" w:hAnsi="Times New Roman" w:cs="Times New Roman" w:eastAsia="Times New Roman" w:hint="default"/>
        </w:rPr>
        <w:t>1.09%</w:t>
      </w:r>
      <w:r>
        <w:rPr/>
        <w:t>，最高成交价为</w:t>
      </w:r>
      <w:r>
        <w:rPr>
          <w:rFonts w:ascii="Times New Roman" w:hAnsi="Times New Roman" w:cs="Times New Roman" w:eastAsia="Times New Roman" w:hint="default"/>
        </w:rPr>
        <w:t>12.20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9.05</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149,966,501.17</w:t>
      </w:r>
      <w:r>
        <w:rPr/>
        <w:t>元（不含交易费用及利 息收入），公司本次回购股份计划己全部实施完毕。具体内容详见公司在</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日披露于《中国证券报》、《上海证 券报》、《证券时报》、证券日报》和公司指定信息披露网站巨潮资讯网</w:t>
      </w:r>
      <w:hyperlink r:id="rId17">
        <w:r>
          <w:rPr>
            <w:rFonts w:ascii="Times New Roman" w:hAnsi="Times New Roman" w:cs="Times New Roman" w:eastAsia="Times New Roman" w:hint="default"/>
          </w:rPr>
          <w:t>http://www.cninfo.com.cn</w:t>
        </w:r>
        <w:r>
          <w:rPr/>
          <w:t>的</w:t>
        </w:r>
      </w:hyperlink>
      <w:r>
        <w:rPr/>
        <w:t>《关于回购公司股份的</w:t>
      </w:r>
      <w:r>
        <w:rPr>
          <w:w w:val="99"/>
        </w:rPr>
        <w:t> </w:t>
      </w:r>
      <w:r>
        <w:rPr/>
        <w:t>完成情况》（公告编号：</w:t>
      </w:r>
      <w:r>
        <w:rPr>
          <w:rFonts w:ascii="Times New Roman" w:hAnsi="Times New Roman" w:cs="Times New Roman" w:eastAsia="Times New Roman" w:hint="default"/>
        </w:rPr>
        <w:t>2018-082</w:t>
      </w:r>
      <w:r>
        <w:rPr/>
        <w:t>）。</w:t>
      </w:r>
    </w:p>
    <w:p>
      <w:pPr>
        <w:pStyle w:val="BodyText"/>
        <w:spacing w:line="300" w:lineRule="auto" w:before="13"/>
        <w:ind w:right="1032" w:firstLine="360"/>
        <w:jc w:val="left"/>
      </w:pPr>
      <w:r>
        <w:rPr>
          <w:rFonts w:ascii="Times New Roman" w:hAnsi="Times New Roman" w:cs="Times New Roman" w:eastAsia="Times New Roman" w:hint="default"/>
        </w:rPr>
        <w:t>2</w:t>
      </w:r>
      <w:r>
        <w:rPr/>
        <w:t>、公司分别于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日召开了第三届董事会第三十一次（临时）会议、</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年第二次临时股东大会， </w:t>
      </w:r>
      <w:r>
        <w:rPr>
          <w:spacing w:val="-6"/>
        </w:rPr>
        <w:t>审议通过了《关于采用集中竞价方式回购公司股份的预案》。截至</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28</w:t>
      </w:r>
      <w:r>
        <w:rPr>
          <w:spacing w:val="-6"/>
        </w:rPr>
        <w:t>日，公司本次回购累计回购股份</w:t>
      </w:r>
      <w:r>
        <w:rPr>
          <w:rFonts w:ascii="Times New Roman" w:hAnsi="Times New Roman" w:cs="Times New Roman" w:eastAsia="Times New Roman" w:hint="default"/>
          <w:spacing w:val="-6"/>
        </w:rPr>
        <w:t>35,109,994</w:t>
      </w:r>
      <w:r>
        <w:rPr>
          <w:rFonts w:ascii="Times New Roman" w:hAnsi="Times New Roman" w:cs="Times New Roman" w:eastAsia="Times New Roman" w:hint="default"/>
        </w:rPr>
        <w:t> </w:t>
      </w:r>
      <w:r>
        <w:rPr>
          <w:spacing w:val="1"/>
        </w:rPr>
        <w:t>股，</w:t>
      </w:r>
      <w:r>
        <w:rPr>
          <w:spacing w:val="-71"/>
        </w:rPr>
        <w:t> </w:t>
      </w:r>
      <w:r>
        <w:rPr/>
        <w:t>占公司总股本的</w:t>
      </w:r>
      <w:r>
        <w:rPr>
          <w:rFonts w:ascii="Times New Roman" w:hAnsi="Times New Roman" w:cs="Times New Roman" w:eastAsia="Times New Roman" w:hint="default"/>
        </w:rPr>
        <w:t>2.81%</w:t>
      </w:r>
      <w:r>
        <w:rPr/>
        <w:t>，最高成交价为</w:t>
      </w:r>
      <w:r>
        <w:rPr>
          <w:rFonts w:ascii="Times New Roman" w:hAnsi="Times New Roman" w:cs="Times New Roman" w:eastAsia="Times New Roman" w:hint="default"/>
        </w:rPr>
        <w:t>11.1598</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364,317,880.31</w:t>
      </w:r>
      <w:r>
        <w:rPr/>
        <w:t>元（不含交易 费用）。截至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日，公司累计回购股份</w:t>
      </w:r>
      <w:r>
        <w:rPr>
          <w:rFonts w:ascii="Times New Roman" w:hAnsi="Times New Roman" w:cs="Times New Roman" w:eastAsia="Times New Roman" w:hint="default"/>
        </w:rPr>
        <w:t>37,919,094</w:t>
      </w:r>
      <w:r>
        <w:rPr>
          <w:rFonts w:ascii="Times New Roman" w:hAnsi="Times New Roman" w:cs="Times New Roman" w:eastAsia="Times New Roman" w:hint="default"/>
          <w:spacing w:val="25"/>
        </w:rPr>
        <w:t> </w:t>
      </w:r>
      <w:r>
        <w:rPr/>
        <w:t>股，占公司总股本的</w:t>
      </w:r>
      <w:r>
        <w:rPr>
          <w:rFonts w:ascii="Times New Roman" w:hAnsi="Times New Roman" w:cs="Times New Roman" w:eastAsia="Times New Roman" w:hint="default"/>
        </w:rPr>
        <w:t>3.04%</w:t>
      </w:r>
      <w:r>
        <w:rPr/>
        <w:t>，最高成交价为</w:t>
      </w:r>
      <w:r>
        <w:rPr>
          <w:rFonts w:ascii="Times New Roman" w:hAnsi="Times New Roman" w:cs="Times New Roman" w:eastAsia="Times New Roman" w:hint="default"/>
        </w:rPr>
        <w:t>11.1598</w:t>
      </w:r>
      <w:r>
        <w:rPr/>
        <w:t>元</w:t>
      </w:r>
      <w:r>
        <w:rPr>
          <w:rFonts w:ascii="Times New Roman" w:hAnsi="Times New Roman" w:cs="Times New Roman" w:eastAsia="Times New Roman" w:hint="default"/>
        </w:rPr>
        <w:t>/</w:t>
      </w:r>
      <w:r>
        <w:rPr/>
        <w:t>股，最低 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393,365,756.19</w:t>
      </w:r>
      <w:r>
        <w:rPr/>
        <w:t>元（不含交易费用，公司本次回购股份计划已全部实施完毕。具体内容 详见公司在</w:t>
      </w:r>
      <w:r>
        <w:rPr>
          <w:spacing w:val="-4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日披露于《中国证券报》、《上海证券报》、《证券时报》、《证券日报》和公司指定信 息披露网站巨潮资讯网</w:t>
      </w:r>
      <w:hyperlink r:id="rId18">
        <w:r>
          <w:rPr>
            <w:rFonts w:ascii="Times New Roman" w:hAnsi="Times New Roman" w:cs="Times New Roman" w:eastAsia="Times New Roman" w:hint="default"/>
          </w:rPr>
          <w:t>http:/w</w:t>
        </w:r>
      </w:hyperlink>
      <w:r>
        <w:rPr>
          <w:rFonts w:ascii="Times New Roman" w:hAnsi="Times New Roman" w:cs="Times New Roman" w:eastAsia="Times New Roman" w:hint="default"/>
        </w:rPr>
        <w:t>ww.</w:t>
      </w:r>
      <w:hyperlink r:id="rId18">
        <w:r>
          <w:rPr>
            <w:rFonts w:ascii="Times New Roman" w:hAnsi="Times New Roman" w:cs="Times New Roman" w:eastAsia="Times New Roman" w:hint="default"/>
          </w:rPr>
          <w:t>cninfo.com.cn</w:t>
        </w:r>
        <w:r>
          <w:rPr/>
          <w:t>的相关公告。</w:t>
        </w:r>
      </w:hyperlink>
    </w:p>
    <w:p>
      <w:pPr>
        <w:pStyle w:val="BodyText"/>
        <w:spacing w:line="240" w:lineRule="auto" w:before="53"/>
        <w:ind w:right="0"/>
        <w:jc w:val="left"/>
      </w:pPr>
      <w:r>
        <w:rPr/>
        <w:t>采用集中竞价方式减持回购股份的实施进展情况</w:t>
      </w:r>
    </w:p>
    <w:p>
      <w:pPr>
        <w:pStyle w:val="BodyText"/>
        <w:spacing w:line="338" w:lineRule="auto" w:before="117"/>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2"/>
        <w:ind w:right="58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按新股本</w:t>
      </w:r>
      <w:r>
        <w:rPr>
          <w:rFonts w:ascii="Times New Roman" w:hAnsi="Times New Roman" w:cs="Times New Roman" w:eastAsia="Times New Roman" w:hint="default"/>
        </w:rPr>
        <w:t>1,247,335,239</w:t>
      </w:r>
      <w:r>
        <w:rPr/>
        <w:t>股，公司</w:t>
      </w:r>
      <w:r>
        <w:rPr>
          <w:rFonts w:ascii="Times New Roman" w:hAnsi="Times New Roman" w:cs="Times New Roman" w:eastAsia="Times New Roman" w:hint="default"/>
        </w:rPr>
        <w:t>2017</w:t>
      </w:r>
      <w:r>
        <w:rPr/>
        <w:t>年度每股收益为</w:t>
      </w:r>
      <w:r>
        <w:rPr>
          <w:rFonts w:ascii="Times New Roman" w:hAnsi="Times New Roman" w:cs="Times New Roman" w:eastAsia="Times New Roman" w:hint="default"/>
        </w:rPr>
        <w:t>0.3319</w:t>
      </w:r>
      <w:r>
        <w:rPr/>
        <w:t>元。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2、限售股份变动情况" w:id="112"/>
      <w:bookmarkEnd w:id="11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北京博升优势科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82,237,984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39,404,848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42,833,136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根据《业绩补偿 </w:t>
            </w:r>
            <w:r>
              <w:rPr>
                <w:rFonts w:ascii="宋体" w:hAnsi="宋体" w:cs="宋体" w:eastAsia="宋体" w:hint="default"/>
                <w:spacing w:val="-17"/>
                <w:sz w:val="18"/>
                <w:szCs w:val="18"/>
              </w:rPr>
              <w:t>协议》，博升优势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继续锁定 </w:t>
            </w:r>
            <w:r>
              <w:rPr>
                <w:rFonts w:ascii="Times New Roman" w:hAnsi="Times New Roman" w:cs="Times New Roman" w:eastAsia="Times New Roman" w:hint="default"/>
                <w:sz w:val="18"/>
                <w:szCs w:val="18"/>
              </w:rPr>
              <w:t>42,833,136 </w:t>
            </w:r>
            <w:r>
              <w:rPr>
                <w:rFonts w:ascii="宋体" w:hAnsi="宋体" w:cs="宋体" w:eastAsia="宋体" w:hint="default"/>
                <w:sz w:val="18"/>
                <w:szCs w:val="18"/>
              </w:rPr>
              <w:t>股股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高管个人增持限 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9"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both"/>
              <w:rPr>
                <w:rFonts w:ascii="宋体" w:hAnsi="宋体" w:cs="宋体" w:eastAsia="宋体" w:hint="default"/>
                <w:sz w:val="18"/>
                <w:szCs w:val="18"/>
              </w:rPr>
            </w:pPr>
            <w:r>
              <w:rPr>
                <w:rFonts w:ascii="宋体" w:hAnsi="宋体" w:cs="宋体" w:eastAsia="宋体" w:hint="default"/>
                <w:sz w:val="18"/>
                <w:szCs w:val="18"/>
              </w:rPr>
              <w:t>按高管持股规定 及股权激励计划 规定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核心技术及业务 等管理人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按股权激励计划 规定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82,302,559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39,404,848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52,397,711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报告期内证券发行（不含优先股）情况" w:id="114"/>
      <w:bookmarkEnd w:id="11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2、公司股份总数及股东结构的变动、公司资产和负债结构的变动情况说明" w:id="115"/>
      <w:bookmarkEnd w:id="11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月，公司完成了对北京博升优势科技发展有限公司解除限售股份的数量为</w:t>
      </w:r>
      <w:r>
        <w:rPr>
          <w:rFonts w:ascii="Times New Roman" w:hAnsi="Times New Roman" w:cs="Times New Roman" w:eastAsia="Times New Roman" w:hint="default"/>
        </w:rPr>
        <w:t>39,404,848</w:t>
      </w:r>
      <w:r>
        <w:rPr/>
        <w:t>股；</w:t>
      </w:r>
      <w:r>
        <w:rPr>
          <w:spacing w:val="-2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月，公司将 </w:t>
      </w:r>
      <w:r>
        <w:rPr>
          <w:spacing w:val="-2"/>
        </w:rPr>
        <w:t>已回购的</w:t>
      </w:r>
      <w:r>
        <w:rPr>
          <w:rFonts w:ascii="Times New Roman" w:hAnsi="Times New Roman" w:cs="Times New Roman" w:eastAsia="Times New Roman" w:hint="default"/>
          <w:spacing w:val="-2"/>
        </w:rPr>
        <w:t>13,614,856</w:t>
      </w:r>
      <w:r>
        <w:rPr>
          <w:spacing w:val="-2"/>
        </w:rPr>
        <w:t>股中的</w:t>
      </w:r>
      <w:r>
        <w:rPr>
          <w:rFonts w:ascii="Times New Roman" w:hAnsi="Times New Roman" w:cs="Times New Roman" w:eastAsia="Times New Roman" w:hint="default"/>
          <w:spacing w:val="-2"/>
        </w:rPr>
        <w:t>4,014,856</w:t>
      </w:r>
      <w:r>
        <w:rPr>
          <w:spacing w:val="-2"/>
        </w:rPr>
        <w:t>股注销以减少注册资本，注销后公司总股本由</w:t>
      </w:r>
      <w:r>
        <w:rPr>
          <w:rFonts w:ascii="Times New Roman" w:hAnsi="Times New Roman" w:cs="Times New Roman" w:eastAsia="Times New Roman" w:hint="default"/>
          <w:spacing w:val="-2"/>
        </w:rPr>
        <w:t>1,251,350,095</w:t>
      </w:r>
      <w:r>
        <w:rPr>
          <w:spacing w:val="-2"/>
        </w:rPr>
        <w:t>股变更为</w:t>
      </w:r>
      <w:r>
        <w:rPr>
          <w:rFonts w:ascii="Times New Roman" w:hAnsi="Times New Roman" w:cs="Times New Roman" w:eastAsia="Times New Roman" w:hint="default"/>
          <w:spacing w:val="-2"/>
        </w:rPr>
        <w:t>1,247,335,239</w:t>
      </w:r>
      <w:r>
        <w:rPr>
          <w:spacing w:val="-2"/>
        </w:rPr>
        <w:t>股，同</w:t>
      </w:r>
      <w:r>
        <w:rPr>
          <w:spacing w:val="-26"/>
        </w:rPr>
        <w:t> </w:t>
      </w:r>
      <w:r>
        <w:rPr>
          <w:spacing w:val="-26"/>
        </w:rPr>
      </w:r>
      <w:r>
        <w:rPr/>
        <w:t>时完成了</w:t>
      </w:r>
      <w:r>
        <w:rPr>
          <w:rFonts w:ascii="Times New Roman" w:hAnsi="Times New Roman" w:cs="Times New Roman" w:eastAsia="Times New Roman" w:hint="default"/>
        </w:rPr>
        <w:t>24</w:t>
      </w:r>
      <w:r>
        <w:rPr/>
        <w:t>名股权激励对象授予限制性股票</w:t>
      </w:r>
      <w:r>
        <w:rPr>
          <w:rFonts w:ascii="Times New Roman" w:hAnsi="Times New Roman" w:cs="Times New Roman" w:eastAsia="Times New Roman" w:hint="default"/>
        </w:rPr>
        <w:t>9,500,000</w:t>
      </w:r>
      <w:r>
        <w:rPr/>
        <w:t>股。综上，报告期初公司限售股为</w:t>
      </w:r>
      <w:r>
        <w:rPr>
          <w:rFonts w:ascii="Times New Roman" w:hAnsi="Times New Roman" w:cs="Times New Roman" w:eastAsia="Times New Roman" w:hint="default"/>
        </w:rPr>
        <w:t>82,302,559</w:t>
      </w:r>
      <w:r>
        <w:rPr/>
        <w:t>股，报告期末公司限售股 为</w:t>
      </w:r>
      <w:r>
        <w:rPr>
          <w:rFonts w:ascii="Times New Roman" w:hAnsi="Times New Roman" w:cs="Times New Roman" w:eastAsia="Times New Roman" w:hint="default"/>
        </w:rPr>
        <w:t>52,397,711</w:t>
      </w:r>
      <w:r>
        <w:rPr/>
        <w:t>股。</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3、现存的内部职工股情况" w:id="116"/>
      <w:bookmarkEnd w:id="11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公司股东数量及持股情况" w:id="118"/>
      <w:bookmarkEnd w:id="11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6"/>
        <w:gridCol w:w="1196"/>
        <w:gridCol w:w="1197"/>
        <w:gridCol w:w="1196"/>
        <w:gridCol w:w="1195"/>
      </w:tblGrid>
      <w:tr>
        <w:trPr>
          <w:trHeight w:val="196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11,371</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10,919</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1008"/>
        <w:gridCol w:w="852"/>
        <w:gridCol w:w="991"/>
        <w:gridCol w:w="993"/>
        <w:gridCol w:w="851"/>
        <w:gridCol w:w="1204"/>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47"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北京博升优势科 技发展有限公司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282,090,222</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42,833,136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239,257,086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123,100,000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青岛海立控股有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241,775,600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青岛天晨投资有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89,100,000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36,022,600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银联商务股份有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88,060,100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深圳市华美达一 </w:t>
            </w:r>
            <w:r>
              <w:rPr>
                <w:rFonts w:ascii="宋体" w:hAnsi="宋体" w:cs="宋体" w:eastAsia="宋体" w:hint="default"/>
                <w:spacing w:val="-4"/>
                <w:sz w:val="18"/>
                <w:szCs w:val="18"/>
              </w:rPr>
              <w:t>号投资中心（有限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61,900,000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中国移动通信集 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54,364,908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华融天泽投资有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26,577,019</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17,101,875</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北京东富新投投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25,801,406</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西部利得基金－ 民生银行－云南 国际信托－晟昱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号集合资金信托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23,528,535</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中信建投基金－ 广发银行－云南 信托－云南信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21,801,848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截至报告期末，公司前十名股东中华融天泽投资有限公司、北京东富新投投资管理中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心（有限合伙）、西部利得基金及中信建投基金所持公司股份均来自于公司在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度非公开发行新股，该部分新增股份的上市日为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日，限售期为股份</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岛天晨投资有限公司的控股股东孙震是父子、母子关系，两公司属一致行动人。除以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上情况外，公司未知上述股东中的其他股东是否存在关联关系，也未知是否属于一致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241,775,600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241,775,600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239,257,086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239,257,086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88,060,100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88,060,100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深圳市华美达一号投资中心（有限合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54,364,908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54,364,908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华融天泽投资有限公司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26,577,019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26,577,019</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北京东富新投投资管理中心（有限合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25,801,406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25,801,406</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西部利得基金－民生银行－云南国 际信托－晟昱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 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23,528,535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23,528,535</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中信建投基金－广发银行－云南信 托－云南信托</w:t>
            </w:r>
            <w:r>
              <w:rPr>
                <w:rFonts w:ascii="Times New Roman" w:hAnsi="Times New Roman" w:cs="Times New Roman" w:eastAsia="Times New Roman" w:hint="default"/>
                <w:sz w:val="18"/>
                <w:szCs w:val="18"/>
              </w:rPr>
              <w:t>·</w:t>
            </w:r>
            <w:r>
              <w:rPr>
                <w:rFonts w:ascii="宋体" w:hAnsi="宋体" w:cs="宋体" w:eastAsia="宋体" w:hint="default"/>
                <w:sz w:val="18"/>
                <w:szCs w:val="18"/>
              </w:rPr>
              <w:t>晟昱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 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21,801,848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21,801,848</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岛天晨投资有限公司的控股股东孙震是父子、母子关系，两公司属一致行动人。除以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上情况外，公司未知上述股东中的其他股东是否存在关联关系，也未知是否属于一致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公司股东青岛海立控股有限公司除通过普通证券账户持有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219,275,600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证券公司客户信用交易担保证券账户持有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241,775,600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无股份增减变动情况。</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2、公司控股股东情况" w:id="119"/>
      <w:bookmarkEnd w:id="11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973"/>
        <w:gridCol w:w="1750"/>
        <w:gridCol w:w="1935"/>
        <w:gridCol w:w="1914"/>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91370282756908799L</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以自有资金对外投资。</w:t>
            </w:r>
          </w:p>
        </w:tc>
      </w:tr>
      <w:tr>
        <w:trPr>
          <w:trHeight w:val="67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986;top:14;width:2;height:353" coordorigin="1986,14" coordsize="2,353">
              <v:shape style="position:absolute;left:1986;top:14;width:2;height:353" coordorigin="1986,14" coordsize="0,353" path="m1986,14l1986,367e" filled="false" stroked="true" strokeweight="1.140pt" strokecolor="#d2d2d2">
                <v:path arrowok="t"/>
              </v:shape>
            </v:group>
            <v:group style="position:absolute;left:32;top:14;width:1942;height:353" coordorigin="32,14" coordsize="1942,353">
              <v:shape style="position:absolute;left:32;top:14;width:1942;height:353" coordorigin="32,14" coordsize="1942,353" path="m32,367l1974,367,1974,14,32,14,32,367xe" filled="true" fillcolor="#d2d2d2" stroked="false">
                <v:path arrowok="t"/>
                <v:fill type="solid"/>
              </v:shape>
            </v:group>
            <v:group style="position:absolute;left:10;top:10;width:1988;height:2" coordorigin="10,10" coordsize="1988,2">
              <v:shape style="position:absolute;left:10;top:10;width:1988;height:2" coordorigin="10,10" coordsize="1988,0" path="m10,10l1997,10e" filled="false" stroked="true" strokeweight=".48pt" strokecolor="#000000">
                <v:path arrowok="t"/>
              </v:shape>
            </v:group>
            <v:group style="position:absolute;left:2007;top:10;width:7562;height:2" coordorigin="2007,10" coordsize="7562,2">
              <v:shape style="position:absolute;left:2007;top:10;width:7562;height:2" coordorigin="2007,10" coordsize="7562,0" path="m2007,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988;height:2" coordorigin="10,372" coordsize="1988,2">
              <v:shape style="position:absolute;left:10;top:372;width:1988;height:2" coordorigin="10,372" coordsize="1988,0" path="m10,372l1997,372e" filled="false" stroked="true" strokeweight=".48pt" strokecolor="#000000">
                <v:path arrowok="t"/>
              </v:shape>
            </v:group>
            <v:group style="position:absolute;left:2002;top:5;width:2;height:372" coordorigin="2002,5" coordsize="2,372">
              <v:shape style="position:absolute;left:2002;top:5;width:2;height:372" coordorigin="2002,5" coordsize="0,372" path="m2002,5l2002,377e" filled="false" stroked="true" strokeweight=".48001pt" strokecolor="#000000">
                <v:path arrowok="t"/>
              </v:shape>
            </v:group>
            <v:group style="position:absolute;left:2007;top:372;width:7562;height:2" coordorigin="2007,372" coordsize="7562,2">
              <v:shape style="position:absolute;left:2007;top:372;width:7562;height:2" coordorigin="2007,372" coordsize="7562,0" path="m2007,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5;top:10;width:199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市公司的股权情况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bookmarkStart w:name="3、公司实际控制人及其一致行动人" w:id="120"/>
      <w:bookmarkEnd w:id="12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44"/>
        <w:ind w:left="0" w:right="1138"/>
        <w:jc w:val="right"/>
      </w:pPr>
      <w:r>
        <w:rPr/>
        <w:pict>
          <v:shape style="position:absolute;margin-left:56.459999pt;margin-top:-92.28830pt;width:479.2pt;height:17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截止报告期末，刘国平女士主要职务情况请见本报告第八节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三、任职情况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中刘国平个人简</w:t>
                        </w:r>
                        <w:r>
                          <w:rPr>
                            <w:rFonts w:ascii="宋体" w:hAnsi="宋体" w:cs="宋体" w:eastAsia="宋体" w:hint="default"/>
                            <w:spacing w:val="-58"/>
                            <w:sz w:val="18"/>
                            <w:szCs w:val="18"/>
                          </w:rPr>
                          <w:t> </w:t>
                        </w:r>
                        <w:r>
                          <w:rPr>
                            <w:rFonts w:ascii="宋体" w:hAnsi="宋体" w:cs="宋体" w:eastAsia="宋体" w:hint="default"/>
                            <w:sz w:val="18"/>
                            <w:szCs w:val="18"/>
                          </w:rPr>
                          <w:t>历部分；孙刚先生：中国国籍，无境外永久居留权，男，</w:t>
                        </w:r>
                        <w:r>
                          <w:rPr>
                            <w:rFonts w:ascii="Times New Roman" w:hAnsi="Times New Roman" w:cs="Times New Roman" w:eastAsia="Times New Roman" w:hint="default"/>
                            <w:sz w:val="18"/>
                            <w:szCs w:val="18"/>
                          </w:rPr>
                          <w:t>1960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年出生，大专学历，经济师 </w:t>
                        </w:r>
                        <w:r>
                          <w:rPr>
                            <w:rFonts w:ascii="宋体" w:hAnsi="宋体" w:cs="宋体" w:eastAsia="宋体" w:hint="default"/>
                            <w:spacing w:val="-3"/>
                            <w:sz w:val="18"/>
                            <w:szCs w:val="18"/>
                          </w:rPr>
                          <w:t>曾任海立钢制品董事长。现任海立控股执行董事兼总经理、博苑地产执行董事兼总经理、海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基置业执行董事兼总经理。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9"/>
          <w:szCs w:val="19"/>
        </w:rPr>
      </w:pPr>
    </w:p>
    <w:p>
      <w:pPr>
        <w:spacing w:line="4215" w:lineRule="exact"/>
        <w:ind w:left="1358"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85610" cy="26765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4585610" cy="267652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8"/>
        <w:rPr>
          <w:rFonts w:ascii="宋体" w:hAnsi="宋体" w:cs="宋体" w:eastAsia="宋体" w:hint="default"/>
          <w:sz w:val="22"/>
          <w:szCs w:val="22"/>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4、其他持股在10%以上的法人股东" w:id="121"/>
      <w:bookmarkEnd w:id="12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40"/>
        <w:jc w:val="right"/>
      </w:pPr>
      <w:r>
        <w:rPr/>
        <w:pict>
          <v:shape style="position:absolute;margin-left:56.459999pt;margin-top:-69.938271pt;width:479.2pt;height:259.1500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851"/>
                    <w:gridCol w:w="1702"/>
                    <w:gridCol w:w="1844"/>
                    <w:gridCol w:w="4038"/>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1" w:hanging="360"/>
                          <w:jc w:val="left"/>
                          <w:rPr>
                            <w:rFonts w:ascii="宋体" w:hAnsi="宋体" w:cs="宋体" w:eastAsia="宋体" w:hint="default"/>
                            <w:sz w:val="18"/>
                            <w:szCs w:val="18"/>
                          </w:rPr>
                        </w:pPr>
                        <w:r>
                          <w:rPr>
                            <w:rFonts w:ascii="宋体" w:hAnsi="宋体" w:cs="宋体" w:eastAsia="宋体" w:hint="default"/>
                            <w:sz w:val="18"/>
                            <w:szCs w:val="18"/>
                          </w:rPr>
                          <w:t>法人股东名 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34" w:right="35"/>
                          <w:jc w:val="center"/>
                          <w:rPr>
                            <w:rFonts w:ascii="宋体" w:hAnsi="宋体" w:cs="宋体" w:eastAsia="宋体" w:hint="default"/>
                            <w:sz w:val="18"/>
                            <w:szCs w:val="18"/>
                          </w:rPr>
                        </w:pPr>
                        <w:r>
                          <w:rPr>
                            <w:rFonts w:ascii="宋体" w:hAnsi="宋体" w:cs="宋体" w:eastAsia="宋体" w:hint="default"/>
                            <w:sz w:val="18"/>
                            <w:szCs w:val="18"/>
                          </w:rPr>
                          <w:t>法定代表 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14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北京博升优 势科技发展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伍雯弘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21"/>
                          <w:jc w:val="center"/>
                          <w:rPr>
                            <w:rFonts w:ascii="宋体" w:hAnsi="宋体" w:cs="宋体" w:eastAsia="宋体" w:hint="default"/>
                            <w:sz w:val="18"/>
                            <w:szCs w:val="18"/>
                          </w:rPr>
                        </w:pPr>
                        <w:r>
                          <w:rPr>
                            <w:rFonts w:ascii="Times New Roman" w:hAnsi="Times New Roman" w:cs="Times New Roman" w:eastAsia="Times New Roman" w:hint="default"/>
                            <w:sz w:val="18"/>
                            <w:szCs w:val="18"/>
                          </w:rPr>
                          <w:t>13,000.6723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万人民币</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计算机软硬件技术开发；计算机网络的技术开发、 </w:t>
                        </w:r>
                        <w:r>
                          <w:rPr>
                            <w:rFonts w:ascii="宋体" w:hAnsi="宋体" w:cs="宋体" w:eastAsia="宋体" w:hint="default"/>
                            <w:spacing w:val="-4"/>
                            <w:sz w:val="18"/>
                            <w:szCs w:val="18"/>
                          </w:rPr>
                          <w:t>技术转让、技术咨询、技术服务；计算机系统集成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电脑动画设计；承办展览展示活动；计算机技术培 训；销售计算机、软件及辅助设备；因特网信息服 务业务（除新闻、出版、教育、医疗保健、药品、 医疗器械和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以外的内容</w:t>
                        </w:r>
                        <w:r>
                          <w:rPr>
                            <w:rFonts w:ascii="Times New Roman" w:hAnsi="Times New Roman" w:cs="Times New Roman" w:eastAsia="Times New Roman" w:hint="default"/>
                            <w:sz w:val="18"/>
                            <w:szCs w:val="18"/>
                          </w:rPr>
                          <w:t>)</w:t>
                        </w:r>
                        <w:r>
                          <w:rPr>
                            <w:rFonts w:ascii="宋体" w:hAnsi="宋体" w:cs="宋体" w:eastAsia="宋体" w:hint="default"/>
                            <w:sz w:val="18"/>
                            <w:szCs w:val="18"/>
                          </w:rPr>
                          <w:t>；第二类增值电信业 </w:t>
                        </w:r>
                        <w:r>
                          <w:rPr>
                            <w:rFonts w:ascii="宋体" w:hAnsi="宋体" w:cs="宋体" w:eastAsia="宋体" w:hint="default"/>
                            <w:spacing w:val="-4"/>
                            <w:sz w:val="18"/>
                            <w:szCs w:val="18"/>
                          </w:rPr>
                          <w:t>务中的信息服务业务（仅含移动网增值电信业务）；</w:t>
                        </w:r>
                        <w:r>
                          <w:rPr>
                            <w:rFonts w:ascii="宋体" w:hAnsi="宋体" w:cs="宋体" w:eastAsia="宋体" w:hint="default"/>
                            <w:sz w:val="18"/>
                            <w:szCs w:val="18"/>
                          </w:rPr>
                          <w:t> </w:t>
                        </w:r>
                        <w:r>
                          <w:rPr>
                            <w:rFonts w:ascii="宋体" w:hAnsi="宋体" w:cs="宋体" w:eastAsia="宋体" w:hint="default"/>
                            <w:spacing w:val="-7"/>
                            <w:sz w:val="18"/>
                            <w:szCs w:val="18"/>
                          </w:rPr>
                          <w:t>互联网信息服务；从事互联网文化活动。（企业依法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自主选择经营项目，开展经营活动；从事互联网文 </w:t>
                        </w:r>
                        <w:r>
                          <w:rPr>
                            <w:rFonts w:ascii="宋体" w:hAnsi="宋体" w:cs="宋体" w:eastAsia="宋体" w:hint="default"/>
                            <w:spacing w:val="-4"/>
                            <w:sz w:val="18"/>
                            <w:szCs w:val="18"/>
                          </w:rPr>
                          <w:t>化活动、互联网信息服务以及依法须经批准的项目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经相关部门批准后依批准的内容开展经营活动；不 得从事本市产业政策禁止和限制类项目的经营活 </w:t>
                        </w:r>
                        <w:r>
                          <w:rPr>
                            <w:rFonts w:ascii="宋体" w:hAnsi="宋体" w:cs="宋体" w:eastAsia="宋体" w:hint="default"/>
                            <w:spacing w:val="-30"/>
                            <w:sz w:val="18"/>
                            <w:szCs w:val="18"/>
                          </w:rPr>
                          <w:t>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7"/>
        <w:spacing w:line="240" w:lineRule="auto" w:before="35"/>
        <w:ind w:right="0"/>
        <w:jc w:val="left"/>
        <w:rPr>
          <w:b w:val="0"/>
          <w:bCs w:val="0"/>
        </w:rPr>
      </w:pPr>
      <w:bookmarkStart w:name="5、控股股东、实际控制人、重组方及其他承诺主体股份限制减持情况" w:id="122"/>
      <w:bookmarkEnd w:id="12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3"/>
      <w:bookmarkEnd w:id="123"/>
      <w:r>
        <w:rPr>
          <w:b w:val="0"/>
          <w:bCs w:val="0"/>
        </w:rPr>
      </w:r>
      <w:bookmarkStart w:name="_bookmark5" w:id="124"/>
      <w:bookmarkEnd w:id="12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5"/>
      <w:bookmarkEnd w:id="125"/>
      <w:r>
        <w:rPr>
          <w:b w:val="0"/>
          <w:bCs w:val="0"/>
        </w:rPr>
      </w:r>
      <w:bookmarkStart w:name="_bookmark6" w:id="126"/>
      <w:bookmarkEnd w:id="12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27"/>
        <w:gridCol w:w="710"/>
        <w:gridCol w:w="850"/>
        <w:gridCol w:w="905"/>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7" w:right="8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董事、执 行总裁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86,100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586,100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27"/>
        <w:gridCol w:w="710"/>
        <w:gridCol w:w="850"/>
        <w:gridCol w:w="905"/>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董秘、副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原董事、 原执行总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86,100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3,306,100</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56.459999pt;margin-top:-168.298248pt;width:479.2pt;height:310.7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168"/>
                    <w:gridCol w:w="1492"/>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报告期内，因个人原因主动辞去董事、执行总裁职务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报告期内，因个人原因主动辞去董事职务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董秘、副总裁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报告期内，公司董事会审议通过聘任亓秀美女士为董 秘、副总裁职务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报告期内，因换届公司董事会审议通过聘任戴兵女士 为董事、执行总裁职务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报告期内，因换届公司董事会审议通过聘任李贲先生 为董事、副总裁职务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0"/>
                          <w:jc w:val="left"/>
                          <w:rPr>
                            <w:rFonts w:ascii="宋体" w:hAnsi="宋体" w:cs="宋体" w:eastAsia="宋体" w:hint="default"/>
                            <w:sz w:val="18"/>
                            <w:szCs w:val="18"/>
                          </w:rPr>
                        </w:pPr>
                        <w:r>
                          <w:rPr>
                            <w:rFonts w:ascii="宋体" w:hAnsi="宋体" w:cs="宋体" w:eastAsia="宋体" w:hint="default"/>
                            <w:spacing w:val="-2"/>
                            <w:sz w:val="18"/>
                            <w:szCs w:val="18"/>
                          </w:rPr>
                          <w:t>报告期内，因个人原因辞去董秘职务，继续留任董事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副总裁职务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报告期内，因换届公司董事会审议通过聘任孙震先生 为董事、副总裁职务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报告期内，因换届公司董事会审议通过聘任范厚义先 生为董事职务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报告期内，因换届公司董事会审议通过聘任万明先生 为董事职务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26"/>
        <w:ind w:right="0"/>
        <w:jc w:val="left"/>
        <w:rPr>
          <w:b w:val="0"/>
          <w:bCs w:val="0"/>
        </w:rPr>
      </w:pPr>
      <w:bookmarkStart w:name="三、任职情况" w:id="129"/>
      <w:bookmarkEnd w:id="12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left="514" w:right="0"/>
        <w:jc w:val="left"/>
      </w:pPr>
      <w:r>
        <w:rPr>
          <w:rFonts w:ascii="Times New Roman" w:hAnsi="Times New Roman" w:cs="Times New Roman" w:eastAsia="Times New Roman" w:hint="default"/>
        </w:rPr>
        <w:t>1</w:t>
      </w:r>
      <w:r>
        <w:rPr/>
        <w:t>、董事简介：</w:t>
      </w:r>
    </w:p>
    <w:p>
      <w:pPr>
        <w:spacing w:after="0" w:line="240" w:lineRule="auto"/>
        <w:jc w:val="left"/>
        <w:sectPr>
          <w:footerReference w:type="default" r:id="rId20"/>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1" w:firstLine="360"/>
        <w:jc w:val="both"/>
      </w:pPr>
      <w:r>
        <w:rPr>
          <w:spacing w:val="-2"/>
        </w:rPr>
        <w:t>刘国平女士：中国国籍，无境外永久居留权，女，</w:t>
      </w:r>
      <w:r>
        <w:rPr>
          <w:rFonts w:ascii="Times New Roman" w:hAnsi="Times New Roman" w:cs="Times New Roman" w:eastAsia="Times New Roman" w:hint="default"/>
          <w:spacing w:val="-2"/>
        </w:rPr>
        <w:t>1963</w:t>
      </w:r>
      <w:r>
        <w:rPr>
          <w:spacing w:val="-2"/>
        </w:rPr>
        <w:t>年出生，中共党员，经济师。曾任青岛海立钢制品有限公司总经</w:t>
      </w:r>
      <w:r>
        <w:rPr/>
        <w:t> </w:t>
      </w:r>
      <w:r>
        <w:rPr>
          <w:spacing w:val="-2"/>
        </w:rPr>
        <w:t>理、监事，青岛海立美达钢制品有限公司董事长兼总经理。现任本公司董事长兼总裁，同时兼任青岛海立美达电机有限公司</w:t>
      </w:r>
      <w:r>
        <w:rPr>
          <w:spacing w:val="-66"/>
        </w:rPr>
        <w:t> </w:t>
      </w:r>
      <w:r>
        <w:rPr>
          <w:spacing w:val="-66"/>
        </w:rPr>
      </w:r>
      <w:r>
        <w:rPr>
          <w:spacing w:val="-2"/>
        </w:rPr>
        <w:t>执行董事、青岛海立达冲压件有限公司执行董事兼总经理、青岛海立美达精密机械制造有限公司执行董事、湖南海立美达钢</w:t>
      </w:r>
      <w:r>
        <w:rPr>
          <w:spacing w:val="-66"/>
        </w:rPr>
        <w:t> </w:t>
      </w:r>
      <w:r>
        <w:rPr>
          <w:spacing w:val="-66"/>
        </w:rPr>
      </w:r>
      <w:r>
        <w:rPr>
          <w:spacing w:val="-2"/>
        </w:rPr>
        <w:t>板加工配送有限公司执行董事兼总经理、青岛海立美达模具有限公司执行董事、宁波泰鸿机电有限公司执行董事、烟台海立</w:t>
      </w:r>
      <w:r>
        <w:rPr>
          <w:spacing w:val="-66"/>
        </w:rPr>
        <w:t> </w:t>
      </w:r>
      <w:r>
        <w:rPr>
          <w:spacing w:val="-66"/>
        </w:rPr>
      </w:r>
      <w:r>
        <w:rPr>
          <w:spacing w:val="-2"/>
        </w:rPr>
        <w:t>美达精密钢制品有限公司执行董事、即墨市海立达小额贷款有限公司董事、宁波泰鸿冲压件有限公司执行董事、湖北海立美</w:t>
      </w:r>
      <w:r>
        <w:rPr>
          <w:spacing w:val="-66"/>
        </w:rPr>
        <w:t> </w:t>
      </w:r>
      <w:r>
        <w:rPr>
          <w:spacing w:val="-66"/>
        </w:rPr>
      </w:r>
      <w:r>
        <w:rPr>
          <w:spacing w:val="-2"/>
        </w:rPr>
        <w:t>达汽车有限公司董事长、湖北海立田汽车部件有限公司董事长、宁波海立美达汽车部件有限公司执行董事、青岛海立控股有</w:t>
      </w:r>
      <w:r>
        <w:rPr>
          <w:spacing w:val="-66"/>
        </w:rPr>
        <w:t> </w:t>
      </w:r>
      <w:r>
        <w:rPr>
          <w:spacing w:val="-66"/>
        </w:rPr>
      </w:r>
      <w:r>
        <w:rPr/>
        <w:t>限公司监事、青岛海基置业有限公司监事、青岛博纳科技术有限公司董事，其在本公司任董事长兼总裁的任期自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 至今。</w:t>
      </w:r>
    </w:p>
    <w:p>
      <w:pPr>
        <w:pStyle w:val="BodyText"/>
        <w:spacing w:line="312" w:lineRule="auto" w:before="22"/>
        <w:ind w:right="1131" w:firstLine="360"/>
        <w:jc w:val="both"/>
      </w:pPr>
      <w:r>
        <w:rPr>
          <w:spacing w:val="-2"/>
        </w:rPr>
        <w:t>吴鹰先生：中国国籍，无境外永久居留权，男，</w:t>
      </w:r>
      <w:r>
        <w:rPr>
          <w:rFonts w:ascii="Times New Roman" w:hAnsi="Times New Roman" w:cs="Times New Roman" w:eastAsia="Times New Roman" w:hint="default"/>
          <w:spacing w:val="-2"/>
        </w:rPr>
        <w:t>1959</w:t>
      </w:r>
      <w:r>
        <w:rPr>
          <w:spacing w:val="-2"/>
        </w:rPr>
        <w:t>年出生，研究生学历。现任本公司董事，同时兼任中泽嘉盟投资有</w:t>
      </w:r>
      <w:r>
        <w:rPr/>
        <w:t> </w:t>
      </w:r>
      <w:r>
        <w:rPr>
          <w:spacing w:val="-2"/>
        </w:rPr>
        <w:t>限公司董事长、北京中泽启天投资中心（有限合伙）执行事务合伙人、北京博升优势科技发展有限公司董事长、中嘉博创信</w:t>
      </w:r>
      <w:r>
        <w:rPr>
          <w:spacing w:val="-66"/>
        </w:rPr>
        <w:t> </w:t>
      </w:r>
      <w:r>
        <w:rPr>
          <w:spacing w:val="-66"/>
        </w:rPr>
      </w:r>
      <w:r>
        <w:rPr>
          <w:spacing w:val="-2"/>
        </w:rPr>
        <w:t>息技术股份有限公司董事长、卓尔智联集团有限公司独立非执行董事、众安在线财产保险股份有限公司独立非执行董事、中</w:t>
      </w:r>
      <w:r>
        <w:rPr>
          <w:spacing w:val="-65"/>
        </w:rPr>
        <w:t> </w:t>
      </w:r>
      <w:r>
        <w:rPr>
          <w:spacing w:val="-65"/>
        </w:rPr>
      </w:r>
      <w:r>
        <w:rPr/>
        <w:t>诚信征信有限公司董事及华谊兄弟传媒股份有限公司监事会主席。其在本公司任董事的任期自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w:t>
      </w:r>
    </w:p>
    <w:p>
      <w:pPr>
        <w:pStyle w:val="BodyText"/>
        <w:spacing w:line="309" w:lineRule="auto" w:before="3"/>
        <w:ind w:right="1130" w:firstLine="360"/>
        <w:jc w:val="both"/>
      </w:pPr>
      <w:r>
        <w:rPr>
          <w:spacing w:val="-2"/>
        </w:rPr>
        <w:t>戴兵女士：中国国籍，中共党员，无境外永久居留权，女，</w:t>
      </w:r>
      <w:r>
        <w:rPr>
          <w:rFonts w:ascii="Times New Roman" w:hAnsi="Times New Roman" w:cs="Times New Roman" w:eastAsia="Times New Roman" w:hint="default"/>
          <w:spacing w:val="-2"/>
        </w:rPr>
        <w:t>1967</w:t>
      </w:r>
      <w:r>
        <w:rPr>
          <w:spacing w:val="-2"/>
        </w:rPr>
        <w:t>年出生，在职研究生，历任招商银行总行个人银行部副</w:t>
      </w:r>
      <w:r>
        <w:rPr/>
        <w:t> </w:t>
      </w:r>
      <w:r>
        <w:rPr>
          <w:spacing w:val="-2"/>
        </w:rPr>
        <w:t>总经理、中国光大银行总行信用卡中心总经理、中国光大集团工会副主席（兼）、中国光大银行工会委员会副主任（总行副</w:t>
      </w:r>
      <w:r>
        <w:rPr>
          <w:spacing w:val="-68"/>
        </w:rPr>
        <w:t> </w:t>
      </w:r>
      <w:r>
        <w:rPr>
          <w:spacing w:val="-68"/>
        </w:rPr>
      </w:r>
      <w:r>
        <w:rPr/>
        <w:t>行级，兼）、吉林亿联银行行长。现任本公司董事、执行总裁，同时兼任海联金汇（北京）金融科技有限公司董事长。</w:t>
      </w:r>
    </w:p>
    <w:p>
      <w:pPr>
        <w:pStyle w:val="BodyText"/>
        <w:spacing w:line="312" w:lineRule="auto" w:before="24"/>
        <w:ind w:right="1131" w:firstLine="360"/>
        <w:jc w:val="right"/>
        <w:rPr>
          <w:rFonts w:ascii="Times New Roman" w:hAnsi="Times New Roman" w:cs="Times New Roman" w:eastAsia="Times New Roman" w:hint="default"/>
        </w:rPr>
      </w:pPr>
      <w:r>
        <w:rPr>
          <w:spacing w:val="-2"/>
        </w:rPr>
        <w:t>洪晓明女士：中国国籍，无境外永久居留权，女，</w:t>
      </w:r>
      <w:r>
        <w:rPr>
          <w:rFonts w:ascii="Times New Roman" w:hAnsi="Times New Roman" w:cs="Times New Roman" w:eastAsia="Times New Roman" w:hint="default"/>
          <w:spacing w:val="-2"/>
        </w:rPr>
        <w:t>1963</w:t>
      </w:r>
      <w:r>
        <w:rPr>
          <w:spacing w:val="-2"/>
        </w:rPr>
        <w:t>年出生，中共党员，工商管理硕士，非执业注册会计师。曾任青</w:t>
      </w:r>
      <w:r>
        <w:rPr/>
        <w:t> </w:t>
      </w:r>
      <w:r>
        <w:rPr>
          <w:spacing w:val="-2"/>
        </w:rPr>
        <w:t>岛海尔股份有限公司财务总监、中联重科股份有限公司副总裁兼财务负责人、青岛碱业股份有限公司独立董事，现任公司董</w:t>
      </w:r>
      <w:r>
        <w:rPr>
          <w:spacing w:val="-75"/>
        </w:rPr>
        <w:t> </w:t>
      </w:r>
      <w:r>
        <w:rPr>
          <w:spacing w:val="-75"/>
        </w:rPr>
      </w:r>
      <w:r>
        <w:rPr>
          <w:spacing w:val="-2"/>
        </w:rPr>
        <w:t>事、副总裁、财务负责人，同时兼任湖北海立田汽车部件有限公司董事、湖北海立美达汽车有限公司董事、联动优势科技有</w:t>
      </w:r>
      <w:r>
        <w:rPr>
          <w:spacing w:val="-75"/>
        </w:rPr>
        <w:t> </w:t>
      </w:r>
      <w:r>
        <w:rPr>
          <w:spacing w:val="-75"/>
        </w:rPr>
      </w:r>
      <w:r>
        <w:rPr>
          <w:spacing w:val="-2"/>
        </w:rPr>
        <w:t>限公司监事、上海和达汽车配件有限公司监事、青岛万金通达经济信息服务有限公司监事、宝鸡泰鸿机电有限公司监事、青</w:t>
      </w:r>
      <w:r>
        <w:rPr>
          <w:spacing w:val="-75"/>
        </w:rPr>
        <w:t> </w:t>
      </w:r>
      <w:r>
        <w:rPr>
          <w:spacing w:val="-75"/>
        </w:rPr>
      </w:r>
      <w:r>
        <w:rPr/>
        <w:t>岛康普顿科技股份有限公司独立董事、青岛蔚蓝生物股份有限公司独立董事，其在本公司任董事的任期自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 </w:t>
      </w:r>
      <w:r>
        <w:rPr>
          <w:spacing w:val="-9"/>
        </w:rPr>
        <w:t>周建孚先生：中国国籍，无境外永久居留权，男，</w:t>
      </w:r>
      <w:r>
        <w:rPr>
          <w:rFonts w:ascii="Times New Roman" w:hAnsi="Times New Roman" w:cs="Times New Roman" w:eastAsia="Times New Roman" w:hint="default"/>
          <w:spacing w:val="-9"/>
        </w:rPr>
        <w:t>1977</w:t>
      </w:r>
      <w:r>
        <w:rPr>
          <w:spacing w:val="-9"/>
        </w:rPr>
        <w:t>年出生，博士学力，</w:t>
      </w:r>
      <w:r>
        <w:rPr>
          <w:rFonts w:ascii="Times New Roman" w:hAnsi="Times New Roman" w:cs="Times New Roman" w:eastAsia="Times New Roman" w:hint="default"/>
          <w:spacing w:val="-9"/>
        </w:rPr>
        <w:t>EMBA</w:t>
      </w:r>
      <w:r>
        <w:rPr>
          <w:spacing w:val="-9"/>
        </w:rPr>
        <w:t>在读。历任</w:t>
      </w:r>
      <w:r>
        <w:rPr>
          <w:rFonts w:ascii="Times New Roman" w:hAnsi="Times New Roman" w:cs="Times New Roman" w:eastAsia="Times New Roman" w:hint="default"/>
          <w:spacing w:val="-9"/>
        </w:rPr>
        <w:t>METAL </w:t>
      </w:r>
      <w:r>
        <w:rPr>
          <w:rFonts w:ascii="Times New Roman" w:hAnsi="Times New Roman" w:cs="Times New Roman" w:eastAsia="Times New Roman" w:hint="default"/>
        </w:rPr>
        <w:t>ONE</w:t>
      </w:r>
      <w:r>
        <w:rPr>
          <w:rFonts w:ascii="Times New Roman" w:hAnsi="Times New Roman" w:cs="Times New Roman" w:eastAsia="Times New Roman" w:hint="default"/>
          <w:spacing w:val="-2"/>
        </w:rPr>
        <w:t> </w:t>
      </w:r>
      <w:r>
        <w:rPr>
          <w:rFonts w:ascii="Times New Roman" w:hAnsi="Times New Roman" w:cs="Times New Roman" w:eastAsia="Times New Roman" w:hint="default"/>
        </w:rPr>
        <w:t>CORPORATION</w:t>
      </w:r>
    </w:p>
    <w:p>
      <w:pPr>
        <w:pStyle w:val="BodyText"/>
        <w:spacing w:line="309" w:lineRule="auto" w:before="3"/>
        <w:ind w:right="0"/>
        <w:jc w:val="left"/>
      </w:pPr>
      <w:r>
        <w:rPr/>
        <w:t>青岛事务所营业经理，</w:t>
      </w:r>
      <w:r>
        <w:rPr>
          <w:rFonts w:ascii="Times New Roman" w:hAnsi="Times New Roman" w:cs="Times New Roman" w:eastAsia="Times New Roman" w:hint="default"/>
        </w:rPr>
        <w:t>METAL ONE</w:t>
      </w:r>
      <w:r>
        <w:rPr>
          <w:rFonts w:ascii="Times New Roman" w:hAnsi="Times New Roman" w:cs="Times New Roman" w:eastAsia="Times New Roman" w:hint="default"/>
          <w:spacing w:val="-1"/>
        </w:rPr>
        <w:t> </w:t>
      </w:r>
      <w:r>
        <w:rPr>
          <w:rFonts w:ascii="Times New Roman" w:hAnsi="Times New Roman" w:cs="Times New Roman" w:eastAsia="Times New Roman" w:hint="default"/>
        </w:rPr>
        <w:t>CORPORATION</w:t>
      </w:r>
      <w:r>
        <w:rPr/>
        <w:t>薄板电机钢材部主任、本公司董事、副总裁、董事会秘书。现任本公 </w:t>
      </w:r>
      <w:r>
        <w:rPr>
          <w:spacing w:val="-2"/>
        </w:rPr>
        <w:t>司董事、副总裁，兼任湖北海立美达汽车有限公司董事、湖北海立田汽车部件有限公司董事、青岛高创澳海股权投资管理有</w:t>
      </w:r>
      <w:r>
        <w:rPr>
          <w:spacing w:val="-66"/>
        </w:rPr>
        <w:t> </w:t>
      </w:r>
      <w:r>
        <w:rPr>
          <w:spacing w:val="-66"/>
        </w:rPr>
      </w:r>
      <w:r>
        <w:rPr/>
        <w:t>限公司董事，其在本公司任董事的任期自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月至今。</w:t>
      </w:r>
    </w:p>
    <w:p>
      <w:pPr>
        <w:pStyle w:val="BodyText"/>
        <w:spacing w:line="300" w:lineRule="auto" w:before="5"/>
        <w:ind w:right="1132" w:firstLine="360"/>
        <w:jc w:val="both"/>
      </w:pPr>
      <w:r>
        <w:rPr>
          <w:spacing w:val="-2"/>
        </w:rPr>
        <w:t>李贲先生：中国国籍，无境外永久居留权，男，</w:t>
      </w:r>
      <w:r>
        <w:rPr>
          <w:rFonts w:ascii="Times New Roman" w:hAnsi="Times New Roman" w:cs="Times New Roman" w:eastAsia="Times New Roman" w:hint="default"/>
          <w:spacing w:val="-2"/>
        </w:rPr>
        <w:t>1973</w:t>
      </w:r>
      <w:r>
        <w:rPr>
          <w:spacing w:val="-2"/>
        </w:rPr>
        <w:t>年出生，拥有北京理工大学工学学士学位和北京大学国家发展研究</w:t>
      </w:r>
      <w:r>
        <w:rPr/>
        <w:t> </w:t>
      </w:r>
      <w:r>
        <w:rPr>
          <w:spacing w:val="-2"/>
        </w:rPr>
        <w:t>院</w:t>
      </w:r>
      <w:r>
        <w:rPr>
          <w:rFonts w:ascii="Times New Roman" w:hAnsi="Times New Roman" w:cs="Times New Roman" w:eastAsia="Times New Roman" w:hint="default"/>
          <w:spacing w:val="-2"/>
        </w:rPr>
        <w:t>EMBA</w:t>
      </w:r>
      <w:r>
        <w:rPr>
          <w:spacing w:val="-2"/>
        </w:rPr>
        <w:t>硕士学位。现任公司董事、副总裁，同时兼任联动优势科技有限公司首席运营官、联动优势电子商务有限公司常务</w:t>
      </w:r>
      <w:r>
        <w:rPr>
          <w:spacing w:val="-46"/>
        </w:rPr>
        <w:t> </w:t>
      </w:r>
      <w:r>
        <w:rPr>
          <w:spacing w:val="-46"/>
        </w:rPr>
      </w:r>
      <w:r>
        <w:rPr>
          <w:spacing w:val="-2"/>
        </w:rPr>
        <w:t>副总裁、宁波康拓企业管理有限公司执行董事、青岛万金通达经济信息服务有限公司董事，其在本公司任董事的任期自</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4</w:t>
      </w:r>
      <w:r>
        <w:rPr/>
        <w:t>月至今。</w:t>
      </w:r>
    </w:p>
    <w:p>
      <w:pPr>
        <w:pStyle w:val="BodyText"/>
        <w:spacing w:line="309" w:lineRule="auto" w:before="13"/>
        <w:ind w:right="1130" w:firstLine="360"/>
        <w:jc w:val="both"/>
      </w:pPr>
      <w:r>
        <w:rPr>
          <w:spacing w:val="-2"/>
        </w:rPr>
        <w:t>范厚义先生：中国国籍，无境外永久居留权，男，</w:t>
      </w:r>
      <w:r>
        <w:rPr>
          <w:rFonts w:ascii="Times New Roman" w:hAnsi="Times New Roman" w:cs="Times New Roman" w:eastAsia="Times New Roman" w:hint="default"/>
          <w:spacing w:val="-2"/>
        </w:rPr>
        <w:t>1980</w:t>
      </w:r>
      <w:r>
        <w:rPr>
          <w:spacing w:val="-2"/>
        </w:rPr>
        <w:t>年出生，本科学历，经济学学士。历任银联商务有限公司计划财</w:t>
      </w:r>
      <w:r>
        <w:rPr/>
        <w:t> </w:t>
      </w:r>
      <w:r>
        <w:rPr>
          <w:spacing w:val="-2"/>
        </w:rPr>
        <w:t>务部业务经理、高级经理、助理总经理、副总经理。现任本公司董事，同时兼任银联商务股份有限公司监事、计划财务部总</w:t>
      </w:r>
      <w:r>
        <w:rPr>
          <w:spacing w:val="-67"/>
        </w:rPr>
        <w:t> </w:t>
      </w:r>
      <w:r>
        <w:rPr>
          <w:spacing w:val="-67"/>
        </w:rPr>
      </w:r>
      <w:r>
        <w:rPr/>
        <w:t>经理、重庆中金同盛小额贷款有限公司董事。</w:t>
      </w:r>
    </w:p>
    <w:p>
      <w:pPr>
        <w:pStyle w:val="BodyText"/>
        <w:spacing w:line="312" w:lineRule="auto" w:before="24"/>
        <w:ind w:right="1132" w:firstLine="360"/>
        <w:jc w:val="both"/>
      </w:pPr>
      <w:r>
        <w:rPr>
          <w:spacing w:val="-2"/>
        </w:rPr>
        <w:t>孙震先生：中国国籍，无境外永久居留权，男，</w:t>
      </w:r>
      <w:r>
        <w:rPr>
          <w:rFonts w:ascii="Times New Roman" w:hAnsi="Times New Roman" w:cs="Times New Roman" w:eastAsia="Times New Roman" w:hint="default"/>
          <w:spacing w:val="-2"/>
        </w:rPr>
        <w:t>1987</w:t>
      </w:r>
      <w:r>
        <w:rPr>
          <w:spacing w:val="-2"/>
        </w:rPr>
        <w:t>年出生，本科学历，现任本公司董事、副总裁，同时兼任联动优势</w:t>
      </w:r>
      <w:r>
        <w:rPr/>
        <w:t> </w:t>
      </w:r>
      <w:r>
        <w:rPr>
          <w:spacing w:val="-5"/>
        </w:rPr>
        <w:t>科技有限公司执行董事、联动优势电子商务有限公司董事、青岛天晨投资有限公司执行董事、九州环球国际融资租赁（天津）</w:t>
      </w:r>
      <w:r>
        <w:rPr>
          <w:spacing w:val="-82"/>
        </w:rPr>
        <w:t> </w:t>
      </w:r>
      <w:r>
        <w:rPr>
          <w:spacing w:val="-82"/>
        </w:rPr>
      </w:r>
      <w:r>
        <w:rPr>
          <w:spacing w:val="-2"/>
        </w:rPr>
        <w:t>有限有限公司副董事长、青岛美达甲乙丙丁科技有限公司执行董事、青岛海立美达科技有限公司执行董事、青岛博纳科技术</w:t>
      </w:r>
      <w:r>
        <w:rPr>
          <w:spacing w:val="-66"/>
        </w:rPr>
        <w:t> </w:t>
      </w:r>
      <w:r>
        <w:rPr>
          <w:spacing w:val="-66"/>
        </w:rPr>
      </w:r>
      <w:r>
        <w:rPr/>
        <w:t>有限公司董事长、西藏大川信息科技有限公司董事、深圳博纳科动力科技有限公司执行董事。</w:t>
      </w:r>
    </w:p>
    <w:p>
      <w:pPr>
        <w:pStyle w:val="BodyText"/>
        <w:spacing w:line="300" w:lineRule="auto" w:before="22"/>
        <w:ind w:right="1132" w:firstLine="360"/>
        <w:jc w:val="both"/>
      </w:pPr>
      <w:r>
        <w:rPr>
          <w:spacing w:val="-2"/>
        </w:rPr>
        <w:t>徐国亮先生：中国国籍，无境外永久居留权，男，</w:t>
      </w:r>
      <w:r>
        <w:rPr>
          <w:rFonts w:ascii="Times New Roman" w:hAnsi="Times New Roman" w:cs="Times New Roman" w:eastAsia="Times New Roman" w:hint="default"/>
          <w:spacing w:val="-2"/>
        </w:rPr>
        <w:t>1963</w:t>
      </w:r>
      <w:r>
        <w:rPr>
          <w:spacing w:val="-2"/>
        </w:rPr>
        <w:t>年出生，中共党员，博士学历。曾任山东大学社会发展学院副院</w:t>
      </w:r>
      <w:r>
        <w:rPr/>
        <w:t> 长，现任本公司独立董事、山东大学道德与法律教研室主任。</w:t>
      </w:r>
    </w:p>
    <w:p>
      <w:pPr>
        <w:pStyle w:val="BodyText"/>
        <w:spacing w:line="309" w:lineRule="auto" w:before="31"/>
        <w:ind w:right="1129" w:firstLine="360"/>
        <w:jc w:val="both"/>
      </w:pPr>
      <w:r>
        <w:rPr>
          <w:spacing w:val="-2"/>
        </w:rPr>
        <w:t>朱宏伟先生：中国国籍，有境外永久居留权，男，</w:t>
      </w:r>
      <w:r>
        <w:rPr>
          <w:rFonts w:ascii="Times New Roman" w:hAnsi="Times New Roman" w:cs="Times New Roman" w:eastAsia="Times New Roman" w:hint="default"/>
          <w:spacing w:val="-2"/>
        </w:rPr>
        <w:t>1967</w:t>
      </w:r>
      <w:r>
        <w:rPr>
          <w:spacing w:val="-2"/>
        </w:rPr>
        <w:t>年出生，曾任美国普拉戈电动科技有限公司总经理、山东省智慧</w:t>
      </w:r>
      <w:r>
        <w:rPr/>
        <w:t> </w:t>
      </w:r>
      <w:r>
        <w:rPr>
          <w:spacing w:val="-2"/>
        </w:rPr>
        <w:t>机器人研究所所长，现任本公司独立董事、青岛高创澳海股权投资管理有限公司副总经理。同时兼任青岛普拉戈工程系统有</w:t>
      </w:r>
      <w:r>
        <w:rPr>
          <w:spacing w:val="-66"/>
        </w:rPr>
        <w:t> </w:t>
      </w:r>
      <w:r>
        <w:rPr>
          <w:spacing w:val="-66"/>
        </w:rPr>
      </w:r>
      <w:r>
        <w:rPr/>
        <w:t>限公司总经理、青岛格瑞清洁设备有限公司总经理、青岛泓伟金康医疗科技有限公司监事。</w:t>
      </w:r>
    </w:p>
    <w:p>
      <w:pPr>
        <w:pStyle w:val="BodyText"/>
        <w:spacing w:line="300" w:lineRule="auto" w:before="24"/>
        <w:ind w:right="1132" w:firstLine="360"/>
        <w:jc w:val="both"/>
      </w:pPr>
      <w:r>
        <w:rPr>
          <w:spacing w:val="-2"/>
        </w:rPr>
        <w:t>张鹏女士：中国国籍，无境外永久居留权，女，</w:t>
      </w:r>
      <w:r>
        <w:rPr>
          <w:rFonts w:ascii="Times New Roman" w:hAnsi="Times New Roman" w:cs="Times New Roman" w:eastAsia="Times New Roman" w:hint="default"/>
          <w:spacing w:val="-2"/>
        </w:rPr>
        <w:t>1964</w:t>
      </w:r>
      <w:r>
        <w:rPr>
          <w:spacing w:val="-2"/>
        </w:rPr>
        <w:t>年出生，硕士学历，非执业注册会计师，现任本公司独立董事、青</w:t>
      </w:r>
      <w:r>
        <w:rPr/>
        <w:t> 岛大学经济学院副教授，同时兼任青岛城市传媒股份有限公司独立董事。</w:t>
      </w:r>
    </w:p>
    <w:p>
      <w:pPr>
        <w:pStyle w:val="BodyText"/>
        <w:spacing w:line="300" w:lineRule="auto" w:before="31"/>
        <w:ind w:right="1129" w:firstLine="360"/>
        <w:jc w:val="both"/>
      </w:pPr>
      <w:r>
        <w:rPr>
          <w:spacing w:val="-2"/>
        </w:rPr>
        <w:t>万明先生：中国国籍，无境外永久居留权，男，</w:t>
      </w:r>
      <w:r>
        <w:rPr>
          <w:rFonts w:ascii="Times New Roman" w:hAnsi="Times New Roman" w:cs="Times New Roman" w:eastAsia="Times New Roman" w:hint="default"/>
          <w:spacing w:val="-2"/>
        </w:rPr>
        <w:t>1981</w:t>
      </w:r>
      <w:r>
        <w:rPr>
          <w:spacing w:val="-2"/>
        </w:rPr>
        <w:t>年出生，本科学历。曾于平安、长江养老保险从事企业年金和律师</w:t>
      </w:r>
      <w:r>
        <w:rPr/>
        <w:t> </w:t>
      </w:r>
      <w:r>
        <w:rPr>
          <w:spacing w:val="-2"/>
        </w:rPr>
        <w:t>工作，于上海中夏旭波事务所担任专职律师，于北京市中银（上海）律师事务所高级合伙人。现任本公司独立董事、北京市</w:t>
      </w:r>
    </w:p>
    <w:p>
      <w:pPr>
        <w:spacing w:after="0" w:line="300" w:lineRule="auto"/>
        <w:jc w:val="both"/>
        <w:sectPr>
          <w:footerReference w:type="default" r:id="rId21"/>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浩天信和律师事务所上海分所高级合伙人，同时兼任东吴人寿保险股份有限公司独立董事、上海贝禾资产管理有限公司法定</w:t>
      </w:r>
      <w:r>
        <w:rPr>
          <w:spacing w:val="-64"/>
        </w:rPr>
        <w:t> </w:t>
      </w:r>
      <w:r>
        <w:rPr>
          <w:spacing w:val="-64"/>
        </w:rPr>
      </w:r>
      <w:r>
        <w:rPr/>
        <w:t>代表人、中国保险资产管理业协会法律专家库成员、浦东新区专业人民调解中心特邀调解员、鹤岗仲裁委员会仲裁员。</w:t>
      </w:r>
    </w:p>
    <w:p>
      <w:pPr>
        <w:pStyle w:val="BodyText"/>
        <w:spacing w:line="300" w:lineRule="auto" w:before="19"/>
        <w:ind w:left="514" w:right="1118"/>
        <w:jc w:val="left"/>
      </w:pPr>
      <w:r>
        <w:rPr>
          <w:rFonts w:ascii="Times New Roman" w:hAnsi="Times New Roman" w:cs="Times New Roman" w:eastAsia="Times New Roman" w:hint="default"/>
        </w:rPr>
        <w:t>2</w:t>
      </w:r>
      <w:r>
        <w:rPr/>
        <w:t>、监事简介： </w:t>
      </w:r>
      <w:r>
        <w:rPr>
          <w:spacing w:val="-2"/>
        </w:rPr>
        <w:t>杨良刚先生：中国国籍，男，</w:t>
      </w:r>
      <w:r>
        <w:rPr>
          <w:rFonts w:ascii="Times New Roman" w:hAnsi="Times New Roman" w:cs="Times New Roman" w:eastAsia="Times New Roman" w:hint="default"/>
          <w:spacing w:val="-2"/>
        </w:rPr>
        <w:t>1968</w:t>
      </w:r>
      <w:r>
        <w:rPr>
          <w:spacing w:val="-2"/>
        </w:rPr>
        <w:t>年出生，大学本科学历，无境外永久居留权。曾任中泽嘉盟投资有限公司投资部总经</w:t>
      </w:r>
    </w:p>
    <w:p>
      <w:pPr>
        <w:pStyle w:val="BodyText"/>
        <w:spacing w:line="316" w:lineRule="auto" w:before="13"/>
        <w:ind w:right="1032"/>
        <w:jc w:val="left"/>
      </w:pPr>
      <w:r>
        <w:rPr/>
        <w:t>理、软银中国创业投资有限公司投资总监，现任北京博升优势科技发展有限公司副总裁、北京创世漫道科技有限公司监事、</w:t>
      </w:r>
      <w:r>
        <w:rPr>
          <w:spacing w:val="-85"/>
        </w:rPr>
        <w:t> </w:t>
      </w:r>
      <w:r>
        <w:rPr>
          <w:spacing w:val="-85"/>
        </w:rPr>
      </w:r>
      <w:r>
        <w:rPr/>
        <w:t>本公司监事会主席，本公司监事会主席任期自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月至今。</w:t>
      </w:r>
    </w:p>
    <w:p>
      <w:pPr>
        <w:pStyle w:val="BodyText"/>
        <w:spacing w:line="300" w:lineRule="auto" w:before="40"/>
        <w:ind w:right="1133" w:firstLine="360"/>
        <w:jc w:val="both"/>
      </w:pPr>
      <w:r>
        <w:rPr>
          <w:spacing w:val="-2"/>
        </w:rPr>
        <w:t>王治军先生：中国国籍，男，</w:t>
      </w:r>
      <w:r>
        <w:rPr>
          <w:rFonts w:ascii="Times New Roman" w:hAnsi="Times New Roman" w:cs="Times New Roman" w:eastAsia="Times New Roman" w:hint="default"/>
          <w:spacing w:val="-2"/>
        </w:rPr>
        <w:t>1974</w:t>
      </w:r>
      <w:r>
        <w:rPr>
          <w:spacing w:val="-2"/>
        </w:rPr>
        <w:t>年出生，本科学历。曾任浙江吉利控股集团高级项目经理，现任本公司监事，青岛海</w:t>
      </w:r>
      <w:r>
        <w:rPr/>
        <w:t> 立达冲压件有限公司监事，青岛海立美达电机有限公司监事，青岛海立美达模具有限公司监事，本公司任期自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 今。</w:t>
      </w:r>
    </w:p>
    <w:p>
      <w:pPr>
        <w:pStyle w:val="BodyText"/>
        <w:spacing w:line="302" w:lineRule="auto" w:before="71"/>
        <w:ind w:right="1132" w:firstLine="360"/>
        <w:jc w:val="both"/>
      </w:pPr>
      <w:r>
        <w:rPr>
          <w:spacing w:val="-2"/>
        </w:rPr>
        <w:t>王晶女士：中国国籍，无境外永久居留权，女，</w:t>
      </w:r>
      <w:r>
        <w:rPr>
          <w:rFonts w:ascii="Times New Roman" w:hAnsi="Times New Roman" w:cs="Times New Roman" w:eastAsia="Times New Roman" w:hint="default"/>
          <w:spacing w:val="-2"/>
        </w:rPr>
        <w:t>1981</w:t>
      </w:r>
      <w:r>
        <w:rPr>
          <w:spacing w:val="-2"/>
        </w:rPr>
        <w:t>年出生，本科学历，曾任宁波泰鸿机电有限公司综合办主任，现任</w:t>
      </w:r>
      <w:r>
        <w:rPr/>
        <w:t> 本公司监事，本公司任期自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w:t>
      </w:r>
    </w:p>
    <w:p>
      <w:pPr>
        <w:pStyle w:val="BodyText"/>
        <w:spacing w:line="355" w:lineRule="auto" w:before="50"/>
        <w:ind w:left="514" w:right="4992" w:firstLine="73"/>
        <w:jc w:val="left"/>
      </w:pPr>
      <w:r>
        <w:rPr>
          <w:rFonts w:ascii="Times New Roman" w:hAnsi="Times New Roman" w:cs="Times New Roman" w:eastAsia="Times New Roman" w:hint="default"/>
        </w:rPr>
        <w:t>3</w:t>
      </w:r>
      <w:r>
        <w:rPr/>
        <w:t>、高级管理人员简介 刘国平女士：现任本公司总裁，详见董事会成员简介。 戴兵女士：现任本公司执行总裁，详见董事会成员简介。 洪晓明女士：现任本公司副总裁、财务总监，详见董事会成员简介。 周建孚先生：现任本公司副总裁，详见董事会成员简介。 李贲先生：现任本公司副总裁，详见董事会成员简介。</w:t>
      </w:r>
    </w:p>
    <w:p>
      <w:pPr>
        <w:pStyle w:val="BodyText"/>
        <w:spacing w:line="312" w:lineRule="auto" w:before="28"/>
        <w:ind w:right="1032" w:firstLine="360"/>
        <w:jc w:val="left"/>
      </w:pPr>
      <w:r>
        <w:rPr>
          <w:spacing w:val="-2"/>
        </w:rPr>
        <w:t>于铁军先生：中国国籍，无境外永久居留权，男，</w:t>
      </w:r>
      <w:r>
        <w:rPr>
          <w:rFonts w:ascii="Times New Roman" w:hAnsi="Times New Roman" w:cs="Times New Roman" w:eastAsia="Times New Roman" w:hint="default"/>
          <w:spacing w:val="-2"/>
        </w:rPr>
        <w:t>1978</w:t>
      </w:r>
      <w:r>
        <w:rPr>
          <w:spacing w:val="-2"/>
        </w:rPr>
        <w:t>年出生，物流工程硕士，曾任吉利集团部件公司经理助理，现任</w:t>
      </w:r>
      <w:r>
        <w:rPr/>
        <w:t> </w:t>
      </w:r>
      <w:r>
        <w:rPr>
          <w:spacing w:val="-2"/>
        </w:rPr>
        <w:t>本公司副总裁，兼任上海和达汽车配件有限公司执行董事、宝鸡泰鸿机电有限公司执行董事、枣庄海立美达模具有限公司执</w:t>
      </w:r>
      <w:r>
        <w:rPr>
          <w:spacing w:val="-66"/>
        </w:rPr>
        <w:t> </w:t>
      </w:r>
      <w:r>
        <w:rPr>
          <w:spacing w:val="-66"/>
        </w:rPr>
      </w:r>
      <w:r>
        <w:rPr/>
        <w:t>行董事、宁德和达汽车配件有限公司执行董事、天津和达汽车配件有限公司执行董事、青岛海立美达模具有限公司总经理、</w:t>
      </w:r>
      <w:r>
        <w:rPr>
          <w:spacing w:val="-85"/>
        </w:rPr>
        <w:t> </w:t>
      </w:r>
      <w:r>
        <w:rPr>
          <w:spacing w:val="-85"/>
        </w:rPr>
      </w:r>
      <w:r>
        <w:rPr/>
        <w:t>上海海众实业发展有限公司执行董事。</w:t>
      </w:r>
    </w:p>
    <w:p>
      <w:pPr>
        <w:pStyle w:val="BodyText"/>
        <w:spacing w:line="302" w:lineRule="auto" w:before="61"/>
        <w:ind w:right="1132" w:firstLine="360"/>
        <w:jc w:val="both"/>
      </w:pPr>
      <w:r>
        <w:rPr>
          <w:spacing w:val="-2"/>
        </w:rPr>
        <w:t>鲁浩先生：中国国籍，无境外永久居留权，男，</w:t>
      </w:r>
      <w:r>
        <w:rPr>
          <w:rFonts w:ascii="Times New Roman" w:hAnsi="Times New Roman" w:cs="Times New Roman" w:eastAsia="Times New Roman" w:hint="default"/>
          <w:spacing w:val="-2"/>
        </w:rPr>
        <w:t>1974</w:t>
      </w:r>
      <w:r>
        <w:rPr>
          <w:spacing w:val="-2"/>
        </w:rPr>
        <w:t>年出生，中共党员，本科学历。曾任力源集团公司副总经理、本公</w:t>
      </w:r>
      <w:r>
        <w:rPr/>
        <w:t> 司董事，现任本公司副总裁兼人力资源总监。</w:t>
      </w:r>
    </w:p>
    <w:p>
      <w:pPr>
        <w:pStyle w:val="BodyText"/>
        <w:spacing w:line="309" w:lineRule="auto" w:before="69"/>
        <w:ind w:right="1130" w:firstLine="360"/>
        <w:jc w:val="both"/>
      </w:pPr>
      <w:r>
        <w:rPr>
          <w:spacing w:val="-2"/>
        </w:rPr>
        <w:t>亓秀美女士：中国国籍，无境外永久居留权，女，</w:t>
      </w:r>
      <w:r>
        <w:rPr>
          <w:rFonts w:ascii="Times New Roman" w:hAnsi="Times New Roman" w:cs="Times New Roman" w:eastAsia="Times New Roman" w:hint="default"/>
          <w:spacing w:val="-2"/>
        </w:rPr>
        <w:t>1983</w:t>
      </w:r>
      <w:r>
        <w:rPr>
          <w:spacing w:val="-2"/>
        </w:rPr>
        <w:t>年出生，本科学历，</w:t>
      </w:r>
      <w:r>
        <w:rPr>
          <w:rFonts w:ascii="Times New Roman" w:hAnsi="Times New Roman" w:cs="Times New Roman" w:eastAsia="Times New Roman" w:hint="default"/>
          <w:spacing w:val="-2"/>
        </w:rPr>
        <w:t>EMBA</w:t>
      </w:r>
      <w:r>
        <w:rPr>
          <w:spacing w:val="-2"/>
        </w:rPr>
        <w:t>在读。曾任青岛海立美达钢制品有限</w:t>
      </w:r>
      <w:r>
        <w:rPr/>
        <w:t> </w:t>
      </w:r>
      <w:r>
        <w:rPr>
          <w:spacing w:val="-2"/>
        </w:rPr>
        <w:t>公司办公室秘书、本公司证券事务代表、职工代表监事、法务部长、法务总监，现任本公司副总裁、董事会秘书，同时兼任</w:t>
      </w:r>
      <w:r>
        <w:rPr>
          <w:spacing w:val="-72"/>
        </w:rPr>
        <w:t> </w:t>
      </w:r>
      <w:r>
        <w:rPr>
          <w:spacing w:val="-72"/>
        </w:rPr>
      </w:r>
      <w:r>
        <w:rPr/>
        <w:t>青岛博纳科技术有限公司董事、青岛美达甲乙丙丁科技有限公司监事、青岛海立美达科技有限公司监事。</w:t>
      </w:r>
    </w:p>
    <w:p>
      <w:pPr>
        <w:pStyle w:val="BodyText"/>
        <w:spacing w:line="240" w:lineRule="auto" w:before="64"/>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753"/>
        <w:gridCol w:w="1276"/>
        <w:gridCol w:w="1490"/>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监事、计划财务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青岛海立美达精密制造有限公司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即墨市海立达小额贷款有限公司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中泽嘉盟投资有限公司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北京中泽启天投资中心（有限合伙）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中嘉博创信息技术股份有限公司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卓尔智联集团有限公司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众安在线财产保险股份有限公司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华谊兄弟传媒股份有限公司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海联金汇（北京）金融科技有限公司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青岛康普顿科技股份有限公司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青岛蔚蓝生物股份有限公司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宁波康拓企业管理有限公司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重庆中金同盛小额贷款有限公司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九州环球国际融资租赁（天津）有限有限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青岛美达甲乙丙丁科技有限公司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青岛博纳科技术有限公司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西藏大川信息科技有限公司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深圳博纳科动力科技有限公司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道德与法律 教研室主任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青岛高创澳海股权投资管理有限公司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青岛普拉戈工程系统有限公司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青岛格瑞清洁设备有限公司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青岛泓伟金康医疗科技有限公司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青岛大学经济学院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青岛城市传媒股份有限公司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北京市浩天信和律师事务所上海分所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上海贝禾资产管理有限公司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东吴人寿保险股份有限公司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青岛博纳科技术有限公司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青岛美达甲乙丙丁科技有限公司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right="1132" w:firstLine="360"/>
        <w:jc w:val="both"/>
      </w:pPr>
      <w:r>
        <w:rPr>
          <w:rFonts w:ascii="Times New Roman" w:hAnsi="Times New Roman" w:cs="Times New Roman" w:eastAsia="Times New Roman" w:hint="default"/>
        </w:rPr>
        <w:t>1</w:t>
      </w:r>
      <w:r>
        <w:rPr/>
        <w:t>、决策程序：公司董事、监事和高级管理人员的年度报酬的决策是由公司董事会薪酬与考核委员会严格按照《海联金 </w:t>
      </w:r>
      <w:r>
        <w:rPr>
          <w:spacing w:val="-2"/>
        </w:rPr>
        <w:t>汇科技股份有限公司董事会薪酬与考核委员会实施细则》的相关规定来执行，制定董事及高级管理人员薪酬计划并提交董事</w:t>
      </w:r>
      <w:r>
        <w:rPr>
          <w:spacing w:val="-64"/>
        </w:rPr>
        <w:t> </w:t>
      </w:r>
      <w:r>
        <w:rPr>
          <w:spacing w:val="-64"/>
        </w:rPr>
      </w:r>
      <w:r>
        <w:rPr/>
        <w:t>会及股东大会来决策实施。</w:t>
      </w:r>
    </w:p>
    <w:p>
      <w:pPr>
        <w:pStyle w:val="BodyText"/>
        <w:spacing w:line="302" w:lineRule="auto" w:before="64"/>
        <w:ind w:right="1032" w:firstLine="360"/>
        <w:jc w:val="left"/>
      </w:pPr>
      <w:r>
        <w:rPr>
          <w:rFonts w:ascii="Times New Roman" w:hAnsi="Times New Roman" w:cs="Times New Roman" w:eastAsia="Times New Roman" w:hint="default"/>
          <w:spacing w:val="-2"/>
        </w:rPr>
        <w:t>2</w:t>
      </w:r>
      <w:r>
        <w:rPr>
          <w:spacing w:val="-2"/>
        </w:rPr>
        <w:t>、确定依据：</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日，公司第一届董事会第五次会议制定并通过了《青岛海立美达股份有限公司董事会薪酬与</w:t>
      </w:r>
      <w:r>
        <w:rPr/>
        <w:t> 考核委员会实施细则》，自公司</w:t>
      </w:r>
      <w:r>
        <w:rPr>
          <w:rFonts w:ascii="Times New Roman" w:hAnsi="Times New Roman" w:cs="Times New Roman" w:eastAsia="Times New Roman" w:hint="default"/>
        </w:rPr>
        <w:t>2009</w:t>
      </w:r>
      <w:r>
        <w:rPr/>
        <w:t>年度股东大会决议设立公司董事会专门委员会之日起施行；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日，公司第一 </w:t>
      </w:r>
      <w:r>
        <w:rPr>
          <w:spacing w:val="-2"/>
        </w:rPr>
        <w:t>届董事会第八次会议审议通过的《关于调整公司独立董事津贴的议案》，确定了公司第一届董事会独立董事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w:t>
      </w:r>
      <w:r>
        <w:rPr>
          <w:spacing w:val="-59"/>
        </w:rPr>
        <w:t> </w:t>
      </w:r>
      <w:r>
        <w:rPr>
          <w:spacing w:val="-2"/>
        </w:rPr>
        <w:t>的薪酬；</w:t>
      </w:r>
      <w:r>
        <w:rPr>
          <w:rFonts w:ascii="Times New Roman" w:hAnsi="Times New Roman" w:cs="Times New Roman" w:eastAsia="Times New Roman" w:hint="default"/>
          <w:spacing w:val="-2"/>
        </w:rPr>
        <w:t>2012</w:t>
      </w:r>
      <w:r>
        <w:rPr>
          <w:spacing w:val="-2"/>
        </w:rPr>
        <w:t>年度，公司新修订了《青岛海立美达股份有限公司薪酬管理办法》，</w:t>
      </w:r>
      <w:r>
        <w:rPr>
          <w:rFonts w:ascii="Times New Roman" w:hAnsi="Times New Roman" w:cs="Times New Roman" w:eastAsia="Times New Roman" w:hint="default"/>
          <w:spacing w:val="-2"/>
        </w:rPr>
        <w:t>2014</w:t>
      </w:r>
      <w:r>
        <w:rPr>
          <w:spacing w:val="-2"/>
        </w:rPr>
        <w:t>年度，公司人力资源部制定了《青岛</w:t>
      </w:r>
      <w:r>
        <w:rPr>
          <w:spacing w:val="-62"/>
        </w:rPr>
        <w:t> </w:t>
      </w:r>
      <w:r>
        <w:rPr>
          <w:spacing w:val="-62"/>
        </w:rPr>
      </w:r>
      <w:r>
        <w:rPr>
          <w:spacing w:val="-2"/>
        </w:rPr>
        <w:t>海立美达股份有限公司岗位薪级调整管理办法》、《青岛海立美达股份有限公司岗位分段分级管理制度》，公司薪酬与考核</w:t>
      </w:r>
      <w:r>
        <w:rPr>
          <w:spacing w:val="-65"/>
        </w:rPr>
        <w:t> </w:t>
      </w:r>
      <w:r>
        <w:rPr>
          <w:spacing w:val="-65"/>
        </w:rPr>
      </w:r>
      <w:r>
        <w:rPr/>
        <w:t>委员会对此进行了审议；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日，公司第三届董事会第六次会议审议通过了《关于调整公司独立董事津贴的议案》，</w:t>
      </w:r>
      <w:r>
        <w:rPr>
          <w:spacing w:val="-85"/>
        </w:rPr>
        <w:t> </w:t>
      </w:r>
      <w:r>
        <w:rPr>
          <w:spacing w:val="-85"/>
        </w:rPr>
      </w:r>
      <w:r>
        <w:rPr>
          <w:spacing w:val="-2"/>
        </w:rPr>
        <w:t>确定了公司第三届董事会独立董事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日起的薪酬，</w:t>
      </w:r>
      <w:r>
        <w:rPr>
          <w:rFonts w:ascii="Times New Roman" w:hAnsi="Times New Roman" w:cs="Times New Roman" w:eastAsia="Times New Roman" w:hint="default"/>
          <w:spacing w:val="-2"/>
        </w:rPr>
        <w:t>2017</w:t>
      </w:r>
      <w:r>
        <w:rPr>
          <w:spacing w:val="-2"/>
        </w:rPr>
        <w:t>年，公司人力资源部对《绩效考核管理制度》、《新客户开</w:t>
      </w:r>
      <w:r>
        <w:rPr>
          <w:spacing w:val="-59"/>
        </w:rPr>
        <w:t> </w:t>
      </w:r>
      <w:r>
        <w:rPr>
          <w:spacing w:val="-59"/>
        </w:rPr>
      </w:r>
      <w:r>
        <w:rPr/>
        <w:t>发激励方案》进行了修订，并经公司董事会薪酬与考核委员会审议准予实施。</w:t>
      </w:r>
    </w:p>
    <w:p>
      <w:pPr>
        <w:pStyle w:val="BodyText"/>
        <w:spacing w:line="240" w:lineRule="auto" w:before="69"/>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董事、执行总裁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8,156,1358,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2;height:393" coordorigin="23,156" coordsize="1312,393">
                    <v:shape style="position:absolute;left:23;top:156;width:1312;height:393" coordorigin="23,156" coordsize="1312,393" path="m23,548l1335,548,1335,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原董事、原执行 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副总裁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董秘、副总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9" w:space="0" w:color="D2D2D2"/>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3,220,000</w:t>
            </w:r>
          </w:p>
        </w:tc>
      </w:tr>
      <w:tr>
        <w:trPr>
          <w:trHeight w:val="714"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 w:right="6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日授予以上董事、高级管理人员限制性股票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322 </w:t>
            </w:r>
            <w:r>
              <w:rPr>
                <w:rFonts w:ascii="宋体" w:hAnsi="宋体" w:cs="宋体" w:eastAsia="宋体" w:hint="default"/>
                <w:sz w:val="18"/>
                <w:szCs w:val="18"/>
              </w:rPr>
              <w:t>万股，截止报告期末上述股 份全部未解除限售。</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bookmarkStart w:name="五、公司员工情况" w:id="131"/>
      <w:bookmarkEnd w:id="131"/>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44,682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3"/>
          <w:szCs w:val="23"/>
        </w:rPr>
      </w:pPr>
    </w:p>
    <w:p>
      <w:pPr>
        <w:pStyle w:val="BodyText"/>
        <w:spacing w:line="352" w:lineRule="auto"/>
        <w:ind w:right="0"/>
        <w:jc w:val="left"/>
      </w:pPr>
      <w:r>
        <w:rPr/>
        <w:t>公平性原则：公司通过实施系统科学的职位评估，形成了公司的内部职级体系，体现按岗位价值付薪的理念。 竞争性原则：公司通过不定期参与市场薪酬调研，参照目标市场的薪酬数据和公司的实际状况来定位公司的薪酬水平，确保 公司薪酬在市场上的竞争力。 </w:t>
      </w:r>
      <w:r>
        <w:rPr>
          <w:spacing w:val="-3"/>
        </w:rPr>
        <w:t>全面薪酬原则：公司倡导全面薪酬的理念，即薪酬不但包括直接的货币形式</w:t>
      </w:r>
      <w:r>
        <w:rPr>
          <w:rFonts w:ascii="Times New Roman" w:hAnsi="Times New Roman" w:cs="Times New Roman" w:eastAsia="Times New Roman" w:hint="default"/>
          <w:spacing w:val="-3"/>
        </w:rPr>
        <w:t>(</w:t>
      </w:r>
      <w:r>
        <w:rPr>
          <w:spacing w:val="-3"/>
        </w:rPr>
        <w:t>直接薪酬</w:t>
      </w:r>
      <w:r>
        <w:rPr>
          <w:rFonts w:ascii="Times New Roman" w:hAnsi="Times New Roman" w:cs="Times New Roman" w:eastAsia="Times New Roman" w:hint="default"/>
          <w:spacing w:val="-3"/>
        </w:rPr>
        <w:t>)</w:t>
      </w:r>
      <w:r>
        <w:rPr>
          <w:spacing w:val="-3"/>
        </w:rPr>
        <w:t>和可转化为货币的其他形式</w:t>
      </w:r>
      <w:r>
        <w:rPr>
          <w:rFonts w:ascii="Times New Roman" w:hAnsi="Times New Roman" w:cs="Times New Roman" w:eastAsia="Times New Roman" w:hint="default"/>
          <w:spacing w:val="-3"/>
        </w:rPr>
        <w:t>(</w:t>
      </w:r>
      <w:r>
        <w:rPr>
          <w:spacing w:val="-3"/>
        </w:rPr>
        <w:t>间接薪酬</w:t>
      </w:r>
      <w:r>
        <w:rPr>
          <w:rFonts w:ascii="Times New Roman" w:hAnsi="Times New Roman" w:cs="Times New Roman" w:eastAsia="Times New Roman" w:hint="default"/>
          <w:spacing w:val="-3"/>
        </w:rPr>
        <w:t>)</w:t>
      </w:r>
      <w:r>
        <w:rPr>
          <w:spacing w:val="-3"/>
        </w:rPr>
        <w:t>，</w:t>
      </w:r>
      <w:r>
        <w:rPr>
          <w:spacing w:val="-58"/>
        </w:rPr>
        <w:t> </w:t>
      </w:r>
      <w:r>
        <w:rPr/>
        <w:t>还包括较舒适的办公环境、良好的职业发展机会、富有挑战性和成就感的工作等难以用货币来衡量的形式。</w:t>
      </w:r>
    </w:p>
    <w:p>
      <w:pPr>
        <w:spacing w:line="240" w:lineRule="auto" w:before="7"/>
        <w:rPr>
          <w:rFonts w:ascii="宋体" w:hAnsi="宋体" w:cs="宋体" w:eastAsia="宋体" w:hint="default"/>
          <w:sz w:val="26"/>
          <w:szCs w:val="26"/>
        </w:rPr>
      </w:pPr>
    </w:p>
    <w:p>
      <w:pPr>
        <w:pStyle w:val="Heading7"/>
        <w:spacing w:line="240" w:lineRule="auto"/>
        <w:ind w:right="0"/>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4" w:right="1118" w:hanging="360"/>
        <w:jc w:val="left"/>
      </w:pPr>
      <w:r>
        <w:rPr>
          <w:rFonts w:ascii="宋体" w:hAnsi="宋体" w:cs="宋体" w:eastAsia="宋体" w:hint="default"/>
        </w:rPr>
        <w:t>1</w:t>
      </w:r>
      <w:r>
        <w:rPr/>
        <w:t>）</w:t>
      </w:r>
      <w:r>
        <w:rPr>
          <w:spacing w:val="18"/>
        </w:rPr>
        <w:t> </w:t>
      </w:r>
      <w:r>
        <w:rPr>
          <w:spacing w:val="-2"/>
        </w:rPr>
        <w:t>管理类培训：后备人才培训培养项目，新晋经理培训培养项目，领导力提升培训培养项目，中高层、高层领导力研讨项</w:t>
      </w:r>
      <w:r>
        <w:rPr/>
        <w:t> 目。</w:t>
      </w:r>
    </w:p>
    <w:p>
      <w:pPr>
        <w:pStyle w:val="BodyText"/>
        <w:spacing w:line="240" w:lineRule="auto" w:before="56"/>
        <w:ind w:right="0"/>
        <w:jc w:val="left"/>
      </w:pPr>
      <w:r>
        <w:rPr>
          <w:rFonts w:ascii="宋体" w:hAnsi="宋体" w:cs="宋体" w:eastAsia="宋体" w:hint="default"/>
        </w:rPr>
        <w:t>2</w:t>
      </w:r>
      <w:r>
        <w:rPr/>
        <w:t>） 专业类培训：金融科技领域、智能制造领域各自细分行业专业培训。</w:t>
      </w:r>
    </w:p>
    <w:p>
      <w:pPr>
        <w:pStyle w:val="BodyText"/>
        <w:spacing w:line="240" w:lineRule="auto" w:before="116"/>
        <w:ind w:right="0"/>
        <w:jc w:val="left"/>
      </w:pPr>
      <w:r>
        <w:rPr>
          <w:rFonts w:ascii="宋体" w:hAnsi="宋体" w:cs="宋体" w:eastAsia="宋体" w:hint="default"/>
        </w:rPr>
        <w:t>3</w:t>
      </w:r>
      <w:r>
        <w:rPr/>
        <w:t>） 其他类：新员工培训、企业文化落地类项目、内训师培养等。</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381,928</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21,775,352.00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6"/>
      <w:bookmarkEnd w:id="136"/>
      <w:r>
        <w:rPr>
          <w:b w:val="0"/>
          <w:bCs w:val="0"/>
        </w:rPr>
      </w:r>
      <w:bookmarkStart w:name="_bookmark7" w:id="137"/>
      <w:bookmarkEnd w:id="13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圳证券交易所中小企业板上市公司规范运作指引》和中国证监会有关法律法规等的要求，不断完善公司治理结构，建立健全</w:t>
      </w:r>
      <w:r>
        <w:rPr>
          <w:spacing w:val="-66"/>
        </w:rPr>
        <w:t> </w:t>
      </w:r>
      <w:r>
        <w:rPr>
          <w:spacing w:val="-66"/>
        </w:rPr>
      </w:r>
      <w:r>
        <w:rPr/>
        <w:t>内部管理和控制制度，持续深入开展公司治理活动，以进一步规范公司运作，提高了公司治理水平。</w:t>
      </w:r>
    </w:p>
    <w:p>
      <w:pPr>
        <w:pStyle w:val="BodyText"/>
        <w:spacing w:line="360" w:lineRule="auto" w:before="19"/>
        <w:ind w:right="3552" w:firstLine="360"/>
        <w:jc w:val="left"/>
      </w:pPr>
      <w:r>
        <w:rPr/>
        <w:t>报告期内，公司及时修订了《公司章程》，并披露于巨潮资讯网。 公司治理的实际状况与中国证监会发布的有关上市公司治理的规范性文件是否存在重大差异</w:t>
      </w:r>
    </w:p>
    <w:p>
      <w:pPr>
        <w:pStyle w:val="BodyText"/>
        <w:spacing w:line="338" w:lineRule="auto" w:before="2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公司自成立以来，严格按照《公司法》、《证券法》等有关法律、法规和《公司章程》的要求规范运作，与控股股东在</w:t>
      </w:r>
      <w:r>
        <w:rPr/>
        <w:t> 业务、人员、资产、机构、财务等方面完全分开，具有独立完整的业务及自主经营能力。</w:t>
      </w:r>
    </w:p>
    <w:p>
      <w:pPr>
        <w:pStyle w:val="BodyText"/>
        <w:spacing w:line="309" w:lineRule="auto" w:before="56"/>
        <w:ind w:right="1133" w:firstLine="360"/>
        <w:jc w:val="both"/>
      </w:pPr>
      <w:r>
        <w:rPr>
          <w:rFonts w:ascii="Times New Roman" w:hAnsi="Times New Roman" w:cs="Times New Roman" w:eastAsia="Times New Roman" w:hint="default"/>
        </w:rPr>
        <w:t>1</w:t>
      </w:r>
      <w:r>
        <w:rPr/>
        <w:t>、业务独立情况：公司业务独立于控股股东及其下属企业，拥有独立完整的供应、生产和销售系统，独立开展业务， </w:t>
      </w:r>
      <w:r>
        <w:rPr>
          <w:spacing w:val="-2"/>
        </w:rPr>
        <w:t>不依赖于股东或其它任何关联方。公司股东及其他关联方目前业务均与本公司不同，而且向本公司出具了《避免同业竞争的</w:t>
      </w:r>
      <w:r>
        <w:rPr>
          <w:spacing w:val="-66"/>
        </w:rPr>
        <w:t> </w:t>
      </w:r>
      <w:r>
        <w:rPr>
          <w:spacing w:val="-66"/>
        </w:rPr>
      </w:r>
      <w:r>
        <w:rPr/>
        <w:t>承诺函》。</w:t>
      </w:r>
    </w:p>
    <w:p>
      <w:pPr>
        <w:pStyle w:val="BodyText"/>
        <w:spacing w:line="302" w:lineRule="auto" w:before="63"/>
        <w:ind w:right="1140" w:firstLine="360"/>
        <w:jc w:val="both"/>
      </w:pPr>
      <w:r>
        <w:rPr>
          <w:rFonts w:ascii="Times New Roman" w:hAnsi="Times New Roman" w:cs="Times New Roman" w:eastAsia="Times New Roman" w:hint="default"/>
        </w:rPr>
        <w:t>2</w:t>
      </w:r>
      <w:r>
        <w:rPr/>
        <w:t>、人员独立情况：公司人员、劳动、人事及工资完全独立。公司总经理、副总经理、董事会秘书、财务负责人等高级 管理人员均在公司工作并领取薪酬，未在控股股东及其下属企业担任职务和领取报酬。</w:t>
      </w:r>
    </w:p>
    <w:p>
      <w:pPr>
        <w:pStyle w:val="BodyText"/>
        <w:spacing w:line="302" w:lineRule="auto" w:before="68"/>
        <w:ind w:right="1140" w:firstLine="360"/>
        <w:jc w:val="both"/>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w:t>
      </w:r>
    </w:p>
    <w:p>
      <w:pPr>
        <w:pStyle w:val="BodyText"/>
        <w:spacing w:line="240" w:lineRule="auto" w:before="70"/>
        <w:ind w:left="514" w:right="0"/>
        <w:jc w:val="left"/>
      </w:pPr>
      <w:r>
        <w:rPr>
          <w:rFonts w:ascii="Times New Roman" w:hAnsi="Times New Roman" w:cs="Times New Roman" w:eastAsia="Times New Roman" w:hint="default"/>
        </w:rPr>
        <w:t>4</w:t>
      </w:r>
      <w:r>
        <w:rPr/>
        <w:t>、机构独立情况：公司设立了健全的组织机构体系，独立运作，不存在与控股股东或其职能部门之间的从属关系。</w:t>
      </w:r>
    </w:p>
    <w:p>
      <w:pPr>
        <w:pStyle w:val="BodyText"/>
        <w:spacing w:line="302" w:lineRule="auto" w:before="101"/>
        <w:ind w:right="1140" w:firstLine="360"/>
        <w:jc w:val="both"/>
      </w:pPr>
      <w:r>
        <w:rPr>
          <w:rFonts w:ascii="Times New Roman" w:hAnsi="Times New Roman" w:cs="Times New Roman" w:eastAsia="Times New Roman" w:hint="default"/>
        </w:rPr>
        <w:t>5</w:t>
      </w:r>
      <w:r>
        <w:rPr/>
        <w:t>、财务独立情况：公司有独立的财务会计部门，建立了独立的会计核算体系和财务管理制度，独立进行财务决策。公 司独立开设银行账户，独立纳税。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left="0" w:right="1148"/>
        <w:jc w:val="right"/>
      </w:pPr>
      <w:r>
        <w:rPr/>
        <w:pict>
          <v:shape style="position:absolute;margin-left:56.459999pt;margin-top:-161.528275pt;width:479.1pt;height:500.1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一次临时会议决议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2018-016</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59.80%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股东大会决议公告</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2018-052</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二次临时股东大会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2018-100</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三次临时股东大会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2018-132</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7"/>
        <w:spacing w:line="240" w:lineRule="auto" w:before="35"/>
        <w:ind w:right="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40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5" w:right="35"/>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5" w:right="23"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6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7"/>
        <w:spacing w:line="240" w:lineRule="auto"/>
        <w:ind w:right="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131" w:firstLine="360"/>
        <w:jc w:val="both"/>
      </w:pPr>
      <w:r>
        <w:rPr>
          <w:spacing w:val="-2"/>
        </w:rPr>
        <w:t>现任四位独立董事在报告期内均对公司进行了实地现场考察，了解公司的生产经营情况和财务状况，董事会决议执行情</w:t>
      </w:r>
      <w:r>
        <w:rPr/>
        <w:t> </w:t>
      </w:r>
      <w:r>
        <w:rPr>
          <w:spacing w:val="-2"/>
        </w:rPr>
        <w:t>况等，重点关注了公司法人治理、业务发展、规范运作、内部控制、财务管理、关联往来、对外投资、重大担保等情况，并</w:t>
      </w:r>
      <w:r>
        <w:rPr>
          <w:spacing w:val="-69"/>
        </w:rPr>
        <w:t> </w:t>
      </w:r>
      <w:r>
        <w:rPr>
          <w:spacing w:val="-69"/>
        </w:rPr>
      </w:r>
      <w:r>
        <w:rPr>
          <w:spacing w:val="-2"/>
        </w:rPr>
        <w:t>通过电话和邮件，与公司其他董事、高管人员及相关工作人员保持密切联系，了解公司发展动态，关注宏观环境及市场变化</w:t>
      </w:r>
      <w:r>
        <w:rPr>
          <w:spacing w:val="-66"/>
        </w:rPr>
        <w:t> </w:t>
      </w:r>
      <w:r>
        <w:rPr>
          <w:spacing w:val="-66"/>
        </w:rPr>
      </w:r>
      <w:r>
        <w:rPr>
          <w:spacing w:val="-2"/>
        </w:rPr>
        <w:t>对公司的影响，同时也时刻关注电视、报纸和网络等媒介有关公司的宣传和报道，及时获悉公司信息，从而为公司经营发展</w:t>
      </w:r>
      <w:r>
        <w:rPr>
          <w:spacing w:val="-66"/>
        </w:rPr>
        <w:t> </w:t>
      </w:r>
      <w:r>
        <w:rPr>
          <w:spacing w:val="-66"/>
        </w:rPr>
      </w:r>
      <w:r>
        <w:rPr/>
        <w:t>提出建设性意见，公司采纳了相关建议，并运用于公司经营业务发展。</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34"/>
          <w:szCs w:val="34"/>
        </w:rPr>
      </w:pPr>
    </w:p>
    <w:p>
      <w:pPr>
        <w:pStyle w:val="Heading4"/>
        <w:spacing w:line="240" w:lineRule="auto"/>
        <w:ind w:left="515" w:right="0"/>
        <w:jc w:val="left"/>
        <w:rPr>
          <w:b w:val="0"/>
          <w:bCs w:val="0"/>
        </w:rPr>
      </w:pPr>
      <w:r>
        <w:rPr>
          <w:rFonts w:ascii="Times New Roman" w:hAnsi="Times New Roman" w:cs="Times New Roman" w:eastAsia="Times New Roman" w:hint="default"/>
        </w:rPr>
        <w:t>1</w:t>
      </w:r>
      <w:r>
        <w:rPr/>
        <w:t>、董事会战略委员会履职情况</w:t>
      </w:r>
      <w:r>
        <w:rPr>
          <w:b w:val="0"/>
          <w:bCs w:val="0"/>
        </w:rPr>
      </w:r>
    </w:p>
    <w:p>
      <w:pPr>
        <w:pStyle w:val="BodyText"/>
        <w:spacing w:line="343" w:lineRule="auto" w:before="143"/>
        <w:ind w:right="1032" w:firstLine="361"/>
        <w:jc w:val="left"/>
      </w:pPr>
      <w:r>
        <w:rPr>
          <w:rFonts w:ascii="Times New Roman" w:hAnsi="Times New Roman" w:cs="Times New Roman" w:eastAsia="Times New Roman" w:hint="default"/>
          <w:spacing w:val="-2"/>
        </w:rPr>
        <w:t>2018</w:t>
      </w:r>
      <w:r>
        <w:rPr>
          <w:spacing w:val="-2"/>
        </w:rPr>
        <w:t>年度，公司第三届董事会战略委员会共召开了</w:t>
      </w:r>
      <w:r>
        <w:rPr>
          <w:rFonts w:ascii="Times New Roman" w:hAnsi="Times New Roman" w:cs="Times New Roman" w:eastAsia="Times New Roman" w:hint="default"/>
          <w:spacing w:val="-2"/>
        </w:rPr>
        <w:t>2</w:t>
      </w:r>
      <w:r>
        <w:rPr>
          <w:spacing w:val="-2"/>
        </w:rPr>
        <w:t>次会议：</w:t>
      </w:r>
      <w:r>
        <w:rPr>
          <w:rFonts w:ascii="Times New Roman" w:hAnsi="Times New Roman" w:cs="Times New Roman" w:eastAsia="Times New Roman" w:hint="default"/>
          <w:spacing w:val="-2"/>
        </w:rPr>
        <w:t>1</w:t>
      </w:r>
      <w:r>
        <w:rPr>
          <w:spacing w:val="-2"/>
        </w:rPr>
        <w:t>）外部市场形势、监管环境及竞争态势的不断变化，董事</w:t>
      </w:r>
      <w:r>
        <w:rPr/>
        <w:t> </w:t>
      </w:r>
      <w:r>
        <w:rPr>
          <w:spacing w:val="-4"/>
        </w:rPr>
        <w:t>会战略委员会建议公司对募投项目实施进度进行适当调整</w:t>
      </w:r>
      <w:r>
        <w:rPr>
          <w:rFonts w:ascii="Times New Roman" w:hAnsi="Times New Roman" w:cs="Times New Roman" w:eastAsia="Times New Roman" w:hint="default"/>
          <w:spacing w:val="-4"/>
        </w:rPr>
        <w:t>;2</w:t>
      </w:r>
      <w:r>
        <w:rPr>
          <w:spacing w:val="-4"/>
        </w:rPr>
        <w:t>）基于</w:t>
      </w:r>
      <w:r>
        <w:rPr>
          <w:rFonts w:ascii="Times New Roman" w:hAnsi="Times New Roman" w:cs="Times New Roman" w:eastAsia="Times New Roman" w:hint="default"/>
          <w:spacing w:val="-4"/>
        </w:rPr>
        <w:t>“</w:t>
      </w:r>
      <w:r>
        <w:rPr>
          <w:spacing w:val="-4"/>
        </w:rPr>
        <w:t>全球视野、客户导向、创新驱动、价值多赢</w:t>
      </w:r>
      <w:r>
        <w:rPr>
          <w:rFonts w:ascii="Times New Roman" w:hAnsi="Times New Roman" w:cs="Times New Roman" w:eastAsia="Times New Roman" w:hint="default"/>
          <w:spacing w:val="-4"/>
        </w:rPr>
        <w:t>”</w:t>
      </w:r>
      <w:r>
        <w:rPr>
          <w:spacing w:val="-4"/>
        </w:rPr>
        <w:t>的战略目标，</w:t>
      </w:r>
      <w:r>
        <w:rPr>
          <w:spacing w:val="-67"/>
        </w:rPr>
        <w:t> </w:t>
      </w:r>
      <w:r>
        <w:rPr/>
        <w:t>制定了坚持金融科技板块重点发力第三方支付及数据业务、制造板块以乘用车为主力的经营方针，同时给出了建设性意见，</w:t>
      </w:r>
      <w:r>
        <w:rPr>
          <w:spacing w:val="-85"/>
        </w:rPr>
        <w:t> </w:t>
      </w:r>
      <w:r>
        <w:rPr>
          <w:spacing w:val="-85"/>
        </w:rPr>
      </w:r>
      <w:r>
        <w:rPr/>
        <w:t>推行经营体运营模式，实现经营扁平化，精员增效，增加员工活力。</w:t>
      </w:r>
    </w:p>
    <w:p>
      <w:pPr>
        <w:pStyle w:val="Heading4"/>
        <w:spacing w:line="240" w:lineRule="auto" w:before="28"/>
        <w:ind w:left="515" w:right="0"/>
        <w:jc w:val="left"/>
        <w:rPr>
          <w:b w:val="0"/>
          <w:bCs w:val="0"/>
        </w:rPr>
      </w:pPr>
      <w:r>
        <w:rPr>
          <w:rFonts w:ascii="Times New Roman" w:hAnsi="Times New Roman" w:cs="Times New Roman" w:eastAsia="Times New Roman" w:hint="default"/>
        </w:rPr>
        <w:t>2</w:t>
      </w:r>
      <w:r>
        <w:rPr/>
        <w:t>、董事会审计委员会履职情况</w:t>
      </w:r>
      <w:r>
        <w:rPr>
          <w:b w:val="0"/>
          <w:bCs w:val="0"/>
        </w:rPr>
      </w:r>
    </w:p>
    <w:p>
      <w:pPr>
        <w:pStyle w:val="BodyText"/>
        <w:spacing w:line="338" w:lineRule="auto" w:before="184"/>
        <w:ind w:right="1130" w:firstLine="360"/>
        <w:jc w:val="both"/>
      </w:pPr>
      <w:r>
        <w:rPr>
          <w:rFonts w:ascii="Times New Roman" w:hAnsi="Times New Roman" w:cs="Times New Roman" w:eastAsia="Times New Roman" w:hint="default"/>
        </w:rPr>
        <w:t>2018</w:t>
      </w:r>
      <w:r>
        <w:rPr/>
        <w:t>年度，公司董事会审计委员会共召开了</w:t>
      </w:r>
      <w:r>
        <w:rPr>
          <w:rFonts w:ascii="Times New Roman" w:hAnsi="Times New Roman" w:cs="Times New Roman" w:eastAsia="Times New Roman" w:hint="default"/>
        </w:rPr>
        <w:t>5</w:t>
      </w:r>
      <w:r>
        <w:rPr/>
        <w:t>次会议，对公司</w:t>
      </w:r>
      <w:r>
        <w:rPr>
          <w:rFonts w:ascii="Times New Roman" w:hAnsi="Times New Roman" w:cs="Times New Roman" w:eastAsia="Times New Roman" w:hint="default"/>
        </w:rPr>
        <w:t>2018</w:t>
      </w:r>
      <w:r>
        <w:rPr/>
        <w:t>年度审计及聘请外部审计机构等事项给予了合理的建 </w:t>
      </w:r>
      <w:r>
        <w:rPr>
          <w:spacing w:val="-2"/>
        </w:rPr>
        <w:t>议，对</w:t>
      </w:r>
      <w:r>
        <w:rPr>
          <w:rFonts w:ascii="Times New Roman" w:hAnsi="Times New Roman" w:cs="Times New Roman" w:eastAsia="Times New Roman" w:hint="default"/>
          <w:spacing w:val="-2"/>
        </w:rPr>
        <w:t>2017</w:t>
      </w:r>
      <w:r>
        <w:rPr>
          <w:spacing w:val="-2"/>
        </w:rPr>
        <w:t>年度审计工作进行了部署，另外就公司审计部提报的一季度、半年度、三季度内部审计报表及募集资金进行了审</w:t>
      </w:r>
      <w:r>
        <w:rPr>
          <w:spacing w:val="-62"/>
        </w:rPr>
        <w:t> </w:t>
      </w:r>
      <w:r>
        <w:rPr>
          <w:spacing w:val="-62"/>
        </w:rPr>
      </w:r>
      <w:r>
        <w:rPr/>
        <w:t>议，并将决议报告报公司董事会。</w:t>
      </w:r>
    </w:p>
    <w:p>
      <w:pPr>
        <w:pStyle w:val="Heading4"/>
        <w:spacing w:line="240" w:lineRule="auto" w:before="71"/>
        <w:ind w:left="555" w:right="0"/>
        <w:jc w:val="left"/>
        <w:rPr>
          <w:b w:val="0"/>
          <w:bCs w:val="0"/>
        </w:rPr>
      </w:pPr>
      <w:r>
        <w:rPr>
          <w:rFonts w:ascii="Times New Roman" w:hAnsi="Times New Roman" w:cs="Times New Roman" w:eastAsia="Times New Roman" w:hint="default"/>
        </w:rPr>
        <w:t>3</w:t>
      </w:r>
      <w:r>
        <w:rPr/>
        <w:t>、董事会薪酬与考核委员会履职情况</w:t>
      </w:r>
      <w:r>
        <w:rPr>
          <w:b w:val="0"/>
          <w:bCs w:val="0"/>
        </w:rPr>
      </w:r>
    </w:p>
    <w:p>
      <w:pPr>
        <w:pStyle w:val="BodyText"/>
        <w:spacing w:line="336" w:lineRule="auto" w:before="184"/>
        <w:ind w:right="1120" w:firstLine="506"/>
        <w:jc w:val="left"/>
      </w:pPr>
      <w:r>
        <w:rPr>
          <w:rFonts w:ascii="Times New Roman" w:hAnsi="Times New Roman" w:cs="Times New Roman" w:eastAsia="Times New Roman" w:hint="default"/>
          <w:spacing w:val="-1"/>
        </w:rPr>
        <w:t>2018</w:t>
      </w:r>
      <w:r>
        <w:rPr>
          <w:spacing w:val="-1"/>
        </w:rPr>
        <w:t>年度，公司第三届董事会薪酬与考核委员会共召开了</w:t>
      </w:r>
      <w:r>
        <w:rPr>
          <w:rFonts w:ascii="Times New Roman" w:hAnsi="Times New Roman" w:cs="Times New Roman" w:eastAsia="Times New Roman" w:hint="default"/>
          <w:spacing w:val="-1"/>
        </w:rPr>
        <w:t>2</w:t>
      </w:r>
      <w:r>
        <w:rPr>
          <w:spacing w:val="-1"/>
        </w:rPr>
        <w:t>次会议。</w:t>
      </w:r>
      <w:r>
        <w:rPr>
          <w:rFonts w:ascii="Times New Roman" w:hAnsi="Times New Roman" w:cs="Times New Roman" w:eastAsia="Times New Roman" w:hint="default"/>
          <w:spacing w:val="-1"/>
        </w:rPr>
        <w:t>1</w:t>
      </w:r>
      <w:r>
        <w:rPr>
          <w:spacing w:val="-1"/>
        </w:rPr>
        <w:t>）公司第三届董事会薪酬与考核委员会对公司领</w:t>
      </w:r>
      <w:r>
        <w:rPr/>
        <w:t> 薪董事和高级管理人员</w:t>
      </w:r>
      <w:r>
        <w:rPr>
          <w:rFonts w:ascii="Times New Roman" w:hAnsi="Times New Roman" w:cs="Times New Roman" w:eastAsia="Times New Roman" w:hint="default"/>
        </w:rPr>
        <w:t>2017</w:t>
      </w:r>
      <w:r>
        <w:rPr/>
        <w:t>年度的履职情况进行了考评；</w:t>
      </w:r>
      <w:r>
        <w:rPr>
          <w:rFonts w:ascii="Times New Roman" w:hAnsi="Times New Roman" w:cs="Times New Roman" w:eastAsia="Times New Roman" w:hint="default"/>
        </w:rPr>
        <w:t>2</w:t>
      </w:r>
      <w:r>
        <w:rPr/>
        <w:t>）公司第三届董事会薪酬与考核委员会制订了公司《</w:t>
      </w:r>
      <w:r>
        <w:rPr>
          <w:rFonts w:ascii="Times New Roman" w:hAnsi="Times New Roman" w:cs="Times New Roman" w:eastAsia="Times New Roman" w:hint="default"/>
        </w:rPr>
        <w:t>2018</w:t>
      </w:r>
      <w:r>
        <w:rPr/>
        <w:t>年限制</w:t>
      </w:r>
    </w:p>
    <w:p>
      <w:pPr>
        <w:spacing w:after="0" w:line="336" w:lineRule="auto"/>
        <w:jc w:val="left"/>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性股票激励计划（草案）》及摘要、《</w:t>
      </w:r>
      <w:r>
        <w:rPr>
          <w:rFonts w:ascii="Times New Roman" w:hAnsi="Times New Roman" w:cs="Times New Roman" w:eastAsia="Times New Roman" w:hint="default"/>
        </w:rPr>
        <w:t>2018</w:t>
      </w:r>
      <w:r>
        <w:rPr/>
        <w:t>年限制性股票激励计划实施考核管理办法》。</w:t>
      </w:r>
    </w:p>
    <w:p>
      <w:pPr>
        <w:pStyle w:val="Heading4"/>
        <w:spacing w:line="240" w:lineRule="auto" w:before="130"/>
        <w:ind w:left="555" w:right="0"/>
        <w:jc w:val="left"/>
        <w:rPr>
          <w:b w:val="0"/>
          <w:bCs w:val="0"/>
        </w:rPr>
      </w:pPr>
      <w:r>
        <w:rPr>
          <w:rFonts w:ascii="Times New Roman" w:hAnsi="Times New Roman" w:cs="Times New Roman" w:eastAsia="Times New Roman" w:hint="default"/>
        </w:rPr>
        <w:t>4</w:t>
      </w:r>
      <w:r>
        <w:rPr/>
        <w:t>、董事会提名委员会履职情况</w:t>
      </w:r>
      <w:r>
        <w:rPr>
          <w:b w:val="0"/>
          <w:bCs w:val="0"/>
        </w:rPr>
      </w:r>
    </w:p>
    <w:p>
      <w:pPr>
        <w:pStyle w:val="BodyText"/>
        <w:spacing w:line="338" w:lineRule="auto" w:before="184"/>
        <w:ind w:right="1132" w:firstLine="360"/>
        <w:jc w:val="both"/>
      </w:pPr>
      <w:r>
        <w:rPr>
          <w:rFonts w:ascii="Times New Roman" w:hAnsi="Times New Roman" w:cs="Times New Roman" w:eastAsia="Times New Roman" w:hint="default"/>
          <w:spacing w:val="-2"/>
        </w:rPr>
        <w:t>2018</w:t>
      </w:r>
      <w:r>
        <w:rPr>
          <w:spacing w:val="-2"/>
        </w:rPr>
        <w:t>年度，公司第三届董事会提名委员会共召开了</w:t>
      </w:r>
      <w:r>
        <w:rPr>
          <w:rFonts w:ascii="Times New Roman" w:hAnsi="Times New Roman" w:cs="Times New Roman" w:eastAsia="Times New Roman" w:hint="default"/>
          <w:spacing w:val="-2"/>
        </w:rPr>
        <w:t>2</w:t>
      </w:r>
      <w:r>
        <w:rPr>
          <w:spacing w:val="-2"/>
        </w:rPr>
        <w:t>次会议。</w:t>
      </w:r>
      <w:r>
        <w:rPr>
          <w:rFonts w:ascii="Times New Roman" w:hAnsi="Times New Roman" w:cs="Times New Roman" w:eastAsia="Times New Roman" w:hint="default"/>
          <w:spacing w:val="-2"/>
        </w:rPr>
        <w:t>1</w:t>
      </w:r>
      <w:r>
        <w:rPr>
          <w:spacing w:val="-2"/>
        </w:rPr>
        <w:t>）公司第三届董事会提名委员会对公司补选董事候选人进</w:t>
      </w:r>
      <w:r>
        <w:rPr/>
        <w:t> 行了资格审查；</w:t>
      </w:r>
      <w:r>
        <w:rPr>
          <w:rFonts w:ascii="Times New Roman" w:hAnsi="Times New Roman" w:cs="Times New Roman" w:eastAsia="Times New Roman" w:hint="default"/>
        </w:rPr>
        <w:t>2</w:t>
      </w:r>
      <w:r>
        <w:rPr/>
        <w:t>）公司第三届董事会提名委员会对公司董事会换届董事候选人进行了资格审查。</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公司建立了完善的高级管理人员绩效考评体系和薪酬制度，报告期内，公司人力资源部对《绩效考核管理制度》作了进</w:t>
      </w:r>
      <w:r>
        <w:rPr/>
        <w:t> </w:t>
      </w:r>
      <w:r>
        <w:rPr>
          <w:spacing w:val="-2"/>
        </w:rPr>
        <w:t>一步完善，根据制定的《人工成本管控原则框架》、《调薪指导原则框架》对高级管理人员考评，董事会薪酬与考核委员会</w:t>
      </w:r>
      <w:r>
        <w:rPr>
          <w:spacing w:val="-70"/>
        </w:rPr>
        <w:t> </w:t>
      </w:r>
      <w:r>
        <w:rPr>
          <w:spacing w:val="-70"/>
        </w:rPr>
      </w:r>
      <w:r>
        <w:rPr/>
        <w:t>负责对高级管理人员的工作能力、履职情况、责任目标完成情况等进行年终考评，制定薪酬方案报公司董事会审批。</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九、内部控制评价报告" w:id="151"/>
      <w:bookmarkEnd w:id="15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内部控制评价报告全文披露索引巨潮资讯</w:t>
            </w:r>
            <w:r>
              <w:rPr>
                <w:rFonts w:ascii="宋体" w:hAnsi="宋体" w:cs="宋体" w:eastAsia="宋体" w:hint="default"/>
                <w:spacing w:val="-33"/>
                <w:sz w:val="18"/>
                <w:szCs w:val="18"/>
              </w:rPr>
              <w:t>网</w:t>
            </w: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pacing w:val="-124"/>
                <w:sz w:val="18"/>
                <w:szCs w:val="18"/>
              </w:rPr>
              <w:t>，</w:t>
            </w:r>
            <w:r>
              <w:rPr>
                <w:rFonts w:ascii="宋体" w:hAnsi="宋体" w:cs="宋体" w:eastAsia="宋体" w:hint="default"/>
                <w:sz w:val="18"/>
                <w:szCs w:val="18"/>
              </w:rPr>
              <w:t>《海联金</w:t>
            </w:r>
            <w:r>
              <w:rPr>
                <w:rFonts w:ascii="宋体" w:hAnsi="宋体" w:cs="宋体" w:eastAsia="宋体" w:hint="default"/>
                <w:sz w:val="18"/>
                <w:szCs w:val="18"/>
              </w:rPr>
              <w:t> 汇科技股份有限公司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22"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外部审计发现当期财务报告 存在重大错报，公司在运行过程中未能发 现该错报；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公司审计委员会和审计部对 内部控制的监督无效；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 和高级管理人员舞弊行为；</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公司更正已 公布的财务报告；</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其他可能影响财务报 告使用者正确判断的缺陷。重要缺陷：</w:t>
            </w:r>
            <w:r>
              <w:rPr>
                <w:rFonts w:ascii="Times New Roman" w:hAnsi="Times New Roman" w:cs="Times New Roman" w:eastAsia="Times New Roman" w:hint="default"/>
                <w:sz w:val="18"/>
                <w:szCs w:val="18"/>
              </w:rPr>
              <w:t>1.</w:t>
            </w:r>
          </w:p>
        </w:tc>
        <w:tc>
          <w:tcPr>
            <w:tcW w:w="3051"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重大缺陷：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内部控制评价的结果是重</w:t>
            </w:r>
            <w:r>
              <w:rPr>
                <w:rFonts w:ascii="宋体" w:hAnsi="宋体" w:cs="宋体" w:eastAsia="宋体" w:hint="default"/>
                <w:spacing w:val="-75"/>
                <w:sz w:val="18"/>
                <w:szCs w:val="18"/>
              </w:rPr>
              <w:t> </w:t>
            </w:r>
            <w:r>
              <w:rPr>
                <w:rFonts w:ascii="宋体" w:hAnsi="宋体" w:cs="宋体" w:eastAsia="宋体" w:hint="default"/>
                <w:spacing w:val="-2"/>
                <w:sz w:val="18"/>
                <w:szCs w:val="18"/>
              </w:rPr>
              <w:t>大缺陷未得到整改；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重要业务缺乏制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度控制或制度系统性失效；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负面消息</w:t>
            </w:r>
            <w:r>
              <w:rPr>
                <w:rFonts w:ascii="宋体" w:hAnsi="宋体" w:cs="宋体" w:eastAsia="宋体" w:hint="default"/>
                <w:spacing w:val="-74"/>
                <w:sz w:val="18"/>
                <w:szCs w:val="18"/>
              </w:rPr>
              <w:t> </w:t>
            </w:r>
            <w:r>
              <w:rPr>
                <w:rFonts w:ascii="宋体" w:hAnsi="宋体" w:cs="宋体" w:eastAsia="宋体" w:hint="default"/>
                <w:spacing w:val="-4"/>
                <w:sz w:val="18"/>
                <w:szCs w:val="18"/>
              </w:rPr>
              <w:t>在全国主要媒体流传，对企业声誉造成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重大损害且未澄清；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受到国家政府部</w:t>
            </w:r>
            <w:r>
              <w:rPr>
                <w:rFonts w:ascii="宋体" w:hAnsi="宋体" w:cs="宋体" w:eastAsia="宋体" w:hint="default"/>
                <w:spacing w:val="-74"/>
                <w:sz w:val="18"/>
                <w:szCs w:val="18"/>
              </w:rPr>
              <w:t> </w:t>
            </w:r>
            <w:r>
              <w:rPr>
                <w:rFonts w:ascii="宋体" w:hAnsi="宋体" w:cs="宋体" w:eastAsia="宋体" w:hint="default"/>
                <w:spacing w:val="-4"/>
                <w:sz w:val="18"/>
                <w:szCs w:val="18"/>
              </w:rPr>
              <w:t>门处罚，或严重违规并被处以重罚或承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担刑事责任；</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其他对公司影响重大的</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22"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7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未依照《企业会计准则》及相关规定选择 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 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 务处理没有建立相应的控制机制或没有实 施且没有相应的补偿性控制；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 财务报告过程的控制存在一项或多项缺陷 且不能合理保证编制的财务报表达到真 实、完整的目标。一般缺陷：除上述重大 缺陷、重要缺陷之外的其他控制缺陷。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宋体" w:hAnsi="宋体" w:cs="宋体" w:eastAsia="宋体" w:hint="default"/>
                <w:sz w:val="18"/>
                <w:szCs w:val="18"/>
              </w:rPr>
            </w:pPr>
            <w:r>
              <w:rPr>
                <w:rFonts w:ascii="宋体" w:hAnsi="宋体" w:cs="宋体" w:eastAsia="宋体" w:hint="default"/>
                <w:spacing w:val="-10"/>
                <w:sz w:val="18"/>
                <w:szCs w:val="18"/>
              </w:rPr>
              <w:t>情形。重要缺陷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内部控制评价的结果 </w:t>
            </w:r>
            <w:r>
              <w:rPr>
                <w:rFonts w:ascii="宋体" w:hAnsi="宋体" w:cs="宋体" w:eastAsia="宋体" w:hint="default"/>
                <w:spacing w:val="-2"/>
                <w:sz w:val="18"/>
                <w:szCs w:val="18"/>
              </w:rPr>
              <w:t>是重要缺陷未得到整改；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度控制或制度系统性存在缺陷；</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w:t>
            </w:r>
            <w:r>
              <w:rPr>
                <w:rFonts w:ascii="宋体" w:hAnsi="宋体" w:cs="宋体" w:eastAsia="宋体" w:hint="default"/>
                <w:spacing w:val="-74"/>
                <w:sz w:val="18"/>
                <w:szCs w:val="18"/>
              </w:rPr>
              <w:t> </w:t>
            </w:r>
            <w:r>
              <w:rPr>
                <w:rFonts w:ascii="宋体" w:hAnsi="宋体" w:cs="宋体" w:eastAsia="宋体" w:hint="default"/>
                <w:sz w:val="18"/>
                <w:szCs w:val="18"/>
              </w:rPr>
              <w:t>消息在某一区域媒体流传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 </w:t>
            </w:r>
            <w:r>
              <w:rPr>
                <w:rFonts w:ascii="宋体" w:hAnsi="宋体" w:cs="宋体" w:eastAsia="宋体" w:hint="default"/>
                <w:spacing w:val="-2"/>
                <w:sz w:val="18"/>
                <w:szCs w:val="18"/>
              </w:rPr>
              <w:t>造成较大损害且未澄清；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一般违规并</w:t>
            </w:r>
            <w:r>
              <w:rPr>
                <w:rFonts w:ascii="宋体" w:hAnsi="宋体" w:cs="宋体" w:eastAsia="宋体" w:hint="default"/>
                <w:spacing w:val="-74"/>
                <w:sz w:val="18"/>
                <w:szCs w:val="18"/>
              </w:rPr>
              <w:t> </w:t>
            </w:r>
            <w:r>
              <w:rPr>
                <w:rFonts w:ascii="宋体" w:hAnsi="宋体" w:cs="宋体" w:eastAsia="宋体" w:hint="default"/>
                <w:sz w:val="18"/>
                <w:szCs w:val="18"/>
              </w:rPr>
              <w:t>被处罚；</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其他对公司影响重大的情 </w:t>
            </w:r>
            <w:r>
              <w:rPr>
                <w:rFonts w:ascii="宋体" w:hAnsi="宋体" w:cs="宋体" w:eastAsia="宋体" w:hint="default"/>
                <w:spacing w:val="-2"/>
                <w:sz w:val="18"/>
                <w:szCs w:val="18"/>
              </w:rPr>
              <w:t>形。一般缺陷：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重要业务制度控制或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制度系统性需完善；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负面消息在公司</w:t>
            </w:r>
            <w:r>
              <w:rPr>
                <w:rFonts w:ascii="宋体" w:hAnsi="宋体" w:cs="宋体" w:eastAsia="宋体" w:hint="default"/>
                <w:spacing w:val="-74"/>
                <w:sz w:val="18"/>
                <w:szCs w:val="18"/>
              </w:rPr>
              <w:t> </w:t>
            </w:r>
            <w:r>
              <w:rPr>
                <w:rFonts w:ascii="宋体" w:hAnsi="宋体" w:cs="宋体" w:eastAsia="宋体" w:hint="default"/>
                <w:sz w:val="18"/>
                <w:szCs w:val="18"/>
              </w:rPr>
              <w:t>层面流传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对企业声誉没有造成较大影 响；</w:t>
            </w:r>
            <w:r>
              <w:rPr>
                <w:rFonts w:ascii="Times New Roman" w:hAnsi="Times New Roman" w:cs="Times New Roman" w:eastAsia="Times New Roman" w:hint="default"/>
                <w:sz w:val="18"/>
                <w:szCs w:val="18"/>
              </w:rPr>
              <w:t>3.</w:t>
            </w:r>
            <w:r>
              <w:rPr>
                <w:rFonts w:ascii="宋体" w:hAnsi="宋体" w:cs="宋体" w:eastAsia="宋体" w:hint="default"/>
                <w:sz w:val="18"/>
                <w:szCs w:val="18"/>
              </w:rPr>
              <w:t>轻微违规并已整改；</w:t>
            </w:r>
            <w:r>
              <w:rPr>
                <w:rFonts w:ascii="Times New Roman" w:hAnsi="Times New Roman" w:cs="Times New Roman" w:eastAsia="Times New Roman" w:hint="default"/>
                <w:sz w:val="18"/>
                <w:szCs w:val="18"/>
              </w:rPr>
              <w:t>4.</w:t>
            </w:r>
            <w:r>
              <w:rPr>
                <w:rFonts w:ascii="宋体" w:hAnsi="宋体" w:cs="宋体" w:eastAsia="宋体" w:hint="default"/>
                <w:sz w:val="18"/>
                <w:szCs w:val="18"/>
              </w:rPr>
              <w:t>除上述重 大缺陷、重要缺陷之外的其他控制缺 陷。</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pacing w:val="-4"/>
                <w:sz w:val="18"/>
                <w:szCs w:val="18"/>
              </w:rPr>
              <w:t>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差错金额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资产总额</w:t>
            </w:r>
            <w:r>
              <w:rPr>
                <w:rFonts w:ascii="宋体" w:hAnsi="宋体" w:cs="宋体" w:eastAsia="宋体" w:hint="default"/>
                <w:spacing w:val="-32"/>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差错</w:t>
            </w:r>
            <w:r>
              <w:rPr>
                <w:rFonts w:ascii="宋体" w:hAnsi="宋体" w:cs="宋体" w:eastAsia="宋体" w:hint="default"/>
                <w:spacing w:val="-85"/>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。一般缺</w:t>
            </w:r>
            <w:r>
              <w:rPr>
                <w:rFonts w:ascii="宋体" w:hAnsi="宋体" w:cs="宋体" w:eastAsia="宋体" w:hint="default"/>
                <w:sz w:val="18"/>
                <w:szCs w:val="18"/>
              </w:rPr>
              <w:t> 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差错金</w:t>
            </w:r>
            <w:r>
              <w:rPr>
                <w:rFonts w:ascii="宋体" w:hAnsi="宋体" w:cs="宋体" w:eastAsia="宋体" w:hint="default"/>
                <w:sz w:val="18"/>
                <w:szCs w:val="18"/>
              </w:rPr>
              <w:t> 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差错金额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5"/>
      <w:bookmarkEnd w:id="155"/>
      <w:r>
        <w:rPr>
          <w:b w:val="0"/>
          <w:bCs w:val="0"/>
        </w:rPr>
      </w:r>
      <w:bookmarkStart w:name="_bookmark8" w:id="156"/>
      <w:bookmarkEnd w:id="156"/>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7"/>
      <w:bookmarkEnd w:id="157"/>
      <w:r>
        <w:rPr>
          <w:b w:val="0"/>
          <w:bCs w:val="0"/>
        </w:rPr>
      </w:r>
      <w:bookmarkStart w:name="_bookmark9" w:id="158"/>
      <w:bookmarkEnd w:id="15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XYZH/2019JNA10061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路清、刘玉显</w:t>
            </w:r>
          </w:p>
        </w:tc>
      </w:tr>
    </w:tbl>
    <w:p>
      <w:pPr>
        <w:pStyle w:val="BodyText"/>
        <w:spacing w:line="240" w:lineRule="auto" w:before="10"/>
        <w:ind w:left="0" w:right="976"/>
        <w:jc w:val="center"/>
      </w:pPr>
      <w:r>
        <w:rPr/>
        <w:t>审计报告正文</w:t>
      </w:r>
    </w:p>
    <w:p>
      <w:pPr>
        <w:spacing w:line="240" w:lineRule="auto" w:before="4"/>
        <w:rPr>
          <w:rFonts w:ascii="宋体" w:hAnsi="宋体" w:cs="宋体" w:eastAsia="宋体" w:hint="default"/>
          <w:sz w:val="8"/>
          <w:szCs w:val="8"/>
        </w:rPr>
      </w:pPr>
    </w:p>
    <w:p>
      <w:pPr>
        <w:pStyle w:val="Heading8"/>
        <w:spacing w:line="357" w:lineRule="auto"/>
        <w:ind w:right="7680"/>
        <w:jc w:val="left"/>
        <w:rPr>
          <w:b w:val="0"/>
          <w:bCs w:val="0"/>
        </w:rPr>
      </w:pPr>
      <w:r>
        <w:rPr/>
        <w:t>海联金汇科技股份有限公司全体股东：</w:t>
      </w:r>
      <w:r>
        <w:rPr>
          <w:w w:val="99"/>
        </w:rPr>
        <w:t> </w:t>
      </w:r>
      <w:r>
        <w:rPr/>
        <w:t>一、审计意见</w:t>
      </w:r>
      <w:r>
        <w:rPr>
          <w:b w:val="0"/>
          <w:bCs w:val="0"/>
        </w:rPr>
      </w:r>
    </w:p>
    <w:p>
      <w:pPr>
        <w:spacing w:line="240" w:lineRule="auto" w:before="5"/>
        <w:rPr>
          <w:rFonts w:ascii="宋体" w:hAnsi="宋体" w:cs="宋体" w:eastAsia="宋体" w:hint="default"/>
          <w:b/>
          <w:bCs/>
          <w:sz w:val="20"/>
          <w:szCs w:val="20"/>
        </w:rPr>
      </w:pPr>
    </w:p>
    <w:p>
      <w:pPr>
        <w:pStyle w:val="BodyText"/>
        <w:spacing w:line="336" w:lineRule="auto"/>
        <w:ind w:right="1032" w:firstLine="360"/>
        <w:jc w:val="left"/>
      </w:pPr>
      <w:r>
        <w:rPr>
          <w:spacing w:val="-2"/>
        </w:rPr>
        <w:t>我们审计了海联金汇科技股份有限公司（以下简称海联金汇）财务报表，包括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2018</w:t>
      </w:r>
      <w:r>
        <w:rPr/>
        <w:t>年度的合并及母公司利润表、合并及母公司现金流量表、合并及母公司股东权益变动表，以及相关财务报表附注。</w:t>
      </w:r>
    </w:p>
    <w:p>
      <w:pPr>
        <w:spacing w:line="240" w:lineRule="auto" w:before="1"/>
        <w:rPr>
          <w:rFonts w:ascii="宋体" w:hAnsi="宋体" w:cs="宋体" w:eastAsia="宋体" w:hint="default"/>
          <w:sz w:val="23"/>
          <w:szCs w:val="23"/>
        </w:rPr>
      </w:pPr>
    </w:p>
    <w:p>
      <w:pPr>
        <w:pStyle w:val="BodyText"/>
        <w:spacing w:line="300" w:lineRule="auto"/>
        <w:ind w:right="0" w:firstLine="360"/>
        <w:jc w:val="left"/>
      </w:pPr>
      <w:r>
        <w:rPr>
          <w:spacing w:val="-2"/>
        </w:rPr>
        <w:t>我们认为，后附的财务报表在所有重大方面按照企业会计准则的规定编制，公允反映了海联金汇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552" w:lineRule="exact" w:before="22"/>
        <w:ind w:left="514" w:right="0" w:hanging="360"/>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阐述了我们在这些准则下的责任。按照中国注册会计师职业道德守则，我们独立于海联金汇，并履行了职业道德方面的其他</w:t>
      </w:r>
      <w:r>
        <w:rPr>
          <w:spacing w:val="-66"/>
        </w:rPr>
        <w:t> </w:t>
      </w:r>
      <w:r>
        <w:rPr>
          <w:spacing w:val="-66"/>
        </w:rPr>
      </w:r>
      <w:r>
        <w:rPr/>
        <w:t>责任。我们相信，我们获取的审计证据是充分、适当的，为发表审计意见提供了基础。</w:t>
      </w:r>
    </w:p>
    <w:p>
      <w:pPr>
        <w:pStyle w:val="BodyText"/>
        <w:spacing w:line="552" w:lineRule="exact" w:before="27"/>
        <w:ind w:left="514" w:right="1118" w:hanging="36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7" w:lineRule="exact"/>
        <w:ind w:right="0"/>
        <w:jc w:val="left"/>
      </w:pPr>
      <w:r>
        <w:rPr/>
        <w:t>审计并形成审计意见为背景，我们不对这些事项单独发表意见。</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384"/>
        <w:gridCol w:w="4122"/>
      </w:tblGrid>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商誉减值</w:t>
            </w:r>
            <w:r>
              <w:rPr>
                <w:rFonts w:ascii="宋体" w:hAnsi="宋体" w:cs="宋体" w:eastAsia="宋体" w:hint="default"/>
                <w:sz w:val="18"/>
                <w:szCs w:val="18"/>
              </w:rPr>
            </w:r>
          </w:p>
        </w:tc>
      </w:tr>
      <w:tr>
        <w:trPr>
          <w:trHeight w:val="348"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155"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相关信息披露详见财务报表附注六、</w:t>
            </w:r>
            <w:r>
              <w:rPr>
                <w:rFonts w:ascii="Times New Roman" w:hAnsi="Times New Roman" w:cs="Times New Roman" w:eastAsia="Times New Roman" w:hint="default"/>
                <w:sz w:val="18"/>
                <w:szCs w:val="18"/>
              </w:rPr>
              <w:t>12</w:t>
            </w:r>
            <w:r>
              <w:rPr>
                <w:rFonts w:ascii="宋体" w:hAnsi="宋体" w:cs="宋体" w:eastAsia="宋体" w:hint="default"/>
                <w:sz w:val="18"/>
                <w:szCs w:val="18"/>
              </w:rPr>
              <w:t>商誉。</w:t>
            </w:r>
          </w:p>
          <w:p>
            <w:pPr>
              <w:pStyle w:val="TableParagraph"/>
              <w:spacing w:line="314" w:lineRule="auto" w:before="63"/>
              <w:ind w:left="2" w:right="2" w:firstLine="36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海</w:t>
            </w:r>
            <w:r>
              <w:rPr>
                <w:rFonts w:ascii="宋体" w:hAnsi="宋体" w:cs="宋体" w:eastAsia="宋体" w:hint="default"/>
                <w:spacing w:val="-58"/>
                <w:sz w:val="18"/>
                <w:szCs w:val="18"/>
              </w:rPr>
              <w:t> </w:t>
            </w:r>
            <w:r>
              <w:rPr>
                <w:rFonts w:ascii="宋体" w:hAnsi="宋体" w:cs="宋体" w:eastAsia="宋体" w:hint="default"/>
                <w:sz w:val="18"/>
                <w:szCs w:val="18"/>
              </w:rPr>
              <w:t>联</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汇</w:t>
            </w:r>
            <w:r>
              <w:rPr>
                <w:rFonts w:ascii="宋体" w:hAnsi="宋体" w:cs="宋体" w:eastAsia="宋体" w:hint="default"/>
                <w:spacing w:val="-58"/>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商</w:t>
            </w:r>
            <w:r>
              <w:rPr>
                <w:rFonts w:ascii="宋体" w:hAnsi="宋体" w:cs="宋体" w:eastAsia="宋体" w:hint="default"/>
                <w:spacing w:val="-58"/>
                <w:sz w:val="18"/>
                <w:szCs w:val="18"/>
              </w:rPr>
              <w:t> </w:t>
            </w:r>
            <w:r>
              <w:rPr>
                <w:rFonts w:ascii="宋体" w:hAnsi="宋体" w:cs="宋体" w:eastAsia="宋体" w:hint="default"/>
                <w:sz w:val="18"/>
                <w:szCs w:val="18"/>
              </w:rPr>
              <w:t>誉</w:t>
            </w:r>
            <w:r>
              <w:rPr>
                <w:rFonts w:ascii="宋体" w:hAnsi="宋体" w:cs="宋体" w:eastAsia="宋体" w:hint="default"/>
                <w:spacing w:val="-57"/>
                <w:sz w:val="18"/>
                <w:szCs w:val="18"/>
              </w:rPr>
              <w:t> </w:t>
            </w:r>
            <w:r>
              <w:rPr>
                <w:rFonts w:ascii="宋体" w:hAnsi="宋体" w:cs="宋体" w:eastAsia="宋体" w:hint="default"/>
                <w:sz w:val="18"/>
                <w:szCs w:val="18"/>
              </w:rPr>
              <w:t>余</w:t>
            </w:r>
            <w:r>
              <w:rPr>
                <w:rFonts w:ascii="宋体" w:hAnsi="宋体" w:cs="宋体" w:eastAsia="宋体" w:hint="default"/>
                <w:spacing w:val="-57"/>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Times New Roman" w:hAnsi="Times New Roman" w:cs="Times New Roman" w:eastAsia="Times New Roman" w:hint="default"/>
                <w:sz w:val="18"/>
                <w:szCs w:val="18"/>
              </w:rPr>
              <w:t>2,212,366,211.92</w:t>
            </w:r>
            <w:r>
              <w:rPr>
                <w:rFonts w:ascii="宋体" w:hAnsi="宋体" w:cs="宋体" w:eastAsia="宋体" w:hint="default"/>
                <w:sz w:val="18"/>
                <w:szCs w:val="18"/>
              </w:rPr>
              <w:t>元，管理层对商誉至少每年进行减值测</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试。减值测试要求估计包含商誉的相关资产组的可收回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金额，即相关资产组的公允价值减去处置费用后的净额</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与相关资产组预计未来现金流量的现值两者之中的较高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者。在确定相关资产组预计未来现金流量的现值时，需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要恰当的预测相关资产组未来现金流的长期平均增长率</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和合理的确定计算相关资产组预计未来现金流量现值所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采用的折现率，这涉及管理层运用重大会计估计和判断</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3" w:firstLine="360"/>
              <w:jc w:val="left"/>
              <w:rPr>
                <w:rFonts w:ascii="宋体" w:hAnsi="宋体" w:cs="宋体" w:eastAsia="宋体" w:hint="default"/>
                <w:sz w:val="18"/>
                <w:szCs w:val="18"/>
              </w:rPr>
            </w:pPr>
            <w:r>
              <w:rPr>
                <w:rFonts w:ascii="宋体" w:hAnsi="宋体" w:cs="宋体" w:eastAsia="宋体" w:hint="default"/>
                <w:sz w:val="18"/>
                <w:szCs w:val="18"/>
              </w:rPr>
              <w:t>我们针对收入确认的关键审计事项执行的主要 审计程序包括：</w:t>
            </w:r>
          </w:p>
          <w:p>
            <w:pPr>
              <w:pStyle w:val="TableParagraph"/>
              <w:spacing w:line="309" w:lineRule="auto" w:before="19"/>
              <w:ind w:left="2" w:right="5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）了解海联金汇商誉减值测试的控制程序， 包括了解海联金汇划分的资产组及海联金汇对资产 组价值的判定；</w:t>
            </w:r>
          </w:p>
          <w:p>
            <w:pPr>
              <w:pStyle w:val="TableParagraph"/>
              <w:spacing w:line="240" w:lineRule="auto" w:before="24"/>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）评估商誉减值测试的估值方法；</w:t>
            </w:r>
          </w:p>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）评价商誉减值测试关键假设的适当性；</w:t>
            </w:r>
          </w:p>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）评价测试所引用参数的合理性。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7"/>
          <w:szCs w:val="27"/>
        </w:rPr>
      </w:pPr>
    </w:p>
    <w:p>
      <w:pPr>
        <w:spacing w:line="688" w:lineRule="exact"/>
        <w:ind w:left="14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26.1pt;height:34.450pt;mso-position-horizontal-relative:char;mso-position-vertical-relative:line" coordorigin="0,0" coordsize="8522,689">
            <v:group style="position:absolute;left:14;top:14;width:4370;height:2" coordorigin="14,14" coordsize="4370,2">
              <v:shape style="position:absolute;left:14;top:14;width:4370;height:2" coordorigin="14,14" coordsize="4370,0" path="m14,14l4384,14e" filled="false" stroked="true" strokeweight=".72pt" strokecolor="#000000">
                <v:path arrowok="t"/>
              </v:shape>
            </v:group>
            <v:group style="position:absolute;left:4399;top:14;width:4108;height:2" coordorigin="4399,14" coordsize="4108,2">
              <v:shape style="position:absolute;left:4399;top:14;width:4108;height:2" coordorigin="4399,14" coordsize="4108,0" path="m4399,14l8507,14e" filled="false" stroked="true" strokeweight=".72pt" strokecolor="#000000">
                <v:path arrowok="t"/>
              </v:shape>
            </v:group>
            <v:group style="position:absolute;left:7;top:7;width:2;height:675" coordorigin="7,7" coordsize="2,675">
              <v:shape style="position:absolute;left:7;top:7;width:2;height:675" coordorigin="7,7" coordsize="0,675" path="m7,7l7,682e" filled="false" stroked="true" strokeweight=".72pt" strokecolor="#000000">
                <v:path arrowok="t"/>
              </v:shape>
            </v:group>
            <v:group style="position:absolute;left:14;top:674;width:4370;height:2" coordorigin="14,674" coordsize="4370,2">
              <v:shape style="position:absolute;left:14;top:674;width:4370;height:2" coordorigin="14,674" coordsize="4370,0" path="m14,674l4384,674e" filled="false" stroked="true" strokeweight=".72pt" strokecolor="#000000">
                <v:path arrowok="t"/>
              </v:shape>
            </v:group>
            <v:group style="position:absolute;left:4392;top:7;width:2;height:675" coordorigin="4392,7" coordsize="2,675">
              <v:shape style="position:absolute;left:4392;top:7;width:2;height:675" coordorigin="4392,7" coordsize="0,675" path="m4392,7l4392,682e" filled="false" stroked="true" strokeweight=".72pt" strokecolor="#000000">
                <v:path arrowok="t"/>
              </v:shape>
            </v:group>
            <v:group style="position:absolute;left:4399;top:674;width:4108;height:2" coordorigin="4399,674" coordsize="4108,2">
              <v:shape style="position:absolute;left:4399;top:674;width:4108;height:2" coordorigin="4399,674" coordsize="4108,0" path="m4399,674l8507,674e" filled="false" stroked="true" strokeweight=".72pt" strokecolor="#000000">
                <v:path arrowok="t"/>
              </v:shape>
            </v:group>
            <v:group style="position:absolute;left:8514;top:7;width:2;height:675" coordorigin="8514,7" coordsize="2,675">
              <v:shape style="position:absolute;left:8514;top:7;width:2;height:675" coordorigin="8514,7" coordsize="0,675" path="m8514,7l8514,682e" filled="false" stroked="true" strokeweight=".72pt" strokecolor="#000000">
                <v:path arrowok="t"/>
              </v:shape>
              <v:shape style="position:absolute;left:7;top:14;width:4385;height:660" type="#_x0000_t202" filled="false" stroked="false">
                <v:textbox inset="0,0,0,0">
                  <w:txbxContent>
                    <w:p>
                      <w:pPr>
                        <w:spacing w:line="316" w:lineRule="auto" w:before="28"/>
                        <w:ind w:left="9" w:right="13" w:firstLine="0"/>
                        <w:jc w:val="left"/>
                        <w:rPr>
                          <w:rFonts w:ascii="宋体" w:hAnsi="宋体" w:cs="宋体" w:eastAsia="宋体" w:hint="default"/>
                          <w:sz w:val="18"/>
                          <w:szCs w:val="18"/>
                        </w:rPr>
                      </w:pPr>
                      <w:r>
                        <w:rPr>
                          <w:rFonts w:ascii="宋体" w:hAnsi="宋体" w:cs="宋体" w:eastAsia="宋体" w:hint="default"/>
                          <w:sz w:val="18"/>
                          <w:szCs w:val="18"/>
                        </w:rPr>
                        <w:t>同时考虑商誉对于财务报表整体的重要性，因此我们将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商誉减值作为关键审计事项。</w:t>
                      </w:r>
                    </w:p>
                  </w:txbxContent>
                </v:textbox>
                <w10:wrap type="none"/>
              </v:shape>
            </v:group>
          </v:group>
        </w:pict>
      </w:r>
      <w:r>
        <w:rPr>
          <w:rFonts w:ascii="宋体" w:hAnsi="宋体" w:cs="宋体" w:eastAsia="宋体" w:hint="default"/>
          <w:position w:val="-13"/>
          <w:sz w:val="20"/>
          <w:szCs w:val="20"/>
        </w:rPr>
      </w:r>
    </w:p>
    <w:p>
      <w:pPr>
        <w:spacing w:line="240" w:lineRule="auto" w:before="3"/>
        <w:rPr>
          <w:rFonts w:ascii="宋体" w:hAnsi="宋体" w:cs="宋体" w:eastAsia="宋体" w:hint="default"/>
          <w:sz w:val="15"/>
          <w:szCs w:val="15"/>
        </w:rPr>
      </w:pPr>
    </w:p>
    <w:p>
      <w:pPr>
        <w:pStyle w:val="Heading8"/>
        <w:spacing w:line="240" w:lineRule="auto"/>
        <w:ind w:right="0"/>
        <w:jc w:val="left"/>
        <w:rPr>
          <w:b w:val="0"/>
          <w:bCs w:val="0"/>
        </w:rPr>
      </w:pPr>
      <w:r>
        <w:rPr/>
        <w:t>四、其他信息</w:t>
      </w:r>
      <w:r>
        <w:rPr>
          <w:b w:val="0"/>
          <w:bCs w:val="0"/>
        </w:rPr>
      </w:r>
    </w:p>
    <w:p>
      <w:pPr>
        <w:spacing w:line="240" w:lineRule="auto" w:before="3"/>
        <w:rPr>
          <w:rFonts w:ascii="宋体" w:hAnsi="宋体" w:cs="宋体" w:eastAsia="宋体" w:hint="default"/>
          <w:b/>
          <w:bCs/>
          <w:sz w:val="24"/>
          <w:szCs w:val="24"/>
        </w:rPr>
      </w:pPr>
    </w:p>
    <w:p>
      <w:pPr>
        <w:pStyle w:val="BodyText"/>
        <w:spacing w:line="300" w:lineRule="auto"/>
        <w:ind w:right="1131" w:firstLine="360"/>
        <w:jc w:val="both"/>
      </w:pPr>
      <w:r>
        <w:rPr>
          <w:spacing w:val="-1"/>
        </w:rPr>
        <w:t>海联金汇管理层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对其他信息负责。其他信息包括海联金汇</w:t>
      </w:r>
      <w:r>
        <w:rPr>
          <w:rFonts w:ascii="Times New Roman" w:hAnsi="Times New Roman" w:cs="Times New Roman" w:eastAsia="Times New Roman" w:hint="default"/>
          <w:spacing w:val="-1"/>
        </w:rPr>
        <w:t>2018</w:t>
      </w:r>
      <w:r>
        <w:rPr>
          <w:spacing w:val="-1"/>
        </w:rPr>
        <w:t>年年度报告中涵盖的信息，但不包括财</w:t>
      </w:r>
      <w:r>
        <w:rPr/>
        <w:t> 务报表和我们的审计报告。</w:t>
      </w:r>
    </w:p>
    <w:p>
      <w:pPr>
        <w:pStyle w:val="BodyText"/>
        <w:spacing w:line="552" w:lineRule="exact" w:before="40"/>
        <w:ind w:left="514"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7" w:lineRule="exact"/>
        <w:ind w:right="0"/>
        <w:jc w:val="left"/>
      </w:pPr>
      <w:r>
        <w:rPr/>
        <w:t>程中了解到的情况存在重大不一致或者似乎存在重大错报。</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基于我们已执行的工作，如果我们确定其他信息存在重大错报，我们应当报告该事实。在这方面，我们无任何事项需要</w:t>
      </w:r>
      <w:r>
        <w:rPr/>
        <w:t> 报告。</w:t>
      </w:r>
    </w:p>
    <w:p>
      <w:pPr>
        <w:spacing w:line="552" w:lineRule="exact" w:before="27"/>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7" w:lineRule="exact"/>
        <w:ind w:right="0"/>
        <w:jc w:val="left"/>
      </w:pPr>
      <w:r>
        <w:rPr/>
        <w:t>务报表不存在由于舞弊或错误导致的重大错报。</w:t>
      </w:r>
    </w:p>
    <w:p>
      <w:pPr>
        <w:spacing w:line="240" w:lineRule="auto" w:before="2"/>
        <w:rPr>
          <w:rFonts w:ascii="宋体" w:hAnsi="宋体" w:cs="宋体" w:eastAsia="宋体" w:hint="default"/>
          <w:sz w:val="24"/>
          <w:szCs w:val="24"/>
        </w:rPr>
      </w:pPr>
    </w:p>
    <w:p>
      <w:pPr>
        <w:pStyle w:val="BodyText"/>
        <w:spacing w:line="316" w:lineRule="auto"/>
        <w:ind w:right="1133" w:firstLine="360"/>
        <w:jc w:val="both"/>
      </w:pPr>
      <w:r>
        <w:rPr>
          <w:spacing w:val="-2"/>
        </w:rPr>
        <w:t>在编制财务报表时，管理层负责评估海联金汇的持续经营能力，披露与持续经营相关的事项（如适用），并运用持续经</w:t>
      </w:r>
      <w:r>
        <w:rPr/>
        <w:t> 营假设，除非管理层计划清算海联金汇、终止运营或别无其他现实的选择。</w:t>
      </w:r>
    </w:p>
    <w:p>
      <w:pPr>
        <w:spacing w:line="240" w:lineRule="auto" w:before="11"/>
        <w:rPr>
          <w:rFonts w:ascii="宋体" w:hAnsi="宋体" w:cs="宋体" w:eastAsia="宋体" w:hint="default"/>
          <w:sz w:val="19"/>
          <w:szCs w:val="19"/>
        </w:rPr>
      </w:pPr>
    </w:p>
    <w:p>
      <w:pPr>
        <w:spacing w:line="561" w:lineRule="auto" w:before="0"/>
        <w:ind w:left="154" w:right="6972" w:firstLine="360"/>
        <w:jc w:val="left"/>
        <w:rPr>
          <w:rFonts w:ascii="宋体" w:hAnsi="宋体" w:cs="宋体" w:eastAsia="宋体" w:hint="default"/>
          <w:sz w:val="18"/>
          <w:szCs w:val="18"/>
        </w:rPr>
      </w:pPr>
      <w:r>
        <w:rPr>
          <w:rFonts w:ascii="宋体" w:hAnsi="宋体" w:cs="宋体" w:eastAsia="宋体" w:hint="default"/>
          <w:sz w:val="18"/>
          <w:szCs w:val="18"/>
        </w:rPr>
        <w:t>治理层负责监督海联金汇的财务报告过程。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5"/>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在按照审计准则执行审计工作的过程中，我们运用职业判断，并保持职业怀疑。同时，我们也执行以下工作：</w:t>
      </w:r>
    </w:p>
    <w:p>
      <w:pPr>
        <w:spacing w:line="240" w:lineRule="auto" w:before="2"/>
        <w:rPr>
          <w:rFonts w:ascii="宋体" w:hAnsi="宋体" w:cs="宋体" w:eastAsia="宋体" w:hint="default"/>
          <w:sz w:val="24"/>
          <w:szCs w:val="24"/>
        </w:rPr>
      </w:pPr>
    </w:p>
    <w:p>
      <w:pPr>
        <w:pStyle w:val="BodyText"/>
        <w:spacing w:line="309" w:lineRule="auto"/>
        <w:ind w:right="1130" w:firstLine="360"/>
        <w:jc w:val="both"/>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spacing w:line="240" w:lineRule="auto" w:before="3"/>
        <w:rPr>
          <w:rFonts w:ascii="宋体" w:hAnsi="宋体" w:cs="宋体" w:eastAsia="宋体" w:hint="default"/>
          <w:sz w:val="20"/>
          <w:szCs w:val="20"/>
        </w:rPr>
      </w:pPr>
    </w:p>
    <w:p>
      <w:pPr>
        <w:pStyle w:val="BodyText"/>
        <w:spacing w:line="240" w:lineRule="auto"/>
        <w:ind w:left="514" w:right="0"/>
        <w:jc w:val="left"/>
      </w:pPr>
      <w:r>
        <w:rPr>
          <w:rFonts w:ascii="宋体" w:hAnsi="宋体" w:cs="宋体" w:eastAsia="宋体" w:hint="default"/>
        </w:rPr>
        <w:t>2</w:t>
      </w:r>
      <w:r>
        <w:rPr/>
        <w:t>、 了解与审计相关的内部控制，以设计恰当的审计程序。</w:t>
      </w:r>
    </w:p>
    <w:p>
      <w:pPr>
        <w:spacing w:line="240" w:lineRule="auto" w:before="2"/>
        <w:rPr>
          <w:rFonts w:ascii="宋体" w:hAnsi="宋体" w:cs="宋体" w:eastAsia="宋体" w:hint="default"/>
          <w:sz w:val="24"/>
          <w:szCs w:val="24"/>
        </w:rPr>
      </w:pPr>
    </w:p>
    <w:p>
      <w:pPr>
        <w:pStyle w:val="BodyText"/>
        <w:spacing w:line="240" w:lineRule="auto"/>
        <w:ind w:left="514" w:right="0"/>
        <w:jc w:val="left"/>
      </w:pPr>
      <w:r>
        <w:rPr>
          <w:rFonts w:ascii="宋体" w:hAnsi="宋体" w:cs="宋体" w:eastAsia="宋体" w:hint="default"/>
        </w:rPr>
        <w:t>3</w:t>
      </w:r>
      <w:r>
        <w:rPr/>
        <w:t>、 评价管理层选用会计政策的恰当性和作出会计估计及相关披露的合理性。</w:t>
      </w:r>
    </w:p>
    <w:p>
      <w:pPr>
        <w:spacing w:line="240" w:lineRule="auto" w:before="2"/>
        <w:rPr>
          <w:rFonts w:ascii="宋体" w:hAnsi="宋体" w:cs="宋体" w:eastAsia="宋体" w:hint="default"/>
          <w:sz w:val="24"/>
          <w:szCs w:val="24"/>
        </w:rPr>
      </w:pPr>
    </w:p>
    <w:p>
      <w:pPr>
        <w:pStyle w:val="BodyText"/>
        <w:spacing w:line="312" w:lineRule="auto"/>
        <w:ind w:right="1131" w:firstLine="360"/>
        <w:jc w:val="both"/>
      </w:pPr>
      <w:r>
        <w:rPr>
          <w:rFonts w:ascii="Times New Roman" w:hAnsi="Times New Roman" w:cs="Times New Roman" w:eastAsia="Times New Roman" w:hint="default"/>
        </w:rPr>
        <w:t>4</w:t>
      </w:r>
      <w:r>
        <w:rPr/>
        <w:t>、对管理层使用持续经营假设的恰当性得出结论。同时，根据获取的审计证据，就可能导致对海联金汇持续经营能力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截至审计报告日可获得的信息。然而，未来的事项或情况可能导致海联金汇不能持续经营。</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54" w:right="0"/>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2"/>
        <w:rPr>
          <w:rFonts w:ascii="宋体" w:hAnsi="宋体" w:cs="宋体" w:eastAsia="宋体" w:hint="default"/>
          <w:sz w:val="23"/>
          <w:szCs w:val="23"/>
        </w:rPr>
      </w:pPr>
    </w:p>
    <w:p>
      <w:pPr>
        <w:pStyle w:val="BodyText"/>
        <w:spacing w:line="300" w:lineRule="auto"/>
        <w:ind w:left="294" w:right="1132" w:firstLine="360"/>
        <w:jc w:val="both"/>
      </w:pPr>
      <w:r>
        <w:rPr>
          <w:rFonts w:ascii="Times New Roman" w:hAnsi="Times New Roman" w:cs="Times New Roman" w:eastAsia="Times New Roman" w:hint="default"/>
          <w:spacing w:val="-4"/>
        </w:rPr>
        <w:t>6</w:t>
      </w:r>
      <w:r>
        <w:rPr>
          <w:spacing w:val="-4"/>
        </w:rPr>
        <w:t>、就海联金汇中实体或业务活动的财务信息获取充分、适当的审计证据，以对财务报表发表审计意见。我们负责指导、</w:t>
      </w:r>
      <w:r>
        <w:rPr/>
        <w:t> 监督和执行集团审计，并对审计意见承担全部责任。</w:t>
      </w:r>
    </w:p>
    <w:p>
      <w:pPr>
        <w:spacing w:line="240" w:lineRule="auto" w:before="10"/>
        <w:rPr>
          <w:rFonts w:ascii="宋体" w:hAnsi="宋体" w:cs="宋体" w:eastAsia="宋体" w:hint="default"/>
          <w:sz w:val="20"/>
          <w:szCs w:val="20"/>
        </w:rPr>
      </w:pPr>
    </w:p>
    <w:p>
      <w:pPr>
        <w:pStyle w:val="BodyText"/>
        <w:spacing w:line="316" w:lineRule="auto"/>
        <w:ind w:left="294" w:right="1133" w:firstLine="440"/>
        <w:jc w:val="both"/>
      </w:pPr>
      <w:r>
        <w:rPr/>
        <w:t>我们与治理层就计划的审计范围、时间安排和重大审计发现等事项进行沟通，包括沟通我们在审计中识别出的值得关 注的内部控制缺陷。</w:t>
      </w:r>
    </w:p>
    <w:p>
      <w:pPr>
        <w:spacing w:line="240" w:lineRule="auto" w:before="10"/>
        <w:rPr>
          <w:rFonts w:ascii="宋体" w:hAnsi="宋体" w:cs="宋体" w:eastAsia="宋体" w:hint="default"/>
          <w:sz w:val="19"/>
          <w:szCs w:val="19"/>
        </w:rPr>
      </w:pPr>
    </w:p>
    <w:p>
      <w:pPr>
        <w:pStyle w:val="BodyText"/>
        <w:spacing w:line="316" w:lineRule="auto"/>
        <w:ind w:left="294" w:right="1133" w:firstLine="440"/>
        <w:jc w:val="both"/>
      </w:pPr>
      <w:r>
        <w:rPr/>
        <w:t>我们还就已遵守与独立性相关的职业道德要求向治理层提供声明，并与治理层沟通可能被合理认为影响我们独立性的 所有关系和其他事项，以及相关的防范措施（如适用）。</w:t>
      </w:r>
    </w:p>
    <w:p>
      <w:pPr>
        <w:spacing w:line="240" w:lineRule="auto" w:before="10"/>
        <w:rPr>
          <w:rFonts w:ascii="宋体" w:hAnsi="宋体" w:cs="宋体" w:eastAsia="宋体" w:hint="default"/>
          <w:sz w:val="19"/>
          <w:szCs w:val="19"/>
        </w:rPr>
      </w:pPr>
    </w:p>
    <w:p>
      <w:pPr>
        <w:pStyle w:val="BodyText"/>
        <w:spacing w:line="316" w:lineRule="auto"/>
        <w:ind w:left="294" w:right="1132" w:firstLine="44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4325"/>
        <w:gridCol w:w="3077"/>
      </w:tblGrid>
      <w:tr>
        <w:trPr>
          <w:trHeight w:val="448"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3077" w:type="dxa"/>
            <w:tcBorders>
              <w:top w:val="nil" w:sz="6" w:space="0" w:color="auto"/>
              <w:left w:val="nil" w:sz="6" w:space="0" w:color="auto"/>
              <w:bottom w:val="nil" w:sz="6" w:space="0" w:color="auto"/>
              <w:right w:val="nil" w:sz="6" w:space="0" w:color="auto"/>
            </w:tcBorders>
          </w:tcPr>
          <w:p>
            <w:pPr>
              <w:pStyle w:val="TableParagraph"/>
              <w:spacing w:line="220" w:lineRule="exact"/>
              <w:ind w:left="457" w:right="0"/>
              <w:jc w:val="left"/>
              <w:rPr>
                <w:rFonts w:ascii="宋体" w:hAnsi="宋体" w:cs="宋体" w:eastAsia="宋体" w:hint="default"/>
                <w:sz w:val="22"/>
                <w:szCs w:val="22"/>
              </w:rPr>
            </w:pPr>
            <w:r>
              <w:rPr>
                <w:rFonts w:ascii="宋体" w:hAnsi="宋体" w:cs="宋体" w:eastAsia="宋体" w:hint="default"/>
                <w:sz w:val="22"/>
                <w:szCs w:val="22"/>
              </w:rPr>
              <w:t>中国注册会计师：</w:t>
            </w:r>
            <w:r>
              <w:rPr>
                <w:rFonts w:ascii="宋体" w:hAnsi="宋体" w:cs="宋体" w:eastAsia="宋体" w:hint="default"/>
                <w:spacing w:val="-25"/>
                <w:sz w:val="22"/>
                <w:szCs w:val="22"/>
              </w:rPr>
              <w:t> </w:t>
            </w:r>
            <w:r>
              <w:rPr>
                <w:rFonts w:ascii="宋体" w:hAnsi="宋体" w:cs="宋体" w:eastAsia="宋体" w:hint="default"/>
                <w:sz w:val="22"/>
                <w:szCs w:val="22"/>
              </w:rPr>
              <w:t>路清</w:t>
            </w:r>
          </w:p>
        </w:tc>
      </w:tr>
      <w:tr>
        <w:trPr>
          <w:trHeight w:val="658" w:hRule="exact"/>
        </w:trPr>
        <w:tc>
          <w:tcPr>
            <w:tcW w:w="4325"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57" w:right="0"/>
              <w:jc w:val="left"/>
              <w:rPr>
                <w:rFonts w:ascii="宋体" w:hAnsi="宋体" w:cs="宋体" w:eastAsia="宋体" w:hint="default"/>
                <w:sz w:val="22"/>
                <w:szCs w:val="22"/>
              </w:rPr>
            </w:pPr>
            <w:r>
              <w:rPr>
                <w:rFonts w:ascii="宋体" w:hAnsi="宋体" w:cs="宋体" w:eastAsia="宋体" w:hint="default"/>
                <w:sz w:val="22"/>
                <w:szCs w:val="22"/>
              </w:rPr>
              <w:t>中国注册会计师：刘玉显</w:t>
            </w:r>
          </w:p>
        </w:tc>
      </w:tr>
      <w:tr>
        <w:trPr>
          <w:trHeight w:val="442" w:hRule="exact"/>
        </w:trPr>
        <w:tc>
          <w:tcPr>
            <w:tcW w:w="4325"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53"/>
              <w:ind w:left="131" w:right="0"/>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57" w:right="0"/>
              <w:jc w:val="left"/>
              <w:rPr>
                <w:rFonts w:ascii="宋体" w:hAnsi="宋体" w:cs="宋体" w:eastAsia="宋体" w:hint="default"/>
                <w:sz w:val="22"/>
                <w:szCs w:val="22"/>
              </w:rPr>
            </w:pPr>
            <w:r>
              <w:rPr>
                <w:rFonts w:ascii="宋体" w:hAnsi="宋体" w:cs="宋体" w:eastAsia="宋体" w:hint="default"/>
                <w:sz w:val="22"/>
                <w:szCs w:val="22"/>
              </w:rPr>
              <w:t>二○一九年四月十五日</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26"/>
        <w:ind w:left="294" w:right="0"/>
        <w:jc w:val="left"/>
        <w:rPr>
          <w:b w:val="0"/>
          <w:bCs w:val="0"/>
        </w:rPr>
      </w:pPr>
      <w:bookmarkStart w:name="二、财务报表" w:id="160"/>
      <w:bookmarkEnd w:id="16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4"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7"/>
        <w:spacing w:line="240" w:lineRule="auto"/>
        <w:ind w:left="294" w:right="0"/>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840" w:right="0"/>
        </w:sectPr>
      </w:pPr>
    </w:p>
    <w:p>
      <w:pPr>
        <w:pStyle w:val="BodyText"/>
        <w:spacing w:line="240" w:lineRule="auto" w:before="44"/>
        <w:ind w:left="294" w:right="-20"/>
        <w:jc w:val="left"/>
      </w:pPr>
      <w:r>
        <w:rPr/>
        <w:t>编制单位：海联金汇科技股份有限公司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9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93" w:right="0"/>
        <w:jc w:val="left"/>
      </w:pPr>
      <w:r>
        <w:rPr/>
        <w:t>单位：元</w:t>
      </w:r>
    </w:p>
    <w:p>
      <w:pPr>
        <w:spacing w:after="0" w:line="240" w:lineRule="auto"/>
        <w:jc w:val="left"/>
        <w:sectPr>
          <w:type w:val="continuous"/>
          <w:pgSz w:w="11910" w:h="16840"/>
          <w:pgMar w:top="1060" w:bottom="1160" w:left="840" w:right="0"/>
          <w:cols w:num="3" w:equalWidth="0">
            <w:col w:w="3355" w:space="723"/>
            <w:col w:w="1779" w:space="3063"/>
            <w:col w:w="2150"/>
          </w:cols>
        </w:sectPr>
      </w:pPr>
    </w:p>
    <w:p>
      <w:pPr>
        <w:spacing w:line="240" w:lineRule="auto" w:before="13"/>
        <w:rPr>
          <w:rFonts w:ascii="宋体" w:hAnsi="宋体" w:cs="宋体" w:eastAsia="宋体" w:hint="default"/>
          <w:sz w:val="7"/>
          <w:szCs w:val="7"/>
        </w:rPr>
      </w:pPr>
    </w:p>
    <w:tbl>
      <w:tblPr>
        <w:tblW w:w="0" w:type="auto"/>
        <w:jc w:val="left"/>
        <w:tblInd w:w="30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1,749,565,293.91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2,124,762,581.14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920,918,712.08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10,376,208,706.10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1,270,235,310.75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1,256,508,924.78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343,711,117.06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287,353,223.73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926,524,193.69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969,155,701.05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288,067,926.96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246,026,870.00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99,918,405.03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27,075,909.01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707,762.49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650,186,022.13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544,587,206.48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14,572,247.06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395,490,828.69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340,598,791.99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5,388,954,746.61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14,915,768,989.50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195,026,566.52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85,126,566.52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419,660.20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22,414,831.55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972,791,151.27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734,477,018.23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90,935,722.47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89,868,225.13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389,290,344.82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364,889,691.17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2,212,366,211.92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2,502,319,150.02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55,749,381.18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20,843,293.78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37,492,317.59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27,686,634.80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68,149,715.56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219,817,970.02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4,044,635,903.08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4,045,028,549.67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9,433,590,649.69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18,960,797,539.17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270,502,200.00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208,954,500.00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1,083,430,096.90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724,381,353.36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120,134,125.72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42,224,202.52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25,535,550.90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78,785,173.11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45,315,134.78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46,073,774.35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144,083,481.31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101,767,540.81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1,697,440.50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1,561,295.49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971,045,125.79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10,595,101,208.36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2,671,045,715.40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11,808,287,752.51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15,346,224.20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17,264,947.12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35,546,181.35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32,764,166.75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138,892,405.55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149,029,113.87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2,809,938,120.95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11,957,316,866.38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1,247,335,239.00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1,251,350,095.00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4,673,593,452.49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4,707,104,896.60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475,861,413.21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784,605.57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-1,596,209.06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99,437,184.92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47,424,431.35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982,064,442.16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963,196,408.72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6,527,353,510.93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6,967,479,622.61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96,299,017.81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36,001,050.18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6,623,652,528.74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7,003,480,672.79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9,433,590,649.69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18,960,797,539.17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法定代表人：刘国平</w:t>
        <w:tab/>
        <w:t>主管会计工作负责人：洪晓明</w:t>
        <w:tab/>
        <w:t>会计机构负责人：姜春梅</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984,790,119.41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921,165,711.24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280,549,941.61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349,894,513.08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85,812,409.06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79,893,158.50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194,737,532.55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270,001,354.58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202,108,108.20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197,919,863.33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646,149,579.42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509,502,202.41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187,095,181.74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162,307,180.57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17,417,791.00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4,456,872.75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2,318,110,721.38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2,145,246,343.38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4,691,015,117.96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4,463,396,857.76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9,474,616.24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10,565,240.88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2,780,634.56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2,479,136.55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1,232,704.38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117,610.07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3,750,764.58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2,833,378.86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27,417,228.00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190,459,100.00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4,888,871,065.72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4,683,051,324.12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7,206,981,787.10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6,828,297,667.50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291,052,200.00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375,930,959.95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310,966,884.42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33,038,463.81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13,666,328.13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629,104.24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448,651.51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8,590,950.73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7,809,343.59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115,159,506.84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65,989,649.13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2,557,159.11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167,635.42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20,516,974.72</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855,918,160.29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409,880,856.78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943,918,160.29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508,880,856.78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1,247,335,239.00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1,251,350,095.00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4,655,607,500.11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4,689,853,515.05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475,861,413.21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99,437,184.92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47,424,431.35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736,545,115.99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330,788,769.32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6,263,063,626.81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6,319,416,810.72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7,206,981,787.10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6,828,297,667.50</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5,011,239,084.54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3,996,047,149.80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5,011,239,084.54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3,996,047,149.80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4,896,536,399.72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3,501,876,424.81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3,929,232,235.11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2,845,541,953.97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25,896,352.80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22,456,607.88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146,592,233.79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140,856,037.71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333,993,127.61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362,252,291.44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175,568,891.63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142,286,185.98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-39,286,092.65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-44,270,285.62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13,740,419.63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14,740,352.01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50,053,899.90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56,723,485.19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324,539,651.43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32,753,633.45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24,228,823.47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815,945.73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68,855,773.33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-837,744.27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其中：对联营企业和合营企</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657,838.22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209,106,241.92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494,806,764.67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9,825,984.51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42,029,824.31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29,937,060.55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3,637,974.89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188,995,165.88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533,198,614.09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50,242,687.27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88,677,063.45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138,752,478.61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444,521,550.64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138,752,478.61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444,521,550.64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133,239,222.45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413,945,815.86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5,513,256.16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30,575,734.78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2,380,814.63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-2,393,424.99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2,380,814.63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-2,393,424.99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2,380,814.63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-2,393,424.99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2,380,814.63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-2,393,424.99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141,133,293.24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442,128,125.65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135,620,037.08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411,552,390.87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5,513,256.16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30,575,734.78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法定代表人：刘国平</w:t>
        <w:tab/>
        <w:t>主管会计工作负责人：洪晓明</w:t>
        <w:tab/>
        <w:t>会计机构负责人：姜春梅 </w:t>
      </w:r>
      <w:bookmarkStart w:name="4、母公司利润表" w:id="164"/>
      <w:bookmarkEnd w:id="1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1,841,905,663.82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1,253,494,132.63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1,718,023,117.19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1,145,118,793.53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4,516,598.08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1,506,445.37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21,774,897.29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17,442,846.17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22,718,107.39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17,735,462.76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3,552,094.14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-17,591,683.26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-30,923,254.21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12,244,256.09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31,442,097.97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32,023,796.52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3,780,708.14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7,035,723.90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453,539,660.20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-5,304,555.05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-14,405.41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-12,754.66</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541,157,079.64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90,260,805.40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2,045,613.82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3,216,927.60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399,742.12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350,958.88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542,802,951.34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93,126,774.12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22,675,415.66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23,642,539.53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520,127,535.68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69,484,234.59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520,127,535.68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69,484,234.59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520,127,535.68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69,484,234.59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7"/>
        <w:spacing w:line="240" w:lineRule="auto" w:before="35"/>
        <w:ind w:right="0"/>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3,957,232,410.83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2,703,244,403.64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10,434,092.40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8,715,711.35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422,618,405.55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569,152,712.75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4,390,284,908.78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3,281,112,827.74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2,514,454,818.80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2,128,247,125.59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563,888,651.65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483,622,154.82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228,908,155.07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233,622,094.36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855,013,239.53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593,558,264.57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4,162,264,865.05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3,439,049,639.34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228,020,043.73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-157,936,811.60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69,455,087.28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18,692,431.03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2,257,243.65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186,333,347.60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3,299,388,201.70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3,437,535,720.01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196,590,591.25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183,394,767.37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139,899,357.16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160,900,001.00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271,748,600.00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467,194.18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3,217,673,977.99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3,561,968,746.36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412,115,151.34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-124,433,026.35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-215,524,560.09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290,502,200.00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345,897,200.00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422,437,600.00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239,954,500.00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192,063,455.93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87,235,169.45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54,328,455.26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525,987,036.96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853,176,706.41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253,391,911.19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-507,279,506.41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169,045,688.81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3,022,056.75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-2,995,629.60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-400,670,432.28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-207,411,312.48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2,102,040,062.52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1,701,369,630.24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1,390,509,829.00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1,027,238,975.30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128,421.38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1,983,731.41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264,521,262.53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258,475,928.51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1,655,159,512.91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1,287,698,635.22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928,250,092.42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970,009,868.29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17,926,505.07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15,135,616.78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54,939,272.55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27,878,696.27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481,935,775.70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660,329,759.47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1,483,051,645.74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1,673,353,940.81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172,107,867.17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-385,655,305.59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190,695,444.95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59,159,763.83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36,752.14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1,601,640,000.00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1,955,859,617.15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309,891,960.92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26,485,130.38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307,319.69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359,601,021.66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1,601,640,000.00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1,806,125,130.38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359,908,341.35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149,734,486.77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-50,016,380.43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301,052,200.00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348,647,200.00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72,213,185.83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28,561,691.57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520,002,036.96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613,215,222.79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28,561,691.57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-264,568,022.79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81,438,308.43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88,357.06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-410,274.67</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57,362,688.21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-354,643,652.26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921,165,711.24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1,275,809,363.50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978,528,399.45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921,165,711.24</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5.00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09.06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431.35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963,196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,408.72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050.18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431.35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963,196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,408.72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050.18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-33,511,</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444.11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2,380,8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18,868,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033.44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60,297,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967.63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2,380,8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133,239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,222.45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5,513,2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141,133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,293.24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-33,511,</w:t>
            </w:r>
          </w:p>
          <w:p>
            <w:pPr>
              <w:pStyle w:val="TableParagraph"/>
              <w:spacing w:line="240" w:lineRule="auto" w:before="106"/>
              <w:ind w:left="118" w:right="0"/>
              <w:jc w:val="center"/>
              <w:rPr>
                <w:rFonts w:ascii="Times New Roman" w:hAnsi="Times New Roman" w:cs="Times New Roman" w:eastAsia="Times New Roman" w:hint="default"/>
                <w:sz w:val="18"/>
                <w:szCs w:val="18"/>
              </w:rPr>
            </w:pPr>
            <w:r>
              <w:rPr>
                <w:rFonts w:ascii="Times New Roman"/>
                <w:sz w:val="18"/>
              </w:rPr>
              <w:t>444.11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539,499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54,784,</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711.47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910.87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1,023,2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29.16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1,023,2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29.16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-34,534,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539,499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53,984,</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711.47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15,974,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681.71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-62,358,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435.44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753.57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340,241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,564.56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340,241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,564.56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9.51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-539,49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335,23</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93,452.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784,605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99,437,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184.92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982,064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,442.16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96,299,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017.81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73"/>
        <w:gridCol w:w="637"/>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73" w:type="dxa"/>
            <w:vMerge w:val="restart"/>
            <w:tcBorders>
              <w:top w:val="single" w:sz="4" w:space="0" w:color="000000"/>
              <w:left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nil" w:sz="6" w:space="0" w:color="auto"/>
              <w:right w:val="single" w:sz="4" w:space="0" w:color="000000"/>
            </w:tcBorders>
            <w:shd w:val="clear" w:color="auto" w:fill="D2D2D2"/>
          </w:tcPr>
          <w:p>
            <w:pPr/>
          </w:p>
        </w:tc>
        <w:tc>
          <w:tcPr>
            <w:tcW w:w="6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61" w:right="6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37"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73" w:type="dxa"/>
            <w:vMerge/>
            <w:tcBorders>
              <w:left w:val="single" w:sz="4" w:space="0" w:color="000000"/>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73" w:type="dxa"/>
            <w:vMerge/>
            <w:tcBorders>
              <w:left w:val="single" w:sz="4" w:space="0" w:color="000000"/>
              <w:bottom w:val="nil" w:sz="6" w:space="0" w:color="auto"/>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73" w:type="dxa"/>
            <w:vMerge w:val="restart"/>
            <w:tcBorders>
              <w:top w:val="nil" w:sz="6" w:space="0" w:color="auto"/>
              <w:left w:val="single" w:sz="4" w:space="0" w:color="000000"/>
              <w:right w:val="single" w:sz="4" w:space="0" w:color="000000"/>
            </w:tcBorders>
            <w:shd w:val="clear" w:color="auto" w:fill="D2D2D2"/>
          </w:tcPr>
          <w:p>
            <w:pPr/>
          </w:p>
        </w:tc>
        <w:tc>
          <w:tcPr>
            <w:tcW w:w="63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568,79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59,493.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797,215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007.89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584,638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,791.22</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161,978</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,856.49</w:t>
            </w:r>
          </w:p>
        </w:tc>
        <w:tc>
          <w:tcPr>
            <w:tcW w:w="63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45,863.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568,79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59,493.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797,215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40,476,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007.89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584,638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,791.22</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161,978</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,856.49</w:t>
            </w:r>
          </w:p>
        </w:tc>
        <w:tc>
          <w:tcPr>
            <w:tcW w:w="63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45,863.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682,55</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left"/>
              <w:rPr>
                <w:rFonts w:ascii="Times New Roman" w:hAnsi="Times New Roman" w:cs="Times New Roman" w:eastAsia="Times New Roman" w:hint="default"/>
                <w:sz w:val="18"/>
                <w:szCs w:val="18"/>
              </w:rPr>
            </w:pPr>
            <w:r>
              <w:rPr>
                <w:rFonts w:ascii="Times New Roman"/>
                <w:sz w:val="18"/>
              </w:rPr>
              <w:t>-682,55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-2,393,4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6,948,4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378,557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-125,97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0" w:right="0"/>
              <w:jc w:val="left"/>
              <w:rPr>
                <w:rFonts w:ascii="Times New Roman" w:hAnsi="Times New Roman" w:cs="Times New Roman" w:eastAsia="Times New Roman" w:hint="default"/>
                <w:sz w:val="18"/>
                <w:szCs w:val="18"/>
              </w:rPr>
            </w:pPr>
            <w:r>
              <w:rPr>
                <w:rFonts w:ascii="Times New Roman"/>
                <w:sz w:val="18"/>
              </w:rPr>
              <w:t>257,13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73"/>
        <w:gridCol w:w="637"/>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,617.50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7,806.3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4,809.6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-2,393,4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413,945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,815.86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30,575,</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734.78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442,12</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8,125.6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3,541.0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-35,388,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198.36</w:t>
            </w: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,774.90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23.46</w:t>
            </w: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774.90</w:t>
            </w: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,774.90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4,597.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73"/>
        <w:gridCol w:w="637"/>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1,251,</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350,09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4,707,1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963,196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,408.72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36,001,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050.18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7,003,4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80,672.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1,251,35</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0,095.00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4,689,853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,515.05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47,424,43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330,788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,769.32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6,319,416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,810.72</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1,251,35</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0,095.00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4,689,853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,515.05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47,424,43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330,788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,769.32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6,319,416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,810.72</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-4,014,8</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-34,246,0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475,861,4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52,012,75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405,756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,346.67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-56,353,1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83.91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520,127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520,127,5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-4,014,8</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-34,246,0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-38,260,8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288,658.3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288,658.3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6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-4,014,8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-34,534,6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-38,549,5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29.27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52,012,75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-114,37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1,189.0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-62,358,4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52,012,75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-52,012,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753.57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-62,358,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435.44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-62,358,4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35.44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475,861,4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413.21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475,861,4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-475,861,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413.21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1,247,33</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5,239.00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4,655,607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,500.11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475,861,4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99,437,18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736,545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6,263,063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,626.81</w:t>
            </w:r>
          </w:p>
        </w:tc>
      </w:tr>
    </w:tbl>
    <w:p>
      <w:pPr>
        <w:pStyle w:val="BodyText"/>
        <w:spacing w:line="240" w:lineRule="auto" w:before="51"/>
        <w:ind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568,795,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5,372,408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,112.05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40,476,00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296,692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,733.09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6,278,372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,351.03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568,795,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5,372,408</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,112.05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40,476,00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296,692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,733.09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6,278,372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,351.03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34,096,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036.23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41,044,45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9.69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-35,388,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198.36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-28,439,7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74.90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6,948,423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-6,948,4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23.46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774.90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-28,439,7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74.90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-682,554,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597.00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1,251,35</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4,689,853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,515.05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47,424,43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330,788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,769.32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6,319,416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,810.72</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三、公司基本情况" w:id="169"/>
      <w:bookmarkEnd w:id="16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440"/>
        <w:jc w:val="both"/>
      </w:pPr>
      <w:r>
        <w:rPr>
          <w:spacing w:val="-2"/>
        </w:rPr>
        <w:t>海联金汇科技股份有限公司（以下简称本公司或公司，在包含子公司时统称本集团）初始成立于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日，注册</w:t>
      </w:r>
      <w:r>
        <w:rPr/>
        <w:t> 地为青岛市即墨区，总部办公地址为青岛市即墨区青威路</w:t>
      </w:r>
      <w:r>
        <w:rPr>
          <w:rFonts w:ascii="Times New Roman" w:hAnsi="Times New Roman" w:cs="Times New Roman" w:eastAsia="Times New Roman" w:hint="default"/>
        </w:rPr>
        <w:t>1626</w:t>
      </w:r>
      <w:r>
        <w:rPr/>
        <w:t>号。</w:t>
      </w:r>
    </w:p>
    <w:p>
      <w:pPr>
        <w:spacing w:line="240" w:lineRule="auto" w:before="4"/>
        <w:rPr>
          <w:rFonts w:ascii="宋体" w:hAnsi="宋体" w:cs="宋体" w:eastAsia="宋体" w:hint="default"/>
          <w:sz w:val="19"/>
          <w:szCs w:val="19"/>
        </w:rPr>
      </w:pPr>
    </w:p>
    <w:p>
      <w:pPr>
        <w:pStyle w:val="BodyText"/>
        <w:spacing w:line="300" w:lineRule="auto"/>
        <w:ind w:right="1131" w:firstLine="440"/>
        <w:jc w:val="both"/>
      </w:pPr>
      <w:r>
        <w:rPr/>
        <w:t>根据贵公司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2018</w:t>
      </w:r>
      <w:r>
        <w:rPr/>
        <w:t>年第一次临时股东大会决议和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日召开的第三届董事会第三十三次 会议决议及修改后的章程规定，将公司已回购的</w:t>
      </w:r>
      <w:r>
        <w:rPr>
          <w:rFonts w:ascii="Times New Roman" w:hAnsi="Times New Roman" w:cs="Times New Roman" w:eastAsia="Times New Roman" w:hint="default"/>
        </w:rPr>
        <w:t>13,614,856</w:t>
      </w:r>
      <w:r>
        <w:rPr/>
        <w:t>股中的</w:t>
      </w:r>
      <w:r>
        <w:rPr>
          <w:rFonts w:ascii="Times New Roman" w:hAnsi="Times New Roman" w:cs="Times New Roman" w:eastAsia="Times New Roman" w:hint="default"/>
        </w:rPr>
        <w:t>4,014,856</w:t>
      </w:r>
      <w:r>
        <w:rPr/>
        <w:t>股变更用于注销以减少注册资本，变更后的注册</w:t>
      </w:r>
      <w:r>
        <w:rPr>
          <w:spacing w:val="-85"/>
        </w:rPr>
        <w:t> </w:t>
      </w:r>
      <w:r>
        <w:rPr>
          <w:spacing w:val="-85"/>
        </w:rPr>
      </w:r>
      <w:r>
        <w:rPr/>
        <w:t>资本为人民币</w:t>
      </w:r>
      <w:r>
        <w:rPr>
          <w:rFonts w:ascii="Times New Roman" w:hAnsi="Times New Roman" w:cs="Times New Roman" w:eastAsia="Times New Roman" w:hint="default"/>
        </w:rPr>
        <w:t>1,247,335,239</w:t>
      </w:r>
      <w:r>
        <w:rPr/>
        <w:t>元。</w:t>
      </w:r>
    </w:p>
    <w:p>
      <w:pPr>
        <w:spacing w:line="240" w:lineRule="auto" w:before="5"/>
        <w:rPr>
          <w:rFonts w:ascii="宋体" w:hAnsi="宋体" w:cs="宋体" w:eastAsia="宋体" w:hint="default"/>
          <w:sz w:val="19"/>
          <w:szCs w:val="19"/>
        </w:rPr>
      </w:pPr>
    </w:p>
    <w:p>
      <w:pPr>
        <w:pStyle w:val="BodyText"/>
        <w:spacing w:line="240" w:lineRule="auto"/>
        <w:ind w:left="59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本公司股本结构为：</w:t>
      </w:r>
    </w:p>
    <w:p>
      <w:pPr>
        <w:spacing w:line="240" w:lineRule="auto" w:before="13"/>
        <w:rPr>
          <w:rFonts w:ascii="宋体" w:hAnsi="宋体" w:cs="宋体" w:eastAsia="宋体" w:hint="default"/>
          <w:sz w:val="3"/>
          <w:szCs w:val="3"/>
        </w:rPr>
      </w:pPr>
    </w:p>
    <w:tbl>
      <w:tblPr>
        <w:tblW w:w="0" w:type="auto"/>
        <w:jc w:val="left"/>
        <w:tblInd w:w="430" w:type="dxa"/>
        <w:tblLayout w:type="fixed"/>
        <w:tblCellMar>
          <w:top w:w="0" w:type="dxa"/>
          <w:left w:w="0" w:type="dxa"/>
          <w:bottom w:w="0" w:type="dxa"/>
          <w:right w:w="0" w:type="dxa"/>
        </w:tblCellMar>
        <w:tblLook w:val="01E0"/>
      </w:tblPr>
      <w:tblGrid>
        <w:gridCol w:w="850"/>
        <w:gridCol w:w="3284"/>
        <w:gridCol w:w="1913"/>
        <w:gridCol w:w="1751"/>
        <w:gridCol w:w="1276"/>
      </w:tblGrid>
      <w:tr>
        <w:trPr>
          <w:trHeight w:val="359" w:hRule="exact"/>
        </w:trPr>
        <w:tc>
          <w:tcPr>
            <w:tcW w:w="850"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84"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26"/>
              <w:ind w:left="823" w:right="0"/>
              <w:jc w:val="left"/>
              <w:rPr>
                <w:rFonts w:ascii="宋体" w:hAnsi="宋体" w:cs="宋体" w:eastAsia="宋体" w:hint="default"/>
                <w:sz w:val="18"/>
                <w:szCs w:val="18"/>
              </w:rPr>
            </w:pPr>
            <w:r>
              <w:rPr>
                <w:rFonts w:ascii="宋体" w:hAnsi="宋体" w:cs="宋体" w:eastAsia="宋体" w:hint="default"/>
                <w:sz w:val="18"/>
                <w:szCs w:val="18"/>
              </w:rPr>
              <w:t>发起人（股东）名称</w:t>
            </w:r>
          </w:p>
        </w:tc>
        <w:tc>
          <w:tcPr>
            <w:tcW w:w="1913"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26"/>
              <w:ind w:left="4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751"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26"/>
              <w:ind w:left="25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6" w:space="0" w:color="000000"/>
              <w:left w:val="single" w:sz="6" w:space="0" w:color="000000"/>
              <w:bottom w:val="single" w:sz="8" w:space="0" w:color="000000"/>
              <w:right w:val="single" w:sz="4" w:space="0" w:color="000000"/>
            </w:tcBorders>
            <w:shd w:val="clear" w:color="auto" w:fill="BEBEBE"/>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850"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241,775,600.00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19.38</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89,100,000.00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7.14</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482,379,834.00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38.67</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9,564,575.00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0.77</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72"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5</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54,364,908.00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4.36</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88,060,100.00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7.06</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8"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239,257,086.00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19.18</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非限售</w:t>
            </w:r>
          </w:p>
        </w:tc>
      </w:tr>
      <w:tr>
        <w:trPr>
          <w:trHeight w:val="356" w:hRule="exact"/>
        </w:trPr>
        <w:tc>
          <w:tcPr>
            <w:tcW w:w="8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3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42,833,136.00</w:t>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3.44</w:t>
            </w:r>
          </w:p>
        </w:tc>
        <w:tc>
          <w:tcPr>
            <w:tcW w:w="1276"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48" w:hRule="exact"/>
        </w:trPr>
        <w:tc>
          <w:tcPr>
            <w:tcW w:w="4134" w:type="dxa"/>
            <w:gridSpan w:val="2"/>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b/>
                <w:spacing w:val="-1"/>
                <w:sz w:val="18"/>
              </w:rPr>
              <w:t>1,247,335,239.00</w:t>
            </w:r>
            <w:r>
              <w:rPr>
                <w:rFonts w:ascii="Times New Roman"/>
                <w:spacing w:val="-1"/>
                <w:sz w:val="18"/>
              </w:rPr>
            </w:r>
          </w:p>
        </w:tc>
        <w:tc>
          <w:tcPr>
            <w:tcW w:w="17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6"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10"/>
        <w:rPr>
          <w:rFonts w:ascii="宋体" w:hAnsi="宋体" w:cs="宋体" w:eastAsia="宋体" w:hint="default"/>
          <w:sz w:val="15"/>
          <w:szCs w:val="15"/>
        </w:rPr>
      </w:pPr>
    </w:p>
    <w:p>
      <w:pPr>
        <w:pStyle w:val="BodyText"/>
        <w:spacing w:line="300" w:lineRule="auto" w:before="44"/>
        <w:ind w:right="1132" w:firstLine="36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日，本公司总股本为</w:t>
      </w:r>
      <w:r>
        <w:rPr>
          <w:rFonts w:ascii="Times New Roman" w:hAnsi="Times New Roman" w:cs="Times New Roman" w:eastAsia="Times New Roman" w:hint="default"/>
        </w:rPr>
        <w:t>1,247,335,239</w:t>
      </w:r>
      <w:r>
        <w:rPr/>
        <w:t>股，其中有限售条件股份</w:t>
      </w:r>
      <w:r>
        <w:rPr>
          <w:rFonts w:ascii="Times New Roman" w:hAnsi="Times New Roman" w:cs="Times New Roman" w:eastAsia="Times New Roman" w:hint="default"/>
        </w:rPr>
        <w:t>52,397,711.00</w:t>
      </w:r>
      <w:r>
        <w:rPr/>
        <w:t>股，占总股本的</w:t>
      </w:r>
      <w:r>
        <w:rPr>
          <w:rFonts w:ascii="Times New Roman" w:hAnsi="Times New Roman" w:cs="Times New Roman" w:eastAsia="Times New Roman" w:hint="default"/>
        </w:rPr>
        <w:t>4.20%</w:t>
      </w:r>
      <w:r>
        <w:rPr>
          <w:rFonts w:ascii="Times New Roman" w:hAnsi="Times New Roman" w:cs="Times New Roman" w:eastAsia="Times New Roman" w:hint="default"/>
          <w:spacing w:val="33"/>
        </w:rPr>
        <w:t> </w:t>
      </w:r>
      <w:r>
        <w:rPr/>
        <w:t>；无 限售条件股份</w:t>
      </w:r>
      <w:r>
        <w:rPr>
          <w:rFonts w:ascii="Times New Roman" w:hAnsi="Times New Roman" w:cs="Times New Roman" w:eastAsia="Times New Roman" w:hint="default"/>
        </w:rPr>
        <w:t>1,194,937,528.00</w:t>
      </w:r>
      <w:r>
        <w:rPr/>
        <w:t>股，占总股本的</w:t>
      </w:r>
      <w:r>
        <w:rPr>
          <w:rFonts w:ascii="Times New Roman" w:hAnsi="Times New Roman" w:cs="Times New Roman" w:eastAsia="Times New Roman" w:hint="default"/>
        </w:rPr>
        <w:t>95.80%</w:t>
      </w:r>
      <w:r>
        <w:rPr/>
        <w:t>。</w:t>
      </w:r>
    </w:p>
    <w:p>
      <w:pPr>
        <w:spacing w:line="240" w:lineRule="auto" w:before="4"/>
        <w:rPr>
          <w:rFonts w:ascii="宋体" w:hAnsi="宋体" w:cs="宋体" w:eastAsia="宋体" w:hint="default"/>
          <w:sz w:val="19"/>
          <w:szCs w:val="19"/>
        </w:rPr>
      </w:pPr>
    </w:p>
    <w:p>
      <w:pPr>
        <w:pStyle w:val="BodyText"/>
        <w:spacing w:line="300" w:lineRule="auto"/>
        <w:ind w:right="1132" w:firstLine="360"/>
        <w:jc w:val="both"/>
      </w:pPr>
      <w:r>
        <w:rPr>
          <w:spacing w:val="-2"/>
        </w:rPr>
        <w:t>本公司统一社会信用代码：</w:t>
      </w:r>
      <w:r>
        <w:rPr>
          <w:rFonts w:ascii="Times New Roman" w:hAnsi="Times New Roman" w:cs="Times New Roman" w:eastAsia="Times New Roman" w:hint="default"/>
          <w:spacing w:val="-2"/>
        </w:rPr>
        <w:t>91370200766733419J</w:t>
      </w:r>
      <w:r>
        <w:rPr>
          <w:spacing w:val="-2"/>
        </w:rPr>
        <w:t>；法定代表人：刘国平；住所：青岛市即墨区青威路</w:t>
      </w:r>
      <w:r>
        <w:rPr>
          <w:rFonts w:ascii="Times New Roman" w:hAnsi="Times New Roman" w:cs="Times New Roman" w:eastAsia="Times New Roman" w:hint="default"/>
          <w:spacing w:val="-2"/>
        </w:rPr>
        <w:t>1626</w:t>
      </w:r>
      <w:r>
        <w:rPr>
          <w:spacing w:val="-2"/>
        </w:rPr>
        <w:t>号；总部办公</w:t>
      </w:r>
      <w:r>
        <w:rPr/>
        <w:t> 地址为：青岛市即墨区青威路</w:t>
      </w:r>
      <w:r>
        <w:rPr>
          <w:rFonts w:ascii="Times New Roman" w:hAnsi="Times New Roman" w:cs="Times New Roman" w:eastAsia="Times New Roman" w:hint="default"/>
        </w:rPr>
        <w:t>1626</w:t>
      </w:r>
      <w:r>
        <w:rPr/>
        <w:t>号。</w:t>
      </w:r>
    </w:p>
    <w:p>
      <w:pPr>
        <w:spacing w:line="240" w:lineRule="auto" w:before="4"/>
        <w:rPr>
          <w:rFonts w:ascii="宋体" w:hAnsi="宋体" w:cs="宋体" w:eastAsia="宋体" w:hint="default"/>
          <w:sz w:val="19"/>
          <w:szCs w:val="19"/>
        </w:rPr>
      </w:pPr>
    </w:p>
    <w:p>
      <w:pPr>
        <w:pStyle w:val="BodyText"/>
        <w:spacing w:line="309" w:lineRule="auto"/>
        <w:ind w:right="1043" w:firstLine="360"/>
        <w:jc w:val="both"/>
      </w:pPr>
      <w:r>
        <w:rPr>
          <w:spacing w:val="-2"/>
        </w:rPr>
        <w:t>本公司经营范围为：计算机数据服务及数据处理（数据处理中的银行卡中心、</w:t>
      </w:r>
      <w:r>
        <w:rPr>
          <w:rFonts w:ascii="Times New Roman" w:hAnsi="Times New Roman" w:cs="Times New Roman" w:eastAsia="Times New Roman" w:hint="default"/>
          <w:spacing w:val="-2"/>
        </w:rPr>
        <w:t>PUE</w:t>
      </w:r>
      <w:r>
        <w:rPr>
          <w:spacing w:val="-2"/>
        </w:rPr>
        <w:t>值在</w:t>
      </w:r>
      <w:r>
        <w:rPr>
          <w:rFonts w:ascii="Times New Roman" w:hAnsi="Times New Roman" w:cs="Times New Roman" w:eastAsia="Times New Roman" w:hint="default"/>
          <w:spacing w:val="-2"/>
        </w:rPr>
        <w:t>1.5</w:t>
      </w:r>
      <w:r>
        <w:rPr>
          <w:spacing w:val="-2"/>
        </w:rPr>
        <w:t>以上的云计算数据中心除外）</w:t>
      </w:r>
      <w:r>
        <w:rPr/>
        <w:t> </w:t>
      </w:r>
      <w:r>
        <w:rPr>
          <w:spacing w:val="-2"/>
        </w:rPr>
        <w:t>计算机及电子信息终端设备的软、硬件开发、设计、制作、销售；移动网络增值电信服务；接受金融机构委托从事金融信息</w:t>
      </w:r>
      <w:r>
        <w:rPr>
          <w:spacing w:val="-70"/>
        </w:rPr>
        <w:t> </w:t>
      </w:r>
      <w:r>
        <w:rPr>
          <w:spacing w:val="-70"/>
        </w:rPr>
      </w:r>
      <w:r>
        <w:rPr/>
        <w:t>技术外包、金融业务流程外包、金融知识流程外包；新能源汽车、专用汽车整车及车架、配件的制造与销售；钢板的剪切、</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冲压加工，汽车总成及零部件的加工与制造，家电零部件的加工与制造，模具的开发与生产，电机、电机原件及电机零部件</w:t>
      </w:r>
      <w:r>
        <w:rPr>
          <w:spacing w:val="-66"/>
        </w:rPr>
        <w:t> </w:t>
      </w:r>
      <w:r>
        <w:rPr>
          <w:spacing w:val="-66"/>
        </w:rPr>
      </w:r>
      <w:r>
        <w:rPr/>
        <w:t>的开发与生产；货物及技术进出口。（依法须经批准的项目，经相关部门批准后方可开展经营活动）。</w:t>
      </w:r>
    </w:p>
    <w:p>
      <w:pPr>
        <w:spacing w:line="240" w:lineRule="auto" w:before="10"/>
        <w:rPr>
          <w:rFonts w:ascii="宋体" w:hAnsi="宋体" w:cs="宋体" w:eastAsia="宋体" w:hint="default"/>
          <w:sz w:val="19"/>
          <w:szCs w:val="19"/>
        </w:rPr>
      </w:pPr>
    </w:p>
    <w:p>
      <w:pPr>
        <w:pStyle w:val="BodyText"/>
        <w:spacing w:line="319" w:lineRule="auto"/>
        <w:ind w:right="1131" w:firstLine="360"/>
        <w:jc w:val="both"/>
      </w:pPr>
      <w:r>
        <w:rPr>
          <w:spacing w:val="-5"/>
        </w:rPr>
        <w:t>本集团最终控制人为孙刚先生、刘国平女士夫妇。股东大会是本公司的权力机构，依法行使公司经营方针、筹资、投资、</w:t>
      </w:r>
      <w:r>
        <w:rPr/>
        <w:t> </w:t>
      </w:r>
      <w:r>
        <w:rPr>
          <w:spacing w:val="-2"/>
        </w:rPr>
        <w:t>利润分配等重大事项决议权。董事会对股东大会负责，依法行使公司的经营决策权；经理层负责组织实施股东大会、董事会</w:t>
      </w:r>
      <w:r>
        <w:rPr>
          <w:spacing w:val="-66"/>
        </w:rPr>
        <w:t> </w:t>
      </w:r>
      <w:r>
        <w:rPr>
          <w:spacing w:val="-66"/>
        </w:rPr>
      </w:r>
      <w:r>
        <w:rPr/>
        <w:t>决议事项，主持企业的生产经营管理工作。</w:t>
      </w:r>
    </w:p>
    <w:p>
      <w:pPr>
        <w:spacing w:line="240" w:lineRule="auto" w:before="8"/>
        <w:rPr>
          <w:rFonts w:ascii="宋体" w:hAnsi="宋体" w:cs="宋体" w:eastAsia="宋体" w:hint="default"/>
          <w:sz w:val="19"/>
          <w:szCs w:val="19"/>
        </w:rPr>
      </w:pPr>
    </w:p>
    <w:p>
      <w:pPr>
        <w:pStyle w:val="BodyText"/>
        <w:spacing w:line="240" w:lineRule="auto"/>
        <w:ind w:left="594" w:right="0"/>
        <w:jc w:val="left"/>
      </w:pPr>
      <w:r>
        <w:rPr/>
        <w:t>本公司组织结构如下：</w:t>
      </w:r>
    </w:p>
    <w:p>
      <w:pPr>
        <w:spacing w:line="240" w:lineRule="auto" w:before="8"/>
        <w:rPr>
          <w:rFonts w:ascii="宋体" w:hAnsi="宋体" w:cs="宋体" w:eastAsia="宋体" w:hint="default"/>
          <w:sz w:val="9"/>
          <w:szCs w:val="9"/>
        </w:rPr>
      </w:pPr>
    </w:p>
    <w:p>
      <w:pPr>
        <w:spacing w:line="6120" w:lineRule="exact"/>
        <w:ind w:left="728"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5391150" cy="38862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2" cstate="print"/>
                    <a:stretch>
                      <a:fillRect/>
                    </a:stretch>
                  </pic:blipFill>
                  <pic:spPr>
                    <a:xfrm>
                      <a:off x="0" y="0"/>
                      <a:ext cx="5391150" cy="3886200"/>
                    </a:xfrm>
                    <a:prstGeom prst="rect">
                      <a:avLst/>
                    </a:prstGeom>
                  </pic:spPr>
                </pic:pic>
              </a:graphicData>
            </a:graphic>
          </wp:inline>
        </w:drawing>
      </w:r>
      <w:r>
        <w:rPr>
          <w:rFonts w:ascii="宋体" w:hAnsi="宋体" w:cs="宋体" w:eastAsia="宋体" w:hint="default"/>
          <w:position w:val="-121"/>
          <w:sz w:val="20"/>
          <w:szCs w:val="20"/>
        </w:rPr>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合并报表范围如下：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172"/>
        <w:gridCol w:w="2468"/>
      </w:tblGrid>
      <w:tr>
        <w:trPr>
          <w:trHeight w:val="322" w:hRule="exact"/>
        </w:trPr>
        <w:tc>
          <w:tcPr>
            <w:tcW w:w="71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合并范围</w:t>
            </w:r>
          </w:p>
        </w:tc>
        <w:tc>
          <w:tcPr>
            <w:tcW w:w="24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子公司级次</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海立美达香港有限公司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二级</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172"/>
        <w:gridCol w:w="2468"/>
      </w:tblGrid>
      <w:tr>
        <w:trPr>
          <w:trHeight w:val="317" w:hRule="exact"/>
        </w:trPr>
        <w:tc>
          <w:tcPr>
            <w:tcW w:w="71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24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二级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金融科技有限公司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联保汇通</w:t>
            </w:r>
            <w:r>
              <w:rPr>
                <w:rFonts w:ascii="Times New Roman" w:hAnsi="Times New Roman" w:cs="Times New Roman" w:eastAsia="Times New Roman" w:hint="default"/>
                <w:sz w:val="18"/>
                <w:szCs w:val="18"/>
              </w:rPr>
              <w:t>(</w:t>
            </w:r>
            <w:r>
              <w:rPr>
                <w:rFonts w:ascii="宋体" w:hAnsi="宋体" w:cs="宋体" w:eastAsia="宋体" w:hint="default"/>
                <w:sz w:val="18"/>
                <w:szCs w:val="18"/>
              </w:rPr>
              <w:t>汕头</w:t>
            </w:r>
            <w:r>
              <w:rPr>
                <w:rFonts w:ascii="Times New Roman" w:hAnsi="Times New Roman" w:cs="Times New Roman" w:eastAsia="Times New Roman" w:hint="default"/>
                <w:sz w:val="18"/>
                <w:szCs w:val="18"/>
              </w:rPr>
              <w:t>)</w:t>
            </w:r>
            <w:r>
              <w:rPr>
                <w:rFonts w:ascii="宋体" w:hAnsi="宋体" w:cs="宋体" w:eastAsia="宋体" w:hint="default"/>
                <w:sz w:val="18"/>
                <w:szCs w:val="18"/>
              </w:rPr>
              <w:t>保险代理有限公司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蜜小蜂智慧</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安派国际控股有限公司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宁波康拓企业管理有限公司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天津奥美林生物科技有限公司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三级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安派国际美国有限责任公司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r>
        <w:trPr>
          <w:trHeight w:val="322"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ZhonghengConstruction Group</w:t>
            </w:r>
            <w:r>
              <w:rPr>
                <w:rFonts w:ascii="Times New Roman"/>
                <w:spacing w:val="-3"/>
                <w:sz w:val="18"/>
              </w:rPr>
              <w:t> </w:t>
            </w:r>
            <w:r>
              <w:rPr>
                <w:rFonts w:ascii="Times New Roman"/>
                <w:sz w:val="18"/>
              </w:rPr>
              <w:t>Co.,Limited</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r>
        <w:trPr>
          <w:trHeight w:val="323" w:hRule="exact"/>
        </w:trPr>
        <w:tc>
          <w:tcPr>
            <w:tcW w:w="7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九州环球国际融资租赁（天津）有限公司</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四级</w:t>
            </w:r>
          </w:p>
        </w:tc>
      </w:tr>
    </w:tbl>
    <w:p>
      <w:pPr>
        <w:spacing w:line="240" w:lineRule="auto" w:before="10"/>
        <w:rPr>
          <w:rFonts w:ascii="宋体" w:hAnsi="宋体" w:cs="宋体" w:eastAsia="宋体" w:hint="default"/>
          <w:sz w:val="15"/>
          <w:szCs w:val="15"/>
        </w:rPr>
      </w:pPr>
    </w:p>
    <w:p>
      <w:pPr>
        <w:pStyle w:val="BodyText"/>
        <w:spacing w:line="240" w:lineRule="auto" w:before="44"/>
        <w:ind w:left="594" w:right="0"/>
        <w:jc w:val="left"/>
      </w:pPr>
      <w:r>
        <w:rPr/>
        <w:t>注：本公司</w:t>
      </w:r>
      <w:r>
        <w:rPr>
          <w:rFonts w:ascii="Times New Roman" w:hAnsi="Times New Roman" w:cs="Times New Roman" w:eastAsia="Times New Roman" w:hint="default"/>
        </w:rPr>
        <w:t>2018</w:t>
      </w:r>
      <w:r>
        <w:rPr/>
        <w:t>年度新增、处置子公司事项详见</w:t>
      </w:r>
      <w:r>
        <w:rPr>
          <w:rFonts w:ascii="Times New Roman" w:hAnsi="Times New Roman" w:cs="Times New Roman" w:eastAsia="Times New Roman" w:hint="default"/>
        </w:rPr>
        <w:t>“</w:t>
      </w:r>
      <w:r>
        <w:rPr/>
        <w:t>本报告八、合并范围的变更</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本报告九、在其他主体中的权益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13"/>
        <w:rPr>
          <w:rFonts w:ascii="宋体" w:hAnsi="宋体" w:cs="宋体" w:eastAsia="宋体" w:hint="default"/>
          <w:sz w:val="20"/>
          <w:szCs w:val="20"/>
        </w:rPr>
      </w:pPr>
    </w:p>
    <w:p>
      <w:pPr>
        <w:pStyle w:val="Heading7"/>
        <w:spacing w:line="240" w:lineRule="auto"/>
        <w:ind w:right="0"/>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本公司自本报告期末起</w:t>
      </w:r>
      <w:r>
        <w:rPr>
          <w:rFonts w:ascii="Times New Roman" w:hAnsi="Times New Roman" w:cs="Times New Roman" w:eastAsia="Times New Roman" w:hint="default"/>
        </w:rPr>
        <w:t>12</w:t>
      </w:r>
      <w:r>
        <w:rPr/>
        <w:t>个月内不存在对本公司持续经营能力产生重大疑虑的事项或情况。</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67" w:lineRule="auto"/>
        <w:ind w:right="1132" w:firstLine="360"/>
        <w:jc w:val="both"/>
      </w:pPr>
      <w:r>
        <w:rPr>
          <w:spacing w:val="-2"/>
        </w:rPr>
        <w:t>本集团根据实际生产经营特点制定的具体会计政策和会计估计包括应收款项坏账准备的确认和计量、发出存货计量、固</w:t>
      </w:r>
      <w:r>
        <w:rPr/>
        <w:t> 定资产分类及折旧方法、无形资产摊销、研发费用资本化条件、收入确认和计量等。</w:t>
      </w:r>
    </w:p>
    <w:p>
      <w:pPr>
        <w:spacing w:line="240" w:lineRule="auto" w:before="2"/>
        <w:rPr>
          <w:rFonts w:ascii="宋体" w:hAnsi="宋体" w:cs="宋体" w:eastAsia="宋体" w:hint="default"/>
          <w:sz w:val="18"/>
          <w:szCs w:val="18"/>
        </w:rPr>
      </w:pPr>
    </w:p>
    <w:p>
      <w:pPr>
        <w:pStyle w:val="Heading7"/>
        <w:spacing w:line="240" w:lineRule="auto"/>
        <w:ind w:right="0"/>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本公司编制的财务报表符合企业会计准则的要求，真实、完整地反映了本公司及本集团的财务状况、经营成果和现金流</w:t>
      </w:r>
      <w:r>
        <w:rPr/>
        <w:t> 量等有关信息。</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t>正常营业周期是指本公司从购买用于加工的资产起至实现现金或现金等价物的期间。本公司以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7"/>
        <w:spacing w:line="240" w:lineRule="auto"/>
        <w:ind w:right="0"/>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本集团除海立美达香港有限公司、安派国际控股有限公司、安派国际美国有限责任公司以美元为记账本位币、联动优势</w:t>
      </w:r>
      <w:r>
        <w:rPr/>
        <w:t> 科技（加拿大）有限公司以加元为记账本位币以外，本公司及其他子公司以人民币为记账本位币。</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right"/>
      </w:pPr>
      <w:r>
        <w:rPr>
          <w:spacing w:val="-2"/>
        </w:rPr>
        <w:t>本集团作为合并方，在同一控制下企业合并中取得的资产和负债，在合并日按被合并方在最终控制方合并报表中的账面</w:t>
      </w:r>
      <w:r>
        <w:rPr/>
        <w:t> </w:t>
      </w:r>
      <w:r>
        <w:rPr>
          <w:spacing w:val="-5"/>
        </w:rPr>
        <w:t>价值计量。取得的净资产账面价值与支付的合并对价账面价值的差额，调整资本公积；资本公积不足冲减的，调整留存收益。</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在非同一控制下企业合并中取得的被购买方可辨认资产、负债及或有负债在收购日以公允价值计量。合并成本为本集团</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5"/>
        </w:rPr>
        <w:t>在企业合并中发生的各项直接相关费用之和（通过多次交易分步实现的企业合并，其合并成本为每一单项交易的成本之和）。</w:t>
      </w:r>
      <w:r>
        <w:rPr>
          <w:spacing w:val="-79"/>
        </w:rPr>
        <w:t> </w:t>
      </w:r>
      <w:r>
        <w:rPr>
          <w:spacing w:val="-79"/>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5"/>
        </w:rPr>
        <w:t> </w:t>
      </w:r>
      <w:r>
        <w:rPr>
          <w:spacing w:val="-65"/>
        </w:rPr>
      </w:r>
      <w:r>
        <w:rPr>
          <w:spacing w:val="-2"/>
        </w:rPr>
        <w:t>资产或发行的权益性证券等的公允价值进行复核，经复核后，合并成本仍小于合并中取得的被购买方可辨认净资产公允价值</w:t>
      </w:r>
    </w:p>
    <w:p>
      <w:pPr>
        <w:pStyle w:val="BodyText"/>
        <w:spacing w:line="273" w:lineRule="exact"/>
        <w:ind w:right="0"/>
        <w:jc w:val="left"/>
        <w:rPr>
          <w:sz w:val="22"/>
          <w:szCs w:val="22"/>
        </w:rPr>
      </w:pPr>
      <w:r>
        <w:rPr/>
        <w:t>份额的，将其差额计入合并当期营业外收入</w:t>
      </w:r>
      <w:r>
        <w:rPr>
          <w:sz w:val="22"/>
          <w:szCs w:val="22"/>
        </w:rPr>
        <w:t>。</w:t>
      </w:r>
    </w:p>
    <w:p>
      <w:pPr>
        <w:spacing w:line="240" w:lineRule="auto" w:before="6"/>
        <w:rPr>
          <w:rFonts w:ascii="宋体" w:hAnsi="宋体" w:cs="宋体" w:eastAsia="宋体" w:hint="default"/>
          <w:sz w:val="25"/>
          <w:szCs w:val="25"/>
        </w:rPr>
      </w:pPr>
    </w:p>
    <w:p>
      <w:pPr>
        <w:pStyle w:val="Heading7"/>
        <w:spacing w:line="240" w:lineRule="auto"/>
        <w:ind w:right="0"/>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50" w:lineRule="atLeast" w:before="32"/>
        <w:ind w:left="514" w:right="0"/>
        <w:jc w:val="left"/>
      </w:pPr>
      <w:r>
        <w:rPr/>
        <w:t>本集团将所有控制的子公司及结构化主体纳入合并财务报表范围。 </w:t>
      </w:r>
      <w:r>
        <w:rPr>
          <w:spacing w:val="-2"/>
        </w:rPr>
        <w:t>对于同一控制下企业合并取得的子公司，其经营成果和现金流量自合并当期期初纳入合并财务报表。编制比较合并财务</w:t>
      </w:r>
    </w:p>
    <w:p>
      <w:pPr>
        <w:pStyle w:val="BodyText"/>
        <w:spacing w:line="240" w:lineRule="auto" w:before="76"/>
        <w:ind w:right="0"/>
        <w:jc w:val="left"/>
      </w:pPr>
      <w:r>
        <w:rPr/>
        <w:t>报表时，对上年财务报表的相关项目进行调整，视同合并后形成的报告主体自最终控制方开始控制时点起一直存在。</w:t>
      </w:r>
    </w:p>
    <w:p>
      <w:pPr>
        <w:spacing w:line="240" w:lineRule="auto" w:before="3"/>
        <w:rPr>
          <w:rFonts w:ascii="宋体" w:hAnsi="宋体" w:cs="宋体" w:eastAsia="宋体" w:hint="default"/>
          <w:sz w:val="24"/>
          <w:szCs w:val="24"/>
        </w:rPr>
      </w:pPr>
    </w:p>
    <w:p>
      <w:pPr>
        <w:pStyle w:val="BodyText"/>
        <w:spacing w:line="316" w:lineRule="auto"/>
        <w:ind w:right="1131" w:firstLine="360"/>
        <w:jc w:val="both"/>
      </w:pPr>
      <w:r>
        <w:rPr>
          <w:spacing w:val="-2"/>
        </w:rPr>
        <w:t>通过多次交易分步取得同一控制下被投资单位的股权，最终形成企业合并的，应在取得控制权的报告期，补充披露在合</w:t>
      </w:r>
      <w:r>
        <w:rPr/>
        <w:t> </w:t>
      </w:r>
      <w:r>
        <w:rPr>
          <w:spacing w:val="-2"/>
        </w:rPr>
        <w:t>并财务报表中的处理方法。例如：通过多次交易分步取得同一控制下被投资单位的股权，最终形成企业合并，编制合并报表</w:t>
      </w:r>
      <w:r>
        <w:rPr>
          <w:spacing w:val="-66"/>
        </w:rPr>
        <w:t> </w:t>
      </w:r>
      <w:r>
        <w:rPr>
          <w:spacing w:val="-66"/>
        </w:rPr>
      </w:r>
      <w:r>
        <w:rPr>
          <w:spacing w:val="-2"/>
        </w:rPr>
        <w:t>时，视同在最终控制方开始控制时即以目前的状态存在进行调整，在编制比较报表时，以不早于本集团和被合并方同处于最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终控制方的控制之下的时点为限，将被合并方的有关资产、负债并入本集团合并财务报表的比较报表中，并将合并而增加的</w:t>
      </w:r>
      <w:r>
        <w:rPr>
          <w:spacing w:val="-66"/>
        </w:rPr>
        <w:t> </w:t>
      </w:r>
      <w:r>
        <w:rPr>
          <w:spacing w:val="-66"/>
        </w:rPr>
      </w:r>
      <w:r>
        <w:rPr>
          <w:spacing w:val="-2"/>
        </w:rPr>
        <w:t>净资产在比较报表中调整所有者权益项下的相关项目。为避免对被合并方净资产的价值进行重复计算，本集团在达到合并之</w:t>
      </w:r>
      <w:r>
        <w:rPr>
          <w:spacing w:val="-64"/>
        </w:rPr>
        <w:t> </w:t>
      </w:r>
      <w:r>
        <w:rPr>
          <w:spacing w:val="-64"/>
        </w:rPr>
      </w:r>
      <w:r>
        <w:rPr>
          <w:spacing w:val="-2"/>
        </w:rPr>
        <w:t>前持有的长期股权投资，在取得原股权之日与本集团和被合并方处于同一方最终控制之日孰晚日起至合并日之间已确认有关</w:t>
      </w:r>
      <w:r>
        <w:rPr>
          <w:spacing w:val="-64"/>
        </w:rPr>
        <w:t> </w:t>
      </w:r>
      <w:r>
        <w:rPr>
          <w:spacing w:val="-64"/>
        </w:rPr>
      </w:r>
      <w:r>
        <w:rPr/>
        <w:t>损益、其他综合收益和其他净资产变动，应分别冲减比较报表期间的期初留存收益和当期损益。</w:t>
      </w:r>
    </w:p>
    <w:p>
      <w:pPr>
        <w:spacing w:line="240" w:lineRule="auto" w:before="11"/>
        <w:rPr>
          <w:rFonts w:ascii="宋体" w:hAnsi="宋体" w:cs="宋体" w:eastAsia="宋体" w:hint="default"/>
          <w:sz w:val="19"/>
          <w:szCs w:val="19"/>
        </w:rPr>
      </w:pPr>
    </w:p>
    <w:p>
      <w:pPr>
        <w:pStyle w:val="BodyText"/>
        <w:spacing w:line="316" w:lineRule="auto"/>
        <w:ind w:right="1132" w:firstLine="360"/>
        <w:jc w:val="both"/>
      </w:pPr>
      <w:r>
        <w:rPr>
          <w:spacing w:val="-2"/>
        </w:rPr>
        <w:t>对于非同一控制下企业合并取得子公司，经营成果和现金流量自本集团取得控制权之日起纳入合并财务报表。在编制合</w:t>
      </w:r>
      <w:r>
        <w:rPr/>
        <w:t> 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通过多次交易分步取得非同一控制下被投资单位的股权，最终形成企业合并的，应在取得控制权的报告期，补充披露在</w:t>
      </w:r>
      <w:r>
        <w:rPr/>
        <w:t> </w:t>
      </w:r>
      <w:r>
        <w:rPr>
          <w:spacing w:val="-2"/>
        </w:rPr>
        <w:t>合并财务报表中的处理方法。例如：通过多次交易分步取得非同一控制下被投资单位的股权，最终形成企业合并，编制合并</w:t>
      </w:r>
      <w:r>
        <w:rPr>
          <w:spacing w:val="-66"/>
        </w:rPr>
        <w:t> </w:t>
      </w:r>
      <w:r>
        <w:rPr>
          <w:spacing w:val="-66"/>
        </w:rPr>
      </w:r>
      <w:r>
        <w:rPr>
          <w:spacing w:val="-2"/>
        </w:rPr>
        <w:t>报表时，对于购买日之前持有的被购买方的股权，按照该股权在购买日的公允价值进行重新计量，公允价值与其账面价值的</w:t>
      </w:r>
      <w:r>
        <w:rPr>
          <w:spacing w:val="-66"/>
        </w:rPr>
        <w:t> </w:t>
      </w:r>
      <w:r>
        <w:rPr>
          <w:spacing w:val="-66"/>
        </w:rPr>
      </w:r>
      <w:r>
        <w:rPr>
          <w:spacing w:val="-2"/>
        </w:rPr>
        <w:t>差额计入当期投资收益；与其相关的购买日之前持有的被购买方的股权涉及权益法核算下的其他综合收益以及除净损益、其</w:t>
      </w:r>
      <w:r>
        <w:rPr>
          <w:spacing w:val="-64"/>
        </w:rPr>
        <w:t> </w:t>
      </w:r>
      <w:r>
        <w:rPr>
          <w:spacing w:val="-64"/>
        </w:rPr>
      </w:r>
      <w:r>
        <w:rPr>
          <w:spacing w:val="-2"/>
        </w:rPr>
        <w:t>他综合收益和利润分配外的其他所有者权益变动，在购买日所属当期转为投资损益，由于被投资方重新计量设定受益计划净</w:t>
      </w:r>
      <w:r>
        <w:rPr>
          <w:spacing w:val="-64"/>
        </w:rPr>
        <w:t> </w:t>
      </w:r>
      <w:r>
        <w:rPr>
          <w:spacing w:val="-64"/>
        </w:rPr>
      </w:r>
      <w:r>
        <w:rPr/>
        <w:t>负债或净资产变动而产生的其他综合收益除外。</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本集团在不丧失控制权的情况下部分处置对子公司的长期股权投资，在合并财务报表中，处置价款与处置长期股权投资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相对应享有子公司自购买日或合并日开始持续计算的净资产份额之间的差额，调整资本溢价或股本溢价，资本公积不足冲减</w:t>
      </w:r>
      <w:r>
        <w:rPr>
          <w:spacing w:val="-64"/>
        </w:rPr>
        <w:t> </w:t>
      </w:r>
      <w:r>
        <w:rPr>
          <w:spacing w:val="-64"/>
        </w:rPr>
      </w:r>
      <w:r>
        <w:rPr/>
        <w:t>的，调整留存收益。</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本集团因处置部分股权投资等原因丧失了对被投资方的控制权的，在编制合并财务报表时，对于剩余股权，按照其在丧</w:t>
      </w:r>
      <w:r>
        <w:rPr/>
        <w:t> </w:t>
      </w: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公司自购买日或合并日开始持续计算的净资产的份额之间的差额，计入丧失控制权当期的投资损益，同时冲减商誉。与原有</w:t>
      </w:r>
      <w:r>
        <w:rPr>
          <w:spacing w:val="-66"/>
        </w:rPr>
        <w:t> </w:t>
      </w:r>
      <w:r>
        <w:rPr>
          <w:spacing w:val="-66"/>
        </w:rPr>
      </w:r>
      <w:r>
        <w:rPr/>
        <w:t>子公司股权投资相关的其他综合收益等，在丧失控制权时转为当期投资损益。</w:t>
      </w:r>
    </w:p>
    <w:p>
      <w:pPr>
        <w:spacing w:line="240" w:lineRule="auto" w:before="11"/>
        <w:rPr>
          <w:rFonts w:ascii="宋体" w:hAnsi="宋体" w:cs="宋体" w:eastAsia="宋体" w:hint="default"/>
          <w:sz w:val="19"/>
          <w:szCs w:val="19"/>
        </w:rPr>
      </w:pPr>
    </w:p>
    <w:p>
      <w:pPr>
        <w:pStyle w:val="BodyText"/>
        <w:spacing w:line="316" w:lineRule="auto"/>
        <w:ind w:right="1131" w:firstLine="360"/>
        <w:jc w:val="both"/>
      </w:pPr>
      <w:r>
        <w:rPr>
          <w:spacing w:val="-2"/>
        </w:rPr>
        <w:t>本集团通过多次交易分步处置对子公司股权投资直至丧失控制权的，如果处置对子公司股权投资直至丧失控制权的各项</w:t>
      </w:r>
      <w:r>
        <w:rPr/>
        <w:t> </w:t>
      </w:r>
      <w:r>
        <w:rPr>
          <w:spacing w:val="-2"/>
        </w:rPr>
        <w:t>交易属于一揽子交易的，应当将各项交易作为一项处置子公司并丧失控制权的交易进行会计处理；但是，在丧失控制权之前</w:t>
      </w:r>
      <w:r>
        <w:rPr>
          <w:spacing w:val="-66"/>
        </w:rPr>
        <w:t> </w:t>
      </w:r>
      <w:r>
        <w:rPr>
          <w:spacing w:val="-66"/>
        </w:rPr>
      </w:r>
      <w:r>
        <w:rPr>
          <w:spacing w:val="-2"/>
        </w:rPr>
        <w:t>每一次处置价款与处置投资对应的享有该子公司净资产份额的差额，在合并财务报表中确认为其他综合收益，在丧失控制权</w:t>
      </w:r>
      <w:r>
        <w:rPr>
          <w:spacing w:val="-64"/>
        </w:rPr>
        <w:t> </w:t>
      </w:r>
      <w:r>
        <w:rPr>
          <w:spacing w:val="-64"/>
        </w:rPr>
      </w:r>
      <w:r>
        <w:rPr/>
        <w:t>时一并转入丧失控制权当期的投资损益。</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本集团的合营安排包括共同经营和合营企业。对于共同经营项目，本集团作为共同经营中的合营方确认单独持有的资产</w:t>
      </w:r>
      <w:r>
        <w:rPr/>
        <w:t> </w:t>
      </w:r>
      <w:r>
        <w:rPr>
          <w:spacing w:val="-2"/>
        </w:rPr>
        <w:t>和承担的负债，以及按份额确认持有的资产和承担的负债，根据相关约定单独或按份额确认相关的收入和费用。与共同经营</w:t>
      </w:r>
      <w:r>
        <w:rPr>
          <w:spacing w:val="-66"/>
        </w:rPr>
        <w:t> </w:t>
      </w:r>
      <w:r>
        <w:rPr>
          <w:spacing w:val="-66"/>
        </w:rPr>
      </w:r>
      <w:r>
        <w:rPr/>
        <w:t>发生购买、销售不构成业务的资产交易的，仅确认因该交易产生的损益中归属于共同经营其他参与方的部分。</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268" w:lineRule="auto"/>
        <w:ind w:right="1040" w:firstLine="360"/>
        <w:jc w:val="both"/>
        <w:rPr>
          <w:sz w:val="22"/>
          <w:szCs w:val="22"/>
        </w:rPr>
      </w:pPr>
      <w:r>
        <w:rPr>
          <w:spacing w:val="-2"/>
        </w:rPr>
        <w:t>本集团现金流量表之现金指库存现金以及可以随时用于支付的存款。现金流量表之现金等价物指持有期限不超过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个月、</w:t>
      </w:r>
      <w:r>
        <w:rPr/>
        <w:t> 流动性强、易于转换为已知金额现金且价值变动风险很小的投资</w:t>
      </w:r>
      <w:r>
        <w:rPr>
          <w:sz w:val="22"/>
          <w:szCs w:val="22"/>
        </w:rPr>
        <w:t>。</w:t>
      </w:r>
    </w:p>
    <w:p>
      <w:pPr>
        <w:spacing w:line="240" w:lineRule="auto" w:before="6"/>
        <w:rPr>
          <w:rFonts w:ascii="宋体" w:hAnsi="宋体" w:cs="宋体" w:eastAsia="宋体" w:hint="default"/>
          <w:sz w:val="23"/>
          <w:szCs w:val="23"/>
        </w:rPr>
      </w:pPr>
    </w:p>
    <w:p>
      <w:pPr>
        <w:pStyle w:val="Heading7"/>
        <w:spacing w:line="240" w:lineRule="auto"/>
        <w:ind w:right="0"/>
        <w:jc w:val="both"/>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50" w:lineRule="atLeast" w:before="46"/>
        <w:ind w:left="514" w:right="1122" w:firstLine="73"/>
        <w:jc w:val="left"/>
      </w:pPr>
      <w:r>
        <w:rPr>
          <w:rFonts w:ascii="Times New Roman" w:hAnsi="Times New Roman" w:cs="Times New Roman" w:eastAsia="Times New Roman" w:hint="default"/>
        </w:rPr>
        <w:t>(1)</w:t>
      </w:r>
      <w:r>
        <w:rPr/>
        <w:t>外币交易</w:t>
      </w:r>
      <w:r>
        <w:rPr>
          <w:w w:val="99"/>
        </w:rPr>
        <w:t> </w:t>
      </w:r>
      <w:r>
        <w:rPr/>
        <w:t>本集团外币交易按发生当月</w:t>
      </w:r>
      <w:r>
        <w:rPr>
          <w:rFonts w:ascii="Times New Roman" w:hAnsi="Times New Roman" w:cs="Times New Roman" w:eastAsia="Times New Roman" w:hint="default"/>
        </w:rPr>
        <w:t>1</w:t>
      </w:r>
      <w:r>
        <w:rPr/>
        <w:t>日的中国人民银行公布的市场汇价（中间价）将外币金额折算为人民币金额。于资产负债</w:t>
      </w:r>
    </w:p>
    <w:p>
      <w:pPr>
        <w:pStyle w:val="BodyText"/>
        <w:spacing w:line="240" w:lineRule="auto" w:before="63"/>
        <w:ind w:right="0"/>
        <w:jc w:val="both"/>
      </w:pPr>
      <w:r>
        <w:rPr/>
        <w:t>表日，外币货币性项目采用资产负债表日的即期汇率折算为人民币，所产生的折算差额除了为购建或生产符合资本化条件的</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资产而借入的外币专门借款产生的汇兑差额按资本化的原则处理外，直接计入当期损益。</w:t>
      </w:r>
    </w:p>
    <w:p>
      <w:pPr>
        <w:pStyle w:val="BodyText"/>
        <w:spacing w:line="550" w:lineRule="atLeast" w:before="15"/>
        <w:ind w:left="514" w:right="0"/>
        <w:jc w:val="left"/>
      </w:pPr>
      <w:r>
        <w:rPr>
          <w:rFonts w:ascii="Times New Roman" w:hAnsi="Times New Roman" w:cs="Times New Roman" w:eastAsia="Times New Roman" w:hint="default"/>
        </w:rPr>
        <w:t>(2)</w:t>
      </w:r>
      <w:r>
        <w:rPr/>
        <w:t>外币财务报表的折算</w:t>
      </w:r>
      <w:r>
        <w:rPr>
          <w:w w:val="99"/>
        </w:rPr>
        <w:t> </w:t>
      </w:r>
      <w:r>
        <w:rPr/>
        <w:t>外币资产负债表中资产、负债类项目采用资产负债表日的即期汇率折算；所有者权益类项目除</w:t>
      </w:r>
      <w:r>
        <w:rPr>
          <w:rFonts w:ascii="Times New Roman" w:hAnsi="Times New Roman" w:cs="Times New Roman" w:eastAsia="Times New Roman" w:hint="default"/>
        </w:rPr>
        <w:t>“</w:t>
      </w:r>
      <w:r>
        <w:rPr/>
        <w:t>合并现金流量表补充资</w:t>
      </w:r>
    </w:p>
    <w:p>
      <w:pPr>
        <w:pStyle w:val="BodyText"/>
        <w:spacing w:line="309" w:lineRule="auto" w:before="63"/>
        <w:ind w:right="1130"/>
        <w:jc w:val="both"/>
      </w:pPr>
      <w:r>
        <w:rPr>
          <w:spacing w:val="-2"/>
        </w:rPr>
        <w:t>料利润</w:t>
      </w:r>
      <w:r>
        <w:rPr>
          <w:rFonts w:ascii="Times New Roman" w:hAnsi="Times New Roman" w:cs="Times New Roman" w:eastAsia="Times New Roman" w:hint="default"/>
          <w:spacing w:val="-2"/>
        </w:rPr>
        <w:t>”</w:t>
      </w:r>
      <w:r>
        <w:rPr>
          <w:spacing w:val="-2"/>
        </w:rPr>
        <w:t>外，均按业务发生时的即期汇率折算；利润表中的收入与费用项目，采用交易发生当月</w:t>
      </w:r>
      <w:r>
        <w:rPr>
          <w:rFonts w:ascii="Times New Roman" w:hAnsi="Times New Roman" w:cs="Times New Roman" w:eastAsia="Times New Roman" w:hint="default"/>
          <w:spacing w:val="-2"/>
        </w:rPr>
        <w:t>1</w:t>
      </w:r>
      <w:r>
        <w:rPr>
          <w:spacing w:val="-2"/>
        </w:rPr>
        <w:t>日的中国人民银行公布的市</w:t>
      </w:r>
      <w:r>
        <w:rPr>
          <w:spacing w:val="-52"/>
        </w:rPr>
        <w:t> </w:t>
      </w:r>
      <w:r>
        <w:rPr>
          <w:spacing w:val="-2"/>
        </w:rPr>
        <w:t>场汇价（中间价）折算。上述折算产生的外币报表折算差额，在其他综合收益项目中列示。外币现金流量采用现金流量发生</w:t>
      </w:r>
      <w:r>
        <w:rPr>
          <w:spacing w:val="-66"/>
        </w:rPr>
        <w:t> </w:t>
      </w:r>
      <w:r>
        <w:rPr>
          <w:spacing w:val="-66"/>
        </w:rPr>
      </w:r>
      <w:r>
        <w:rPr/>
        <w:t>当月</w:t>
      </w:r>
      <w:r>
        <w:rPr>
          <w:rFonts w:ascii="Times New Roman" w:hAnsi="Times New Roman" w:cs="Times New Roman" w:eastAsia="Times New Roman" w:hint="default"/>
        </w:rPr>
        <w:t>1</w:t>
      </w:r>
      <w:r>
        <w:rPr/>
        <w:t>日的中国人民银行公布的市场汇价（中间价）折算。汇率变动对现金的影响额，在现金流量表中单独列示。</w:t>
      </w:r>
    </w:p>
    <w:p>
      <w:pPr>
        <w:spacing w:line="240" w:lineRule="auto" w:before="6"/>
        <w:rPr>
          <w:rFonts w:ascii="宋体" w:hAnsi="宋体" w:cs="宋体" w:eastAsia="宋体" w:hint="default"/>
          <w:sz w:val="21"/>
          <w:szCs w:val="21"/>
        </w:rPr>
      </w:pPr>
    </w:p>
    <w:p>
      <w:pPr>
        <w:spacing w:line="528" w:lineRule="auto" w:before="0"/>
        <w:ind w:left="514" w:right="9162" w:hanging="360"/>
        <w:jc w:val="left"/>
        <w:rPr>
          <w:rFonts w:ascii="宋体" w:hAnsi="宋体" w:cs="宋体" w:eastAsia="宋体" w:hint="default"/>
          <w:sz w:val="18"/>
          <w:szCs w:val="18"/>
        </w:rPr>
      </w:pPr>
      <w:bookmarkStart w:name="10、金融工具" w:id="183"/>
      <w:bookmarkEnd w:id="18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金融资产分类</w:t>
      </w:r>
    </w:p>
    <w:p>
      <w:pPr>
        <w:pStyle w:val="BodyText"/>
        <w:spacing w:line="316" w:lineRule="auto" w:before="63"/>
        <w:ind w:right="1131" w:firstLine="360"/>
        <w:jc w:val="both"/>
      </w:pPr>
      <w:r>
        <w:rPr>
          <w:spacing w:val="-2"/>
        </w:rPr>
        <w:t>本集团按投资目的和经济实质对拥有的金融资产分为以公允价值计量且其变动计入当期损益的金融资产、持有至到期投</w:t>
      </w:r>
      <w:r>
        <w:rPr/>
        <w:t> 资、贷款和应收款项及可供出售金融资产四大类。</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以公允价值计量且其变动计入当期损益的金融资产是指持有的主要目的为短期内出售的金融资产，在资产负债表中以交</w:t>
      </w:r>
      <w:r>
        <w:rPr/>
        <w:t> 易性金融资产列示。</w:t>
      </w:r>
    </w:p>
    <w:p>
      <w:pPr>
        <w:spacing w:line="240" w:lineRule="auto" w:before="10"/>
        <w:rPr>
          <w:rFonts w:ascii="宋体" w:hAnsi="宋体" w:cs="宋体" w:eastAsia="宋体" w:hint="default"/>
          <w:sz w:val="19"/>
          <w:szCs w:val="19"/>
        </w:rPr>
      </w:pPr>
    </w:p>
    <w:p>
      <w:pPr>
        <w:pStyle w:val="BodyText"/>
        <w:spacing w:line="561" w:lineRule="auto"/>
        <w:ind w:left="514" w:right="1032"/>
        <w:jc w:val="left"/>
      </w:pPr>
      <w:r>
        <w:rPr/>
        <w:t>持有至到期投资是指到期日固定、回收金额固定或可确定，且管理层有明确意图和能力持有至到期的非衍生金融资产。</w:t>
      </w:r>
      <w:r>
        <w:rPr>
          <w:spacing w:val="-85"/>
        </w:rPr>
        <w:t> </w:t>
      </w:r>
      <w:r>
        <w:rPr>
          <w:spacing w:val="-85"/>
        </w:rPr>
      </w:r>
      <w:r>
        <w:rPr/>
        <w:t>贷款和应收款项是指在活跃市场中没有报价，回收金额固定或可确定的非衍生金融资产。 可供出售金融资产包括初始确认时即被指定为可供出售的非衍生金融资产及未被划分为其他类的金融资产。 </w:t>
      </w:r>
      <w:r>
        <w:rPr>
          <w:rFonts w:ascii="Times New Roman" w:hAnsi="Times New Roman" w:cs="Times New Roman" w:eastAsia="Times New Roman" w:hint="default"/>
        </w:rPr>
        <w:t>2)</w:t>
      </w:r>
      <w:r>
        <w:rPr/>
        <w:t>金融资产确认与计量</w:t>
      </w:r>
    </w:p>
    <w:p>
      <w:pPr>
        <w:pStyle w:val="BodyText"/>
        <w:spacing w:line="316" w:lineRule="auto" w:before="35"/>
        <w:ind w:right="1130" w:firstLine="360"/>
        <w:jc w:val="both"/>
      </w:pPr>
      <w:r>
        <w:rPr>
          <w:spacing w:val="-2"/>
        </w:rPr>
        <w:t>金融资产于本集团成为金融工具合同的一方时，按公允价值在资产负债表内确认。以公允价值计量且其变动计入当期损</w:t>
      </w:r>
      <w:r>
        <w:rPr/>
        <w:t> 益的金融资产，取得时发生的相关交易费用计入当期损益，其他金融资产的相关交易费用计入初始确认金额。</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以公允价值计量且其变动计入当期损益的金融资产和可供出售金融资产按照公允价值进行后续计量；贷款和应收款项以</w:t>
      </w:r>
      <w:r>
        <w:rPr/>
        <w:t> 及持有至到期投资采用实际利率法，以摊余成本列示。</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以公允价值计量且其变动计入当期损益的金融资产的公允价值变动计入公允价值变动损益；在资产持有期间所取得的利</w:t>
      </w:r>
      <w:r>
        <w:rPr/>
        <w:t> </w:t>
      </w:r>
      <w:r>
        <w:rPr>
          <w:spacing w:val="-2"/>
        </w:rPr>
        <w:t>息或现金股利，确认为投资收益；处置时，其公允价值与初始入账金额之间的差额确认为投资损益，同时调整公允价值变动</w:t>
      </w:r>
      <w:r>
        <w:rPr>
          <w:spacing w:val="-66"/>
        </w:rPr>
        <w:t> </w:t>
      </w:r>
      <w:r>
        <w:rPr>
          <w:spacing w:val="-66"/>
        </w:rPr>
      </w:r>
      <w:r>
        <w:rPr/>
        <w:t>损益。</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除减值损失及外币货币性金融资产形成的汇兑损益外，可供出售金融资产公允价值变动直接计入股东权益，待该金融资</w:t>
      </w:r>
      <w:r>
        <w:rPr/>
        <w:t> </w:t>
      </w:r>
      <w:r>
        <w:rPr>
          <w:spacing w:val="-2"/>
        </w:rPr>
        <w:t>产终止确认时，原直接计入权益的公允价值变动累计额转入当期损益。可供出售债务工具投资在持有期间按实际利率法计算</w:t>
      </w:r>
      <w:r>
        <w:rPr>
          <w:spacing w:val="-64"/>
        </w:rPr>
        <w:t> </w:t>
      </w:r>
      <w:r>
        <w:rPr>
          <w:spacing w:val="-64"/>
        </w:rPr>
      </w:r>
      <w:r>
        <w:rPr/>
        <w:t>的利息，以及被投资单位宣告发放的与可供出售权益工具投资相关的现金股利，作为投资收益计入当期损益。</w:t>
      </w:r>
    </w:p>
    <w:p>
      <w:pPr>
        <w:pStyle w:val="BodyText"/>
        <w:spacing w:line="552" w:lineRule="exact" w:before="28"/>
        <w:ind w:left="514" w:right="1032"/>
        <w:jc w:val="left"/>
      </w:pPr>
      <w:r>
        <w:rPr>
          <w:rFonts w:ascii="Times New Roman" w:hAnsi="Times New Roman" w:cs="Times New Roman" w:eastAsia="Times New Roman" w:hint="default"/>
        </w:rPr>
        <w:t>3)</w:t>
      </w:r>
      <w:r>
        <w:rPr/>
        <w:t>金融资产减值</w:t>
      </w:r>
      <w:r>
        <w:rPr>
          <w:w w:val="99"/>
        </w:rPr>
        <w:t> </w:t>
      </w:r>
      <w:r>
        <w:rPr/>
        <w:t>除以公允价值计量且其变动计入当期损益的金融资产外，本集团于资产负债表日对其他金融资产的账面价值进行检查，</w:t>
      </w:r>
    </w:p>
    <w:p>
      <w:pPr>
        <w:pStyle w:val="BodyText"/>
        <w:spacing w:line="227" w:lineRule="exact"/>
        <w:ind w:right="0"/>
        <w:jc w:val="left"/>
      </w:pPr>
      <w:r>
        <w:rPr/>
        <w:t>如果有客观证据表明某项金融资产发生减值的，计提减值准备。</w:t>
      </w:r>
    </w:p>
    <w:p>
      <w:pPr>
        <w:spacing w:after="0" w:line="227"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74" w:right="113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spacing w:line="240" w:lineRule="auto" w:before="3"/>
        <w:rPr>
          <w:rFonts w:ascii="宋体" w:hAnsi="宋体" w:cs="宋体" w:eastAsia="宋体" w:hint="default"/>
          <w:sz w:val="20"/>
          <w:szCs w:val="20"/>
        </w:rPr>
      </w:pPr>
    </w:p>
    <w:p>
      <w:pPr>
        <w:pStyle w:val="BodyText"/>
        <w:spacing w:line="316" w:lineRule="auto"/>
        <w:ind w:left="174" w:right="1133" w:firstLine="360"/>
        <w:jc w:val="both"/>
      </w:pPr>
      <w:r>
        <w:rPr>
          <w:spacing w:val="-2"/>
        </w:rPr>
        <w:t>贷款采用以风险为基础的分类方法（简称贷款风险分类法），即把贷款分为正常、关注、次级、可疑和损失五类，五级</w:t>
      </w:r>
      <w:r>
        <w:rPr/>
        <w:t> 分类如下：</w:t>
      </w:r>
    </w:p>
    <w:p>
      <w:pPr>
        <w:pStyle w:val="BodyText"/>
        <w:spacing w:line="300" w:lineRule="auto" w:before="19"/>
        <w:ind w:left="174" w:right="1130" w:firstLine="360"/>
        <w:jc w:val="both"/>
      </w:pPr>
      <w:r>
        <w:rPr/>
        <w:t>①正常：借款人经营正常并按时还本付息，或逾期</w:t>
      </w:r>
      <w:r>
        <w:rPr>
          <w:rFonts w:ascii="Times New Roman" w:hAnsi="Times New Roman" w:cs="Times New Roman" w:eastAsia="Times New Roman" w:hint="default"/>
        </w:rPr>
        <w:t>10</w:t>
      </w:r>
      <w:r>
        <w:rPr/>
        <w:t>天之内或欠息</w:t>
      </w:r>
      <w:r>
        <w:rPr>
          <w:rFonts w:ascii="Times New Roman" w:hAnsi="Times New Roman" w:cs="Times New Roman" w:eastAsia="Times New Roman" w:hint="default"/>
        </w:rPr>
        <w:t>3</w:t>
      </w:r>
      <w:r>
        <w:rPr/>
        <w:t>个工作日（不含）之内，在没有足够理由怀疑贷款 本息不能足额偿还情况下，可认定为正常类。</w:t>
      </w:r>
    </w:p>
    <w:p>
      <w:pPr>
        <w:pStyle w:val="BodyText"/>
        <w:spacing w:line="300" w:lineRule="auto" w:before="31"/>
        <w:ind w:left="174" w:right="1129" w:firstLine="360"/>
        <w:jc w:val="both"/>
      </w:pPr>
      <w:r>
        <w:rPr/>
        <w:t>②关注：若贷款出现逾期</w:t>
      </w:r>
      <w:r>
        <w:rPr>
          <w:rFonts w:ascii="Times New Roman" w:hAnsi="Times New Roman" w:cs="Times New Roman" w:eastAsia="Times New Roman" w:hint="default"/>
        </w:rPr>
        <w:t>10</w:t>
      </w:r>
      <w:r>
        <w:rPr/>
        <w:t>天</w:t>
      </w:r>
      <w:r>
        <w:rPr>
          <w:rFonts w:ascii="Times New Roman" w:hAnsi="Times New Roman" w:cs="Times New Roman" w:eastAsia="Times New Roman" w:hint="default"/>
        </w:rPr>
        <w:t>(</w:t>
      </w:r>
      <w:r>
        <w:rPr/>
        <w:t>含）以上</w:t>
      </w:r>
      <w:r>
        <w:rPr>
          <w:rFonts w:ascii="Times New Roman" w:hAnsi="Times New Roman" w:cs="Times New Roman" w:eastAsia="Times New Roman" w:hint="default"/>
        </w:rPr>
        <w:t>1</w:t>
      </w:r>
      <w:r>
        <w:rPr/>
        <w:t>个月（不含）之内，或欠息</w:t>
      </w:r>
      <w:r>
        <w:rPr>
          <w:rFonts w:ascii="Times New Roman" w:hAnsi="Times New Roman" w:cs="Times New Roman" w:eastAsia="Times New Roman" w:hint="default"/>
        </w:rPr>
        <w:t>3</w:t>
      </w:r>
      <w:r>
        <w:rPr/>
        <w:t>个工作日（含）以上</w:t>
      </w:r>
      <w:r>
        <w:rPr>
          <w:rFonts w:ascii="Times New Roman" w:hAnsi="Times New Roman" w:cs="Times New Roman" w:eastAsia="Times New Roman" w:hint="default"/>
        </w:rPr>
        <w:t>10</w:t>
      </w:r>
      <w:r>
        <w:rPr/>
        <w:t>个工作日（不含）以下， 可认定为关注类；</w:t>
      </w:r>
    </w:p>
    <w:p>
      <w:pPr>
        <w:pStyle w:val="BodyText"/>
        <w:spacing w:line="300" w:lineRule="auto" w:before="31"/>
        <w:ind w:left="174" w:right="1129" w:firstLine="360"/>
        <w:jc w:val="both"/>
      </w:pPr>
      <w:r>
        <w:rPr/>
        <w:t>③次级：若贷款出现逾期</w:t>
      </w:r>
      <w:r>
        <w:rPr>
          <w:rFonts w:ascii="Times New Roman" w:hAnsi="Times New Roman" w:cs="Times New Roman" w:eastAsia="Times New Roman" w:hint="default"/>
        </w:rPr>
        <w:t>1</w:t>
      </w:r>
      <w:r>
        <w:rPr/>
        <w:t>个月（含）以上</w:t>
      </w:r>
      <w:r>
        <w:rPr>
          <w:rFonts w:ascii="Times New Roman" w:hAnsi="Times New Roman" w:cs="Times New Roman" w:eastAsia="Times New Roman" w:hint="default"/>
        </w:rPr>
        <w:t>3</w:t>
      </w:r>
      <w:r>
        <w:rPr/>
        <w:t>个月以下（不含），或欠息</w:t>
      </w:r>
      <w:r>
        <w:rPr>
          <w:rFonts w:ascii="Times New Roman" w:hAnsi="Times New Roman" w:cs="Times New Roman" w:eastAsia="Times New Roman" w:hint="default"/>
        </w:rPr>
        <w:t>10</w:t>
      </w:r>
      <w:r>
        <w:rPr/>
        <w:t>个工作日（含）</w:t>
      </w:r>
      <w:r>
        <w:rPr>
          <w:rFonts w:ascii="Times New Roman" w:hAnsi="Times New Roman" w:cs="Times New Roman" w:eastAsia="Times New Roman" w:hint="default"/>
        </w:rPr>
        <w:t>1</w:t>
      </w:r>
      <w:r>
        <w:rPr/>
        <w:t>个月（不含）以下，可以认 定为次级类；</w:t>
      </w:r>
    </w:p>
    <w:p>
      <w:pPr>
        <w:pStyle w:val="BodyText"/>
        <w:spacing w:line="300" w:lineRule="auto" w:before="31"/>
        <w:ind w:left="174" w:right="1129" w:firstLine="360"/>
        <w:jc w:val="both"/>
      </w:pPr>
      <w:r>
        <w:rPr>
          <w:spacing w:val="-2"/>
        </w:rPr>
        <w:t>④可疑：若贷款出现逾期</w:t>
      </w:r>
      <w:r>
        <w:rPr>
          <w:rFonts w:ascii="Times New Roman" w:hAnsi="Times New Roman" w:cs="Times New Roman" w:eastAsia="Times New Roman" w:hint="default"/>
          <w:spacing w:val="-2"/>
        </w:rPr>
        <w:t>3</w:t>
      </w:r>
      <w:r>
        <w:rPr>
          <w:spacing w:val="-2"/>
        </w:rPr>
        <w:t>个月（含）以上</w:t>
      </w:r>
      <w:r>
        <w:rPr>
          <w:rFonts w:ascii="Times New Roman" w:hAnsi="Times New Roman" w:cs="Times New Roman" w:eastAsia="Times New Roman" w:hint="default"/>
          <w:spacing w:val="-2"/>
        </w:rPr>
        <w:t>6</w:t>
      </w:r>
      <w:r>
        <w:rPr>
          <w:spacing w:val="-2"/>
        </w:rPr>
        <w:t>个月（不含）以下，或欠息</w:t>
      </w:r>
      <w:r>
        <w:rPr>
          <w:rFonts w:ascii="Times New Roman" w:hAnsi="Times New Roman" w:cs="Times New Roman" w:eastAsia="Times New Roman" w:hint="default"/>
          <w:spacing w:val="-2"/>
        </w:rPr>
        <w:t>1</w:t>
      </w:r>
      <w:r>
        <w:rPr>
          <w:spacing w:val="-2"/>
        </w:rPr>
        <w:t>个月（含）以上</w:t>
      </w:r>
      <w:r>
        <w:rPr>
          <w:rFonts w:ascii="Times New Roman" w:hAnsi="Times New Roman" w:cs="Times New Roman" w:eastAsia="Times New Roman" w:hint="default"/>
          <w:spacing w:val="-2"/>
        </w:rPr>
        <w:t>2</w:t>
      </w:r>
      <w:r>
        <w:rPr>
          <w:spacing w:val="-2"/>
        </w:rPr>
        <w:t>个月（不含）以下，认定为可</w:t>
      </w:r>
      <w:r>
        <w:rPr/>
        <w:t> 疑类；</w:t>
      </w:r>
    </w:p>
    <w:p>
      <w:pPr>
        <w:pStyle w:val="BodyText"/>
        <w:spacing w:line="415" w:lineRule="auto" w:before="31"/>
        <w:ind w:left="614" w:right="3553" w:hanging="81"/>
        <w:jc w:val="left"/>
      </w:pPr>
      <w:r>
        <w:rPr/>
        <w:pict>
          <v:shape style="position:absolute;margin-left:53.700001pt;margin-top:38.221706pt;width:488.2pt;height:121.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8"/>
                    <w:gridCol w:w="4821"/>
                  </w:tblGrid>
                  <w:tr>
                    <w:trPr>
                      <w:trHeight w:val="397"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正常类贷款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关注类贷款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次级类贷款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可疑类贷款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损失类贷款</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t>⑤损失：若贷款出现逾期</w:t>
      </w:r>
      <w:r>
        <w:rPr>
          <w:rFonts w:ascii="Times New Roman" w:hAnsi="Times New Roman" w:cs="Times New Roman" w:eastAsia="Times New Roman" w:hint="default"/>
        </w:rPr>
        <w:t>6</w:t>
      </w:r>
      <w:r>
        <w:rPr/>
        <w:t>个月（含）以上，或欠息</w:t>
      </w:r>
      <w:r>
        <w:rPr>
          <w:rFonts w:ascii="Times New Roman" w:hAnsi="Times New Roman" w:cs="Times New Roman" w:eastAsia="Times New Roman" w:hint="default"/>
        </w:rPr>
        <w:t>2</w:t>
      </w:r>
      <w:r>
        <w:rPr/>
        <w:t>个月（含）以上，认定为损失类。 结合现时情况确定以下坏账准备计提的比例：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12" w:lineRule="auto" w:before="44"/>
        <w:ind w:left="174" w:right="1131" w:firstLine="360"/>
        <w:jc w:val="both"/>
      </w:pPr>
      <w:r>
        <w:rPr>
          <w:spacing w:val="-1"/>
        </w:rPr>
        <w:t>当可供出售金融资产的公允价值下降</w:t>
      </w:r>
      <w:r>
        <w:rPr>
          <w:rFonts w:ascii="Times New Roman" w:hAnsi="Times New Roman" w:cs="Times New Roman" w:eastAsia="Times New Roman" w:hint="default"/>
          <w:spacing w:val="-1"/>
        </w:rPr>
        <w:t>10%</w:t>
      </w:r>
      <w:r>
        <w:rPr>
          <w:spacing w:val="-1"/>
        </w:rPr>
        <w:t>以上或未来</w:t>
      </w:r>
      <w:r>
        <w:rPr>
          <w:rFonts w:ascii="Times New Roman" w:hAnsi="Times New Roman" w:cs="Times New Roman" w:eastAsia="Times New Roman" w:hint="default"/>
          <w:spacing w:val="-1"/>
        </w:rPr>
        <w:t>12</w:t>
      </w:r>
      <w:r>
        <w:rPr>
          <w:spacing w:val="-1"/>
        </w:rPr>
        <w:t>个月内不能恢复的非暂时性下降，原直接计入股东权益的因公允</w:t>
      </w:r>
      <w:r>
        <w:rPr/>
        <w:t> </w:t>
      </w:r>
      <w:r>
        <w:rPr>
          <w:spacing w:val="-2"/>
        </w:rPr>
        <w:t>价值下降形成的累计损失予以转出并计入减值损失。对已确认减值损失的可供出售债务工具投资，在期后公允价值上升且客</w:t>
      </w:r>
      <w:r>
        <w:rPr>
          <w:spacing w:val="-64"/>
        </w:rPr>
        <w:t> </w:t>
      </w:r>
      <w:r>
        <w:rPr>
          <w:spacing w:val="-64"/>
        </w:rPr>
      </w:r>
      <w:r>
        <w:rPr>
          <w:spacing w:val="-2"/>
        </w:rPr>
        <w:t>观上与确认原减值损失后发生的事项有关的，原确认的减值损失予以转回并计入当期损益。对已确认减值损失的可供出售权</w:t>
      </w:r>
      <w:r>
        <w:rPr>
          <w:spacing w:val="-64"/>
        </w:rPr>
        <w:t> </w:t>
      </w:r>
      <w:r>
        <w:rPr>
          <w:spacing w:val="-64"/>
        </w:rPr>
      </w:r>
      <w:r>
        <w:rPr/>
        <w:t>益工具投资，期后公允价值上升直接计入股东权益。</w:t>
      </w:r>
    </w:p>
    <w:p>
      <w:pPr>
        <w:pStyle w:val="BodyText"/>
        <w:spacing w:line="552" w:lineRule="exact" w:before="31"/>
        <w:ind w:left="534" w:right="1032"/>
        <w:jc w:val="left"/>
      </w:pPr>
      <w:r>
        <w:rPr>
          <w:rFonts w:ascii="Times New Roman" w:hAnsi="Times New Roman" w:cs="Times New Roman" w:eastAsia="Times New Roman" w:hint="default"/>
        </w:rPr>
        <w:t>4)</w:t>
      </w:r>
      <w:r>
        <w:rPr/>
        <w:t>金融资产转移</w:t>
      </w:r>
      <w:r>
        <w:rPr>
          <w:w w:val="99"/>
        </w:rPr>
        <w:t> </w:t>
      </w:r>
      <w:r>
        <w:rPr>
          <w:spacing w:val="-2"/>
        </w:rPr>
        <w:t>金融资产满足下列条件之一的，予以终止确认：①收取该金融资产现金流量的合同权利终止；②该金融资产已转移，且</w:t>
      </w:r>
    </w:p>
    <w:p>
      <w:pPr>
        <w:pStyle w:val="BodyText"/>
        <w:spacing w:line="316" w:lineRule="auto"/>
        <w:ind w:left="174" w:right="1032"/>
        <w:jc w:val="left"/>
      </w:pPr>
      <w:r>
        <w:rPr>
          <w:spacing w:val="-2"/>
        </w:rPr>
        <w:t>本集团将金融资产所有权上几乎所有的风险和报酬转移给转入方；③该金融资产已转移，虽然本集团既没有转移也没有保留</w:t>
      </w:r>
      <w:r>
        <w:rPr>
          <w:spacing w:val="-63"/>
        </w:rPr>
        <w:t> </w:t>
      </w:r>
      <w:r>
        <w:rPr>
          <w:spacing w:val="-63"/>
        </w:rPr>
      </w:r>
      <w:r>
        <w:rPr/>
        <w:t>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left="174" w:right="1132" w:firstLine="360"/>
        <w:jc w:val="both"/>
      </w:pPr>
      <w:r>
        <w:rPr>
          <w:spacing w:val="-2"/>
        </w:rPr>
        <w:t>企业既没有转移也没有保留金融资产所有权上几乎所有的风险和报酬，且未放弃对该金融资产控制的，则按照其继续涉</w:t>
      </w:r>
      <w:r>
        <w:rPr/>
        <w:t> </w:t>
      </w:r>
      <w:r>
        <w:rPr>
          <w:spacing w:val="-2"/>
        </w:rPr>
        <w:t>入所转移金融资产的程度确认有关金融资产，并相应确认有关负债。继续涉入所转移金融资产的程度，是指该金融资产价值</w:t>
      </w:r>
      <w:r>
        <w:rPr>
          <w:spacing w:val="-66"/>
        </w:rPr>
        <w:t> </w:t>
      </w:r>
      <w:r>
        <w:rPr>
          <w:spacing w:val="-66"/>
        </w:rPr>
      </w:r>
      <w:r>
        <w:rPr/>
        <w:t>变动使企业面临的风险水平。</w:t>
      </w:r>
    </w:p>
    <w:p>
      <w:pPr>
        <w:spacing w:line="240" w:lineRule="auto" w:before="10"/>
        <w:rPr>
          <w:rFonts w:ascii="宋体" w:hAnsi="宋体" w:cs="宋体" w:eastAsia="宋体" w:hint="default"/>
          <w:sz w:val="19"/>
          <w:szCs w:val="19"/>
        </w:rPr>
      </w:pPr>
    </w:p>
    <w:p>
      <w:pPr>
        <w:pStyle w:val="BodyText"/>
        <w:spacing w:line="319" w:lineRule="auto"/>
        <w:ind w:left="174" w:right="1132" w:firstLine="360"/>
        <w:jc w:val="both"/>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spacing w:line="240" w:lineRule="auto" w:before="8"/>
        <w:rPr>
          <w:rFonts w:ascii="宋体" w:hAnsi="宋体" w:cs="宋体" w:eastAsia="宋体" w:hint="default"/>
          <w:sz w:val="19"/>
          <w:szCs w:val="19"/>
        </w:rPr>
      </w:pPr>
    </w:p>
    <w:p>
      <w:pPr>
        <w:pStyle w:val="BodyText"/>
        <w:spacing w:line="316" w:lineRule="auto"/>
        <w:ind w:left="174" w:right="1032"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spacing w:after="0" w:line="316" w:lineRule="auto"/>
        <w:jc w:val="left"/>
        <w:sectPr>
          <w:pgSz w:w="11910" w:h="16840"/>
          <w:pgMar w:header="747" w:footer="979" w:top="1060" w:bottom="1160" w:left="960" w:right="0"/>
        </w:sectPr>
      </w:pPr>
    </w:p>
    <w:p>
      <w:pPr>
        <w:spacing w:line="240" w:lineRule="auto" w:before="12"/>
        <w:rPr>
          <w:rFonts w:ascii="宋体" w:hAnsi="宋体" w:cs="宋体" w:eastAsia="宋体" w:hint="default"/>
          <w:sz w:val="25"/>
          <w:szCs w:val="25"/>
        </w:rPr>
      </w:pPr>
    </w:p>
    <w:p>
      <w:pPr>
        <w:pStyle w:val="BodyText"/>
        <w:spacing w:line="532" w:lineRule="auto" w:before="44"/>
        <w:ind w:left="514" w:right="1118"/>
        <w:jc w:val="left"/>
      </w:pPr>
      <w:r>
        <w:rPr>
          <w:rFonts w:ascii="Times New Roman" w:hAnsi="Times New Roman" w:cs="Times New Roman" w:eastAsia="Times New Roman" w:hint="default"/>
        </w:rPr>
        <w:t>(2)</w:t>
      </w:r>
      <w:r>
        <w:rPr/>
        <w:t>金融负债</w:t>
      </w:r>
      <w:r>
        <w:rPr>
          <w:w w:val="99"/>
        </w:rPr>
        <w:t> </w:t>
      </w:r>
      <w:r>
        <w:rPr/>
        <w:t>本集团的金融负债于初始确认时分类为以公允价值计量且其变动计入当期损益的金融负债和其他金融负债。</w:t>
      </w:r>
    </w:p>
    <w:p>
      <w:pPr>
        <w:pStyle w:val="BodyText"/>
        <w:spacing w:line="319" w:lineRule="auto" w:before="97"/>
        <w:ind w:right="1131" w:firstLine="360"/>
        <w:jc w:val="both"/>
      </w:pPr>
      <w:r>
        <w:rPr>
          <w:spacing w:val="-2"/>
        </w:rPr>
        <w:t>以公允价值计量且其变动计入当期损益的金融负债，包括交易性金融负债和初始确认时指定为以公允价值计量且其变动</w:t>
      </w:r>
      <w:r>
        <w:rPr/>
        <w:t> </w:t>
      </w:r>
      <w:r>
        <w:rPr>
          <w:spacing w:val="-2"/>
        </w:rPr>
        <w:t>计入当期损益的金融负债，按照公允价值进行后续计量，公允价值变动形成的利得或损失以及与该金融负债相关的股利和利</w:t>
      </w:r>
      <w:r>
        <w:rPr>
          <w:spacing w:val="-64"/>
        </w:rPr>
        <w:t> </w:t>
      </w:r>
      <w:r>
        <w:rPr>
          <w:spacing w:val="-64"/>
        </w:rPr>
      </w:r>
      <w:r>
        <w:rPr/>
        <w:t>息支出计入当期损益。</w:t>
      </w:r>
    </w:p>
    <w:p>
      <w:pPr>
        <w:pStyle w:val="BodyText"/>
        <w:spacing w:line="552" w:lineRule="exact" w:before="25"/>
        <w:ind w:left="514" w:right="0"/>
        <w:jc w:val="left"/>
      </w:pPr>
      <w:r>
        <w:rPr/>
        <w:t>其他金融负债采用实际利率法，按照摊余成本进行后续计量。 </w:t>
      </w:r>
      <w:r>
        <w:rPr>
          <w:spacing w:val="-2"/>
        </w:rPr>
        <w:t>当金融负债的现时义务全部或部分已经解除时，终止确认该金融负债或义务已解除的部分。终止确认部分的账面价值与</w:t>
      </w:r>
    </w:p>
    <w:p>
      <w:pPr>
        <w:pStyle w:val="BodyText"/>
        <w:spacing w:line="227" w:lineRule="exact"/>
        <w:ind w:right="0"/>
        <w:jc w:val="left"/>
      </w:pPr>
      <w:r>
        <w:rPr/>
        <w:t>支付的对价之间的差额，计入当期损益。</w:t>
      </w:r>
    </w:p>
    <w:p>
      <w:pPr>
        <w:pStyle w:val="BodyText"/>
        <w:spacing w:line="550" w:lineRule="atLeast" w:before="15"/>
        <w:ind w:left="514" w:right="1122"/>
        <w:jc w:val="left"/>
      </w:pPr>
      <w:r>
        <w:rPr>
          <w:rFonts w:ascii="Times New Roman" w:hAnsi="Times New Roman" w:cs="Times New Roman" w:eastAsia="Times New Roman" w:hint="default"/>
        </w:rPr>
        <w:t>(3)</w:t>
      </w:r>
      <w:r>
        <w:rPr/>
        <w:t>金融资产和金融负债的公允价值确定方法</w:t>
      </w:r>
      <w:r>
        <w:rPr>
          <w:w w:val="99"/>
        </w:rPr>
        <w:t> </w:t>
      </w:r>
      <w:r>
        <w:rPr>
          <w:rFonts w:ascii="Times New Roman" w:hAnsi="Times New Roman" w:cs="Times New Roman" w:eastAsia="Times New Roman" w:hint="default"/>
        </w:rPr>
        <w:t>1</w:t>
      </w:r>
      <w:r>
        <w:rPr/>
        <w:t>）金融工具存在活跃市场的，活跃市场中的市场报价用于确定其公允价值。在活跃市场上，本集团已持有的金融资产</w:t>
      </w:r>
    </w:p>
    <w:p>
      <w:pPr>
        <w:pStyle w:val="BodyText"/>
        <w:spacing w:line="316" w:lineRule="auto" w:before="63"/>
        <w:ind w:right="1032"/>
        <w:jc w:val="left"/>
      </w:pPr>
      <w:r>
        <w:rPr>
          <w:spacing w:val="-2"/>
        </w:rPr>
        <w:t>或拟承担的金融负债以现行出价作为相应资产或负债的公允价值；本集团拟购入的金融资产或已承担的金融负债以现行要价</w:t>
      </w:r>
      <w:r>
        <w:rPr>
          <w:spacing w:val="-64"/>
        </w:rPr>
        <w:t> </w:t>
      </w:r>
      <w:r>
        <w:rPr>
          <w:spacing w:val="-64"/>
        </w:rPr>
      </w:r>
      <w:r>
        <w:rPr>
          <w:spacing w:val="-4"/>
        </w:rPr>
        <w:t>作为相应资产或负债的公允价值。金融资产或金融负债没有现行出价和要价，但最近交易日后经济环境没有发生重大变化的，</w:t>
      </w:r>
      <w:r>
        <w:rPr>
          <w:spacing w:val="-44"/>
        </w:rPr>
        <w:t> </w:t>
      </w:r>
      <w:r>
        <w:rPr>
          <w:spacing w:val="-44"/>
        </w:rPr>
      </w:r>
      <w:r>
        <w:rPr>
          <w:spacing w:val="-2"/>
        </w:rPr>
        <w:t>则采用最近交易的市场报价确定该金融资产或金融负债的公允价值。最近交易日后经济环境发生了重大变化时，参考类似金</w:t>
      </w:r>
      <w:r>
        <w:rPr>
          <w:spacing w:val="-64"/>
        </w:rPr>
        <w:t> </w:t>
      </w:r>
      <w:r>
        <w:rPr>
          <w:spacing w:val="-64"/>
        </w:rPr>
      </w:r>
      <w:r>
        <w:rPr>
          <w:spacing w:val="-2"/>
        </w:rPr>
        <w:t>融资产或金融负债的现行价格或利率，调整最近交易的市场报价，以确定该金融资产或金融负债的公允价值。本集团有足够</w:t>
      </w:r>
      <w:r>
        <w:rPr>
          <w:spacing w:val="-66"/>
        </w:rPr>
        <w:t> </w:t>
      </w:r>
      <w:r>
        <w:rPr>
          <w:spacing w:val="-66"/>
        </w:rPr>
      </w:r>
      <w:r>
        <w:rPr>
          <w:spacing w:val="-2"/>
        </w:rPr>
        <w:t>的证据表明最近交易的市场报价不是公允价值的，对最近交易的市场报价作出适当调整，以确定该金融资产或金融负债的公</w:t>
      </w:r>
      <w:r>
        <w:rPr>
          <w:spacing w:val="-64"/>
        </w:rPr>
        <w:t> </w:t>
      </w:r>
      <w:r>
        <w:rPr>
          <w:spacing w:val="-64"/>
        </w:rPr>
      </w:r>
      <w:r>
        <w:rPr/>
        <w:t>允价值。</w:t>
      </w:r>
    </w:p>
    <w:p>
      <w:pPr>
        <w:spacing w:line="240" w:lineRule="auto" w:before="10"/>
        <w:rPr>
          <w:rFonts w:ascii="宋体" w:hAnsi="宋体" w:cs="宋体" w:eastAsia="宋体" w:hint="default"/>
          <w:sz w:val="19"/>
          <w:szCs w:val="19"/>
        </w:rPr>
      </w:pPr>
    </w:p>
    <w:p>
      <w:pPr>
        <w:pStyle w:val="BodyText"/>
        <w:spacing w:line="300" w:lineRule="auto"/>
        <w:ind w:right="1131" w:firstLine="360"/>
        <w:jc w:val="both"/>
      </w:pPr>
      <w:r>
        <w:rPr>
          <w:rFonts w:ascii="Times New Roman" w:hAnsi="Times New Roman" w:cs="Times New Roman" w:eastAsia="Times New Roman" w:hint="default"/>
        </w:rPr>
        <w:t>2</w:t>
      </w:r>
      <w:r>
        <w:rPr/>
        <w:t>）金融工具不存在活跃市场的，采用估值技术确定其公允价值。估值技术包括参考熟悉情况并自愿交易的各方最近进 行的市场交易中使用的价格、参照实质上相同的其他金融资产的当前公允价值、现金流量折现法和期权定价模型等。</w:t>
      </w:r>
    </w:p>
    <w:p>
      <w:pPr>
        <w:spacing w:line="240" w:lineRule="auto" w:before="6"/>
        <w:rPr>
          <w:rFonts w:ascii="宋体" w:hAnsi="宋体" w:cs="宋体" w:eastAsia="宋体" w:hint="default"/>
          <w:sz w:val="23"/>
          <w:szCs w:val="23"/>
        </w:rPr>
      </w:pPr>
    </w:p>
    <w:p>
      <w:pPr>
        <w:pStyle w:val="Heading7"/>
        <w:spacing w:line="240" w:lineRule="auto"/>
        <w:ind w:right="0"/>
        <w:jc w:val="left"/>
        <w:rPr>
          <w:b w:val="0"/>
          <w:bCs w:val="0"/>
        </w:rPr>
      </w:pPr>
      <w:bookmarkStart w:name="11、应收票据及应收账款" w:id="184"/>
      <w:bookmarkEnd w:id="18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单项金额重大并单独计提坏账准备的应收款项" w:id="185"/>
      <w:bookmarkEnd w:id="18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单项金额超过占应收款项总额的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以上或者金额位列前五 名的应收款项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2）按信用风险特征组合计提坏账准备的应收款项" w:id="186"/>
      <w:bookmarkEnd w:id="18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33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本公司及其子公司（除联动优势科技有限公司及其子公司）应收账款和其他应收款在各账龄段计提坏账准备得具体比例如下：</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81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26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联动优势科技有限公司及其子公司应收账款和其他应收款在各账龄段计提坏账准备得具体比例如下：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261"/>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81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3）单项金额不重大但单独计提坏账准备的应收款项" w:id="187"/>
      <w:bookmarkEnd w:id="18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款项，按账龄分析法计提的坏账准备不能反映实际情况，本 公司单独进行减值测试。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12、存货" w:id="188"/>
      <w:bookmarkEnd w:id="18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561" w:lineRule="auto" w:before="29"/>
        <w:ind w:left="514" w:right="0" w:hanging="360"/>
        <w:jc w:val="left"/>
      </w:pPr>
      <w:r>
        <w:rPr/>
        <w:t>软件与信息技术服务业 本集团存货主要包括原材料、包装物、低值易耗品、在产品、自制半成品、委托加工物资、库存商品及虚拟商品等。</w:t>
      </w:r>
    </w:p>
    <w:p>
      <w:pPr>
        <w:pStyle w:val="BodyText"/>
        <w:spacing w:line="316" w:lineRule="auto" w:before="75"/>
        <w:ind w:right="0" w:firstLine="360"/>
        <w:jc w:val="left"/>
      </w:pPr>
      <w:r>
        <w:rPr>
          <w:spacing w:val="-2"/>
        </w:rPr>
        <w:t>存货实行永续盘存制，存货在取得时按实际成本计价；领用或发出存货，采用加权平均法确定其实际成本。低值易耗品</w:t>
      </w:r>
      <w:r>
        <w:rPr/>
        <w:t> 和包装物采用一次转销法进行摊销。</w:t>
      </w:r>
    </w:p>
    <w:p>
      <w:pPr>
        <w:spacing w:line="240" w:lineRule="auto" w:before="10"/>
        <w:rPr>
          <w:rFonts w:ascii="宋体" w:hAnsi="宋体" w:cs="宋体" w:eastAsia="宋体" w:hint="default"/>
          <w:sz w:val="19"/>
          <w:szCs w:val="19"/>
        </w:rPr>
      </w:pPr>
    </w:p>
    <w:p>
      <w:pPr>
        <w:pStyle w:val="BodyText"/>
        <w:spacing w:line="316" w:lineRule="auto"/>
        <w:ind w:right="1032" w:firstLine="360"/>
        <w:jc w:val="left"/>
      </w:pPr>
      <w:r>
        <w:rPr/>
        <w:t>期末存货按成本与可变现净值孰低原则计价，对于存货因遭受毁损、全部或部分陈旧过时或销售价格低于成本等原因，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 </w:t>
      </w:r>
      <w:r>
        <w:rPr>
          <w:spacing w:val="-2"/>
        </w:rPr>
        <w:t>库存商品、虚拟商品、在产品和用于出售的材料等直接用于出售的商品存货，其可变现净值按该存货的估计售价减去估计的</w:t>
      </w:r>
      <w:r>
        <w:rPr>
          <w:spacing w:val="-66"/>
        </w:rPr>
        <w:t> </w:t>
      </w:r>
      <w:r>
        <w:rPr>
          <w:spacing w:val="-66"/>
        </w:rPr>
      </w:r>
      <w:r>
        <w:rPr>
          <w:spacing w:val="-2"/>
        </w:rPr>
        <w:t>销售费用和相关税费后的金额确定；用于生产而持有的材料存货，其可变现净值按所生产的产成品的估计售价减去至完工时</w:t>
      </w:r>
      <w:r>
        <w:rPr>
          <w:spacing w:val="-64"/>
        </w:rPr>
        <w:t> </w:t>
      </w:r>
      <w:r>
        <w:rPr>
          <w:spacing w:val="-64"/>
        </w:rPr>
      </w:r>
      <w:r>
        <w:rPr/>
        <w:t>估计将要发生的成本、估计的销售费用和相关税费后的金额确定。</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both"/>
        <w:rPr>
          <w:b w:val="0"/>
          <w:bCs w:val="0"/>
        </w:rPr>
      </w:pPr>
      <w:bookmarkStart w:name="13、持有待售资产" w:id="189"/>
      <w:bookmarkEnd w:id="18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）持有待售类别的确认标准 </w:t>
      </w:r>
      <w:r>
        <w:rPr>
          <w:spacing w:val="-2"/>
        </w:rPr>
        <w:t>本集团主要通过出售（包括具有商业实质的非货币性资产交换，下同）而非持续使用一项非流动资产或处置组收回其账</w:t>
      </w:r>
    </w:p>
    <w:p>
      <w:pPr>
        <w:pStyle w:val="BodyText"/>
        <w:spacing w:line="240" w:lineRule="auto" w:before="32"/>
        <w:ind w:right="0"/>
        <w:jc w:val="both"/>
      </w:pPr>
      <w:r>
        <w:rPr/>
        <w:t>面价值的，将其划分为持有待售类别。非流动资产或处置组划分为持有待售类别，同时满足下列条件：</w:t>
      </w:r>
    </w:p>
    <w:p>
      <w:pPr>
        <w:pStyle w:val="BodyText"/>
        <w:spacing w:line="240" w:lineRule="auto" w:before="76"/>
        <w:ind w:left="587" w:right="0"/>
        <w:jc w:val="left"/>
      </w:pP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12" w:lineRule="auto" w:before="63"/>
        <w:ind w:right="1130" w:firstLine="433"/>
        <w:jc w:val="both"/>
      </w:pPr>
      <w:r>
        <w:rPr>
          <w:rFonts w:ascii="Times New Roman" w:hAnsi="Times New Roman" w:cs="Times New Roman" w:eastAsia="Times New Roman" w:hint="default"/>
          <w:spacing w:val="-2"/>
        </w:rPr>
        <w:t>2</w:t>
      </w:r>
      <w:r>
        <w:rPr>
          <w:spacing w:val="-2"/>
        </w:rPr>
        <w:t>）出售极可能发生，即本集团已经就一项出售计划作出决议且获得确定的购买承诺，预计出售将在一年内完成。有关</w:t>
      </w:r>
      <w:r>
        <w:rPr/>
        <w:t> </w:t>
      </w:r>
      <w:r>
        <w:rPr>
          <w:spacing w:val="-2"/>
        </w:rPr>
        <w:t>规定要求本集团相关权力机构或者监管部门批准后方可出售的，应当已经获得批准。确定的购买承诺，是指本集团与其他方</w:t>
      </w:r>
      <w:r>
        <w:rPr>
          <w:spacing w:val="-66"/>
        </w:rPr>
        <w:t> </w:t>
      </w:r>
      <w:r>
        <w:rPr>
          <w:spacing w:val="-66"/>
        </w:rPr>
      </w:r>
      <w:r>
        <w:rPr>
          <w:spacing w:val="-2"/>
        </w:rPr>
        <w:t>签订的具有法律约束力的购买协议，该协议包含交易价格、时间和足够严厉的违约惩罚等重要条款，使协议出现重大调整或</w:t>
      </w:r>
      <w:r>
        <w:rPr>
          <w:spacing w:val="-66"/>
        </w:rPr>
        <w:t> </w:t>
      </w:r>
      <w:r>
        <w:rPr>
          <w:spacing w:val="-66"/>
        </w:rPr>
      </w:r>
      <w:r>
        <w:rPr/>
        <w:t>者撤销的可能性极小。</w:t>
      </w:r>
    </w:p>
    <w:p>
      <w:pPr>
        <w:pStyle w:val="BodyText"/>
        <w:spacing w:line="300" w:lineRule="auto" w:before="22"/>
        <w:ind w:right="1232" w:firstLine="360"/>
        <w:jc w:val="left"/>
      </w:pPr>
      <w:r>
        <w:rPr/>
        <w:t>本集团专为转售而取得的非流动资产或处置组，在取得日满足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 为</w:t>
      </w:r>
      <w:r>
        <w:rPr>
          <w:rFonts w:ascii="Times New Roman" w:hAnsi="Times New Roman" w:cs="Times New Roman" w:eastAsia="Times New Roman" w:hint="default"/>
        </w:rPr>
        <w:t>3</w:t>
      </w:r>
      <w:r>
        <w:rPr/>
        <w:t>个月）内很可能满足持有待售类别的其他划分条件的，在取得日将其划分为持有待售类别。</w:t>
      </w:r>
    </w:p>
    <w:p>
      <w:pPr>
        <w:pStyle w:val="BodyText"/>
        <w:spacing w:line="309" w:lineRule="auto" w:before="13"/>
        <w:ind w:right="1132" w:firstLine="360"/>
        <w:jc w:val="both"/>
      </w:pPr>
      <w:r>
        <w:rPr>
          <w:spacing w:val="-2"/>
        </w:rPr>
        <w:t>处置组，是指在一项交易中作为整体通过出售或其他方式一并处置的一组资产，以及在该交易中转让的与这些资产直接</w:t>
      </w:r>
      <w:r>
        <w:rPr/>
        <w:t> </w:t>
      </w:r>
      <w:r>
        <w:rPr>
          <w:spacing w:val="-4"/>
        </w:rPr>
        <w:t>相关的负债。处置组所属的资产组或资产组组合按照《企业会计准则第</w:t>
      </w:r>
      <w:r>
        <w:rPr>
          <w:rFonts w:ascii="Times New Roman" w:hAnsi="Times New Roman" w:cs="Times New Roman" w:eastAsia="Times New Roman" w:hint="default"/>
          <w:spacing w:val="-4"/>
        </w:rPr>
        <w:t>8</w:t>
      </w:r>
      <w:r>
        <w:rPr>
          <w:spacing w:val="-4"/>
        </w:rPr>
        <w:t>号</w:t>
      </w:r>
      <w:r>
        <w:rPr>
          <w:rFonts w:ascii="Times New Roman" w:hAnsi="Times New Roman" w:cs="Times New Roman" w:eastAsia="Times New Roman" w:hint="default"/>
          <w:spacing w:val="-4"/>
        </w:rPr>
        <w:t>——</w:t>
      </w:r>
      <w:r>
        <w:rPr>
          <w:spacing w:val="-4"/>
        </w:rPr>
        <w:t>资产减值》分摊了企业合并中取得的商誉的，</w:t>
      </w:r>
      <w:r>
        <w:rPr>
          <w:spacing w:val="-44"/>
        </w:rPr>
        <w:t> </w:t>
      </w:r>
      <w:r>
        <w:rPr>
          <w:spacing w:val="-44"/>
        </w:rPr>
      </w:r>
      <w:r>
        <w:rPr/>
        <w:t>该处置组应当包含分摊至处置组的商誉。</w:t>
      </w:r>
    </w:p>
    <w:p>
      <w:pPr>
        <w:pStyle w:val="BodyText"/>
        <w:spacing w:line="300" w:lineRule="auto" w:before="24"/>
        <w:ind w:left="514" w:right="0"/>
        <w:jc w:val="left"/>
      </w:pPr>
      <w:r>
        <w:rPr/>
        <w:t>（</w:t>
      </w:r>
      <w:r>
        <w:rPr>
          <w:rFonts w:ascii="Times New Roman" w:hAnsi="Times New Roman" w:cs="Times New Roman" w:eastAsia="Times New Roman" w:hint="default"/>
        </w:rPr>
        <w:t>2</w:t>
      </w:r>
      <w:r>
        <w:rPr/>
        <w:t>）持有待售类别的会计处理方法 </w:t>
      </w:r>
      <w:r>
        <w:rPr>
          <w:spacing w:val="-2"/>
        </w:rPr>
        <w:t>本集团对于被分类为持有待售类别的非流动资产和处置组，以账面价值与公允价值减去处置费用后的净额孰低进行初始</w:t>
      </w:r>
    </w:p>
    <w:p>
      <w:pPr>
        <w:pStyle w:val="BodyText"/>
        <w:spacing w:line="316" w:lineRule="auto" w:before="31"/>
        <w:ind w:right="1131"/>
        <w:jc w:val="both"/>
      </w:pPr>
      <w:r>
        <w:rPr>
          <w:spacing w:val="-2"/>
        </w:rPr>
        <w:t>计量或重新计量。公允价值减去处置费用后的净额低于原账面价值的，其差额确认为资产减值损失计入当期损益，同时计提</w:t>
      </w:r>
      <w:r>
        <w:rPr>
          <w:spacing w:val="-65"/>
        </w:rPr>
        <w:t> </w:t>
      </w:r>
      <w:r>
        <w:rPr>
          <w:spacing w:val="-65"/>
        </w:rPr>
      </w:r>
      <w:r>
        <w:rPr>
          <w:spacing w:val="-2"/>
        </w:rPr>
        <w:t>持有待售资产减值准备；对于持有待售的处置组确认的资产减值损失金额，先抵减处置组中商誉的账面价值，再根据处置组</w:t>
      </w:r>
      <w:r>
        <w:rPr>
          <w:spacing w:val="-66"/>
        </w:rPr>
        <w:t> </w:t>
      </w:r>
      <w:r>
        <w:rPr>
          <w:spacing w:val="-66"/>
        </w:rPr>
      </w:r>
      <w:r>
        <w:rPr>
          <w:spacing w:val="-2"/>
        </w:rPr>
        <w:t>中适用持有待售类别计量规定的各项非流动资产账面价值所占比重，按比例抵减其账面价值。后续资产负债表日持有待售的</w:t>
      </w:r>
      <w:r>
        <w:rPr>
          <w:spacing w:val="-64"/>
        </w:rPr>
        <w:t> </w:t>
      </w:r>
      <w:r>
        <w:rPr>
          <w:spacing w:val="-64"/>
        </w:rPr>
      </w:r>
      <w:r>
        <w:rPr>
          <w:spacing w:val="-2"/>
        </w:rPr>
        <w:t>非流动资产公允价值减去出售费用后的净额增加的，以前减记的金额予以恢复，并在划分为持有待售类别后确认的资产减值</w:t>
      </w:r>
      <w:r>
        <w:rPr>
          <w:spacing w:val="-64"/>
        </w:rPr>
        <w:t> </w:t>
      </w:r>
      <w:r>
        <w:rPr>
          <w:spacing w:val="-64"/>
        </w:rPr>
      </w:r>
      <w:r>
        <w:rPr>
          <w:spacing w:val="-2"/>
        </w:rPr>
        <w:t>损失金额内转回，转回金额计入当期损益。划分为持有待售类别前确认的资产减值损失不予转回。后续资产负债表日持有待</w:t>
      </w:r>
      <w:r>
        <w:rPr>
          <w:spacing w:val="-66"/>
        </w:rPr>
        <w:t> </w:t>
      </w:r>
      <w:r>
        <w:rPr>
          <w:spacing w:val="-66"/>
        </w:rPr>
      </w:r>
      <w:r>
        <w:rPr>
          <w:spacing w:val="-2"/>
        </w:rPr>
        <w:t>售的处置组公允价值减去出售费用后的净额增加的，以前减记的金额予以恢复，并在划分为持有待售类别后适用持有待售类</w:t>
      </w:r>
      <w:r>
        <w:rPr>
          <w:spacing w:val="-64"/>
        </w:rPr>
        <w:t> </w:t>
      </w:r>
      <w:r>
        <w:rPr>
          <w:spacing w:val="-64"/>
        </w:rPr>
      </w:r>
      <w:r>
        <w:rPr>
          <w:spacing w:val="-2"/>
        </w:rPr>
        <w:t>别计量规定的非流动资产确认的资产减值损失金额内转回，转回金额计入当期损益。已抵减的商誉账面价值，以及适用持有</w:t>
      </w:r>
      <w:r>
        <w:rPr>
          <w:spacing w:val="-66"/>
        </w:rPr>
        <w:t> </w:t>
      </w:r>
      <w:r>
        <w:rPr>
          <w:spacing w:val="-66"/>
        </w:rPr>
      </w:r>
      <w:r>
        <w:rPr>
          <w:spacing w:val="-2"/>
        </w:rPr>
        <w:t>待售类别计量规定的非流动资产在划分为持有待售类别前确认的资产减值损失不予转回。持有待售的处置组确认的资产减值</w:t>
      </w:r>
      <w:r>
        <w:rPr>
          <w:spacing w:val="-64"/>
        </w:rPr>
        <w:t> </w:t>
      </w:r>
      <w:r>
        <w:rPr>
          <w:spacing w:val="-64"/>
        </w:rPr>
      </w:r>
      <w:r>
        <w:rPr>
          <w:spacing w:val="-2"/>
        </w:rPr>
        <w:t>损失后续转回金额，根据处置组中除商誉外适用持有待售类别计量规定的各项非流动资产账面价值所占比重，按比例增加其</w:t>
      </w:r>
      <w:r>
        <w:rPr>
          <w:spacing w:val="-64"/>
        </w:rPr>
        <w:t> </w:t>
      </w:r>
      <w:r>
        <w:rPr>
          <w:spacing w:val="-64"/>
        </w:rPr>
      </w:r>
      <w:r>
        <w:rPr>
          <w:spacing w:val="-2"/>
        </w:rPr>
        <w:t>账面价值。持有待售的非流动资产或处置组中的非流动资产不计提折旧或摊销，持有待售的处置组中负债的利息和其他费用</w:t>
      </w:r>
      <w:r>
        <w:rPr>
          <w:spacing w:val="-64"/>
        </w:rPr>
        <w:t> </w:t>
      </w:r>
      <w:r>
        <w:rPr>
          <w:spacing w:val="-64"/>
        </w:rPr>
      </w:r>
      <w:r>
        <w:rPr/>
        <w:t>继续予以确认。</w:t>
      </w:r>
    </w:p>
    <w:p>
      <w:pPr>
        <w:pStyle w:val="BodyText"/>
        <w:spacing w:line="312" w:lineRule="auto" w:before="19"/>
        <w:ind w:right="1131" w:firstLine="360"/>
        <w:jc w:val="both"/>
      </w:pPr>
      <w:r>
        <w:rPr>
          <w:spacing w:val="-2"/>
        </w:rPr>
        <w:t>递延所得税资产、《企业会计准则第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金融工具确认和计量》规范的金融资产、以公允价值计量的投资性房地产</w:t>
      </w:r>
      <w:r>
        <w:rPr/>
        <w:t> </w:t>
      </w:r>
      <w:r>
        <w:rPr>
          <w:spacing w:val="-2"/>
        </w:rPr>
        <w:t>和生物资产、保险合同中产生的合同权利、从职工福利中所产生的资产不适用于持有待售类别的计量方法，而是根据相关准</w:t>
      </w:r>
      <w:r>
        <w:rPr>
          <w:spacing w:val="-66"/>
        </w:rPr>
        <w:t> </w:t>
      </w:r>
      <w:r>
        <w:rPr>
          <w:spacing w:val="-66"/>
        </w:rPr>
      </w:r>
      <w:r>
        <w:rPr>
          <w:spacing w:val="-2"/>
        </w:rPr>
        <w:t>则或本集团制定的相应会计政策进行计量。处置组包含适用持有待售类别的计量方法的非流动资产的，持有待售类别的计量</w:t>
      </w:r>
      <w:r>
        <w:rPr>
          <w:spacing w:val="-64"/>
        </w:rPr>
        <w:t> </w:t>
      </w:r>
      <w:r>
        <w:rPr>
          <w:spacing w:val="-64"/>
        </w:rPr>
      </w:r>
      <w:r>
        <w:rPr/>
        <w:t>方法适用于整个处置组。处置组中负债的计量适用相关会计准则。</w:t>
      </w:r>
    </w:p>
    <w:p>
      <w:pPr>
        <w:pStyle w:val="BodyText"/>
        <w:spacing w:line="316" w:lineRule="auto" w:before="22"/>
        <w:ind w:right="0" w:firstLine="360"/>
        <w:jc w:val="left"/>
      </w:pPr>
      <w:r>
        <w:rPr/>
        <w:t>非流动资产或处置组因不再满足持有待售类别的划分条件而不再继续划分为持有待售类别或非流动资产从持有待售的 </w:t>
      </w:r>
      <w:r>
        <w:rPr>
          <w:spacing w:val="-2"/>
        </w:rPr>
        <w:t>处置组中移除时，按照以下两者孰低计量：①划分为持有待售类别前的账面价值，按照假定不划分为持有待售类别情况下本</w:t>
      </w:r>
      <w:r>
        <w:rPr>
          <w:spacing w:val="-66"/>
        </w:rPr>
        <w:t> </w:t>
      </w:r>
      <w:r>
        <w:rPr>
          <w:spacing w:val="-66"/>
        </w:rPr>
      </w:r>
      <w:r>
        <w:rPr/>
        <w:t>应确认的折旧、摊销或减值等进行调整后的金额；②可收回金额。</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bookmarkStart w:name="14、长期股权投资" w:id="190"/>
      <w:bookmarkEnd w:id="190"/>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410" w:lineRule="atLeast" w:before="172"/>
        <w:ind w:left="514" w:right="0"/>
        <w:jc w:val="left"/>
      </w:pPr>
      <w:r>
        <w:rPr/>
        <w:t>本集团长期股权投资主要是对子公司的投资、对联营企业的投资和对合营企业的投资。 </w:t>
      </w:r>
      <w:r>
        <w:rPr>
          <w:spacing w:val="-2"/>
        </w:rPr>
        <w:t>本集团对共同控制的判断依据是所有参与方或参与方组合集体控制该安排，并且该安排相关活动的政策必须经过这些集</w:t>
      </w:r>
    </w:p>
    <w:p>
      <w:pPr>
        <w:pStyle w:val="BodyText"/>
        <w:spacing w:line="240" w:lineRule="auto" w:before="75"/>
        <w:ind w:right="0"/>
        <w:jc w:val="both"/>
      </w:pPr>
      <w:r>
        <w:rPr/>
        <w:t>体控制该安排的参与方一致同意。</w:t>
      </w:r>
    </w:p>
    <w:p>
      <w:pPr>
        <w:spacing w:line="240" w:lineRule="auto" w:before="7"/>
        <w:rPr>
          <w:rFonts w:ascii="宋体" w:hAnsi="宋体" w:cs="宋体" w:eastAsia="宋体" w:hint="default"/>
          <w:sz w:val="13"/>
          <w:szCs w:val="13"/>
        </w:rPr>
      </w:pPr>
    </w:p>
    <w:p>
      <w:pPr>
        <w:pStyle w:val="BodyText"/>
        <w:spacing w:line="300" w:lineRule="auto"/>
        <w:ind w:right="1130" w:firstLine="360"/>
        <w:jc w:val="both"/>
      </w:pPr>
      <w:r>
        <w:rPr>
          <w:spacing w:val="-2"/>
        </w:rPr>
        <w:t>本集团直接或通过子公司间接拥有被投资单位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％的表决权时，通常认为对被投资单位具有重大</w:t>
      </w:r>
      <w:r>
        <w:rPr/>
        <w:t> </w:t>
      </w: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spacing w:val="-86"/>
        </w:rPr>
        <w:t> </w:t>
      </w:r>
      <w:r>
        <w:rPr>
          <w:spacing w:val="-86"/>
        </w:rPr>
      </w:r>
      <w:r>
        <w:rPr>
          <w:spacing w:val="-2"/>
        </w:rPr>
        <w:t>资单位财务和经营政策制定过程、或与被投资单位之间发生重要交易、或向被投资单位派出管理人员、或向被投资单位提供</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关键技术资料等事实和情况判断对被投资单位具有重大影响。</w:t>
      </w:r>
    </w:p>
    <w:p>
      <w:pPr>
        <w:spacing w:line="240" w:lineRule="auto" w:before="7"/>
        <w:rPr>
          <w:rFonts w:ascii="宋体" w:hAnsi="宋体" w:cs="宋体" w:eastAsia="宋体" w:hint="default"/>
          <w:sz w:val="13"/>
          <w:szCs w:val="13"/>
        </w:rPr>
      </w:pPr>
    </w:p>
    <w:p>
      <w:pPr>
        <w:pStyle w:val="BodyText"/>
        <w:spacing w:line="316" w:lineRule="auto"/>
        <w:ind w:right="1131"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t>面价值为负数的，长期股权投资成本按零确定。</w:t>
      </w:r>
    </w:p>
    <w:p>
      <w:pPr>
        <w:pStyle w:val="BodyText"/>
        <w:spacing w:line="316" w:lineRule="auto" w:before="120"/>
        <w:ind w:right="1032" w:firstLine="360"/>
        <w:jc w:val="left"/>
      </w:pPr>
      <w:r>
        <w:rPr>
          <w:spacing w:val="-2"/>
        </w:rPr>
        <w:t>通过多次交易分步取得同一控制下被投资单位的股权，最终形成企业合并的，应在取得控制权的报告期，补充披露在母</w:t>
      </w:r>
      <w:r>
        <w:rPr/>
        <w:t> </w:t>
      </w:r>
      <w:r>
        <w:rPr>
          <w:spacing w:val="-2"/>
        </w:rPr>
        <w:t>公司财务报表中的长期股权投资的处理方法。例如：通过多次交易分步取得同一控制下被投资单位的股权，最终形成企业合</w:t>
      </w:r>
      <w:r>
        <w:rPr>
          <w:spacing w:val="-66"/>
        </w:rPr>
        <w:t> </w:t>
      </w:r>
      <w:r>
        <w:rPr>
          <w:spacing w:val="-66"/>
        </w:rPr>
      </w:r>
      <w:r>
        <w:rPr>
          <w:spacing w:val="-2"/>
        </w:rPr>
        <w:t>并，属于一揽子交易的，本集团将各项交易作为一项取得控制权的交易进行会计处理。不属于一览交易的，在合并日，根据</w:t>
      </w:r>
      <w:r>
        <w:rPr>
          <w:spacing w:val="-66"/>
        </w:rPr>
        <w:t> </w:t>
      </w:r>
      <w:r>
        <w:rPr>
          <w:spacing w:val="-66"/>
        </w:rPr>
      </w:r>
      <w:r>
        <w:rPr>
          <w:spacing w:val="-2"/>
        </w:rPr>
        <w:t>合并后享有被合并方净资产在最终控制方合并财务报表中的账面价值的份额作为长期股权投资的的初始投资成本。初始投资</w:t>
      </w:r>
      <w:r>
        <w:rPr>
          <w:spacing w:val="-64"/>
        </w:rPr>
        <w:t> </w:t>
      </w:r>
      <w:r>
        <w:rPr>
          <w:spacing w:val="-64"/>
        </w:rPr>
      </w:r>
      <w:r>
        <w:rPr/>
        <w:t>成本与达到合并前的长期股权投资账面价值加上合并日进一步取得股份新支付对价的账面价值之和的差额，调整资本公积，</w:t>
      </w:r>
      <w:r>
        <w:rPr>
          <w:spacing w:val="-84"/>
        </w:rPr>
        <w:t> </w:t>
      </w:r>
      <w:r>
        <w:rPr>
          <w:spacing w:val="-84"/>
        </w:rPr>
      </w:r>
      <w:r>
        <w:rPr/>
        <w:t>资本公积不足冲减的，冲减留存收益。</w:t>
      </w:r>
    </w:p>
    <w:p>
      <w:pPr>
        <w:pStyle w:val="BodyText"/>
        <w:spacing w:line="412" w:lineRule="exact"/>
        <w:ind w:left="514" w:right="0"/>
        <w:jc w:val="left"/>
      </w:pPr>
      <w:r>
        <w:rPr/>
        <w:t>通过非同一控制下的企业合并取得的长期股权投资，以合并成本作为初始投资成本。 </w:t>
      </w:r>
      <w:r>
        <w:rPr>
          <w:spacing w:val="-2"/>
        </w:rPr>
        <w:t>通过多次交易分步取得非同一控制下被投资单位的股权，最终形成企业合并的，应在取得控制权的报告期，补充披露在</w:t>
      </w:r>
    </w:p>
    <w:p>
      <w:pPr>
        <w:pStyle w:val="BodyText"/>
        <w:spacing w:line="316" w:lineRule="auto" w:before="18"/>
        <w:ind w:right="1131"/>
        <w:jc w:val="both"/>
      </w:pPr>
      <w:r>
        <w:rPr>
          <w:spacing w:val="-2"/>
        </w:rPr>
        <w:t>母公司财务报表中的长期股权投资成本处理方法。例如：通过多次交易分步取得非同一控制下被投资单位的股权，最终形成</w:t>
      </w:r>
      <w:r>
        <w:rPr>
          <w:spacing w:val="-66"/>
        </w:rPr>
        <w:t> </w:t>
      </w:r>
      <w:r>
        <w:rPr>
          <w:spacing w:val="-66"/>
        </w:rPr>
      </w:r>
      <w:r>
        <w:rPr>
          <w:spacing w:val="-2"/>
        </w:rPr>
        <w:t>企业合并，属于一揽子交易的，本集团将各项交易作为一项取得控制权的交易进行会计处理。不属于一览交易的，按照原持</w:t>
      </w:r>
      <w:r>
        <w:rPr>
          <w:spacing w:val="-66"/>
        </w:rPr>
        <w:t> </w:t>
      </w:r>
      <w:r>
        <w:rPr>
          <w:spacing w:val="-66"/>
        </w:rPr>
      </w:r>
      <w:r>
        <w:rPr>
          <w:spacing w:val="-2"/>
        </w:rPr>
        <w:t>有的股权投资账面价值加上新增投资成本之和，作为改按成本法核算的初始投资成本。购买日之前持有的股权采用权益法核</w:t>
      </w:r>
      <w:r>
        <w:rPr>
          <w:spacing w:val="-64"/>
        </w:rPr>
        <w:t> </w:t>
      </w:r>
      <w:r>
        <w:rPr>
          <w:spacing w:val="-64"/>
        </w:rPr>
      </w:r>
      <w:r>
        <w:rPr>
          <w:spacing w:val="-2"/>
        </w:rPr>
        <w:t>算的，原权益法核算的相关其他综合收益暂不做调整，在处置该项投资时采用与被投资单位直接处置相关资产或负债相同的</w:t>
      </w:r>
      <w:r>
        <w:rPr>
          <w:spacing w:val="-64"/>
        </w:rPr>
        <w:t> </w:t>
      </w:r>
      <w:r>
        <w:rPr>
          <w:spacing w:val="-64"/>
        </w:rPr>
      </w:r>
      <w:r>
        <w:rPr>
          <w:spacing w:val="-2"/>
        </w:rPr>
        <w:t>基础进行会计处理。购买日之前持有的股权在可供出售金融资产中采用公允价值核算的，原计入其他综合收益的累计公允价</w:t>
      </w:r>
      <w:r>
        <w:rPr>
          <w:spacing w:val="-64"/>
        </w:rPr>
        <w:t> </w:t>
      </w:r>
      <w:r>
        <w:rPr>
          <w:spacing w:val="-64"/>
        </w:rPr>
      </w:r>
      <w:r>
        <w:rPr/>
        <w:t>值变动在合并日转入当期投资损益。</w:t>
      </w:r>
    </w:p>
    <w:p>
      <w:pPr>
        <w:pStyle w:val="BodyText"/>
        <w:spacing w:line="319" w:lineRule="auto" w:before="119"/>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5"/>
        </w:rPr>
        <w:t> </w:t>
      </w:r>
      <w:r>
        <w:rPr>
          <w:spacing w:val="-65"/>
        </w:rPr>
      </w:r>
      <w:r>
        <w:rPr>
          <w:spacing w:val="-2"/>
        </w:rPr>
        <w:t>投资合同或协议约定的价值作为投资成本；公司如有以债务重组、非货币性资产交换等方式取得的长期股权投资，应根据相</w:t>
      </w:r>
      <w:r>
        <w:rPr>
          <w:spacing w:val="-66"/>
        </w:rPr>
        <w:t> </w:t>
      </w:r>
      <w:r>
        <w:rPr>
          <w:spacing w:val="-66"/>
        </w:rPr>
      </w:r>
      <w:r>
        <w:rPr/>
        <w:t>关企业会计准则的规定并结合公司的实际情况披露确定投资成本的方法。</w:t>
      </w:r>
    </w:p>
    <w:p>
      <w:pPr>
        <w:pStyle w:val="BodyText"/>
        <w:spacing w:line="240" w:lineRule="auto" w:before="118"/>
        <w:ind w:left="514" w:right="0"/>
        <w:jc w:val="left"/>
      </w:pPr>
      <w:r>
        <w:rPr/>
        <w:t>本集团对子公司投资采用成本法核算，对合营企业及联营企业投资采用权益法核算。</w:t>
      </w:r>
    </w:p>
    <w:p>
      <w:pPr>
        <w:spacing w:line="240" w:lineRule="auto" w:before="6"/>
        <w:rPr>
          <w:rFonts w:ascii="宋体" w:hAnsi="宋体" w:cs="宋体" w:eastAsia="宋体" w:hint="default"/>
          <w:sz w:val="13"/>
          <w:szCs w:val="13"/>
        </w:rPr>
      </w:pPr>
    </w:p>
    <w:p>
      <w:pPr>
        <w:pStyle w:val="BodyText"/>
        <w:spacing w:line="316" w:lineRule="auto"/>
        <w:ind w:right="1132" w:firstLine="360"/>
        <w:jc w:val="both"/>
      </w:pPr>
      <w:r>
        <w:rPr>
          <w:spacing w:val="-2"/>
        </w:rPr>
        <w:t>后续计量采用成本法核算的长期股权投资，在追加投资时，按照追加投资支付的成本额公允价值及发生的相关交易费用</w:t>
      </w:r>
      <w:r>
        <w:rPr/>
        <w:t> 增加长期股权投资成本的账面价值。被投资单位宣告分派的现金股利或利润，按照应享有的金额确认为当期投资收益。</w:t>
      </w:r>
    </w:p>
    <w:p>
      <w:pPr>
        <w:pStyle w:val="BodyText"/>
        <w:spacing w:line="316" w:lineRule="auto" w:before="119"/>
        <w:ind w:right="1131"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6"/>
        </w:rPr>
        <w:t> </w:t>
      </w:r>
      <w:r>
        <w:rPr>
          <w:spacing w:val="-66"/>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316" w:lineRule="auto" w:before="119"/>
        <w:ind w:right="1131"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43"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spacing w:line="240" w:lineRule="auto" w:before="10"/>
        <w:rPr>
          <w:rFonts w:ascii="宋体" w:hAnsi="宋体" w:cs="宋体" w:eastAsia="宋体" w:hint="default"/>
          <w:sz w:val="19"/>
          <w:szCs w:val="19"/>
        </w:rPr>
      </w:pPr>
    </w:p>
    <w:p>
      <w:pPr>
        <w:pStyle w:val="BodyText"/>
        <w:spacing w:line="319" w:lineRule="auto"/>
        <w:ind w:right="1131"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spacing w:after="0" w:line="31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04" w:lineRule="auto" w:before="44"/>
        <w:ind w:right="1130" w:firstLine="360"/>
        <w:jc w:val="both"/>
      </w:pPr>
      <w:r>
        <w:rPr/>
        <w:t>本集团对于分步处置股权至丧失控股权的各项交易不属于一揽子交易的，对每一项交易分别进行会计处理。属于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7"/>
        </w:rPr>
        <w:t> </w:t>
      </w:r>
      <w:r>
        <w:rPr>
          <w:spacing w:val="-77"/>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3"/>
        <w:rPr>
          <w:rFonts w:ascii="宋体" w:hAnsi="宋体" w:cs="宋体" w:eastAsia="宋体" w:hint="default"/>
          <w:sz w:val="23"/>
          <w:szCs w:val="23"/>
        </w:rPr>
      </w:pPr>
    </w:p>
    <w:p>
      <w:pPr>
        <w:pStyle w:val="Heading7"/>
        <w:spacing w:line="240" w:lineRule="auto"/>
        <w:ind w:right="0"/>
        <w:jc w:val="left"/>
        <w:rPr>
          <w:b w:val="0"/>
          <w:bCs w:val="0"/>
        </w:rPr>
      </w:pPr>
      <w:bookmarkStart w:name="15、投资性房地产" w:id="191"/>
      <w:bookmarkEnd w:id="19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spacing w:line="240" w:lineRule="auto" w:before="3"/>
        <w:rPr>
          <w:rFonts w:ascii="宋体" w:hAnsi="宋体" w:cs="宋体" w:eastAsia="宋体" w:hint="default"/>
          <w:sz w:val="17"/>
          <w:szCs w:val="17"/>
        </w:rPr>
      </w:pPr>
    </w:p>
    <w:p>
      <w:pPr>
        <w:pStyle w:val="BodyText"/>
        <w:spacing w:line="300" w:lineRule="auto"/>
        <w:ind w:right="1130" w:firstLine="360"/>
        <w:jc w:val="both"/>
      </w:pPr>
      <w:r>
        <w:rPr>
          <w:spacing w:val="-1"/>
        </w:rPr>
        <w:t>本集团投资性房地产采用平均年限法计提折旧或摊销。各类投资性房地产的预计使用寿命、净残值率及年折旧</w:t>
      </w:r>
      <w:r>
        <w:rPr>
          <w:rFonts w:ascii="Times New Roman" w:hAnsi="Times New Roman" w:cs="Times New Roman" w:eastAsia="Times New Roman" w:hint="default"/>
          <w:spacing w:val="-1"/>
        </w:rPr>
        <w:t>(</w:t>
      </w:r>
      <w:r>
        <w:rPr>
          <w:spacing w:val="-1"/>
        </w:rPr>
        <w:t>摊销</w:t>
      </w:r>
      <w:r>
        <w:rPr>
          <w:rFonts w:ascii="Times New Roman" w:hAnsi="Times New Roman" w:cs="Times New Roman" w:eastAsia="Times New Roman" w:hint="default"/>
          <w:spacing w:val="-1"/>
        </w:rPr>
        <w:t>)</w:t>
      </w:r>
      <w:r>
        <w:rPr>
          <w:spacing w:val="-1"/>
        </w:rPr>
        <w:t>率</w:t>
      </w:r>
      <w:r>
        <w:rPr/>
        <w:t> 如下：</w:t>
      </w:r>
    </w:p>
    <w:p>
      <w:pPr>
        <w:spacing w:line="240" w:lineRule="auto" w:before="10"/>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2818"/>
        <w:gridCol w:w="2282"/>
        <w:gridCol w:w="2550"/>
        <w:gridCol w:w="2009"/>
      </w:tblGrid>
      <w:tr>
        <w:trPr>
          <w:trHeight w:val="334" w:hRule="exact"/>
        </w:trPr>
        <w:tc>
          <w:tcPr>
            <w:tcW w:w="281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2"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55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2818"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82" w:type="dxa"/>
            <w:tcBorders>
              <w:top w:val="single" w:sz="12" w:space="0" w:color="000000"/>
              <w:left w:val="single" w:sz="7" w:space="0" w:color="000000"/>
              <w:bottom w:val="single" w:sz="8"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20</w:t>
            </w:r>
          </w:p>
        </w:tc>
        <w:tc>
          <w:tcPr>
            <w:tcW w:w="2550"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5.00-10.00</w:t>
            </w:r>
          </w:p>
        </w:tc>
        <w:tc>
          <w:tcPr>
            <w:tcW w:w="2009" w:type="dxa"/>
            <w:tcBorders>
              <w:top w:val="single" w:sz="12"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4.50-4.75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6、固定资产" w:id="192"/>
      <w:bookmarkEnd w:id="19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本集团固定资产是指同时具有以下特征，即为生产商品、提供劳务、出租或经营管理而持有的，使用年限超过一年的有</w:t>
      </w:r>
      <w:r>
        <w:rPr/>
        <w:t> </w:t>
      </w:r>
      <w:r>
        <w:rPr>
          <w:spacing w:val="-2"/>
        </w:rPr>
        <w:t>形资产。固定资产在与其有关的经济利益很可能流入本集团、且其成本能够可靠计量时予以确认。固定资产包括房屋及建筑</w:t>
      </w:r>
      <w:r>
        <w:rPr>
          <w:spacing w:val="-66"/>
        </w:rPr>
        <w:t> </w:t>
      </w:r>
      <w:r>
        <w:rPr>
          <w:spacing w:val="-66"/>
        </w:rPr>
      </w:r>
      <w:r>
        <w:rPr>
          <w:spacing w:val="-2"/>
        </w:rPr>
        <w:t>物、机器设备、运输设备、办公设备和模具，按其取得时的成本作为入账的价值，其中，外购的固定资产成本包括买价和进</w:t>
      </w:r>
      <w:r>
        <w:rPr>
          <w:spacing w:val="-67"/>
        </w:rPr>
        <w:t> </w:t>
      </w:r>
      <w:r>
        <w:rPr>
          <w:spacing w:val="-67"/>
        </w:rPr>
      </w:r>
      <w:r>
        <w:rPr>
          <w:spacing w:val="-2"/>
        </w:rPr>
        <w:t>口关税等相关税费，以及为使固定资产达到预定可使用状态前所发生的可直接归属于该资产的其他支出；自行建造固定资产</w:t>
      </w:r>
      <w:r>
        <w:rPr>
          <w:spacing w:val="-64"/>
        </w:rPr>
        <w:t> </w:t>
      </w:r>
      <w:r>
        <w:rPr>
          <w:spacing w:val="-64"/>
        </w:rPr>
      </w:r>
      <w:r>
        <w:rPr>
          <w:spacing w:val="-2"/>
        </w:rPr>
        <w:t>的成本，由建造该项资产达到预定可使用状态前所发生的必要支出构成；投资者投入的固定资产，按投资合同或协议约定的</w:t>
      </w:r>
      <w:r>
        <w:rPr>
          <w:spacing w:val="-65"/>
        </w:rPr>
        <w:t> </w:t>
      </w:r>
      <w:r>
        <w:rPr>
          <w:spacing w:val="-65"/>
        </w:rPr>
      </w:r>
      <w:r>
        <w:rPr>
          <w:spacing w:val="-2"/>
        </w:rPr>
        <w:t>价值作为入账价值，但合同或协议约定价值不公允的按公允价值入账；融资租赁租入的固定资产，按租赁开始日租赁资产公</w:t>
      </w:r>
      <w:r>
        <w:rPr>
          <w:spacing w:val="-66"/>
        </w:rPr>
        <w:t> </w:t>
      </w:r>
      <w:r>
        <w:rPr>
          <w:spacing w:val="-66"/>
        </w:rPr>
      </w:r>
      <w:r>
        <w:rPr/>
        <w:t>允价值与最低租赁付款额现值两者中较低者作为入账价值。与固定资产有关的后续支出，包括修理支出、更新改造支出等，</w:t>
      </w:r>
      <w:r>
        <w:rPr>
          <w:spacing w:val="-85"/>
        </w:rPr>
        <w:t> </w:t>
      </w:r>
      <w:r>
        <w:rPr>
          <w:spacing w:val="-85"/>
        </w:rPr>
      </w:r>
      <w:r>
        <w:rPr>
          <w:spacing w:val="-2"/>
        </w:rPr>
        <w:t>符合固定资产确认条件的，计入固定资产成本，对于被替换的部分，终止确认其账面价值；不符合固定资产确认条件的，于</w:t>
      </w:r>
      <w:r>
        <w:rPr>
          <w:spacing w:val="-66"/>
        </w:rPr>
        <w:t> </w:t>
      </w:r>
      <w:r>
        <w:rPr>
          <w:spacing w:val="-66"/>
        </w:rPr>
      </w:r>
      <w:r>
        <w:rPr/>
        <w:t>发生时计入当期损益。</w:t>
      </w:r>
    </w:p>
    <w:p>
      <w:pPr>
        <w:spacing w:line="240" w:lineRule="auto" w:before="3"/>
        <w:rPr>
          <w:rFonts w:ascii="宋体" w:hAnsi="宋体" w:cs="宋体" w:eastAsia="宋体" w:hint="default"/>
          <w:sz w:val="22"/>
          <w:szCs w:val="22"/>
        </w:rPr>
      </w:pPr>
    </w:p>
    <w:p>
      <w:pPr>
        <w:pStyle w:val="Heading7"/>
        <w:spacing w:line="240" w:lineRule="auto"/>
        <w:ind w:right="0"/>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18" w:firstLine="360"/>
        <w:jc w:val="left"/>
      </w:pPr>
      <w:r>
        <w:rPr>
          <w:spacing w:val="-2"/>
        </w:rPr>
        <w:t>除已提足折旧仍继续使用的固定资产和单独计价入账的土地外，本集团对所有固定资产计提折旧，计提折旧时采用平均</w:t>
      </w:r>
      <w:r>
        <w:rPr/>
        <w:t> 年限法。</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本公司及其子公司（除联动优势科技有限公司及其子公司）固定资产的分类、折旧年限、预计净残值率、折旧率如下：</w:t>
      </w:r>
    </w:p>
    <w:p>
      <w:pPr>
        <w:spacing w:line="240" w:lineRule="auto" w:before="3"/>
        <w:rPr>
          <w:rFonts w:ascii="宋体" w:hAnsi="宋体" w:cs="宋体" w:eastAsia="宋体" w:hint="default"/>
          <w:sz w:val="14"/>
          <w:szCs w:val="14"/>
        </w:rPr>
      </w:pPr>
    </w:p>
    <w:tbl>
      <w:tblPr>
        <w:tblW w:w="0" w:type="auto"/>
        <w:jc w:val="left"/>
        <w:tblInd w:w="563" w:type="dxa"/>
        <w:tblLayout w:type="fixed"/>
        <w:tblCellMar>
          <w:top w:w="0" w:type="dxa"/>
          <w:left w:w="0" w:type="dxa"/>
          <w:bottom w:w="0" w:type="dxa"/>
          <w:right w:w="0" w:type="dxa"/>
        </w:tblCellMar>
        <w:tblLook w:val="01E0"/>
      </w:tblPr>
      <w:tblGrid>
        <w:gridCol w:w="2997"/>
        <w:gridCol w:w="1926"/>
        <w:gridCol w:w="1914"/>
        <w:gridCol w:w="1982"/>
      </w:tblGrid>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4.50-4.75</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9.00-9.50</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18.00-23.75</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5.00-10.00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18.00-31.67</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4" w:right="0"/>
        <w:jc w:val="left"/>
      </w:pPr>
      <w:r>
        <w:rPr/>
        <w:t>联动优势科技及其子公司固定资产的分类折旧年限、预计净残值率、折旧率如下：</w:t>
      </w:r>
    </w:p>
    <w:p>
      <w:pPr>
        <w:spacing w:line="240" w:lineRule="auto" w:before="0"/>
        <w:rPr>
          <w:rFonts w:ascii="宋体" w:hAnsi="宋体" w:cs="宋体" w:eastAsia="宋体" w:hint="default"/>
          <w:sz w:val="5"/>
          <w:szCs w:val="5"/>
        </w:rPr>
      </w:pPr>
    </w:p>
    <w:tbl>
      <w:tblPr>
        <w:tblW w:w="0" w:type="auto"/>
        <w:jc w:val="left"/>
        <w:tblInd w:w="563" w:type="dxa"/>
        <w:tblLayout w:type="fixed"/>
        <w:tblCellMar>
          <w:top w:w="0" w:type="dxa"/>
          <w:left w:w="0" w:type="dxa"/>
          <w:bottom w:w="0" w:type="dxa"/>
          <w:right w:w="0" w:type="dxa"/>
        </w:tblCellMar>
        <w:tblLook w:val="01E0"/>
      </w:tblPr>
      <w:tblGrid>
        <w:gridCol w:w="2997"/>
        <w:gridCol w:w="1926"/>
        <w:gridCol w:w="1914"/>
        <w:gridCol w:w="1982"/>
      </w:tblGrid>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20.00-50.00</w:t>
            </w:r>
          </w:p>
        </w:tc>
      </w:tr>
    </w:tbl>
    <w:p>
      <w:pPr>
        <w:spacing w:line="240" w:lineRule="auto" w:before="10"/>
        <w:rPr>
          <w:rFonts w:ascii="宋体" w:hAnsi="宋体" w:cs="宋体" w:eastAsia="宋体" w:hint="default"/>
          <w:sz w:val="15"/>
          <w:szCs w:val="15"/>
        </w:rPr>
      </w:pPr>
    </w:p>
    <w:p>
      <w:pPr>
        <w:pStyle w:val="BodyText"/>
        <w:spacing w:line="316" w:lineRule="auto" w:before="44"/>
        <w:ind w:right="1118" w:firstLine="480"/>
        <w:jc w:val="left"/>
      </w:pPr>
      <w:r>
        <w:rPr>
          <w:spacing w:val="-1"/>
        </w:rPr>
        <w:t>本集团于每年年度终了，对固定资产的预计使用寿命、预计净残值和折旧方法进行复核，如发生改变，则作为会计估</w:t>
      </w:r>
      <w:r>
        <w:rPr/>
        <w:t> 计变更处理。</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pStyle w:val="BodyText"/>
        <w:spacing w:line="240" w:lineRule="auto" w:before="68"/>
        <w:ind w:left="514" w:right="0"/>
        <w:jc w:val="left"/>
      </w:pPr>
      <w:r>
        <w:rPr/>
        <w:t>折旧方法：年限平均法。</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17、在建工程" w:id="196"/>
      <w:bookmarkEnd w:id="19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软件与信息技术服务业</w:t>
      </w:r>
    </w:p>
    <w:p>
      <w:pPr>
        <w:spacing w:line="240" w:lineRule="auto" w:before="2"/>
        <w:rPr>
          <w:rFonts w:ascii="宋体" w:hAnsi="宋体" w:cs="宋体" w:eastAsia="宋体" w:hint="default"/>
          <w:sz w:val="24"/>
          <w:szCs w:val="24"/>
        </w:rPr>
      </w:pPr>
    </w:p>
    <w:p>
      <w:pPr>
        <w:pStyle w:val="BodyText"/>
        <w:spacing w:line="316" w:lineRule="auto"/>
        <w:ind w:right="1131" w:firstLine="360"/>
        <w:jc w:val="both"/>
      </w:pPr>
      <w:r>
        <w:rPr>
          <w:spacing w:val="-2"/>
        </w:rPr>
        <w:t>在建工程按实际发生的成本计量。自营建筑工程按直接材料、直接工资、直接施工费等计量；出包建筑工程按应支付的</w:t>
      </w:r>
      <w:r>
        <w:rPr/>
        <w:t> </w:t>
      </w:r>
      <w:r>
        <w:rPr>
          <w:spacing w:val="-2"/>
        </w:rPr>
        <w:t>工程价款等计量；设备安装工程按所安装设备的价值、安装费用、工程试运转等所发生的支出等确定工程成本。在建工程成</w:t>
      </w:r>
      <w:r>
        <w:rPr>
          <w:spacing w:val="-66"/>
        </w:rPr>
        <w:t> </w:t>
      </w:r>
      <w:r>
        <w:rPr>
          <w:spacing w:val="-66"/>
        </w:rPr>
      </w:r>
      <w:r>
        <w:rPr/>
        <w:t>本还包括应当资本化的借款费用和汇兑损益。</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18、借款费用" w:id="197"/>
      <w:bookmarkEnd w:id="19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032" w:firstLine="36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年以上的购建或者生产活动才能达到预定可使用或者可销售状态的固定资产、投资性房 </w:t>
      </w:r>
      <w:r>
        <w:rPr>
          <w:spacing w:val="-2"/>
        </w:rPr>
        <w:t>地产和存货等的借款费用，在资产支出已经发生、借款费用已经发生、为使资产达到预定可使用或可销售状态所必要的购建</w:t>
      </w:r>
      <w:r>
        <w:rPr>
          <w:spacing w:val="-66"/>
        </w:rPr>
        <w:t> </w:t>
      </w:r>
      <w:r>
        <w:rPr>
          <w:spacing w:val="-66"/>
        </w:rPr>
      </w:r>
      <w:r>
        <w:rPr/>
        <w:t>或生产活动已经开始时，开始资本化；当购建或生产符合资本化条件的资产达到预定可使用或可销售状态时，停止资本化，</w:t>
      </w:r>
      <w:r>
        <w:rPr>
          <w:spacing w:val="-85"/>
        </w:rPr>
        <w:t> </w:t>
      </w:r>
      <w:r>
        <w:rPr>
          <w:spacing w:val="-85"/>
        </w:rPr>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5"/>
        <w:rPr>
          <w:rFonts w:ascii="宋体" w:hAnsi="宋体" w:cs="宋体" w:eastAsia="宋体" w:hint="default"/>
          <w:sz w:val="18"/>
          <w:szCs w:val="18"/>
        </w:rPr>
      </w:pPr>
    </w:p>
    <w:p>
      <w:pPr>
        <w:pStyle w:val="BodyText"/>
        <w:spacing w:line="319" w:lineRule="auto"/>
        <w:ind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19、生物资产" w:id="198"/>
      <w:bookmarkEnd w:id="19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0、油气资产" w:id="199"/>
      <w:bookmarkEnd w:id="19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1、无形资产" w:id="200"/>
      <w:bookmarkEnd w:id="20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6"/>
        </w:rPr>
        <w:t>本集团无形资产包括土地使用权、专利技术、非专利技术、软件等，按取得时的实际成本计量，其中，购入的无形资产，</w:t>
      </w:r>
      <w:r>
        <w:rPr/>
        <w:t> 按实际支付的价款和相关的其他支出作为实际成本；投资者投入的无形资产，按投资合同或协议约定的价值确定实际成本，</w:t>
      </w:r>
      <w:r>
        <w:rPr>
          <w:spacing w:val="-85"/>
        </w:rPr>
        <w:t> </w:t>
      </w:r>
      <w:r>
        <w:rPr>
          <w:spacing w:val="-85"/>
        </w:rPr>
      </w:r>
      <w:r>
        <w:rPr>
          <w:spacing w:val="-2"/>
        </w:rPr>
        <w:t>但合同或协议约定价值不公允的，按公允价值确定实际成本；对非同一控制下合并中取得被购买方拥有的但在其财务报表中</w:t>
      </w:r>
      <w:r>
        <w:rPr>
          <w:spacing w:val="-64"/>
        </w:rPr>
        <w:t> </w:t>
      </w:r>
      <w:r>
        <w:rPr>
          <w:spacing w:val="-64"/>
        </w:rPr>
      </w:r>
      <w:r>
        <w:rPr/>
        <w:t>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right="1131" w:firstLine="360"/>
        <w:jc w:val="both"/>
      </w:pPr>
      <w:r>
        <w:rPr>
          <w:spacing w:val="-2"/>
        </w:rPr>
        <w:t>土地使用权从出让起始日起，按其出让年限平均摊销；专利技术、非专利技术和其他无形资产按预计使用年限、合同规</w:t>
      </w:r>
      <w:r>
        <w:rPr/>
        <w:t> </w:t>
      </w:r>
      <w:r>
        <w:rPr>
          <w:spacing w:val="-2"/>
        </w:rPr>
        <w:t>定的受益年限和法律规定的有效年限三者中最短者分期平均摊销。摊销金额按其受益对象计入相关资产成本和当期损益。对</w:t>
      </w:r>
      <w:r>
        <w:rPr>
          <w:spacing w:val="-64"/>
        </w:rPr>
        <w:t> </w:t>
      </w:r>
      <w:r>
        <w:rPr>
          <w:spacing w:val="-64"/>
        </w:rPr>
      </w:r>
      <w:r>
        <w:rPr/>
        <w:t>使用寿命有限的无形资产的预计使用寿命及摊销方法于每年年度终了进行复核，如发生改变，则作为会计估计变更处理。</w:t>
      </w:r>
    </w:p>
    <w:p>
      <w:pPr>
        <w:spacing w:line="240" w:lineRule="auto" w:before="10"/>
        <w:rPr>
          <w:rFonts w:ascii="宋体" w:hAnsi="宋体" w:cs="宋体" w:eastAsia="宋体" w:hint="default"/>
          <w:sz w:val="19"/>
          <w:szCs w:val="19"/>
        </w:rPr>
      </w:pPr>
    </w:p>
    <w:p>
      <w:pPr>
        <w:pStyle w:val="BodyText"/>
        <w:spacing w:line="316" w:lineRule="auto"/>
        <w:ind w:right="1032" w:firstLine="360"/>
        <w:jc w:val="left"/>
      </w:pPr>
      <w:r>
        <w:rPr/>
        <w:t>在每个会计期间对使用寿命不确定的无形资产的预计使用寿命进行复核，如有证据表明无形资产的使用寿命是有限的， 则估计其使用寿命并在预计使用寿命内摊销。</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内部研究开发支出会计政策" w:id="202"/>
      <w:bookmarkEnd w:id="20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本集团内部研究开发项目支出根据其性质以及研发活动最终形成无形资产是否具有较大不确定性，分为研究阶段支出和</w:t>
      </w:r>
      <w:r>
        <w:rPr/>
        <w:t> 开发阶段支出。</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自行研究开发的无形资产，其研究阶段的支出，于发生时计入当期损益；其开发阶段的支出，同时满足下列条件的，确</w:t>
      </w:r>
      <w:r>
        <w:rPr/>
        <w:t> 认为无形资产：</w:t>
      </w:r>
    </w:p>
    <w:p>
      <w:pPr>
        <w:spacing w:line="240" w:lineRule="auto" w:before="10"/>
        <w:rPr>
          <w:rFonts w:ascii="宋体" w:hAnsi="宋体" w:cs="宋体" w:eastAsia="宋体" w:hint="default"/>
          <w:sz w:val="19"/>
          <w:szCs w:val="19"/>
        </w:rPr>
      </w:pPr>
    </w:p>
    <w:p>
      <w:pPr>
        <w:pStyle w:val="BodyText"/>
        <w:spacing w:line="240" w:lineRule="auto"/>
        <w:ind w:left="654" w:right="0"/>
        <w:jc w:val="left"/>
      </w:pPr>
      <w:r>
        <w:rPr>
          <w:rFonts w:ascii="宋体" w:hAnsi="宋体" w:cs="宋体" w:eastAsia="宋体" w:hint="default"/>
        </w:rPr>
        <w:t>1</w:t>
      </w:r>
      <w:r>
        <w:rPr/>
        <w:t>） 完成该无形资产以使其能够使用或出售在技术上具有可行性；</w:t>
      </w:r>
    </w:p>
    <w:p>
      <w:pPr>
        <w:spacing w:line="240" w:lineRule="auto" w:before="2"/>
        <w:rPr>
          <w:rFonts w:ascii="宋体" w:hAnsi="宋体" w:cs="宋体" w:eastAsia="宋体" w:hint="default"/>
          <w:sz w:val="24"/>
          <w:szCs w:val="24"/>
        </w:rPr>
      </w:pPr>
    </w:p>
    <w:p>
      <w:pPr>
        <w:pStyle w:val="BodyText"/>
        <w:spacing w:line="240" w:lineRule="auto"/>
        <w:ind w:left="654" w:right="0"/>
        <w:jc w:val="left"/>
      </w:pPr>
      <w:r>
        <w:rPr>
          <w:rFonts w:ascii="宋体" w:hAnsi="宋体" w:cs="宋体" w:eastAsia="宋体" w:hint="default"/>
        </w:rPr>
        <w:t>2</w:t>
      </w:r>
      <w:r>
        <w:rPr/>
        <w:t>） 具有完成该无形资产并使用或出售的意图；</w:t>
      </w:r>
    </w:p>
    <w:p>
      <w:pPr>
        <w:spacing w:line="240" w:lineRule="auto" w:before="2"/>
        <w:rPr>
          <w:rFonts w:ascii="宋体" w:hAnsi="宋体" w:cs="宋体" w:eastAsia="宋体" w:hint="default"/>
          <w:sz w:val="24"/>
          <w:szCs w:val="24"/>
        </w:rPr>
      </w:pPr>
    </w:p>
    <w:p>
      <w:pPr>
        <w:pStyle w:val="BodyText"/>
        <w:spacing w:line="240" w:lineRule="auto"/>
        <w:ind w:left="654" w:right="0"/>
        <w:jc w:val="left"/>
      </w:pPr>
      <w:r>
        <w:rPr>
          <w:rFonts w:ascii="宋体" w:hAnsi="宋体" w:cs="宋体" w:eastAsia="宋体" w:hint="default"/>
        </w:rPr>
        <w:t>3</w:t>
      </w:r>
      <w:r>
        <w:rPr/>
        <w:t>） 运用该无形资产生产的产品存在市场或无形资产自身存在市场；</w:t>
      </w:r>
    </w:p>
    <w:p>
      <w:pPr>
        <w:spacing w:line="240" w:lineRule="auto" w:before="2"/>
        <w:rPr>
          <w:rFonts w:ascii="宋体" w:hAnsi="宋体" w:cs="宋体" w:eastAsia="宋体" w:hint="default"/>
          <w:sz w:val="24"/>
          <w:szCs w:val="24"/>
        </w:rPr>
      </w:pPr>
    </w:p>
    <w:p>
      <w:pPr>
        <w:pStyle w:val="BodyText"/>
        <w:spacing w:line="240" w:lineRule="auto"/>
        <w:ind w:left="645" w:right="0"/>
        <w:jc w:val="left"/>
      </w:pPr>
      <w:r>
        <w:rPr>
          <w:rFonts w:ascii="宋体" w:hAnsi="宋体" w:cs="宋体" w:eastAsia="宋体" w:hint="default"/>
        </w:rPr>
        <w:t>4</w:t>
      </w:r>
      <w:r>
        <w:rPr/>
        <w:t>） 有足够的技术、财务资源和其他资源支持，以完成该无形资产的开发，并有能力使用或出售该无形资产；</w:t>
      </w:r>
    </w:p>
    <w:p>
      <w:pPr>
        <w:pStyle w:val="BodyText"/>
        <w:spacing w:line="552" w:lineRule="exact" w:before="85"/>
        <w:ind w:left="514" w:right="1032" w:firstLine="140"/>
        <w:jc w:val="left"/>
      </w:pPr>
      <w:r>
        <w:rPr>
          <w:rFonts w:ascii="宋体" w:hAnsi="宋体" w:cs="宋体" w:eastAsia="宋体" w:hint="default"/>
        </w:rPr>
        <w:t>5</w:t>
      </w:r>
      <w:r>
        <w:rPr/>
        <w:t>） 归属于该无形资产开发阶段的支出能够可靠地计量。 不满足上述条件的开发阶段的支出，于发生时计入当期损益。前期已计入损益的开发支出在以后期间不再确认为资产。</w:t>
      </w:r>
    </w:p>
    <w:p>
      <w:pPr>
        <w:pStyle w:val="BodyText"/>
        <w:spacing w:line="227" w:lineRule="exact"/>
        <w:ind w:right="0"/>
        <w:jc w:val="left"/>
      </w:pPr>
      <w:r>
        <w:rPr/>
        <w:t>已资本化的开发阶段的支出在资产负债表上列示为开发支出，自该项目达到预定可使用状态之日起转为无形资产列报。</w:t>
      </w:r>
    </w:p>
    <w:p>
      <w:pPr>
        <w:spacing w:after="0" w:line="227"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22、长期资产减值" w:id="203"/>
      <w:bookmarkEnd w:id="20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本集团于每一资产负债表日对固定资产、在建工程、使用寿命有限的无形资产等项目进行检查，当存在减值迹象时，本</w:t>
      </w:r>
      <w:r>
        <w:rPr/>
        <w:t> 集团进行减值测试。对商誉和使用寿命不确定的无形资产，无论是否存在减值迹象，每年末均进行减值测试。</w:t>
      </w:r>
    </w:p>
    <w:p>
      <w:pPr>
        <w:pStyle w:val="BodyText"/>
        <w:spacing w:line="316" w:lineRule="auto" w:before="120"/>
        <w:ind w:right="1133" w:firstLine="360"/>
        <w:jc w:val="both"/>
      </w:pPr>
      <w:r>
        <w:rPr>
          <w:spacing w:val="-2"/>
        </w:rPr>
        <w:t>减值测试后，若该资产的账面价值超过其可收回金额，其差额确认为减值损失。资产的可收回金额是指资产的公允价值</w:t>
      </w:r>
      <w:r>
        <w:rPr/>
        <w:t> 减去处置费用后的净额与资产预计未来现金流量的现值两者之间的较高者。</w:t>
      </w:r>
    </w:p>
    <w:p>
      <w:pPr>
        <w:pStyle w:val="BodyText"/>
        <w:spacing w:line="240" w:lineRule="auto" w:before="119"/>
        <w:ind w:left="514" w:right="0"/>
        <w:jc w:val="left"/>
      </w:pPr>
      <w:r>
        <w:rPr/>
        <w:t>出现减值的迹象如下：</w:t>
      </w:r>
    </w:p>
    <w:p>
      <w:pPr>
        <w:spacing w:line="240" w:lineRule="auto" w:before="7"/>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line="240" w:lineRule="auto" w:before="5"/>
        <w:rPr>
          <w:rFonts w:ascii="宋体" w:hAnsi="宋体" w:cs="宋体" w:eastAsia="宋体" w:hint="default"/>
          <w:sz w:val="12"/>
          <w:szCs w:val="12"/>
        </w:rPr>
      </w:pPr>
    </w:p>
    <w:p>
      <w:pPr>
        <w:pStyle w:val="BodyText"/>
        <w:spacing w:line="300" w:lineRule="auto"/>
        <w:ind w:right="1131" w:firstLine="360"/>
        <w:jc w:val="both"/>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 产生不利影响；</w:t>
      </w:r>
    </w:p>
    <w:p>
      <w:pPr>
        <w:pStyle w:val="BodyText"/>
        <w:spacing w:line="300" w:lineRule="auto" w:before="132"/>
        <w:ind w:right="1131" w:firstLine="360"/>
        <w:jc w:val="both"/>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132"/>
        <w:ind w:left="514" w:right="0"/>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5"/>
        <w:rPr>
          <w:rFonts w:ascii="宋体" w:hAnsi="宋体" w:cs="宋体" w:eastAsia="宋体" w:hint="default"/>
          <w:sz w:val="12"/>
          <w:szCs w:val="12"/>
        </w:rPr>
      </w:pPr>
    </w:p>
    <w:p>
      <w:pPr>
        <w:pStyle w:val="BodyText"/>
        <w:spacing w:line="240" w:lineRule="auto"/>
        <w:ind w:left="514" w:right="0"/>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5"/>
        <w:rPr>
          <w:rFonts w:ascii="宋体" w:hAnsi="宋体" w:cs="宋体" w:eastAsia="宋体" w:hint="default"/>
          <w:sz w:val="12"/>
          <w:szCs w:val="12"/>
        </w:rPr>
      </w:pPr>
    </w:p>
    <w:p>
      <w:pPr>
        <w:pStyle w:val="BodyText"/>
        <w:spacing w:line="300" w:lineRule="auto"/>
        <w:ind w:right="1130" w:firstLine="360"/>
        <w:jc w:val="both"/>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 利润（或者亏损）远远低于（或者高于）预计金额等；</w:t>
      </w:r>
    </w:p>
    <w:p>
      <w:pPr>
        <w:pStyle w:val="BodyText"/>
        <w:spacing w:line="396" w:lineRule="auto" w:before="132"/>
        <w:ind w:left="514" w:right="0"/>
        <w:jc w:val="left"/>
      </w:pPr>
      <w:r>
        <w:rPr/>
        <w:t>（</w:t>
      </w:r>
      <w:r>
        <w:rPr>
          <w:rFonts w:ascii="Times New Roman" w:hAnsi="Times New Roman" w:cs="Times New Roman" w:eastAsia="Times New Roman" w:hint="default"/>
        </w:rPr>
        <w:t>7</w:t>
      </w:r>
      <w:r>
        <w:rPr/>
        <w:t>）其他表明资产可能已经发生减值的迹象。 </w:t>
      </w:r>
      <w:r>
        <w:rPr>
          <w:spacing w:val="-2"/>
        </w:rPr>
        <w:t>减值测试后，若该资产的账面价值超过其可收回金额，其差额确认为减值损失，上述资产的减值损失一经确认，在以后</w:t>
      </w:r>
    </w:p>
    <w:p>
      <w:pPr>
        <w:pStyle w:val="BodyText"/>
        <w:spacing w:line="194" w:lineRule="exact"/>
        <w:ind w:right="0"/>
        <w:jc w:val="left"/>
      </w:pPr>
      <w:r>
        <w:rPr/>
        <w:t>会计期间不予转回。</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3、长期待摊费用" w:id="204"/>
      <w:bookmarkEnd w:id="20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本集团的长期待摊费用包括模具摊销费、工装费、装修费及软件服务费等费用。模具在受益期内按产量摊销，其他费用</w:t>
      </w:r>
      <w:r>
        <w:rPr/>
        <w:t> </w:t>
      </w:r>
      <w:r>
        <w:rPr>
          <w:spacing w:val="-2"/>
        </w:rPr>
        <w:t>在受益期内平均摊销，如果长期待摊费用项目不能使以后会计期间受益，则将尚未摊销的该项目的摊余价值全部转入当期损</w:t>
      </w:r>
      <w:r>
        <w:rPr>
          <w:spacing w:val="-63"/>
        </w:rPr>
        <w:t> </w:t>
      </w:r>
      <w:r>
        <w:rPr>
          <w:spacing w:val="-63"/>
        </w:rPr>
      </w:r>
      <w:r>
        <w:rPr/>
        <w:t>益。</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4、职工薪酬" w:id="205"/>
      <w:bookmarkEnd w:id="20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短期薪酬的会计处理方法" w:id="206"/>
      <w:bookmarkEnd w:id="20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短期薪酬主要包括括工资、奖金、津贴和补贴、职工福利费、医疗保险费、生育保险费、工伤保险费、住房公积金、工</w:t>
      </w:r>
      <w:r>
        <w:rPr/>
        <w:t> </w:t>
      </w:r>
      <w:r>
        <w:rPr>
          <w:spacing w:val="-2"/>
        </w:rPr>
        <w:t>会经费和职工教育经费、非货币性福利等，在职工提供服务的会计期间，将实际发生的短期薪酬确认为负债，并按照受益对</w:t>
      </w:r>
      <w:r>
        <w:rPr>
          <w:spacing w:val="-66"/>
        </w:rPr>
        <w:t> </w:t>
      </w:r>
      <w:r>
        <w:rPr>
          <w:spacing w:val="-66"/>
        </w:rPr>
      </w:r>
      <w:r>
        <w:rPr/>
        <w:t>象计入当期损益或相关资产成本。</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离职后福利的会计处理方法" w:id="207"/>
      <w:bookmarkEnd w:id="20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离职后福利主要包括设定提存计划。设定提存计划主要包括基本养老保险、失业保险，相应的应缴存金额于发生时计入</w:t>
      </w:r>
      <w:r>
        <w:rPr/>
        <w:t> 相关资产成本或当期损益。</w:t>
      </w:r>
    </w:p>
    <w:p>
      <w:pPr>
        <w:spacing w:line="240" w:lineRule="auto" w:before="8"/>
        <w:rPr>
          <w:rFonts w:ascii="宋体" w:hAnsi="宋体" w:cs="宋体" w:eastAsia="宋体" w:hint="default"/>
          <w:sz w:val="19"/>
          <w:szCs w:val="19"/>
        </w:rPr>
      </w:pPr>
    </w:p>
    <w:p>
      <w:pPr>
        <w:pStyle w:val="BodyText"/>
        <w:spacing w:line="316" w:lineRule="auto"/>
        <w:ind w:right="1131"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5"/>
        </w:rPr>
        <w:t>早日，确认辞退福利产生的职工薪酬负债，并计入当期损益。但辞退福利预期在年度报告期结束后十二个月不能完全支付的，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按照其他长期职工薪酬处理。</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辞退福利的会计处理方法" w:id="208"/>
      <w:bookmarkEnd w:id="20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辞退福利是本公司将自职工停止提供服务日至正常退休日的期间拟支付的内退人员工资和缴纳的社会保险费等，在符合</w:t>
      </w:r>
      <w:r>
        <w:rPr/>
        <w:t> 预计负债确认条件时，计入当期损益（辞退福利）。</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4）其他长期职工福利的会计处理方法" w:id="209"/>
      <w:bookmarkEnd w:id="20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5、预计负债" w:id="210"/>
      <w:bookmarkEnd w:id="21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当与对外担保、商业承兑汇票贴现、未决诉讼或仲裁、产品质量保证等或有事项相关的业务同时符合以下条件时，本集</w:t>
      </w:r>
      <w:r>
        <w:rPr/>
        <w:t> </w:t>
      </w:r>
      <w:r>
        <w:rPr>
          <w:spacing w:val="-2"/>
        </w:rPr>
        <w:t>团将其确认为负债：该义务是本集团承担的现时义务；该义务的履行很可能导致经济利益流出企业；该义务的金额能够可靠</w:t>
      </w:r>
      <w:r>
        <w:rPr>
          <w:spacing w:val="-66"/>
        </w:rPr>
        <w:t> </w:t>
      </w:r>
      <w:r>
        <w:rPr>
          <w:spacing w:val="-66"/>
        </w:rPr>
      </w:r>
      <w:r>
        <w:rPr/>
        <w:t>地计量。</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6"/>
        </w:rPr>
        <w:t> </w:t>
      </w:r>
      <w:r>
        <w:rPr>
          <w:spacing w:val="-66"/>
        </w:rPr>
      </w:r>
      <w:r>
        <w:rPr/>
        <w:t>对预计负债的账面价值进行复核，如有改变则对账面价值进行调整以反映当前最佳估计数。</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26、股份支付" w:id="211"/>
      <w:bookmarkEnd w:id="21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40"/>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3"/>
        </w:rPr>
        <w:t> </w:t>
      </w:r>
      <w:r>
        <w:rPr>
          <w:spacing w:val="-63"/>
        </w:rPr>
      </w:r>
      <w:r>
        <w:rPr/>
        <w:t>直线法计算计入相关成本或费用，相应增加资本公积。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6" w:lineRule="auto"/>
        <w:ind w:right="1133" w:firstLine="440"/>
        <w:jc w:val="both"/>
      </w:pPr>
      <w:r>
        <w:rPr/>
        <w:t>以现金结算的股份支付，按照本集团承担的以股份或其他权益工具为基础确定的负债的公允价值计量。如授予后立即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5"/>
        </w:rPr>
        <w:t>件以后才可行权，在等待期的每个资产负债表日，以对可行权情况的最佳估计为基础，按照本集团承担负债的公允价值金额，</w:t>
      </w:r>
      <w:r>
        <w:rPr>
          <w:spacing w:val="-79"/>
        </w:rPr>
        <w:t> </w:t>
      </w:r>
      <w:r>
        <w:rPr>
          <w:spacing w:val="-79"/>
        </w:rPr>
      </w:r>
      <w:r>
        <w:rPr/>
        <w:t>将当期取得的服务计入成本或费用，相应调整负债。</w:t>
      </w:r>
    </w:p>
    <w:p>
      <w:pPr>
        <w:pStyle w:val="BodyText"/>
        <w:spacing w:line="552" w:lineRule="exact" w:before="27"/>
        <w:ind w:left="552" w:right="0" w:firstLine="42"/>
        <w:jc w:val="left"/>
      </w:pPr>
      <w:r>
        <w:rPr/>
        <w:t>在相关负债结算前的每个资产负债表日以及结算日，对负债的公允价值重新计量，其变动计入当期损益。 本集团在等待期内取消所授予权益工具的（因未满足可行权条件而被取消的除外），作为加速行权处理，即视同剩余</w:t>
      </w:r>
    </w:p>
    <w:p>
      <w:pPr>
        <w:pStyle w:val="BodyText"/>
        <w:spacing w:line="227" w:lineRule="exact"/>
        <w:ind w:right="0"/>
        <w:jc w:val="left"/>
      </w:pPr>
      <w:r>
        <w:rPr/>
        <w:t>等待期内的股权支付计划已经全部满足可行权条件，在取消所授予权益工具的当期确认剩余等待期内的所有费用。</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7、优先股、永续债等其他金融工具" w:id="212"/>
      <w:bookmarkEnd w:id="21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8、收入" w:id="213"/>
      <w:bookmarkEnd w:id="21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t>（</w:t>
      </w:r>
      <w:r>
        <w:rPr>
          <w:rFonts w:ascii="Times New Roman" w:hAnsi="Times New Roman" w:cs="Times New Roman" w:eastAsia="Times New Roman" w:hint="default"/>
        </w:rPr>
        <w:t>1</w:t>
      </w:r>
      <w:r>
        <w:rPr/>
        <w:t>）本集团的营业收入主要包括销售商品收入、提供劳务收入、让渡资产使用权收入，收入确认政策如下：</w:t>
      </w:r>
    </w:p>
    <w:p>
      <w:pPr>
        <w:spacing w:line="240" w:lineRule="auto" w:before="1"/>
        <w:rPr>
          <w:rFonts w:ascii="宋体" w:hAnsi="宋体" w:cs="宋体" w:eastAsia="宋体" w:hint="default"/>
          <w:sz w:val="23"/>
          <w:szCs w:val="23"/>
        </w:rPr>
      </w:pPr>
    </w:p>
    <w:p>
      <w:pPr>
        <w:pStyle w:val="BodyText"/>
        <w:spacing w:line="309" w:lineRule="auto"/>
        <w:ind w:right="1131" w:firstLine="360"/>
        <w:jc w:val="both"/>
      </w:pPr>
      <w:r>
        <w:rPr>
          <w:rFonts w:ascii="Times New Roman" w:hAnsi="Times New Roman" w:cs="Times New Roman" w:eastAsia="Times New Roman" w:hint="default"/>
        </w:rPr>
        <w:t>1</w:t>
      </w:r>
      <w:r>
        <w:rPr/>
        <w:t>）销售商品收入：本集团在已将商品所有权上的主要风险和报酬转移给购货方、本集团既没有保留通常与所有权相联 </w:t>
      </w:r>
      <w:r>
        <w:rPr>
          <w:spacing w:val="-2"/>
        </w:rPr>
        <w:t>系的继续管理权、也没有对已售出的商品实施有效控制、收入的金额能够可靠地计量、相关的经济利益很可能流入企业、相</w:t>
      </w:r>
      <w:r>
        <w:rPr>
          <w:spacing w:val="-66"/>
        </w:rPr>
        <w:t> </w:t>
      </w:r>
      <w:r>
        <w:rPr>
          <w:spacing w:val="-66"/>
        </w:rPr>
      </w:r>
      <w:r>
        <w:rPr/>
        <w:t>关的已发生或将发生的成本能够可靠地计量时，确认销售商品收入的实现。</w:t>
      </w:r>
    </w:p>
    <w:p>
      <w:pPr>
        <w:spacing w:line="240" w:lineRule="auto" w:before="3"/>
        <w:rPr>
          <w:rFonts w:ascii="宋体" w:hAnsi="宋体" w:cs="宋体" w:eastAsia="宋体" w:hint="default"/>
          <w:sz w:val="20"/>
          <w:szCs w:val="20"/>
        </w:rPr>
      </w:pPr>
    </w:p>
    <w:p>
      <w:pPr>
        <w:pStyle w:val="BodyText"/>
        <w:spacing w:line="240" w:lineRule="auto"/>
        <w:ind w:left="514" w:right="0"/>
        <w:jc w:val="left"/>
      </w:pPr>
      <w:r>
        <w:rPr/>
        <w:t>对于模具产品销售收入，以模具在客户处安装调试合格并取得客户签署的验收报告时确认销售收入。</w:t>
      </w:r>
    </w:p>
    <w:p>
      <w:pPr>
        <w:spacing w:line="240" w:lineRule="auto" w:before="2"/>
        <w:rPr>
          <w:rFonts w:ascii="宋体" w:hAnsi="宋体" w:cs="宋体" w:eastAsia="宋体" w:hint="default"/>
          <w:sz w:val="24"/>
          <w:szCs w:val="24"/>
        </w:rPr>
      </w:pPr>
    </w:p>
    <w:p>
      <w:pPr>
        <w:pStyle w:val="BodyText"/>
        <w:spacing w:line="314" w:lineRule="auto"/>
        <w:ind w:right="1032" w:firstLine="360"/>
        <w:jc w:val="left"/>
      </w:pPr>
      <w:r>
        <w:rPr>
          <w:rFonts w:ascii="Times New Roman" w:hAnsi="Times New Roman" w:cs="Times New Roman" w:eastAsia="Times New Roman" w:hint="default"/>
        </w:rPr>
        <w:t>2</w:t>
      </w:r>
      <w:r>
        <w:rPr/>
        <w:t>）提供劳务收入：提供劳务交易的结果在资产负债表日能够可靠估计的（同时满足收入的金额能够可靠地计量、相关 </w:t>
      </w:r>
      <w:r>
        <w:rPr>
          <w:spacing w:val="-2"/>
        </w:rPr>
        <w:t>经济利益很可能流入、交易的完工进度能够可靠地确定、交易中已发生和将发生的成本能够可靠地计量），采用完工百分比</w:t>
      </w:r>
      <w:r>
        <w:rPr>
          <w:spacing w:val="-66"/>
        </w:rPr>
        <w:t> </w:t>
      </w:r>
      <w:r>
        <w:rPr>
          <w:spacing w:val="-66"/>
        </w:rPr>
      </w:r>
      <w:r>
        <w:rPr>
          <w:spacing w:val="-2"/>
        </w:rPr>
        <w:t>法确认提供劳务的收入，并按已经发生的成本占估计总成本的比例确定提供劳务交易的完工进度。提供劳务交易的结果在资</w:t>
      </w:r>
      <w:r>
        <w:rPr>
          <w:spacing w:val="-64"/>
        </w:rPr>
        <w:t> </w:t>
      </w:r>
      <w:r>
        <w:rPr>
          <w:spacing w:val="-64"/>
        </w:rPr>
      </w:r>
      <w:r>
        <w:rPr/>
        <w:t>产负债表日不能够可靠估计的，若已经发生的劳务成本预计能够得到补偿，按已经发生的劳务成本金额确认提供劳务收入，</w:t>
      </w:r>
      <w:r>
        <w:rPr>
          <w:spacing w:val="-85"/>
        </w:rPr>
        <w:t> </w:t>
      </w:r>
      <w:r>
        <w:rPr>
          <w:spacing w:val="-85"/>
        </w:rPr>
      </w:r>
      <w:r>
        <w:rPr>
          <w:spacing w:val="-2"/>
        </w:rPr>
        <w:t>并按相同金额结转劳务成本；若已经发生的劳务成本预计不能够得到补偿，将已经发生的劳务成本计入当期损益，不确认劳</w:t>
      </w:r>
      <w:r>
        <w:rPr>
          <w:spacing w:val="-66"/>
        </w:rPr>
        <w:t> </w:t>
      </w:r>
      <w:r>
        <w:rPr>
          <w:spacing w:val="-66"/>
        </w:rPr>
      </w:r>
      <w:r>
        <w:rPr/>
        <w:t>务收入。</w:t>
      </w:r>
    </w:p>
    <w:p>
      <w:pPr>
        <w:spacing w:line="240" w:lineRule="auto" w:before="12"/>
        <w:rPr>
          <w:rFonts w:ascii="宋体" w:hAnsi="宋体" w:cs="宋体" w:eastAsia="宋体" w:hint="default"/>
          <w:sz w:val="19"/>
          <w:szCs w:val="19"/>
        </w:rPr>
      </w:pPr>
    </w:p>
    <w:p>
      <w:pPr>
        <w:pStyle w:val="BodyText"/>
        <w:spacing w:line="300" w:lineRule="auto"/>
        <w:ind w:right="1122" w:firstLine="360"/>
        <w:jc w:val="left"/>
      </w:pPr>
      <w:r>
        <w:rPr>
          <w:rFonts w:ascii="Times New Roman" w:hAnsi="Times New Roman" w:cs="Times New Roman" w:eastAsia="Times New Roman" w:hint="default"/>
        </w:rPr>
        <w:t>3</w:t>
      </w:r>
      <w:r>
        <w:rPr/>
        <w:t>）让渡资产使用权收入：与交易相关的经济利益很可能流入本集团、收入的金额能够可靠地计量时，确认让渡资产使 用权收入的实现。分别下列情况确定让渡资产使用权收入金额：</w:t>
      </w:r>
    </w:p>
    <w:p>
      <w:pPr>
        <w:spacing w:line="240" w:lineRule="auto" w:before="10"/>
        <w:rPr>
          <w:rFonts w:ascii="宋体" w:hAnsi="宋体" w:cs="宋体" w:eastAsia="宋体" w:hint="default"/>
          <w:sz w:val="20"/>
          <w:szCs w:val="20"/>
        </w:rPr>
      </w:pPr>
    </w:p>
    <w:p>
      <w:pPr>
        <w:pStyle w:val="BodyText"/>
        <w:spacing w:line="532" w:lineRule="auto"/>
        <w:ind w:left="514" w:right="4322"/>
        <w:jc w:val="left"/>
      </w:pPr>
      <w:r>
        <w:rPr>
          <w:rFonts w:ascii="Times New Roman" w:hAnsi="Times New Roman" w:cs="Times New Roman" w:eastAsia="Times New Roman" w:hint="default"/>
        </w:rPr>
        <w:t>A</w:t>
      </w:r>
      <w:r>
        <w:rPr/>
        <w:t>利息收入金额，按照他人使用本集团货币资金的时间和实际利率计算确定。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pStyle w:val="BodyText"/>
        <w:spacing w:line="240" w:lineRule="auto" w:before="60"/>
        <w:ind w:left="514" w:right="0"/>
        <w:jc w:val="left"/>
      </w:pPr>
      <w:r>
        <w:rPr/>
        <w:t>（</w:t>
      </w:r>
      <w:r>
        <w:rPr>
          <w:rFonts w:ascii="Times New Roman" w:hAnsi="Times New Roman" w:cs="Times New Roman" w:eastAsia="Times New Roman" w:hint="default"/>
        </w:rPr>
        <w:t>2</w:t>
      </w:r>
      <w:r>
        <w:rPr/>
        <w:t>）本公司及其子公司（除联动优势科技有限公司及其子公司）收入确认具体政策：</w:t>
      </w:r>
    </w:p>
    <w:p>
      <w:pPr>
        <w:spacing w:line="240" w:lineRule="auto" w:before="2"/>
        <w:rPr>
          <w:rFonts w:ascii="宋体" w:hAnsi="宋体" w:cs="宋体" w:eastAsia="宋体" w:hint="default"/>
          <w:sz w:val="23"/>
          <w:szCs w:val="23"/>
        </w:rPr>
      </w:pPr>
    </w:p>
    <w:p>
      <w:pPr>
        <w:pStyle w:val="BodyText"/>
        <w:spacing w:line="300" w:lineRule="auto"/>
        <w:ind w:right="1122" w:firstLine="360"/>
        <w:jc w:val="left"/>
      </w:pPr>
      <w:r>
        <w:rPr/>
        <w:t>本公司对客户实施信用等级管理，根据客户资质及规模确定信用额度，并划分为</w:t>
      </w:r>
      <w:r>
        <w:rPr>
          <w:rFonts w:ascii="Times New Roman" w:hAnsi="Times New Roman" w:cs="Times New Roman" w:eastAsia="Times New Roman" w:hint="default"/>
        </w:rPr>
        <w:t>A</w:t>
      </w:r>
      <w:r>
        <w:rPr/>
        <w:t>类、</w:t>
      </w:r>
      <w:r>
        <w:rPr>
          <w:rFonts w:ascii="Times New Roman" w:hAnsi="Times New Roman" w:cs="Times New Roman" w:eastAsia="Times New Roman" w:hint="default"/>
        </w:rPr>
        <w:t>B</w:t>
      </w:r>
      <w:r>
        <w:rPr/>
        <w:t>类、</w:t>
      </w:r>
      <w:r>
        <w:rPr>
          <w:rFonts w:ascii="Times New Roman" w:hAnsi="Times New Roman" w:cs="Times New Roman" w:eastAsia="Times New Roman" w:hint="default"/>
        </w:rPr>
        <w:t>C</w:t>
      </w:r>
      <w:r>
        <w:rPr/>
        <w:t>类、</w:t>
      </w:r>
      <w:r>
        <w:rPr>
          <w:rFonts w:ascii="Times New Roman" w:hAnsi="Times New Roman" w:cs="Times New Roman" w:eastAsia="Times New Roman" w:hint="default"/>
        </w:rPr>
        <w:t>D</w:t>
      </w:r>
      <w:r>
        <w:rPr/>
        <w:t>类。对</w:t>
      </w:r>
      <w:r>
        <w:rPr>
          <w:rFonts w:ascii="Times New Roman" w:hAnsi="Times New Roman" w:cs="Times New Roman" w:eastAsia="Times New Roman" w:hint="default"/>
        </w:rPr>
        <w:t>A</w:t>
      </w:r>
      <w:r>
        <w:rPr/>
        <w:t>类客户销 售方式以赊销为主，对</w:t>
      </w:r>
      <w:r>
        <w:rPr>
          <w:rFonts w:ascii="Times New Roman" w:hAnsi="Times New Roman" w:cs="Times New Roman" w:eastAsia="Times New Roman" w:hint="default"/>
        </w:rPr>
        <w:t>B</w:t>
      </w:r>
      <w:r>
        <w:rPr/>
        <w:t>类及</w:t>
      </w:r>
      <w:r>
        <w:rPr>
          <w:rFonts w:ascii="Times New Roman" w:hAnsi="Times New Roman" w:cs="Times New Roman" w:eastAsia="Times New Roman" w:hint="default"/>
        </w:rPr>
        <w:t>C</w:t>
      </w:r>
      <w:r>
        <w:rPr/>
        <w:t>类客户销售方式以现款为主，预收款项为辅，对</w:t>
      </w:r>
      <w:r>
        <w:rPr>
          <w:rFonts w:ascii="Times New Roman" w:hAnsi="Times New Roman" w:cs="Times New Roman" w:eastAsia="Times New Roman" w:hint="default"/>
        </w:rPr>
        <w:t>D</w:t>
      </w:r>
      <w:r>
        <w:rPr/>
        <w:t>类客户销售方式以预收款项为主。</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rFonts w:ascii="Times New Roman" w:hAnsi="Times New Roman" w:cs="Times New Roman" w:eastAsia="Times New Roman" w:hint="default"/>
        </w:rPr>
        <w:t>1</w:t>
      </w:r>
      <w:r>
        <w:rPr/>
        <w:t>）采取赊销方式的，本公司于客户验收货物并与客户对账获取确认文件或登录客户匹配端口查证后确认收入；</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rFonts w:ascii="Times New Roman" w:hAnsi="Times New Roman" w:cs="Times New Roman" w:eastAsia="Times New Roman" w:hint="default"/>
        </w:rPr>
        <w:t>2</w:t>
      </w:r>
      <w:r>
        <w:rPr/>
        <w:t>）采取现款销售方式的，本公司于收到货款同时发出货物并经客户签收提</w:t>
      </w:r>
      <w:r>
        <w:rPr>
          <w:rFonts w:ascii="Times New Roman" w:hAnsi="Times New Roman" w:cs="Times New Roman" w:eastAsia="Times New Roman" w:hint="default"/>
        </w:rPr>
        <w:t>/</w:t>
      </w:r>
      <w:r>
        <w:rPr/>
        <w:t>送</w:t>
      </w:r>
      <w:r>
        <w:rPr>
          <w:rFonts w:ascii="Times New Roman" w:hAnsi="Times New Roman" w:cs="Times New Roman" w:eastAsia="Times New Roman" w:hint="default"/>
        </w:rPr>
        <w:t>/</w:t>
      </w:r>
      <w:r>
        <w:rPr/>
        <w:t>发货单时确认收入；</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rFonts w:ascii="Times New Roman" w:hAnsi="Times New Roman" w:cs="Times New Roman" w:eastAsia="Times New Roman" w:hint="default"/>
        </w:rPr>
        <w:t>3</w:t>
      </w:r>
      <w:r>
        <w:rPr/>
        <w:t>）</w:t>
      </w:r>
      <w:r>
        <w:rPr>
          <w:spacing w:val="-20"/>
        </w:rPr>
        <w:t> </w:t>
      </w:r>
      <w:r>
        <w:rPr/>
        <w:t>采取预收货款销售方式的，本公司于货物发出并经客户签收提</w:t>
      </w:r>
      <w:r>
        <w:rPr>
          <w:rFonts w:ascii="Times New Roman" w:hAnsi="Times New Roman" w:cs="Times New Roman" w:eastAsia="Times New Roman" w:hint="default"/>
        </w:rPr>
        <w:t>/</w:t>
      </w:r>
      <w:r>
        <w:rPr/>
        <w:t>送</w:t>
      </w:r>
      <w:r>
        <w:rPr>
          <w:rFonts w:ascii="Times New Roman" w:hAnsi="Times New Roman" w:cs="Times New Roman" w:eastAsia="Times New Roman" w:hint="default"/>
        </w:rPr>
        <w:t>/</w:t>
      </w:r>
      <w:r>
        <w:rPr/>
        <w:t>发货单时确认收入；</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rFonts w:ascii="Times New Roman" w:hAnsi="Times New Roman" w:cs="Times New Roman" w:eastAsia="Times New Roman" w:hint="default"/>
        </w:rPr>
        <w:t>4</w:t>
      </w:r>
      <w:r>
        <w:rPr/>
        <w:t>）直接出口业务按合同或协议约定完成出口报关手续并交运后确认收入。</w:t>
      </w:r>
    </w:p>
    <w:p>
      <w:pPr>
        <w:pStyle w:val="BodyText"/>
        <w:spacing w:line="550" w:lineRule="atLeast" w:before="2"/>
        <w:ind w:left="514" w:right="1118"/>
        <w:jc w:val="left"/>
      </w:pPr>
      <w:r>
        <w:rPr/>
        <w:t>（</w:t>
      </w:r>
      <w:r>
        <w:rPr>
          <w:rFonts w:ascii="Times New Roman" w:hAnsi="Times New Roman" w:cs="Times New Roman" w:eastAsia="Times New Roman" w:hint="default"/>
        </w:rPr>
        <w:t>3</w:t>
      </w:r>
      <w:r>
        <w:rPr/>
        <w:t>）联动优势科技及其子公司收入确认具体政策： </w:t>
      </w:r>
      <w:r>
        <w:rPr>
          <w:spacing w:val="-1"/>
        </w:rPr>
        <w:t>公司的收入主要包括：移动运营商计费结算服务收入、移动信息服务收入、第三方支付服务收入、</w:t>
      </w:r>
      <w:r>
        <w:rPr>
          <w:rFonts w:ascii="Times New Roman" w:hAnsi="Times New Roman" w:cs="Times New Roman" w:eastAsia="Times New Roman" w:hint="default"/>
          <w:spacing w:val="-1"/>
        </w:rPr>
        <w:t>“</w:t>
      </w:r>
      <w:r>
        <w:rPr>
          <w:spacing w:val="-1"/>
        </w:rPr>
        <w:t>惠商</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O2O</w:t>
      </w:r>
      <w:r>
        <w:rPr>
          <w:rFonts w:ascii="Times New Roman" w:hAnsi="Times New Roman" w:cs="Times New Roman" w:eastAsia="Times New Roman" w:hint="default"/>
          <w:spacing w:val="29"/>
        </w:rPr>
        <w:t> </w:t>
      </w:r>
      <w:r>
        <w:rPr/>
        <w:t>业务收</w:t>
      </w:r>
    </w:p>
    <w:p>
      <w:pPr>
        <w:pStyle w:val="BodyText"/>
        <w:spacing w:line="240" w:lineRule="auto" w:before="63"/>
        <w:ind w:right="0"/>
        <w:jc w:val="left"/>
      </w:pPr>
      <w:r>
        <w:rPr/>
        <w:t>入、大数据业务收入、其他业务收入。具体确认方法为：</w:t>
      </w:r>
    </w:p>
    <w:p>
      <w:pPr>
        <w:pStyle w:val="BodyText"/>
        <w:spacing w:line="540" w:lineRule="atLeast" w:before="25"/>
        <w:ind w:left="514" w:right="0"/>
        <w:jc w:val="left"/>
      </w:pPr>
      <w:r>
        <w:rPr>
          <w:rFonts w:ascii="Times New Roman" w:hAnsi="Times New Roman" w:cs="Times New Roman" w:eastAsia="Times New Roman" w:hint="default"/>
        </w:rPr>
        <w:t>1</w:t>
      </w:r>
      <w:r>
        <w:rPr/>
        <w:t>）移动运营商计费结算服务收入 </w:t>
      </w:r>
      <w:r>
        <w:rPr>
          <w:spacing w:val="-2"/>
        </w:rPr>
        <w:t>移动运营商计费结算服务是指中国移动通信集团有限公司用户通过发送短信、网站或手机下单等方式购买商品时，采用</w:t>
      </w:r>
    </w:p>
    <w:p>
      <w:pPr>
        <w:pStyle w:val="BodyText"/>
        <w:spacing w:line="316" w:lineRule="auto" w:before="76"/>
        <w:ind w:right="0"/>
        <w:jc w:val="left"/>
      </w:pPr>
      <w:r>
        <w:rPr>
          <w:spacing w:val="-2"/>
        </w:rPr>
        <w:t>手机话费、移动积分等支付商品交易款项，中国移动通信集团有限公司将用户的商品交易款项收取后，将交易款扣除合同约</w:t>
      </w:r>
      <w:r>
        <w:rPr>
          <w:spacing w:val="-66"/>
        </w:rPr>
        <w:t> </w:t>
      </w:r>
      <w:r>
        <w:rPr>
          <w:spacing w:val="-66"/>
        </w:rPr>
      </w:r>
      <w:r>
        <w:rPr>
          <w:spacing w:val="-2"/>
        </w:rPr>
        <w:t>定的比例后支付给公司，公司根据协议约定比例向各商户结算；对于在整个交易中，公司仅提供款项收付及结算服务，不承</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担商品风险的交易，公司按照应收取的交易款减去应支付给各商户的结算款之后的净额确认收入；对于公司需预先支付给商</w:t>
      </w:r>
      <w:r>
        <w:rPr>
          <w:spacing w:val="-64"/>
        </w:rPr>
        <w:t> </w:t>
      </w:r>
      <w:r>
        <w:rPr>
          <w:spacing w:val="-64"/>
        </w:rPr>
      </w:r>
      <w:r>
        <w:rPr>
          <w:spacing w:val="-2"/>
        </w:rPr>
        <w:t>户款项以及本公司直接外购商品在平台销售的交易，由于公司承担了交易的相关风险，因此公司按照商品购销业务全额确认</w:t>
      </w:r>
      <w:r>
        <w:rPr>
          <w:spacing w:val="-64"/>
        </w:rPr>
        <w:t> </w:t>
      </w:r>
      <w:r>
        <w:rPr>
          <w:spacing w:val="-64"/>
        </w:rPr>
      </w:r>
      <w:r>
        <w:rPr/>
        <w:t>收入和成本；本公司根据与客户签订的合同约定，移动运营商计费结算服务费在结算月根据上述原则确认收入。</w:t>
      </w:r>
    </w:p>
    <w:p>
      <w:pPr>
        <w:spacing w:line="240" w:lineRule="auto" w:before="11"/>
        <w:rPr>
          <w:rFonts w:ascii="宋体" w:hAnsi="宋体" w:cs="宋体" w:eastAsia="宋体" w:hint="default"/>
          <w:sz w:val="19"/>
          <w:szCs w:val="19"/>
        </w:rPr>
      </w:pPr>
    </w:p>
    <w:p>
      <w:pPr>
        <w:pStyle w:val="BodyText"/>
        <w:spacing w:line="240" w:lineRule="auto"/>
        <w:ind w:left="514" w:right="0"/>
        <w:jc w:val="left"/>
      </w:pPr>
      <w:r>
        <w:rPr>
          <w:rFonts w:ascii="Times New Roman" w:hAnsi="Times New Roman" w:cs="Times New Roman" w:eastAsia="Times New Roman" w:hint="default"/>
        </w:rPr>
        <w:t>2</w:t>
      </w:r>
      <w:r>
        <w:rPr/>
        <w:t>）移动信息服务收入</w:t>
      </w:r>
    </w:p>
    <w:p>
      <w:pPr>
        <w:spacing w:line="240" w:lineRule="auto" w:before="2"/>
        <w:rPr>
          <w:rFonts w:ascii="宋体" w:hAnsi="宋体" w:cs="宋体" w:eastAsia="宋体" w:hint="default"/>
          <w:sz w:val="23"/>
          <w:szCs w:val="23"/>
        </w:rPr>
      </w:pPr>
    </w:p>
    <w:p>
      <w:pPr>
        <w:pStyle w:val="BodyText"/>
        <w:spacing w:line="240" w:lineRule="auto"/>
        <w:ind w:left="514" w:right="0"/>
        <w:jc w:val="left"/>
      </w:pPr>
      <w:r>
        <w:rPr/>
        <w:t>移动信息服务包括公司为中国移动通信集团有限公司提供</w:t>
      </w:r>
      <w:r>
        <w:rPr>
          <w:spacing w:val="-21"/>
        </w:rPr>
        <w:t> </w:t>
      </w:r>
      <w:r>
        <w:rPr>
          <w:rFonts w:ascii="Times New Roman" w:hAnsi="Times New Roman" w:cs="Times New Roman" w:eastAsia="Times New Roman" w:hint="default"/>
        </w:rPr>
        <w:t>B-MAS</w:t>
      </w:r>
      <w:r>
        <w:rPr/>
        <w:t>运营支撑服务以及联信通业务。</w:t>
      </w:r>
    </w:p>
    <w:p>
      <w:pPr>
        <w:spacing w:line="240" w:lineRule="auto" w:before="2"/>
        <w:rPr>
          <w:rFonts w:ascii="宋体" w:hAnsi="宋体" w:cs="宋体" w:eastAsia="宋体" w:hint="default"/>
          <w:sz w:val="23"/>
          <w:szCs w:val="23"/>
        </w:rPr>
      </w:pPr>
    </w:p>
    <w:p>
      <w:pPr>
        <w:pStyle w:val="BodyText"/>
        <w:spacing w:line="300" w:lineRule="auto"/>
        <w:ind w:right="1130" w:firstLine="360"/>
        <w:jc w:val="both"/>
      </w:pPr>
      <w:r>
        <w:rPr>
          <w:rFonts w:ascii="Times New Roman" w:hAnsi="Times New Roman" w:cs="Times New Roman" w:eastAsia="Times New Roman" w:hint="default"/>
        </w:rPr>
        <w:t>MAS</w:t>
      </w:r>
      <w:r>
        <w:rPr>
          <w:rFonts w:ascii="Times New Roman" w:hAnsi="Times New Roman" w:cs="Times New Roman" w:eastAsia="Times New Roman" w:hint="default"/>
          <w:spacing w:val="20"/>
        </w:rPr>
        <w:t> </w:t>
      </w:r>
      <w:r>
        <w:rPr/>
        <w:t>运营支撑服务收入确认原则：根据与中国移动通信集团有限公司的合同约定，</w:t>
      </w:r>
      <w:r>
        <w:rPr>
          <w:rFonts w:ascii="Times New Roman" w:hAnsi="Times New Roman" w:cs="Times New Roman" w:eastAsia="Times New Roman" w:hint="default"/>
        </w:rPr>
        <w:t>MAS</w:t>
      </w:r>
      <w:r>
        <w:rPr/>
        <w:t>运营支撑服务费用中的</w:t>
      </w:r>
      <w:r>
        <w:rPr>
          <w:rFonts w:ascii="Times New Roman" w:hAnsi="Times New Roman" w:cs="Times New Roman" w:eastAsia="Times New Roman" w:hint="default"/>
        </w:rPr>
        <w:t>80%</w:t>
      </w:r>
      <w:r>
        <w:rPr/>
        <w:t>为 </w:t>
      </w:r>
      <w:r>
        <w:rPr>
          <w:spacing w:val="-1"/>
        </w:rPr>
        <w:t>基本支撑费，按月进行结算，</w:t>
      </w:r>
      <w:r>
        <w:rPr>
          <w:rFonts w:ascii="Times New Roman" w:hAnsi="Times New Roman" w:cs="Times New Roman" w:eastAsia="Times New Roman" w:hint="default"/>
          <w:spacing w:val="-1"/>
        </w:rPr>
        <w:t>20%</w:t>
      </w:r>
      <w:r>
        <w:rPr>
          <w:spacing w:val="-1"/>
        </w:rPr>
        <w:t>部分为考核支撑费，根据季度考核得分情况，计算季度考核支撑费，并按季度结算。公司</w:t>
      </w:r>
      <w:r>
        <w:rPr>
          <w:spacing w:val="-88"/>
        </w:rPr>
        <w:t> </w:t>
      </w:r>
      <w:r>
        <w:rPr>
          <w:spacing w:val="-88"/>
        </w:rPr>
      </w:r>
      <w:r>
        <w:rPr/>
        <w:t>将基本支撑费部分在合同期内按月确认收入，考核支撑费用部分在考核确认后再确认收入。</w:t>
      </w:r>
    </w:p>
    <w:p>
      <w:pPr>
        <w:spacing w:line="240" w:lineRule="auto" w:before="10"/>
        <w:rPr>
          <w:rFonts w:ascii="宋体" w:hAnsi="宋体" w:cs="宋体" w:eastAsia="宋体" w:hint="default"/>
          <w:sz w:val="20"/>
          <w:szCs w:val="20"/>
        </w:rPr>
      </w:pPr>
    </w:p>
    <w:p>
      <w:pPr>
        <w:pStyle w:val="BodyText"/>
        <w:spacing w:line="552" w:lineRule="auto"/>
        <w:ind w:left="514" w:right="2652"/>
        <w:jc w:val="left"/>
      </w:pPr>
      <w:r>
        <w:rPr/>
        <w:t>联信通业务收入确认原则：联信通业务是公司为客户提供短信发送服务，在服务提供时确认收入。 </w:t>
      </w:r>
      <w:r>
        <w:rPr>
          <w:rFonts w:ascii="Times New Roman" w:hAnsi="Times New Roman" w:cs="Times New Roman" w:eastAsia="Times New Roman" w:hint="default"/>
        </w:rPr>
        <w:t>3</w:t>
      </w:r>
      <w:r>
        <w:rPr/>
        <w:t>）第三方支付服务收入 公司在提供第三方支付服务时，向客户收取的支付服务费用，于支付业务服务提供时确认收入。 </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O2O</w:t>
      </w:r>
      <w:r>
        <w:rPr>
          <w:rFonts w:ascii="Times New Roman" w:hAnsi="Times New Roman" w:cs="Times New Roman" w:eastAsia="Times New Roman" w:hint="default"/>
          <w:spacing w:val="26"/>
        </w:rPr>
        <w:t> </w:t>
      </w:r>
      <w:r>
        <w:rPr/>
        <w:t>业务收入</w:t>
      </w:r>
    </w:p>
    <w:p>
      <w:pPr>
        <w:pStyle w:val="BodyText"/>
        <w:spacing w:line="314" w:lineRule="auto" w:before="43"/>
        <w:ind w:right="1030" w:firstLine="360"/>
        <w:jc w:val="left"/>
      </w:pPr>
      <w:r>
        <w:rPr>
          <w:rFonts w:ascii="Times New Roman" w:hAnsi="Times New Roman" w:cs="Times New Roman" w:eastAsia="Times New Roman" w:hint="default"/>
        </w:rPr>
        <w:t>“</w:t>
      </w:r>
      <w:r>
        <w:rPr/>
        <w:t>惠商</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O2O</w:t>
      </w:r>
      <w:r>
        <w:rPr>
          <w:rFonts w:ascii="Times New Roman" w:hAnsi="Times New Roman" w:cs="Times New Roman" w:eastAsia="Times New Roman" w:hint="default"/>
          <w:spacing w:val="27"/>
        </w:rPr>
        <w:t> </w:t>
      </w:r>
      <w:r>
        <w:rPr>
          <w:spacing w:val="-3"/>
        </w:rPr>
        <w:t>业务是指中国移动通信集团有限公司用户在购买商品或服务时使用和包电子券、积分、兑换券等进行支付，</w:t>
      </w:r>
      <w:r>
        <w:rPr/>
        <w:t> </w:t>
      </w:r>
      <w:r>
        <w:rPr>
          <w:spacing w:val="-2"/>
        </w:rPr>
        <w:t>中国移动通信集团有限公司根据用户实际消费金额通过中间商与各商户之间结算和款项代收付；中国移动通信集团有限公司</w:t>
      </w:r>
      <w:r>
        <w:rPr>
          <w:spacing w:val="-64"/>
        </w:rPr>
        <w:t> </w:t>
      </w:r>
      <w:r>
        <w:rPr>
          <w:spacing w:val="-64"/>
        </w:rPr>
      </w:r>
      <w:r>
        <w:rPr>
          <w:spacing w:val="-2"/>
        </w:rPr>
        <w:t>将交易款支付给中间商，中间商根据协议约定比例向各商户结算；本公司作为该交易的中间商，在整个交易中公司仅提供款</w:t>
      </w:r>
      <w:r>
        <w:rPr>
          <w:spacing w:val="-66"/>
        </w:rPr>
        <w:t> </w:t>
      </w:r>
      <w:r>
        <w:rPr>
          <w:spacing w:val="-66"/>
        </w:rPr>
      </w:r>
      <w:r>
        <w:rPr>
          <w:spacing w:val="-2"/>
        </w:rPr>
        <w:t>项收付及结算服务，不承担商品风险，公司按照应收取的交易款减去应支付给各商户的结算款之后的净额确认收入；本公司</w:t>
      </w:r>
      <w:r>
        <w:rPr>
          <w:spacing w:val="-66"/>
        </w:rPr>
        <w:t> </w:t>
      </w:r>
      <w:r>
        <w:rPr>
          <w:spacing w:val="-66"/>
        </w:rPr>
      </w:r>
      <w:r>
        <w:rPr/>
        <w:t>根据与客户签订的合同约定，</w:t>
      </w:r>
      <w:r>
        <w:rPr>
          <w:rFonts w:ascii="Times New Roman" w:hAnsi="Times New Roman" w:cs="Times New Roman" w:eastAsia="Times New Roman" w:hint="default"/>
        </w:rPr>
        <w:t>“</w:t>
      </w:r>
      <w:r>
        <w:rPr/>
        <w:t>惠商</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O2O</w:t>
      </w:r>
      <w:r>
        <w:rPr>
          <w:rFonts w:ascii="Times New Roman" w:hAnsi="Times New Roman" w:cs="Times New Roman" w:eastAsia="Times New Roman" w:hint="default"/>
          <w:spacing w:val="25"/>
        </w:rPr>
        <w:t> </w:t>
      </w:r>
      <w:r>
        <w:rPr/>
        <w:t>业务费在提供服务后确认收入。</w:t>
      </w:r>
    </w:p>
    <w:p>
      <w:pPr>
        <w:pStyle w:val="BodyText"/>
        <w:spacing w:line="552" w:lineRule="exact" w:before="9"/>
        <w:ind w:left="514" w:right="0"/>
        <w:jc w:val="left"/>
      </w:pPr>
      <w:r>
        <w:rPr>
          <w:rFonts w:ascii="Times New Roman" w:hAnsi="Times New Roman" w:cs="Times New Roman" w:eastAsia="Times New Roman" w:hint="default"/>
        </w:rPr>
        <w:t>5</w:t>
      </w:r>
      <w:r>
        <w:rPr/>
        <w:t>）大数据业务收入 </w:t>
      </w:r>
      <w:r>
        <w:rPr>
          <w:spacing w:val="-2"/>
        </w:rPr>
        <w:t>大数据业务是公司利用自身资源及平台，为客户提供数据分析服务。大数据业务收入确认原则：大数据业务是公司为客</w:t>
      </w:r>
    </w:p>
    <w:p>
      <w:pPr>
        <w:pStyle w:val="BodyText"/>
        <w:spacing w:line="227" w:lineRule="exact"/>
        <w:ind w:right="0"/>
        <w:jc w:val="both"/>
      </w:pPr>
      <w:r>
        <w:rPr/>
        <w:t>户提供数据分析服务，在服务提供时确认收入。</w:t>
      </w:r>
    </w:p>
    <w:p>
      <w:pPr>
        <w:spacing w:line="240" w:lineRule="auto" w:before="2"/>
        <w:rPr>
          <w:rFonts w:ascii="宋体" w:hAnsi="宋体" w:cs="宋体" w:eastAsia="宋体" w:hint="default"/>
          <w:sz w:val="24"/>
          <w:szCs w:val="24"/>
        </w:rPr>
      </w:pPr>
    </w:p>
    <w:p>
      <w:pPr>
        <w:pStyle w:val="BodyText"/>
        <w:spacing w:line="532" w:lineRule="auto"/>
        <w:ind w:left="514" w:right="4272"/>
        <w:jc w:val="left"/>
      </w:pPr>
      <w:r>
        <w:rPr>
          <w:rFonts w:ascii="Times New Roman" w:hAnsi="Times New Roman" w:cs="Times New Roman" w:eastAsia="Times New Roman" w:hint="default"/>
        </w:rPr>
        <w:t>6</w:t>
      </w:r>
      <w:r>
        <w:rPr/>
        <w:t>）其他业务收入 其他业务收入，按照企业会计准则及其应用指南和准则解释的规定进行确认。</w:t>
      </w:r>
    </w:p>
    <w:p>
      <w:pPr>
        <w:pStyle w:val="Heading7"/>
        <w:spacing w:line="240" w:lineRule="auto" w:before="132"/>
        <w:ind w:right="0"/>
        <w:jc w:val="both"/>
        <w:rPr>
          <w:b w:val="0"/>
          <w:bCs w:val="0"/>
        </w:rPr>
      </w:pPr>
      <w:bookmarkStart w:name="29、政府补助" w:id="214"/>
      <w:bookmarkEnd w:id="214"/>
      <w:r>
        <w:rPr>
          <w:b w:val="0"/>
          <w:bCs w:val="0"/>
        </w:rPr>
      </w:r>
      <w:r>
        <w:rPr>
          <w:rFonts w:ascii="Times New Roman" w:hAnsi="Times New Roman" w:cs="Times New Roman" w:eastAsia="Times New Roman" w:hint="default"/>
        </w:rPr>
        <w:t>29</w:t>
      </w:r>
      <w:r>
        <w:rPr/>
        <w:t>、政府补助</w:t>
      </w:r>
      <w:r>
        <w:rPr>
          <w:b w:val="0"/>
          <w:bCs w:val="0"/>
        </w:rPr>
      </w:r>
    </w:p>
    <w:p>
      <w:pPr>
        <w:pStyle w:val="BodyText"/>
        <w:spacing w:line="540" w:lineRule="atLeast" w:before="56"/>
        <w:ind w:left="514" w:right="1032"/>
        <w:jc w:val="left"/>
      </w:pPr>
      <w:r>
        <w:rPr/>
        <w:t>（</w:t>
      </w:r>
      <w:r>
        <w:rPr>
          <w:rFonts w:ascii="Times New Roman" w:hAnsi="Times New Roman" w:cs="Times New Roman" w:eastAsia="Times New Roman" w:hint="default"/>
        </w:rPr>
        <w:t>1</w:t>
      </w:r>
      <w:r>
        <w:rPr/>
        <w:t>）与资产相关的政府补助判断依据及会计处理方法 公司取得的、用于购建或以其他方式形成长期资产的政府补助划分为与资产相关的政府补助。与资产相关的政府补助，</w:t>
      </w:r>
    </w:p>
    <w:p>
      <w:pPr>
        <w:pStyle w:val="BodyText"/>
        <w:spacing w:line="316" w:lineRule="auto" w:before="76"/>
        <w:ind w:right="1133"/>
        <w:jc w:val="both"/>
      </w:pPr>
      <w:r>
        <w:rPr>
          <w:spacing w:val="-2"/>
        </w:rPr>
        <w:t>冲减相关资产的账面价值或确认为递延收益。与资产相关补助确认为递延收益的，在相关资产使用寿命内按照合理、系统的</w:t>
      </w:r>
      <w:r>
        <w:rPr>
          <w:spacing w:val="-66"/>
        </w:rPr>
        <w:t> </w:t>
      </w:r>
      <w:r>
        <w:rPr>
          <w:spacing w:val="-66"/>
        </w:rPr>
      </w:r>
      <w:r>
        <w:rPr>
          <w:spacing w:val="-2"/>
        </w:rPr>
        <w:t>方法分期计入损益。按照名义金额计量的政府补助，直接计入当期损益。相关资产在使用寿命结束前被出售、转让、报废或</w:t>
      </w:r>
      <w:r>
        <w:rPr>
          <w:spacing w:val="-66"/>
        </w:rPr>
        <w:t> </w:t>
      </w:r>
      <w:r>
        <w:rPr>
          <w:spacing w:val="-66"/>
        </w:rPr>
      </w:r>
      <w:r>
        <w:rPr/>
        <w:t>发生毁损的，将尚未分配的相关递延收益余额转入资产处置当期的损益。</w:t>
      </w:r>
    </w:p>
    <w:p>
      <w:pPr>
        <w:pStyle w:val="BodyText"/>
        <w:spacing w:line="552" w:lineRule="exact" w:before="28"/>
        <w:ind w:left="514" w:right="0"/>
        <w:jc w:val="left"/>
      </w:pPr>
      <w:r>
        <w:rPr/>
        <w:t>（</w:t>
      </w:r>
      <w:r>
        <w:rPr>
          <w:rFonts w:ascii="Times New Roman" w:hAnsi="Times New Roman" w:cs="Times New Roman" w:eastAsia="Times New Roman" w:hint="default"/>
        </w:rPr>
        <w:t>2</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227" w:lineRule="exact"/>
        <w:ind w:right="0"/>
        <w:jc w:val="both"/>
      </w:pPr>
      <w:r>
        <w:rPr/>
        <w:t>分的政府补助，难以区分与资产相关或与收益相关的，整体归类为与收益相关的政府补助。与收益相关的政府补助，用于补</w:t>
      </w:r>
    </w:p>
    <w:p>
      <w:pPr>
        <w:spacing w:after="0" w:line="227"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7"/>
        <w:jc w:val="left"/>
      </w:pPr>
      <w:r>
        <w:rPr>
          <w:spacing w:val="-5"/>
        </w:rPr>
        <w:t>偿以后期间的相关成本费用或损失的，确认为递延收益，在确认相关成本费用或损失的期间，计入当期损益或冲减相关成本；</w:t>
      </w:r>
      <w:r>
        <w:rPr>
          <w:spacing w:val="-79"/>
        </w:rPr>
        <w:t> </w:t>
      </w:r>
      <w:r>
        <w:rPr>
          <w:spacing w:val="-79"/>
        </w:rPr>
      </w:r>
      <w:r>
        <w:rPr/>
        <w:t>用于补偿已发生的相关成本费用或损失的，直接计入当期损益或冲减相关成本。</w:t>
      </w:r>
    </w:p>
    <w:p>
      <w:pPr>
        <w:spacing w:line="240" w:lineRule="auto" w:before="10"/>
        <w:rPr>
          <w:rFonts w:ascii="宋体" w:hAnsi="宋体" w:cs="宋体" w:eastAsia="宋体" w:hint="default"/>
          <w:sz w:val="19"/>
          <w:szCs w:val="19"/>
        </w:rPr>
      </w:pPr>
    </w:p>
    <w:p>
      <w:pPr>
        <w:pStyle w:val="BodyText"/>
        <w:spacing w:line="319" w:lineRule="auto"/>
        <w:ind w:right="0" w:firstLine="360"/>
        <w:jc w:val="left"/>
      </w:pPr>
      <w:r>
        <w:rPr>
          <w:spacing w:val="-2"/>
        </w:rPr>
        <w:t>与公司日常经营活动相关的政府补助，按照经济业务实质，计入其他收益或冲减相关成本费用。与公司日常活动无关的</w:t>
      </w:r>
      <w:r>
        <w:rPr/>
        <w:t> 政府补助，计入营业外收支。</w:t>
      </w:r>
    </w:p>
    <w:p>
      <w:pPr>
        <w:spacing w:line="240" w:lineRule="auto" w:before="5"/>
        <w:rPr>
          <w:rFonts w:ascii="宋体" w:hAnsi="宋体" w:cs="宋体" w:eastAsia="宋体" w:hint="default"/>
          <w:sz w:val="22"/>
          <w:szCs w:val="22"/>
        </w:rPr>
      </w:pPr>
    </w:p>
    <w:p>
      <w:pPr>
        <w:pStyle w:val="Heading7"/>
        <w:spacing w:line="240" w:lineRule="auto"/>
        <w:ind w:right="0"/>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2" w:firstLine="360"/>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w:t>
      </w:r>
      <w:r>
        <w:rPr>
          <w:spacing w:val="-85"/>
        </w:rPr>
        <w:t> </w:t>
      </w:r>
      <w:r>
        <w:rPr>
          <w:spacing w:val="-85"/>
        </w:rPr>
      </w:r>
      <w:r>
        <w:rPr/>
        <w:t>递延所得税资产和递延所得税负债，按照预期收回该资产或清偿该负债期间的适用税率计量。</w:t>
      </w:r>
    </w:p>
    <w:p>
      <w:pPr>
        <w:spacing w:line="240" w:lineRule="auto" w:before="3"/>
        <w:rPr>
          <w:rFonts w:ascii="宋体" w:hAnsi="宋体" w:cs="宋体" w:eastAsia="宋体" w:hint="default"/>
          <w:sz w:val="20"/>
          <w:szCs w:val="20"/>
        </w:rPr>
      </w:pPr>
    </w:p>
    <w:p>
      <w:pPr>
        <w:pStyle w:val="BodyText"/>
        <w:spacing w:line="316" w:lineRule="auto"/>
        <w:ind w:right="1118" w:firstLine="360"/>
        <w:jc w:val="left"/>
      </w:pPr>
      <w:r>
        <w:rPr>
          <w:spacing w:val="-2"/>
        </w:rPr>
        <w:t>本集团以很可能取得用来抵扣可抵扣暂时性差异、可抵扣亏损和税款抵减的未来应纳税所得额为限，确认递延所得税资</w:t>
      </w:r>
      <w:r>
        <w:rPr/>
        <w:t> 产。</w:t>
      </w:r>
    </w:p>
    <w:p>
      <w:pPr>
        <w:spacing w:line="240" w:lineRule="auto" w:before="7"/>
        <w:rPr>
          <w:rFonts w:ascii="宋体" w:hAnsi="宋体" w:cs="宋体" w:eastAsia="宋体" w:hint="default"/>
          <w:sz w:val="22"/>
          <w:szCs w:val="22"/>
        </w:rPr>
      </w:pPr>
    </w:p>
    <w:p>
      <w:pPr>
        <w:pStyle w:val="Heading7"/>
        <w:spacing w:line="240" w:lineRule="auto"/>
        <w:ind w:right="0"/>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550" w:lineRule="atLeast" w:before="32"/>
        <w:ind w:left="514" w:right="0"/>
        <w:jc w:val="left"/>
      </w:pPr>
      <w:r>
        <w:rPr/>
        <w:t>本集团的租赁业务包括经营租赁。 </w:t>
      </w:r>
      <w:r>
        <w:rPr>
          <w:spacing w:val="-2"/>
        </w:rPr>
        <w:t>经营租赁是指除融资租赁以外的其他租赁。本集团作为承租方的租金在租赁期内的各个期间按直线法计入相关资产成本</w:t>
      </w:r>
    </w:p>
    <w:p>
      <w:pPr>
        <w:pStyle w:val="BodyText"/>
        <w:spacing w:line="240" w:lineRule="auto" w:before="76"/>
        <w:ind w:right="0"/>
        <w:jc w:val="left"/>
      </w:pPr>
      <w:r>
        <w:rPr/>
        <w:t>或当期损益，本集团作为出租方的租金在租赁期内的各个期间按直线法确认为收入。</w:t>
      </w:r>
    </w:p>
    <w:p>
      <w:pPr>
        <w:spacing w:line="240" w:lineRule="auto" w:before="12"/>
        <w:rPr>
          <w:rFonts w:ascii="宋体" w:hAnsi="宋体" w:cs="宋体" w:eastAsia="宋体" w:hint="default"/>
          <w:sz w:val="26"/>
          <w:szCs w:val="26"/>
        </w:rPr>
      </w:pPr>
    </w:p>
    <w:p>
      <w:pPr>
        <w:pStyle w:val="Heading7"/>
        <w:spacing w:line="516" w:lineRule="auto"/>
        <w:ind w:right="7380"/>
        <w:jc w:val="left"/>
        <w:rPr>
          <w:rFonts w:ascii="宋体" w:hAnsi="宋体" w:cs="宋体" w:eastAsia="宋体" w:hint="default"/>
          <w:b w:val="0"/>
          <w:bCs w:val="0"/>
          <w:sz w:val="18"/>
          <w:szCs w:val="18"/>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w w:val="99"/>
        </w:rPr>
        <w:t> </w:t>
      </w:r>
      <w:bookmarkStart w:name="32、其他重要的会计政策和会计估计" w:id="219"/>
      <w:bookmarkEnd w:id="219"/>
      <w:r>
        <w:rPr>
          <w:w w:val="99"/>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sz w:val="18"/>
          <w:szCs w:val="18"/>
        </w:rPr>
        <w:t>无。</w:t>
      </w:r>
    </w:p>
    <w:p>
      <w:pPr>
        <w:pStyle w:val="Heading7"/>
        <w:spacing w:line="240" w:lineRule="auto" w:before="144"/>
        <w:ind w:right="0"/>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664"/>
        <w:gridCol w:w="1984"/>
        <w:gridCol w:w="922"/>
      </w:tblGrid>
      <w:tr>
        <w:trPr>
          <w:trHeight w:val="402" w:hRule="exact"/>
        </w:trPr>
        <w:tc>
          <w:tcPr>
            <w:tcW w:w="6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6664"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日，财政部颁布了《关于修订印发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 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，对一般企业财务报表格式进行了修订。根据上述《通知》</w:t>
            </w:r>
            <w:r>
              <w:rPr>
                <w:rFonts w:ascii="宋体" w:hAnsi="宋体" w:cs="宋体" w:eastAsia="宋体" w:hint="default"/>
                <w:spacing w:val="-34"/>
                <w:sz w:val="18"/>
                <w:szCs w:val="18"/>
              </w:rPr>
              <w:t> </w:t>
            </w:r>
            <w:r>
              <w:rPr>
                <w:rFonts w:ascii="宋体" w:hAnsi="宋体" w:cs="宋体" w:eastAsia="宋体" w:hint="default"/>
                <w:sz w:val="18"/>
                <w:szCs w:val="18"/>
              </w:rPr>
              <w:t>的要求，本公司按照《通知》附件</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《一般企业财务报表格式》（适用于尚未执行新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金融准则和新收入准则的企业）的规定，对会计政策进行相应的变更并编制公司的财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务报表。</w:t>
            </w:r>
          </w:p>
        </w:tc>
        <w:tc>
          <w:tcPr>
            <w:tcW w:w="19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 w:right="149"/>
              <w:jc w:val="both"/>
              <w:rPr>
                <w:rFonts w:ascii="宋体" w:hAnsi="宋体" w:cs="宋体" w:eastAsia="宋体" w:hint="default"/>
                <w:sz w:val="18"/>
                <w:szCs w:val="18"/>
              </w:rPr>
            </w:pPr>
            <w:r>
              <w:rPr>
                <w:rFonts w:ascii="宋体" w:hAnsi="宋体" w:cs="宋体" w:eastAsia="宋体" w:hint="default"/>
                <w:sz w:val="18"/>
                <w:szCs w:val="18"/>
              </w:rPr>
              <w:t>相关会计政策变更已经 本公司第三届董事会第 三十四次会议通过。</w:t>
            </w:r>
          </w:p>
          <w:p>
            <w:pPr>
              <w:pStyle w:val="TableParagraph"/>
              <w:spacing w:line="240" w:lineRule="auto" w:before="11"/>
              <w:ind w:right="0"/>
              <w:jc w:val="left"/>
              <w:rPr>
                <w:rFonts w:ascii="宋体" w:hAnsi="宋体" w:cs="宋体" w:eastAsia="宋体" w:hint="default"/>
                <w:sz w:val="23"/>
                <w:szCs w:val="23"/>
              </w:rPr>
            </w:pPr>
          </w:p>
          <w:p>
            <w:pPr>
              <w:pStyle w:val="TableParagraph"/>
              <w:spacing w:line="352"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96.4pt;height:17.650pt;mso-position-horizontal-relative:char;mso-position-vertical-relative:line" coordorigin="0,0" coordsize="1928,353">
                  <v:group style="position:absolute;left:0;top:0;width:1928;height:353" coordorigin="0,0" coordsize="1928,353">
                    <v:shape style="position:absolute;left:0;top:0;width:1928;height:353" coordorigin="0,0" coordsize="1928,353" path="m0,353l1928,353,19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94" w:right="0"/>
        <w:jc w:val="left"/>
      </w:pPr>
      <w:r>
        <w:rPr/>
        <w:t>上述会计政策变更采用追溯调整法。</w:t>
      </w:r>
      <w:r>
        <w:rPr>
          <w:rFonts w:ascii="Times New Roman" w:hAnsi="Times New Roman" w:cs="Times New Roman" w:eastAsia="Times New Roman" w:hint="default"/>
        </w:rPr>
        <w:t>2017</w:t>
      </w:r>
      <w:r>
        <w:rPr/>
        <w:t>年度财务报表受重要影响的报表项目和金额如下：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448"/>
        <w:gridCol w:w="2230"/>
        <w:gridCol w:w="2553"/>
        <w:gridCol w:w="2261"/>
      </w:tblGrid>
      <w:tr>
        <w:trPr>
          <w:trHeight w:val="403" w:hRule="exact"/>
        </w:trPr>
        <w:tc>
          <w:tcPr>
            <w:tcW w:w="46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1"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287,353,223.73</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87" w:right="0"/>
              <w:jc w:val="left"/>
              <w:rPr>
                <w:rFonts w:ascii="Times New Roman" w:hAnsi="Times New Roman" w:cs="Times New Roman" w:eastAsia="Times New Roman" w:hint="default"/>
                <w:sz w:val="18"/>
                <w:szCs w:val="18"/>
              </w:rPr>
            </w:pPr>
            <w:r>
              <w:rPr>
                <w:rFonts w:ascii="Times New Roman"/>
                <w:sz w:val="18"/>
              </w:rPr>
              <w:t>1,256,508,924.78</w:t>
            </w:r>
          </w:p>
        </w:tc>
      </w:tr>
      <w:tr>
        <w:trPr>
          <w:trHeight w:val="32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969,155,701.05</w:t>
            </w: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30" w:type="dxa"/>
            <w:tcBorders>
              <w:top w:val="single" w:sz="4" w:space="0" w:color="000000"/>
              <w:left w:val="single" w:sz="4" w:space="0" w:color="000000"/>
              <w:bottom w:val="single" w:sz="4" w:space="0" w:color="000000"/>
              <w:right w:val="single" w:sz="4" w:space="0" w:color="000000"/>
            </w:tcBorders>
          </w:tcPr>
          <w:p>
            <w:pP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113" w:right="0"/>
              <w:jc w:val="left"/>
              <w:rPr>
                <w:rFonts w:ascii="Times New Roman" w:hAnsi="Times New Roman" w:cs="Times New Roman" w:eastAsia="Times New Roman" w:hint="default"/>
                <w:sz w:val="18"/>
                <w:szCs w:val="18"/>
              </w:rPr>
            </w:pPr>
            <w:r>
              <w:rPr>
                <w:rFonts w:ascii="Times New Roman"/>
                <w:sz w:val="18"/>
              </w:rPr>
              <w:t>27,075,909.01</w:t>
            </w:r>
          </w:p>
        </w:tc>
      </w:tr>
      <w:tr>
        <w:trPr>
          <w:trHeight w:val="32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18,973.15</w:t>
            </w:r>
          </w:p>
        </w:tc>
        <w:tc>
          <w:tcPr>
            <w:tcW w:w="2553" w:type="dxa"/>
            <w:vMerge/>
            <w:tcBorders>
              <w:left w:val="single" w:sz="4" w:space="0" w:color="000000"/>
              <w:right w:val="single" w:sz="4" w:space="0" w:color="000000"/>
            </w:tcBorders>
          </w:tcPr>
          <w:p>
            <w:pPr/>
          </w:p>
        </w:tc>
        <w:tc>
          <w:tcPr>
            <w:tcW w:w="2261" w:type="dxa"/>
            <w:vMerge/>
            <w:tcBorders>
              <w:left w:val="single" w:sz="4" w:space="0" w:color="000000"/>
              <w:right w:val="single" w:sz="4" w:space="0" w:color="000000"/>
            </w:tcBorders>
          </w:tcPr>
          <w:p>
            <w:pP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27,056,935.86</w:t>
            </w: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734,477,018.23</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3" w:right="0"/>
              <w:jc w:val="left"/>
              <w:rPr>
                <w:rFonts w:ascii="Times New Roman" w:hAnsi="Times New Roman" w:cs="Times New Roman" w:eastAsia="Times New Roman" w:hint="default"/>
                <w:sz w:val="18"/>
                <w:szCs w:val="18"/>
              </w:rPr>
            </w:pPr>
            <w:r>
              <w:rPr>
                <w:rFonts w:ascii="Times New Roman"/>
                <w:sz w:val="18"/>
              </w:rPr>
              <w:t>734,477,018.23</w:t>
            </w: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30" w:type="dxa"/>
            <w:tcBorders>
              <w:top w:val="single" w:sz="4" w:space="0" w:color="000000"/>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89,868,225.13</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13" w:right="0"/>
              <w:jc w:val="left"/>
              <w:rPr>
                <w:rFonts w:ascii="Times New Roman" w:hAnsi="Times New Roman" w:cs="Times New Roman" w:eastAsia="Times New Roman" w:hint="default"/>
                <w:sz w:val="18"/>
                <w:szCs w:val="18"/>
              </w:rPr>
            </w:pPr>
            <w:r>
              <w:rPr>
                <w:rFonts w:ascii="Times New Roman"/>
                <w:sz w:val="18"/>
              </w:rPr>
              <w:t>89,868,225.13</w:t>
            </w:r>
          </w:p>
        </w:tc>
      </w:tr>
      <w:tr>
        <w:trPr>
          <w:trHeight w:val="32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30" w:type="dxa"/>
            <w:tcBorders>
              <w:top w:val="single" w:sz="4" w:space="0" w:color="000000"/>
              <w:left w:val="single" w:sz="4" w:space="0" w:color="000000"/>
              <w:bottom w:val="single" w:sz="4" w:space="0" w:color="000000"/>
              <w:right w:val="single" w:sz="4" w:space="0" w:color="000000"/>
            </w:tcBorders>
          </w:tcPr>
          <w:p>
            <w:pP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8"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399,700,703.71</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3" w:right="0"/>
              <w:jc w:val="left"/>
              <w:rPr>
                <w:rFonts w:ascii="Times New Roman" w:hAnsi="Times New Roman" w:cs="Times New Roman" w:eastAsia="Times New Roman" w:hint="default"/>
                <w:sz w:val="18"/>
                <w:szCs w:val="18"/>
              </w:rPr>
            </w:pPr>
            <w:r>
              <w:rPr>
                <w:rFonts w:ascii="Times New Roman"/>
                <w:sz w:val="18"/>
              </w:rPr>
              <w:t>724,381,353.36</w:t>
            </w: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324,680,649.65</w:t>
            </w: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9"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1,561,295.49</w:t>
            </w:r>
          </w:p>
        </w:tc>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23" w:right="0"/>
              <w:jc w:val="left"/>
              <w:rPr>
                <w:rFonts w:ascii="Times New Roman" w:hAnsi="Times New Roman" w:cs="Times New Roman" w:eastAsia="Times New Roman" w:hint="default"/>
                <w:sz w:val="18"/>
                <w:szCs w:val="18"/>
              </w:rPr>
            </w:pPr>
            <w:r>
              <w:rPr>
                <w:rFonts w:ascii="Times New Roman"/>
                <w:sz w:val="18"/>
              </w:rPr>
              <w:t>101,767,540.81</w:t>
            </w: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30" w:type="dxa"/>
            <w:tcBorders>
              <w:top w:val="single" w:sz="4" w:space="0" w:color="000000"/>
              <w:left w:val="single" w:sz="4" w:space="0" w:color="000000"/>
              <w:bottom w:val="single" w:sz="4" w:space="0" w:color="000000"/>
              <w:right w:val="single" w:sz="4" w:space="0" w:color="000000"/>
            </w:tcBorders>
          </w:tcPr>
          <w:p>
            <w:pPr/>
          </w:p>
        </w:tc>
        <w:tc>
          <w:tcPr>
            <w:tcW w:w="2553" w:type="dxa"/>
            <w:vMerge/>
            <w:tcBorders>
              <w:left w:val="single" w:sz="4" w:space="0" w:color="000000"/>
              <w:right w:val="single" w:sz="4" w:space="0" w:color="000000"/>
            </w:tcBorders>
          </w:tcPr>
          <w:p>
            <w:pPr/>
          </w:p>
        </w:tc>
        <w:tc>
          <w:tcPr>
            <w:tcW w:w="2261" w:type="dxa"/>
            <w:vMerge/>
            <w:tcBorders>
              <w:left w:val="single" w:sz="4" w:space="0" w:color="000000"/>
              <w:right w:val="single" w:sz="4" w:space="0" w:color="000000"/>
            </w:tcBorders>
          </w:tcPr>
          <w:p>
            <w:pPr/>
          </w:p>
        </w:tc>
      </w:tr>
      <w:tr>
        <w:trPr>
          <w:trHeight w:val="32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100,206,245.32</w:t>
            </w:r>
          </w:p>
        </w:tc>
        <w:tc>
          <w:tcPr>
            <w:tcW w:w="2553"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r>
      <w:tr>
        <w:trPr>
          <w:trHeight w:val="329"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92" w:right="0"/>
              <w:jc w:val="left"/>
              <w:rPr>
                <w:rFonts w:ascii="Times New Roman" w:hAnsi="Times New Roman" w:cs="Times New Roman" w:eastAsia="Times New Roman" w:hint="default"/>
                <w:sz w:val="18"/>
                <w:szCs w:val="18"/>
              </w:rPr>
            </w:pPr>
            <w:r>
              <w:rPr>
                <w:rFonts w:ascii="Times New Roman"/>
                <w:sz w:val="18"/>
              </w:rPr>
              <w:t>504,538,477.42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362,252,291.44</w:t>
            </w:r>
          </w:p>
        </w:tc>
      </w:tr>
      <w:tr>
        <w:trPr>
          <w:trHeight w:val="328" w:hRule="exact"/>
        </w:trPr>
        <w:tc>
          <w:tcPr>
            <w:tcW w:w="2448" w:type="dxa"/>
            <w:vMerge/>
            <w:tcBorders>
              <w:left w:val="single" w:sz="4" w:space="0" w:color="000000"/>
              <w:bottom w:val="single" w:sz="4" w:space="0" w:color="000000"/>
              <w:right w:val="single" w:sz="4" w:space="0" w:color="000000"/>
            </w:tcBorders>
          </w:tcPr>
          <w:p>
            <w:pPr/>
          </w:p>
        </w:tc>
        <w:tc>
          <w:tcPr>
            <w:tcW w:w="2230" w:type="dxa"/>
            <w:vMerge/>
            <w:tcBorders>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142,286,185.98</w:t>
            </w:r>
          </w:p>
        </w:tc>
      </w:tr>
      <w:tr>
        <w:trPr>
          <w:trHeight w:val="328"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22" w:right="0"/>
              <w:jc w:val="left"/>
              <w:rPr>
                <w:rFonts w:ascii="Times New Roman" w:hAnsi="Times New Roman" w:cs="Times New Roman" w:eastAsia="Times New Roman" w:hint="default"/>
                <w:sz w:val="18"/>
                <w:szCs w:val="18"/>
              </w:rPr>
            </w:pPr>
            <w:r>
              <w:rPr>
                <w:rFonts w:ascii="Times New Roman"/>
                <w:sz w:val="18"/>
              </w:rPr>
              <w:t>-44,270,285.62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-44,270,285.62</w:t>
            </w:r>
          </w:p>
        </w:tc>
      </w:tr>
      <w:tr>
        <w:trPr>
          <w:trHeight w:val="647" w:hRule="exact"/>
        </w:trPr>
        <w:tc>
          <w:tcPr>
            <w:tcW w:w="2448" w:type="dxa"/>
            <w:vMerge/>
            <w:tcBorders>
              <w:left w:val="single" w:sz="4" w:space="0" w:color="000000"/>
              <w:right w:val="single" w:sz="4" w:space="0" w:color="000000"/>
            </w:tcBorders>
          </w:tcPr>
          <w:p>
            <w:pPr/>
          </w:p>
        </w:tc>
        <w:tc>
          <w:tcPr>
            <w:tcW w:w="2230" w:type="dxa"/>
            <w:vMerge/>
            <w:tcBorders>
              <w:left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14,740,352.01</w:t>
            </w:r>
          </w:p>
        </w:tc>
      </w:tr>
      <w:tr>
        <w:trPr>
          <w:trHeight w:val="344" w:hRule="exact"/>
        </w:trPr>
        <w:tc>
          <w:tcPr>
            <w:tcW w:w="2448" w:type="dxa"/>
            <w:vMerge/>
            <w:tcBorders>
              <w:left w:val="single" w:sz="4" w:space="0" w:color="000000"/>
              <w:bottom w:val="single" w:sz="4" w:space="0" w:color="000000"/>
              <w:right w:val="single" w:sz="4" w:space="0" w:color="000000"/>
            </w:tcBorders>
          </w:tcPr>
          <w:p>
            <w:pPr/>
          </w:p>
        </w:tc>
        <w:tc>
          <w:tcPr>
            <w:tcW w:w="2230" w:type="dxa"/>
            <w:vMerge/>
            <w:tcBorders>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56,723,485.19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9" w:lineRule="auto" w:before="51"/>
              <w:ind w:left="28"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按</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17%</w:t>
            </w:r>
            <w:r>
              <w:rPr>
                <w:rFonts w:ascii="宋体" w:hAnsi="宋体" w:cs="宋体" w:eastAsia="宋体" w:hint="default"/>
                <w:spacing w:val="-5"/>
                <w:sz w:val="18"/>
                <w:szCs w:val="18"/>
              </w:rPr>
              <w:t>的税率计</w:t>
            </w:r>
            <w:r>
              <w:rPr>
                <w:rFonts w:ascii="宋体" w:hAnsi="宋体" w:cs="宋体" w:eastAsia="宋体" w:hint="default"/>
                <w:spacing w:val="-79"/>
                <w:sz w:val="18"/>
                <w:szCs w:val="18"/>
              </w:rPr>
              <w:t> </w:t>
            </w:r>
            <w:r>
              <w:rPr>
                <w:rFonts w:ascii="宋体" w:hAnsi="宋体" w:cs="宋体" w:eastAsia="宋体" w:hint="default"/>
                <w:sz w:val="18"/>
                <w:szCs w:val="18"/>
              </w:rPr>
              <w:t>缴；出口货物享受</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税政策， 退税率为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4" w:right="0"/>
              <w:jc w:val="left"/>
              <w:rPr>
                <w:rFonts w:ascii="宋体" w:hAnsi="宋体" w:cs="宋体" w:eastAsia="宋体" w:hint="default"/>
                <w:sz w:val="18"/>
                <w:szCs w:val="18"/>
              </w:rPr>
            </w:pPr>
            <w:r>
              <w:rPr>
                <w:rFonts w:ascii="宋体" w:hAnsi="宋体" w:cs="宋体" w:eastAsia="宋体" w:hint="default"/>
                <w:sz w:val="18"/>
                <w:szCs w:val="18"/>
              </w:rPr>
              <w:t>后的余额；从租计征的，以租金收入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枣庄海立美达模具有限公司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宝鸡泰鸿机电有限公司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宁波海立美达汽车部件有限公司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烟台海立美达精密钢制品有限公司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海立美达香港有限公司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湖北海立美达汽车有限公司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舟山陆泰石油化工有限公司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枣阳市海美房地产开发有限公司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宁德和达汽车配件有限公司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天津和达汽车配件有限公司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梅州和达汽车配件有限公司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青岛海立美达科技有限公司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联动优势电子商务有限公司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海联金汇（北京）金融科技有限公司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联保汇通（汕头）保险代理有限公司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联动优势科技（加拿大）有限公司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青岛万金通达经济信息服务有限公司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蜜小蜂智慧（北京）科技有限公司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宁波康拓企业管理有限公司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哈尔滨迪达能化科技有限公司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北京玖联金通科技有限责任公司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安派国际美国有限责任公司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安派国际控股有限公司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天津奥美林生物科技有限公司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ZhonghengConstruction Group</w:t>
            </w:r>
            <w:r>
              <w:rPr>
                <w:rFonts w:ascii="Times New Roman"/>
                <w:spacing w:val="-3"/>
                <w:sz w:val="18"/>
              </w:rPr>
              <w:t> </w:t>
            </w:r>
            <w:r>
              <w:rPr>
                <w:rFonts w:ascii="Times New Roman"/>
                <w:sz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九州环球国际融资租赁（天津）有限公司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2"/>
        </w:rPr>
        <w:t>青岛海立达冲压件有限公司于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日获得编号为</w:t>
      </w:r>
      <w:r>
        <w:rPr>
          <w:rFonts w:ascii="Times New Roman" w:hAnsi="Times New Roman" w:cs="Times New Roman" w:eastAsia="Times New Roman" w:hint="default"/>
          <w:spacing w:val="-2"/>
        </w:rPr>
        <w:t>GR201637100546</w:t>
      </w:r>
      <w:r>
        <w:rPr>
          <w:spacing w:val="-2"/>
        </w:rPr>
        <w:t>的《高新技术企业证书》，根据《中华人民共</w:t>
      </w:r>
      <w:r>
        <w:rPr/>
        <w:t> </w:t>
      </w:r>
      <w:r>
        <w:rPr>
          <w:spacing w:val="-1"/>
        </w:rPr>
        <w:t>和国企业所得税法》第二十八条的规定，青岛海立达冲压件有限公司</w:t>
      </w:r>
      <w:r>
        <w:rPr>
          <w:rFonts w:ascii="Times New Roman" w:hAnsi="Times New Roman" w:cs="Times New Roman" w:eastAsia="Times New Roman" w:hint="default"/>
          <w:spacing w:val="-1"/>
        </w:rPr>
        <w:t>2018</w:t>
      </w:r>
      <w:r>
        <w:rPr>
          <w:spacing w:val="-1"/>
        </w:rPr>
        <w:t>年度享受高新技术企业减按</w:t>
      </w:r>
      <w:r>
        <w:rPr>
          <w:rFonts w:ascii="Times New Roman" w:hAnsi="Times New Roman" w:cs="Times New Roman" w:eastAsia="Times New Roman" w:hint="default"/>
          <w:spacing w:val="-1"/>
        </w:rPr>
        <w:t>15%</w:t>
      </w:r>
      <w:r>
        <w:rPr>
          <w:spacing w:val="-1"/>
        </w:rPr>
        <w:t>税率优惠征收企业</w:t>
      </w:r>
      <w:r>
        <w:rPr>
          <w:spacing w:val="-87"/>
        </w:rPr>
        <w:t> </w:t>
      </w:r>
      <w:r>
        <w:rPr/>
        <w:t>所得税的政策。</w:t>
      </w:r>
    </w:p>
    <w:p>
      <w:pPr>
        <w:spacing w:line="240" w:lineRule="auto" w:before="10"/>
        <w:rPr>
          <w:rFonts w:ascii="宋体" w:hAnsi="宋体" w:cs="宋体" w:eastAsia="宋体" w:hint="default"/>
          <w:sz w:val="20"/>
          <w:szCs w:val="20"/>
        </w:rPr>
      </w:pPr>
    </w:p>
    <w:p>
      <w:pPr>
        <w:pStyle w:val="BodyText"/>
        <w:spacing w:line="300" w:lineRule="auto"/>
        <w:ind w:right="1132" w:firstLine="360"/>
        <w:jc w:val="both"/>
      </w:pPr>
      <w:r>
        <w:rPr>
          <w:spacing w:val="-2"/>
        </w:rPr>
        <w:t>青岛海立美达模具有限公司于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日获得编号为</w:t>
      </w:r>
      <w:r>
        <w:rPr>
          <w:rFonts w:ascii="Times New Roman" w:hAnsi="Times New Roman" w:cs="Times New Roman" w:eastAsia="Times New Roman" w:hint="default"/>
          <w:spacing w:val="-2"/>
        </w:rPr>
        <w:t>GR201737100707</w:t>
      </w:r>
      <w:r>
        <w:rPr>
          <w:spacing w:val="-2"/>
        </w:rPr>
        <w:t>的《高新技术企业证书》，根据《中华人民共</w:t>
      </w:r>
      <w:r>
        <w:rPr/>
        <w:t> </w:t>
      </w:r>
      <w:r>
        <w:rPr>
          <w:spacing w:val="-1"/>
        </w:rPr>
        <w:t>和国企业所得税法》第二十八条的规定，青岛海立美达模具有限公司</w:t>
      </w:r>
      <w:r>
        <w:rPr>
          <w:rFonts w:ascii="Times New Roman" w:hAnsi="Times New Roman" w:cs="Times New Roman" w:eastAsia="Times New Roman" w:hint="default"/>
          <w:spacing w:val="-1"/>
        </w:rPr>
        <w:t>2018</w:t>
      </w:r>
      <w:r>
        <w:rPr>
          <w:spacing w:val="-1"/>
        </w:rPr>
        <w:t>年度享受高新技术企业减按</w:t>
      </w:r>
      <w:r>
        <w:rPr>
          <w:rFonts w:ascii="Times New Roman" w:hAnsi="Times New Roman" w:cs="Times New Roman" w:eastAsia="Times New Roman" w:hint="default"/>
          <w:spacing w:val="-1"/>
        </w:rPr>
        <w:t>15%</w:t>
      </w:r>
      <w:r>
        <w:rPr>
          <w:spacing w:val="-1"/>
        </w:rPr>
        <w:t>税率优惠征收企业</w:t>
      </w:r>
      <w:r>
        <w:rPr>
          <w:spacing w:val="-87"/>
        </w:rPr>
        <w:t> </w:t>
      </w:r>
      <w:r>
        <w:rPr/>
        <w:t>所得税的政策。</w:t>
      </w:r>
    </w:p>
    <w:p>
      <w:pPr>
        <w:spacing w:line="240" w:lineRule="auto" w:before="10"/>
        <w:rPr>
          <w:rFonts w:ascii="宋体" w:hAnsi="宋体" w:cs="宋体" w:eastAsia="宋体" w:hint="default"/>
          <w:sz w:val="20"/>
          <w:szCs w:val="20"/>
        </w:rPr>
      </w:pPr>
    </w:p>
    <w:p>
      <w:pPr>
        <w:pStyle w:val="BodyText"/>
        <w:spacing w:line="300" w:lineRule="auto"/>
        <w:ind w:right="1130" w:firstLine="360"/>
        <w:jc w:val="both"/>
      </w:pPr>
      <w:r>
        <w:rPr>
          <w:spacing w:val="-1"/>
        </w:rPr>
        <w:t>根据财政部、海关总署、国家税务总局颁布的财税</w:t>
      </w:r>
      <w:r>
        <w:rPr>
          <w:rFonts w:ascii="Times New Roman" w:hAnsi="Times New Roman" w:cs="Times New Roman" w:eastAsia="Times New Roman" w:hint="default"/>
          <w:spacing w:val="-1"/>
        </w:rPr>
        <w:t>[2011]58</w:t>
      </w:r>
      <w:r>
        <w:rPr>
          <w:spacing w:val="-1"/>
        </w:rPr>
        <w:t>号文规定，自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日，对设在西部</w:t>
      </w:r>
      <w:r>
        <w:rPr/>
        <w:t> </w:t>
      </w:r>
      <w:r>
        <w:rPr>
          <w:spacing w:val="-1"/>
        </w:rPr>
        <w:t>地区的鼓励类产业企业减按</w:t>
      </w:r>
      <w:r>
        <w:rPr>
          <w:rFonts w:ascii="Times New Roman" w:hAnsi="Times New Roman" w:cs="Times New Roman" w:eastAsia="Times New Roman" w:hint="default"/>
          <w:spacing w:val="-1"/>
        </w:rPr>
        <w:t>15%</w:t>
      </w:r>
      <w:r>
        <w:rPr>
          <w:spacing w:val="-1"/>
        </w:rPr>
        <w:t>的税率征收企业所得税。宝鸡泰鸿机电有限公司符合上述优惠条件，</w:t>
      </w:r>
      <w:r>
        <w:rPr>
          <w:rFonts w:ascii="Times New Roman" w:hAnsi="Times New Roman" w:cs="Times New Roman" w:eastAsia="Times New Roman" w:hint="default"/>
          <w:spacing w:val="-1"/>
        </w:rPr>
        <w:t>2018</w:t>
      </w:r>
      <w:r>
        <w:rPr>
          <w:spacing w:val="-1"/>
        </w:rPr>
        <w:t>年度享受减按</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8"/>
        </w:rPr>
        <w:t> </w:t>
      </w:r>
      <w:r>
        <w:rPr/>
        <w:t>税率优惠征收企业所得税的政策。</w:t>
      </w:r>
    </w:p>
    <w:p>
      <w:pPr>
        <w:spacing w:line="240" w:lineRule="auto" w:before="10"/>
        <w:rPr>
          <w:rFonts w:ascii="宋体" w:hAnsi="宋体" w:cs="宋体" w:eastAsia="宋体" w:hint="default"/>
          <w:sz w:val="20"/>
          <w:szCs w:val="20"/>
        </w:rPr>
      </w:pPr>
    </w:p>
    <w:p>
      <w:pPr>
        <w:pStyle w:val="BodyText"/>
        <w:spacing w:line="319" w:lineRule="auto"/>
        <w:ind w:right="1133" w:firstLine="360"/>
        <w:jc w:val="both"/>
      </w:pPr>
      <w:r>
        <w:rPr>
          <w:spacing w:val="-2"/>
        </w:rPr>
        <w:t>根据《香港特别行政区税务条例》有关规定，若客户以离岸方式进行公司运营，所有业务均不在香港本地产生，所产生</w:t>
      </w:r>
      <w:r>
        <w:rPr/>
        <w:t> 利润无需交税。海立美达香港有限公司企业所得税率为</w:t>
      </w:r>
      <w:r>
        <w:rPr>
          <w:rFonts w:ascii="Times New Roman" w:hAnsi="Times New Roman" w:cs="Times New Roman" w:eastAsia="Times New Roman" w:hint="default"/>
        </w:rPr>
        <w:t>0%</w:t>
      </w:r>
      <w:r>
        <w:rPr/>
        <w:t>。</w:t>
      </w:r>
    </w:p>
    <w:p>
      <w:pPr>
        <w:spacing w:line="240" w:lineRule="auto" w:before="2"/>
        <w:rPr>
          <w:rFonts w:ascii="宋体" w:hAnsi="宋体" w:cs="宋体" w:eastAsia="宋体" w:hint="default"/>
          <w:sz w:val="18"/>
          <w:szCs w:val="18"/>
        </w:rPr>
      </w:pPr>
    </w:p>
    <w:p>
      <w:pPr>
        <w:pStyle w:val="BodyText"/>
        <w:spacing w:line="300" w:lineRule="auto"/>
        <w:ind w:right="1132" w:firstLine="360"/>
        <w:jc w:val="both"/>
      </w:pPr>
      <w:r>
        <w:rPr/>
        <w:t>上海和达汽车配件有限公司于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日获得编号为</w:t>
      </w:r>
      <w:r>
        <w:rPr>
          <w:rFonts w:ascii="Times New Roman" w:hAnsi="Times New Roman" w:cs="Times New Roman" w:eastAsia="Times New Roman" w:hint="default"/>
        </w:rPr>
        <w:t>GR201731000001</w:t>
      </w:r>
      <w:r>
        <w:rPr/>
        <w:t>的《高新技术企业证书》，根据《中华人民 </w:t>
      </w:r>
      <w:r>
        <w:rPr>
          <w:spacing w:val="-1"/>
        </w:rPr>
        <w:t>共和国企业所得税法》第二十八条的规定，上海和达汽车配件有限公司</w:t>
      </w:r>
      <w:r>
        <w:rPr>
          <w:rFonts w:ascii="Times New Roman" w:hAnsi="Times New Roman" w:cs="Times New Roman" w:eastAsia="Times New Roman" w:hint="default"/>
          <w:spacing w:val="-1"/>
        </w:rPr>
        <w:t>2018</w:t>
      </w:r>
      <w:r>
        <w:rPr>
          <w:spacing w:val="-1"/>
        </w:rPr>
        <w:t>年度享受高新技术企业减按</w:t>
      </w:r>
      <w:r>
        <w:rPr>
          <w:rFonts w:ascii="Times New Roman" w:hAnsi="Times New Roman" w:cs="Times New Roman" w:eastAsia="Times New Roman" w:hint="default"/>
          <w:spacing w:val="-1"/>
        </w:rPr>
        <w:t>15%</w:t>
      </w:r>
      <w:r>
        <w:rPr>
          <w:spacing w:val="-1"/>
        </w:rPr>
        <w:t>税率优惠征收企</w:t>
      </w:r>
      <w:r>
        <w:rPr>
          <w:spacing w:val="-87"/>
        </w:rPr>
        <w:t> </w:t>
      </w:r>
      <w:r>
        <w:rPr/>
        <w:t>业所得税的政策。</w:t>
      </w:r>
    </w:p>
    <w:p>
      <w:pPr>
        <w:spacing w:line="240" w:lineRule="auto" w:before="10"/>
        <w:rPr>
          <w:rFonts w:ascii="宋体" w:hAnsi="宋体" w:cs="宋体" w:eastAsia="宋体" w:hint="default"/>
          <w:sz w:val="20"/>
          <w:szCs w:val="20"/>
        </w:rPr>
      </w:pPr>
    </w:p>
    <w:p>
      <w:pPr>
        <w:pStyle w:val="BodyText"/>
        <w:spacing w:line="309" w:lineRule="auto"/>
        <w:ind w:right="1132" w:firstLine="360"/>
        <w:jc w:val="both"/>
      </w:pPr>
      <w:r>
        <w:rPr>
          <w:spacing w:val="-2"/>
        </w:rPr>
        <w:t>联动优势科技有限公司是重点软件企业，根据《财政部、国家税务总局关于进一步鼓励软件产业和集成电路产业发展企</w:t>
      </w:r>
      <w:r>
        <w:rPr/>
        <w:t> </w:t>
      </w:r>
      <w:r>
        <w:rPr>
          <w:spacing w:val="-1"/>
        </w:rPr>
        <w:t>业所得税政策的通知》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w:t>
      </w:r>
      <w:r>
        <w:rPr>
          <w:rFonts w:ascii="Times New Roman" w:hAnsi="Times New Roman" w:cs="Times New Roman" w:eastAsia="Times New Roman" w:hint="default"/>
          <w:spacing w:val="-1"/>
        </w:rPr>
        <w:t>)</w:t>
      </w:r>
      <w:r>
        <w:rPr>
          <w:spacing w:val="-1"/>
        </w:rPr>
        <w:t>第四条规定，国家规划布局内的重点软件和集成电路设计，如当年未享受免税优</w:t>
      </w:r>
      <w:r>
        <w:rPr>
          <w:spacing w:val="-56"/>
        </w:rPr>
        <w:t> </w:t>
      </w:r>
      <w:r>
        <w:rPr>
          <w:spacing w:val="-56"/>
        </w:rPr>
      </w:r>
      <w:r>
        <w:rPr/>
        <w:t>惠的、可减按</w:t>
      </w:r>
      <w:r>
        <w:rPr>
          <w:rFonts w:ascii="Times New Roman" w:hAnsi="Times New Roman" w:cs="Times New Roman" w:eastAsia="Times New Roman" w:hint="default"/>
        </w:rPr>
        <w:t>10%</w:t>
      </w:r>
      <w:r>
        <w:rPr/>
        <w:t>的税率征收企业所得税。联动优势科技有限公司</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10%</w:t>
      </w:r>
      <w:r>
        <w:rPr/>
        <w:t>的税率征收企业所得税。</w:t>
      </w:r>
    </w:p>
    <w:p>
      <w:pPr>
        <w:spacing w:line="240" w:lineRule="auto" w:before="9"/>
        <w:rPr>
          <w:rFonts w:ascii="宋体" w:hAnsi="宋体" w:cs="宋体" w:eastAsia="宋体" w:hint="default"/>
          <w:sz w:val="18"/>
          <w:szCs w:val="18"/>
        </w:rPr>
      </w:pPr>
    </w:p>
    <w:p>
      <w:pPr>
        <w:pStyle w:val="BodyText"/>
        <w:spacing w:line="309" w:lineRule="auto"/>
        <w:ind w:right="1132" w:firstLine="360"/>
        <w:jc w:val="both"/>
      </w:pPr>
      <w:r>
        <w:rPr>
          <w:spacing w:val="-2"/>
        </w:rPr>
        <w:t>联动优势电子商务有限公司是重点软件企业，根据《财政部、国家税务总局关于进一步鼓励软件产业和集成电路产业发</w:t>
      </w:r>
      <w:r>
        <w:rPr/>
        <w:t> </w:t>
      </w:r>
      <w:r>
        <w:rPr>
          <w:spacing w:val="-1"/>
        </w:rPr>
        <w:t>展企业所得税政策的通知》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w:t>
      </w:r>
      <w:r>
        <w:rPr>
          <w:rFonts w:ascii="Times New Roman" w:hAnsi="Times New Roman" w:cs="Times New Roman" w:eastAsia="Times New Roman" w:hint="default"/>
          <w:spacing w:val="-1"/>
        </w:rPr>
        <w:t>)</w:t>
      </w:r>
      <w:r>
        <w:rPr>
          <w:spacing w:val="-1"/>
        </w:rPr>
        <w:t>第四条规定，国家规划布局内的重点软件和集成电路设计，如当年未享受免</w:t>
      </w:r>
      <w:r>
        <w:rPr>
          <w:spacing w:val="-56"/>
        </w:rPr>
        <w:t> </w:t>
      </w:r>
      <w:r>
        <w:rPr>
          <w:spacing w:val="-56"/>
        </w:rPr>
      </w:r>
      <w:r>
        <w:rPr/>
        <w:t>税优惠的、可减按</w:t>
      </w:r>
      <w:r>
        <w:rPr>
          <w:rFonts w:ascii="Times New Roman" w:hAnsi="Times New Roman" w:cs="Times New Roman" w:eastAsia="Times New Roman" w:hint="default"/>
        </w:rPr>
        <w:t>10%</w:t>
      </w:r>
      <w:r>
        <w:rPr/>
        <w:t>的税率征收企业所得税。联动优势电子商务有限公司</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10%</w:t>
      </w:r>
      <w:r>
        <w:rPr/>
        <w:t>的税率征收企业所得税。</w:t>
      </w: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七、合并财务报表项目注释" w:id="226"/>
      <w:bookmarkEnd w:id="22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货币资金" w:id="227"/>
      <w:bookmarkEnd w:id="22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87,437.24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65,859.15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1,700,267,560.93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2,086,447,372.29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49,210,295.74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38,249,349.70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1,749,565,293.91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2,124,762,581.14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46,737,606.92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45,999,422.16</w:t>
            </w: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24" w:firstLine="360"/>
        <w:jc w:val="left"/>
      </w:pPr>
      <w:r>
        <w:rPr/>
        <w:t>注：截止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w:t>
      </w:r>
      <w:r>
        <w:rPr>
          <w:rFonts w:ascii="Times New Roman" w:hAnsi="Times New Roman" w:cs="Times New Roman" w:eastAsia="Times New Roman" w:hint="default"/>
        </w:rPr>
        <w:t>46,714,982.35</w:t>
      </w:r>
      <w:r>
        <w:rPr/>
        <w:t>元为银行承兑汇票、贷款等保证金；</w:t>
      </w:r>
      <w:r>
        <w:rPr>
          <w:spacing w:val="-2"/>
        </w:rPr>
        <w:t> </w:t>
      </w:r>
      <w:r>
        <w:rPr/>
        <w:t>另外，</w:t>
      </w:r>
      <w:r>
        <w:rPr>
          <w:rFonts w:ascii="Times New Roman" w:hAnsi="Times New Roman" w:cs="Times New Roman" w:eastAsia="Times New Roman" w:hint="default"/>
        </w:rPr>
        <w:t>2,495,313.39</w:t>
      </w:r>
      <w:r>
        <w:rPr/>
        <w:t>元为</w:t>
      </w:r>
      <w:r>
        <w:rPr>
          <w:spacing w:val="1"/>
        </w:rPr>
        <w:t> </w:t>
      </w:r>
      <w:r>
        <w:rPr/>
        <w:t>支付需要而存入</w:t>
      </w:r>
      <w:r>
        <w:rPr>
          <w:rFonts w:ascii="Times New Roman" w:hAnsi="Times New Roman" w:cs="Times New Roman" w:eastAsia="Times New Roman" w:hint="default"/>
        </w:rPr>
        <w:t>U</w:t>
      </w:r>
      <w:r>
        <w:rPr/>
        <w:t>付账户、惠商付账户等的资金。</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4、应收票据及应收账款" w:id="230"/>
      <w:bookmarkEnd w:id="23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343,711,117.06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287,353,223.73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926,524,193.69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969,155,701.05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1,270,235,310.75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1,256,508,924.78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应收票据" w:id="231"/>
      <w:bookmarkEnd w:id="23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309,197,915.76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270,834,337.70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34,513,201.30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16,518,886.03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343,711,117.06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287,353,223.73</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118,862,710.00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118,862,710.00</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1,084,980,873.38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30,167,956.97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1,115,148,830.35</w:t>
            </w:r>
          </w:p>
        </w:tc>
      </w:tr>
    </w:tbl>
    <w:p>
      <w:pPr>
        <w:pStyle w:val="BodyText"/>
        <w:spacing w:line="590" w:lineRule="auto" w:before="51"/>
        <w:ind w:right="6642"/>
        <w:jc w:val="left"/>
      </w:pPr>
      <w:r>
        <w:rPr>
          <w:rFonts w:ascii="Times New Roman" w:hAnsi="Times New Roman" w:cs="Times New Roman" w:eastAsia="Times New Roman" w:hint="default"/>
        </w:rPr>
        <w:t>4)</w:t>
      </w:r>
      <w:r>
        <w:rPr/>
        <w:t>期末公司因出票人未履约而将其转应收账款的票据</w:t>
      </w:r>
      <w:r>
        <w:rPr>
          <w:w w:val="99"/>
        </w:rPr>
        <w:t> </w:t>
      </w:r>
      <w:bookmarkStart w:name="无。" w:id="232"/>
      <w:bookmarkEnd w:id="232"/>
      <w:r>
        <w:rPr/>
        <w:t>无。</w:t>
      </w:r>
    </w:p>
    <w:p>
      <w:pPr>
        <w:pStyle w:val="Heading7"/>
        <w:spacing w:line="240" w:lineRule="auto" w:before="90"/>
        <w:ind w:right="0"/>
        <w:jc w:val="left"/>
        <w:rPr>
          <w:b w:val="0"/>
          <w:bCs w:val="0"/>
        </w:rPr>
      </w:pPr>
      <w:bookmarkStart w:name="（2）应收账款" w:id="233"/>
      <w:bookmarkEnd w:id="23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973,493,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221.26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46,969,0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926,524,1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93.69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1,013,6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28,825.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44,473,12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969,155,70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1,603,84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1,603,84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1,603,8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1,603,846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975,097,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067.64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48,572,8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926,524,1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93.69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1,015,2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32,671.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46,076,97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969,155,70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918,432,174.02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31,865,980.94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918,432,174.02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31,865,980.94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44,308,384.44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7,744,106.24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1,789,544.07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558,154.85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6,842,975.17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4,712,251.95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1,187,240.81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1,155,630.84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932,902.75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932,902.75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973,493,221.26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46,969,027.57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61" w:lineRule="auto" w:before="51"/>
        <w:ind w:right="7152"/>
        <w:jc w:val="left"/>
      </w:pPr>
      <w:r>
        <w:rPr/>
        <w:t>确定该组合依据的说明： 注：确定该组合的依据为信用风险特征相同。</w:t>
      </w:r>
    </w:p>
    <w:p>
      <w:pPr>
        <w:spacing w:after="0" w:line="561" w:lineRule="auto"/>
        <w:jc w:val="left"/>
        <w:sectPr>
          <w:pgSz w:w="11910" w:h="16840"/>
          <w:pgMar w:header="747" w:footer="979" w:top="1060" w:bottom="1160" w:left="980" w:right="0"/>
        </w:sectPr>
      </w:pPr>
    </w:p>
    <w:p>
      <w:pPr>
        <w:pStyle w:val="BodyText"/>
        <w:spacing w:line="240" w:lineRule="auto" w:before="76"/>
        <w:ind w:right="-13"/>
        <w:jc w:val="left"/>
      </w:pPr>
      <w:r>
        <w:rPr/>
        <w:t>组合中，采用余额百分比法计提坏账准备的应收账款：</w:t>
      </w:r>
    </w:p>
    <w:p>
      <w:pPr>
        <w:pStyle w:val="BodyText"/>
        <w:spacing w:line="348" w:lineRule="auto" w:before="116"/>
        <w:ind w:right="23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240" w:lineRule="auto" w:before="36"/>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3"/>
        <w:jc w:val="left"/>
      </w:pPr>
      <w:r>
        <w:rPr/>
        <w:t>本期计提坏账准备金额</w:t>
      </w:r>
      <w:r>
        <w:rPr>
          <w:spacing w:val="-47"/>
        </w:rPr>
        <w:t> </w:t>
      </w:r>
      <w:r>
        <w:rPr>
          <w:rFonts w:ascii="Times New Roman" w:hAnsi="Times New Roman" w:cs="Times New Roman" w:eastAsia="Times New Roman" w:hint="default"/>
        </w:rPr>
        <w:t>2,495,903.15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00" w:lineRule="auto" w:before="102"/>
        <w:ind w:right="3789"/>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240" w:lineRule="auto" w:before="72"/>
        <w:ind w:right="-1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559"/>
        <w:gridCol w:w="1418"/>
        <w:gridCol w:w="1842"/>
        <w:gridCol w:w="1702"/>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1" w:right="104"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 合计数的比例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36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130,950,692.79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13.43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3,928,520.78</w:t>
            </w:r>
          </w:p>
        </w:tc>
      </w:tr>
      <w:tr>
        <w:trPr>
          <w:trHeight w:val="369"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43,599,708.61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4.47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1,307,991.25</w:t>
            </w:r>
          </w:p>
        </w:tc>
      </w:tr>
      <w:tr>
        <w:trPr>
          <w:trHeight w:val="3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40,520,371.46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1,215,611.15</w:t>
            </w:r>
          </w:p>
        </w:tc>
      </w:tr>
      <w:tr>
        <w:trPr>
          <w:trHeight w:val="36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29,979,681.21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5,995,936.24</w:t>
            </w:r>
          </w:p>
        </w:tc>
      </w:tr>
      <w:tr>
        <w:trPr>
          <w:trHeight w:val="36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27,079,791.68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z w:val="18"/>
              </w:rPr>
              <w:t>812,393.75</w:t>
            </w:r>
          </w:p>
        </w:tc>
      </w:tr>
      <w:tr>
        <w:trPr>
          <w:trHeight w:val="3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272,130,245.75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27.91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13,260,453.17</w:t>
            </w:r>
          </w:p>
        </w:tc>
      </w:tr>
    </w:tbl>
    <w:p>
      <w:pPr>
        <w:pStyle w:val="BodyText"/>
        <w:spacing w:line="338" w:lineRule="auto" w:before="51"/>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bookmarkStart w:name="5、预付款项" w:id="234"/>
      <w:bookmarkEnd w:id="23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287,370,241.17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245,192,357.65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555,396.88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451,044.69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142,288.91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383,467.66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288,067,926.96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246,026,870.00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left="214" w:right="456"/>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086"/>
        <w:gridCol w:w="2127"/>
        <w:gridCol w:w="2178"/>
        <w:gridCol w:w="2358"/>
      </w:tblGrid>
      <w:tr>
        <w:trPr>
          <w:trHeight w:val="634"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77" w:right="362" w:hanging="15"/>
              <w:jc w:val="left"/>
              <w:rPr>
                <w:rFonts w:ascii="宋体" w:hAnsi="宋体" w:cs="宋体" w:eastAsia="宋体" w:hint="default"/>
                <w:sz w:val="18"/>
                <w:szCs w:val="18"/>
              </w:rPr>
            </w:pPr>
            <w:r>
              <w:rPr>
                <w:rFonts w:ascii="宋体" w:hAnsi="宋体" w:cs="宋体" w:eastAsia="宋体" w:hint="default"/>
                <w:sz w:val="18"/>
                <w:szCs w:val="18"/>
              </w:rPr>
              <w:t>占预付款项年末余额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117,109,317.76</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40.65</w:t>
            </w:r>
          </w:p>
        </w:tc>
      </w:tr>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28,831,328.24</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10.01</w:t>
            </w:r>
          </w:p>
        </w:tc>
      </w:tr>
      <w:tr>
        <w:trPr>
          <w:trHeight w:val="36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28,114,862.67</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9.76</w:t>
            </w:r>
          </w:p>
        </w:tc>
      </w:tr>
      <w:tr>
        <w:trPr>
          <w:trHeight w:val="36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17,009,221.16</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5.90</w:t>
            </w:r>
          </w:p>
        </w:tc>
      </w:tr>
      <w:tr>
        <w:trPr>
          <w:trHeight w:val="370"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13,736,488.37</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4.77</w:t>
            </w:r>
          </w:p>
        </w:tc>
      </w:tr>
      <w:tr>
        <w:trPr>
          <w:trHeight w:val="368"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b/>
                <w:spacing w:val="-1"/>
                <w:sz w:val="18"/>
              </w:rPr>
              <w:t>204,801,218.20</w:t>
            </w:r>
            <w:r>
              <w:rPr>
                <w:rFonts w:ascii="Times New Roman"/>
                <w:spacing w:val="-1"/>
                <w:sz w:val="18"/>
              </w:rPr>
            </w:r>
          </w:p>
        </w:tc>
        <w:tc>
          <w:tcPr>
            <w:tcW w:w="2178" w:type="dxa"/>
            <w:tcBorders>
              <w:top w:val="single" w:sz="4" w:space="0" w:color="000000"/>
              <w:left w:val="single" w:sz="4" w:space="0" w:color="000000"/>
              <w:bottom w:val="single" w:sz="4" w:space="0" w:color="000000"/>
              <w:right w:val="single" w:sz="4" w:space="0" w:color="000000"/>
            </w:tcBorders>
          </w:tcPr>
          <w:p>
            <w:pP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b/>
                <w:sz w:val="18"/>
              </w:rPr>
              <w:t>71.09</w:t>
            </w:r>
            <w:r>
              <w:rPr>
                <w:rFonts w:ascii="Times New Roman"/>
                <w:sz w:val="18"/>
              </w:rPr>
            </w:r>
          </w:p>
        </w:tc>
      </w:tr>
    </w:tbl>
    <w:p>
      <w:pPr>
        <w:spacing w:line="240" w:lineRule="auto" w:before="2"/>
        <w:rPr>
          <w:rFonts w:ascii="宋体" w:hAnsi="宋体" w:cs="宋体" w:eastAsia="宋体" w:hint="default"/>
          <w:sz w:val="19"/>
          <w:szCs w:val="19"/>
        </w:rPr>
      </w:pPr>
    </w:p>
    <w:p>
      <w:pPr>
        <w:pStyle w:val="Heading7"/>
        <w:spacing w:line="240" w:lineRule="auto" w:before="35"/>
        <w:ind w:left="214" w:right="456"/>
        <w:jc w:val="left"/>
        <w:rPr>
          <w:b w:val="0"/>
          <w:bCs w:val="0"/>
        </w:rPr>
      </w:pPr>
      <w:bookmarkStart w:name="6、其他应收款" w:id="237"/>
      <w:bookmarkEnd w:id="237"/>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707,762.49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99,210,642.54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27,056,935.86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99,918,405.03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27,075,909.01</w:t>
            </w:r>
          </w:p>
        </w:tc>
      </w:tr>
    </w:tbl>
    <w:p>
      <w:pPr>
        <w:spacing w:line="240" w:lineRule="auto" w:before="2"/>
        <w:rPr>
          <w:rFonts w:ascii="宋体" w:hAnsi="宋体" w:cs="宋体" w:eastAsia="宋体" w:hint="default"/>
          <w:sz w:val="19"/>
          <w:szCs w:val="19"/>
        </w:rPr>
      </w:pPr>
    </w:p>
    <w:p>
      <w:pPr>
        <w:pStyle w:val="Heading7"/>
        <w:spacing w:line="240" w:lineRule="auto" w:before="35"/>
        <w:ind w:left="214" w:right="456"/>
        <w:jc w:val="left"/>
        <w:rPr>
          <w:b w:val="0"/>
          <w:bCs w:val="0"/>
        </w:rPr>
      </w:pPr>
      <w:bookmarkStart w:name="（1）应收利息" w:id="238"/>
      <w:bookmarkEnd w:id="23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Heading8"/>
        <w:spacing w:line="240" w:lineRule="auto"/>
        <w:ind w:left="214" w:right="456"/>
        <w:jc w:val="left"/>
        <w:rPr>
          <w:b w:val="0"/>
          <w:bCs w:val="0"/>
        </w:rPr>
      </w:pPr>
      <w:r>
        <w:rPr>
          <w:rFonts w:ascii="Times New Roman" w:hAnsi="Times New Roman" w:cs="Times New Roman" w:eastAsia="Times New Roman" w:hint="default"/>
        </w:rPr>
        <w:t>1)</w:t>
      </w:r>
      <w:r>
        <w:rPr/>
        <w:t>应收利息分类</w:t>
      </w:r>
      <w:r>
        <w:rPr>
          <w:b w:val="0"/>
          <w:bCs w:val="0"/>
        </w:rPr>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707,762.49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707,762.49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Heading8"/>
        <w:spacing w:line="340" w:lineRule="auto" w:before="51"/>
        <w:ind w:left="214" w:right="9518"/>
        <w:jc w:val="left"/>
        <w:rPr>
          <w:rFonts w:ascii="宋体" w:hAnsi="宋体" w:cs="宋体" w:eastAsia="宋体" w:hint="default"/>
          <w:b w:val="0"/>
          <w:bCs w:val="0"/>
        </w:rPr>
      </w:pPr>
      <w:r>
        <w:rPr>
          <w:rFonts w:ascii="Times New Roman" w:hAnsi="Times New Roman" w:cs="Times New Roman" w:eastAsia="Times New Roman" w:hint="default"/>
        </w:rPr>
        <w:t>2)</w:t>
      </w:r>
      <w:r>
        <w:rPr/>
        <w:t>重要逾期利息</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0"/>
          <w:szCs w:val="20"/>
        </w:rPr>
      </w:pPr>
    </w:p>
    <w:p>
      <w:pPr>
        <w:pStyle w:val="Heading7"/>
        <w:spacing w:line="240" w:lineRule="auto"/>
        <w:ind w:left="214" w:right="456"/>
        <w:jc w:val="left"/>
        <w:rPr>
          <w:b w:val="0"/>
          <w:bCs w:val="0"/>
        </w:rPr>
      </w:pPr>
      <w:bookmarkStart w:name="（2）应收股利" w:id="239"/>
      <w:bookmarkEnd w:id="23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Heading8"/>
        <w:spacing w:line="240" w:lineRule="auto"/>
        <w:ind w:left="214" w:right="456"/>
        <w:jc w:val="left"/>
        <w:rPr>
          <w:b w:val="0"/>
          <w:bCs w:val="0"/>
        </w:rPr>
      </w:pPr>
      <w:r>
        <w:rPr>
          <w:rFonts w:ascii="Times New Roman" w:hAnsi="Times New Roman" w:cs="Times New Roman" w:eastAsia="Times New Roman" w:hint="default"/>
        </w:rPr>
        <w:t>1)</w:t>
      </w:r>
      <w:r>
        <w:rPr/>
        <w:t>应收股利</w:t>
      </w:r>
      <w:r>
        <w:rPr>
          <w:b w:val="0"/>
          <w:bCs w:val="0"/>
        </w:rPr>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中国浦发机械工业股份有限公司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18,973.15</w:t>
            </w:r>
          </w:p>
        </w:tc>
      </w:tr>
    </w:tbl>
    <w:p>
      <w:pPr>
        <w:pStyle w:val="Heading8"/>
        <w:spacing w:line="340" w:lineRule="auto" w:before="51"/>
        <w:ind w:right="8074"/>
        <w:jc w:val="left"/>
        <w:rPr>
          <w:rFonts w:ascii="宋体" w:hAnsi="宋体" w:cs="宋体" w:eastAsia="宋体" w:hint="default"/>
          <w:b w:val="0"/>
          <w:bCs w:val="0"/>
        </w:rPr>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3）其他应收款" w:id="240"/>
      <w:bookmarkEnd w:id="24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Heading8"/>
        <w:spacing w:line="240" w:lineRule="auto"/>
        <w:ind w:right="0"/>
        <w:jc w:val="left"/>
        <w:rPr>
          <w:b w:val="0"/>
          <w:bCs w:val="0"/>
        </w:rPr>
      </w:pP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115,217,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122.05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16,006,4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99,210,64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35,259,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472.27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8,202,536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27,056,935.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6,021,12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6,021,12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6,089,1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6,089,144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121,238,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246.80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22,027,6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99,210,64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41,348,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616.41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14,291,68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34.56%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27,056,935.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9D9D9"/>
          </w:tcPr>
          <w:p>
            <w:pPr/>
          </w:p>
        </w:tc>
        <w:tc>
          <w:tcPr>
            <w:tcW w:w="7183"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9D9D9"/>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9D9D9"/>
          </w:tcPr>
          <w:p>
            <w:pPr/>
          </w:p>
        </w:tc>
        <w:tc>
          <w:tcPr>
            <w:tcW w:w="23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9D9D9"/>
          </w:tcPr>
          <w:p>
            <w:pPr/>
          </w:p>
        </w:tc>
        <w:tc>
          <w:tcPr>
            <w:tcW w:w="2399" w:type="dxa"/>
            <w:vMerge/>
            <w:tcBorders>
              <w:left w:val="single" w:sz="4" w:space="0" w:color="000000"/>
              <w:bottom w:val="single" w:sz="4" w:space="0" w:color="000000"/>
              <w:right w:val="single" w:sz="4" w:space="0" w:color="000000"/>
            </w:tcBorders>
            <w:shd w:val="clear" w:color="auto" w:fill="D9D9D9"/>
          </w:tcPr>
          <w:p>
            <w:pPr/>
          </w:p>
        </w:tc>
        <w:tc>
          <w:tcPr>
            <w:tcW w:w="2392" w:type="dxa"/>
            <w:vMerge/>
            <w:tcBorders>
              <w:left w:val="single" w:sz="4" w:space="0" w:color="000000"/>
              <w:bottom w:val="single" w:sz="4" w:space="0" w:color="000000"/>
              <w:right w:val="single" w:sz="4" w:space="0" w:color="000000"/>
            </w:tcBorders>
            <w:shd w:val="clear" w:color="auto" w:fill="D9D9D9"/>
          </w:tcPr>
          <w:p>
            <w:pPr/>
          </w:p>
        </w:tc>
        <w:tc>
          <w:tcPr>
            <w:tcW w:w="2392" w:type="dxa"/>
            <w:vMerge/>
            <w:tcBorders>
              <w:left w:val="single" w:sz="4" w:space="0" w:color="000000"/>
              <w:bottom w:val="single" w:sz="4" w:space="0" w:color="000000"/>
              <w:right w:val="single" w:sz="4" w:space="0" w:color="000000"/>
            </w:tcBorders>
            <w:shd w:val="clear" w:color="auto" w:fill="D9D9D9"/>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93,629,843.83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4,618,182.65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93,629,843.83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4,618,182.65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7,468,052.25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1,089,647.03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3,740,574.82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1,435,658.85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38.38%</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3,433,273.95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2,419,480.98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70.47%</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2,514,336.01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2,012,468.81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80.04%</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4,431,041.19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4,431,041.19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115,217,122.05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16,006,479.51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60" w:lineRule="auto" w:before="44"/>
        <w:ind w:right="6252"/>
        <w:jc w:val="left"/>
      </w:pPr>
      <w:r>
        <w:rPr/>
        <w:t>确定该组合依据的说明： 注：确定该组合的依据为信用风险特征相同。 组合中，采用余额百分比法计提坏账准备的其他应收款：</w:t>
      </w:r>
    </w:p>
    <w:p>
      <w:pPr>
        <w:pStyle w:val="BodyText"/>
        <w:spacing w:line="338"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8"/>
        <w:spacing w:line="240" w:lineRule="auto" w:before="102"/>
        <w:ind w:right="0"/>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2"/>
        <w:ind w:right="0"/>
        <w:jc w:val="left"/>
      </w:pPr>
      <w:r>
        <w:rPr/>
        <w:t>本期计提坏账准备金额</w:t>
      </w:r>
      <w:r>
        <w:rPr>
          <w:spacing w:val="-47"/>
        </w:rPr>
        <w:t> </w:t>
      </w:r>
      <w:r>
        <w:rPr>
          <w:rFonts w:ascii="Times New Roman" w:hAnsi="Times New Roman" w:cs="Times New Roman" w:eastAsia="Times New Roman" w:hint="default"/>
        </w:rPr>
        <w:t>7,735,923.71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Heading8"/>
        <w:spacing w:line="530" w:lineRule="auto" w:before="103"/>
        <w:ind w:right="8072"/>
        <w:jc w:val="left"/>
        <w:rPr>
          <w:rFonts w:ascii="宋体" w:hAnsi="宋体" w:cs="宋体" w:eastAsia="宋体" w:hint="default"/>
          <w:b w:val="0"/>
          <w:bCs w:val="0"/>
        </w:rPr>
      </w:pP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8"/>
        <w:spacing w:line="240" w:lineRule="auto" w:before="98"/>
        <w:ind w:right="0"/>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35,048,095.38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25,455,977.27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7,801,204.69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5,101,440.34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1,870,257.73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1,644,826.99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76,242,999.94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6,849,297.00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还了么平台借款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275,689.06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119,974.81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121,238,246.80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41,348,616.41</w:t>
            </w:r>
          </w:p>
        </w:tc>
      </w:tr>
    </w:tbl>
    <w:p>
      <w:pPr>
        <w:pStyle w:val="Heading8"/>
        <w:spacing w:line="240" w:lineRule="auto" w:before="51"/>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559"/>
        <w:gridCol w:w="989"/>
        <w:gridCol w:w="1596"/>
        <w:gridCol w:w="1595"/>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4,875,257.00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939,595.14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认购信保基金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1,450,193.88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72,509.69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1,035,200.00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187,252.00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10,360,650.88</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2,299,356.83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7、存货" w:id="241"/>
      <w:bookmarkEnd w:id="241"/>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1）存货分类" w:id="242"/>
      <w:bookmarkEnd w:id="24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9D9D9"/>
          </w:tcPr>
          <w:p>
            <w:pPr/>
          </w:p>
        </w:tc>
        <w:tc>
          <w:tcPr>
            <w:tcW w:w="4113"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9D9D9"/>
          </w:tcPr>
          <w:p>
            <w:pPr/>
          </w:p>
        </w:tc>
        <w:tc>
          <w:tcPr>
            <w:tcW w:w="4102" w:type="dxa"/>
            <w:gridSpan w:val="3"/>
            <w:vMerge/>
            <w:tcBorders>
              <w:left w:val="single" w:sz="4" w:space="0" w:color="000000"/>
              <w:bottom w:val="single" w:sz="4" w:space="0" w:color="000000"/>
              <w:right w:val="single" w:sz="4" w:space="0" w:color="000000"/>
            </w:tcBorders>
            <w:shd w:val="clear" w:color="auto" w:fill="D9D9D9"/>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9D9D9"/>
          </w:tcPr>
          <w:p>
            <w:pPr/>
          </w:p>
        </w:tc>
        <w:tc>
          <w:tcPr>
            <w:tcW w:w="1379" w:type="dxa"/>
            <w:vMerge w:val="restart"/>
            <w:tcBorders>
              <w:top w:val="single" w:sz="4" w:space="0" w:color="000000"/>
              <w:left w:val="single" w:sz="9" w:space="0" w:color="D9D9D9"/>
              <w:right w:val="single" w:sz="13" w:space="0" w:color="D9D9D9"/>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9D9D9"/>
          </w:tcPr>
          <w:p>
            <w:pPr/>
          </w:p>
        </w:tc>
        <w:tc>
          <w:tcPr>
            <w:tcW w:w="1379" w:type="dxa"/>
            <w:vMerge/>
            <w:tcBorders>
              <w:left w:val="single" w:sz="9" w:space="0" w:color="D9D9D9"/>
              <w:bottom w:val="single" w:sz="4" w:space="0" w:color="000000"/>
              <w:right w:val="single" w:sz="13" w:space="0" w:color="D9D9D9"/>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8"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326,310,708.16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395,324.04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325,915,384.12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225,526,538.20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556,570.79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224,969,967.41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105,429,279.56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878,035.62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104,551,243.94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75,615,365.22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823,687.16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74,791,678.06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196,454,134.18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5,645,479.36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190,808,654.82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235,682,319.42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7,420,000.18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228,262,319.24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3,433,487.34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3,433,487.34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364,490.03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364,490.03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25,477,251.91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25,477,251.91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16,198,751.74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16,198,751.74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657,104,861.15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6,918,839.02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650,186,022.13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553,387,464.61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8,800,258.13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544,587,206.48</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bookmarkStart w:name="（2）存货跌价准备" w:id="243"/>
      <w:bookmarkEnd w:id="24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556,570.79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395,324.04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556,570.79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395,324.04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823,687.16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878,035.62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823,687.16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878,035.62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7,420,000.18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5,119,029.35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6,893,550.17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5,645,479.36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8,800,258.13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6,392,389.01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8,273,808.12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6,918,839.02</w:t>
            </w:r>
          </w:p>
        </w:tc>
      </w:tr>
    </w:tbl>
    <w:p>
      <w:pPr>
        <w:pStyle w:val="BodyText"/>
        <w:spacing w:line="240" w:lineRule="auto" w:before="51"/>
        <w:ind w:right="0"/>
        <w:jc w:val="left"/>
      </w:pPr>
      <w:r>
        <w:rPr/>
        <w:t>注：存货跌价准备计提依据以及转回或转销原因</w:t>
      </w:r>
    </w:p>
    <w:p>
      <w:pPr>
        <w:spacing w:line="240" w:lineRule="auto" w:before="0"/>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3177"/>
        <w:gridCol w:w="3286"/>
        <w:gridCol w:w="3036"/>
      </w:tblGrid>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计提依据</w:t>
            </w:r>
          </w:p>
        </w:tc>
        <w:tc>
          <w:tcPr>
            <w:tcW w:w="30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02" w:right="0"/>
              <w:jc w:val="left"/>
              <w:rPr>
                <w:rFonts w:ascii="宋体" w:hAnsi="宋体" w:cs="宋体" w:eastAsia="宋体" w:hint="default"/>
                <w:sz w:val="18"/>
                <w:szCs w:val="18"/>
              </w:rPr>
            </w:pPr>
            <w:r>
              <w:rPr>
                <w:rFonts w:ascii="宋体" w:hAnsi="宋体" w:cs="宋体" w:eastAsia="宋体" w:hint="default"/>
                <w:sz w:val="18"/>
                <w:szCs w:val="18"/>
              </w:rPr>
              <w:t>本期转回或转销原因</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生产领用和销售</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自制半成品及在产品</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生产领用和销售</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库存商品（产成品）</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8、持有待售资产" w:id="244"/>
      <w:bookmarkEnd w:id="244"/>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9,399,535.40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5,109,523.81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5,172,711.66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12,509,523.81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14"/>
        <w:gridCol w:w="1914"/>
        <w:gridCol w:w="1914"/>
        <w:gridCol w:w="1905"/>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14,572,247.06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17,619,047.62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9、一年内到期的非流动资产" w:id="245"/>
      <w:bookmarkEnd w:id="245"/>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0、其他流动资产" w:id="246"/>
      <w:bookmarkEnd w:id="246"/>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174,977,392.46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88,394,087.88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46,924,816.73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运营商计费代收款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57,502,975.15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64,696,926.93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惠商</w:t>
            </w:r>
            <w:r>
              <w:rPr>
                <w:rFonts w:ascii="Times New Roman" w:hAnsi="Times New Roman" w:cs="Times New Roman" w:eastAsia="Times New Roman" w:hint="default"/>
                <w:sz w:val="18"/>
                <w:szCs w:val="18"/>
              </w:rPr>
              <w:t>+</w:t>
            </w:r>
            <w:r>
              <w:rPr>
                <w:rFonts w:ascii="宋体" w:hAnsi="宋体" w:cs="宋体" w:eastAsia="宋体" w:hint="default"/>
                <w:sz w:val="18"/>
                <w:szCs w:val="18"/>
              </w:rPr>
              <w:t>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50,039,371.75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83,585,421.89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5,762,134.92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1,377,591.92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16,366,872.52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代收代付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2,238,640.37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1,829,008.96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清结算代收款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180,659.33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140,827,373.97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28,694.31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54,897.71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1,302,753.88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395,490,828.69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340,598,791.99</w:t>
            </w:r>
          </w:p>
        </w:tc>
      </w:tr>
    </w:tbl>
    <w:p>
      <w:pPr>
        <w:spacing w:line="240" w:lineRule="auto" w:before="3"/>
        <w:rPr>
          <w:rFonts w:ascii="宋体" w:hAnsi="宋体" w:cs="宋体" w:eastAsia="宋体" w:hint="default"/>
          <w:sz w:val="21"/>
          <w:szCs w:val="21"/>
        </w:rPr>
      </w:pPr>
    </w:p>
    <w:p>
      <w:pPr>
        <w:pStyle w:val="BodyText"/>
        <w:spacing w:line="316" w:lineRule="auto" w:before="44"/>
        <w:ind w:right="1131" w:firstLine="360"/>
        <w:jc w:val="both"/>
      </w:pPr>
      <w:r>
        <w:rPr>
          <w:spacing w:val="-2"/>
        </w:rPr>
        <w:t>注：本公司全资子公司联动优势科技有限公司以自有资金委托云南国际信托有限公司对公司联动优势科技有限公司自有</w:t>
      </w:r>
      <w:r>
        <w:rPr/>
        <w:t> </w:t>
      </w:r>
      <w:r>
        <w:rPr>
          <w:spacing w:val="-2"/>
        </w:rPr>
        <w:t>业务平台进行消费金融服务时发生的消费分期购物及信用卡账单分期场景下指定的合格借款人提供贷款，截至期末，发放贷</w:t>
      </w:r>
      <w:r>
        <w:rPr>
          <w:spacing w:val="-64"/>
        </w:rPr>
        <w:t> </w:t>
      </w:r>
      <w:r>
        <w:rPr>
          <w:spacing w:val="-64"/>
        </w:rPr>
      </w:r>
      <w:r>
        <w:rPr/>
        <w:t>款余额</w:t>
      </w:r>
      <w:r>
        <w:rPr>
          <w:rFonts w:ascii="Times New Roman" w:hAnsi="Times New Roman" w:cs="Times New Roman" w:eastAsia="Times New Roman" w:hint="default"/>
        </w:rPr>
        <w:t>197,859,563.97</w:t>
      </w:r>
      <w:r>
        <w:rPr/>
        <w:t>元，计提贷款损失准备</w:t>
      </w:r>
      <w:r>
        <w:rPr>
          <w:rFonts w:ascii="Times New Roman" w:hAnsi="Times New Roman" w:cs="Times New Roman" w:eastAsia="Times New Roman" w:hint="default"/>
        </w:rPr>
        <w:t>22,882,171.51</w:t>
      </w:r>
      <w:r>
        <w:rPr/>
        <w:t>元。</w:t>
      </w:r>
    </w:p>
    <w:p>
      <w:pPr>
        <w:spacing w:line="240" w:lineRule="auto" w:before="13"/>
        <w:rPr>
          <w:rFonts w:ascii="宋体" w:hAnsi="宋体" w:cs="宋体" w:eastAsia="宋体" w:hint="default"/>
          <w:sz w:val="20"/>
          <w:szCs w:val="20"/>
        </w:rPr>
      </w:pPr>
    </w:p>
    <w:p>
      <w:pPr>
        <w:pStyle w:val="Heading7"/>
        <w:spacing w:line="240" w:lineRule="auto"/>
        <w:ind w:right="0"/>
        <w:jc w:val="left"/>
        <w:rPr>
          <w:b w:val="0"/>
          <w:bCs w:val="0"/>
        </w:rPr>
      </w:pPr>
      <w:bookmarkStart w:name="11、可供出售金融资产" w:id="247"/>
      <w:bookmarkEnd w:id="247"/>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可供出售金融资产情况" w:id="248"/>
      <w:bookmarkEnd w:id="24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1977"/>
        <w:gridCol w:w="1207"/>
        <w:gridCol w:w="1197"/>
        <w:gridCol w:w="1195"/>
        <w:gridCol w:w="1248"/>
        <w:gridCol w:w="1367"/>
        <w:gridCol w:w="1368"/>
      </w:tblGrid>
      <w:tr>
        <w:trPr>
          <w:trHeight w:val="205"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195,026,566.52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195,026,566.52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85,126,566.52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195,026,566.52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195,026,566.52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85,126,566.52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195,026,566.52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195,026,566.52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85,126,566.52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85,126,566.52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2）期末按公允价值计量的可供出售金融资产" w:id="249"/>
      <w:bookmarkEnd w:id="24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250"/>
      <w:bookmarkEnd w:id="250"/>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期末按成本计量的可供出售金融资产" w:id="251"/>
      <w:bookmarkEnd w:id="25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277"/>
        <w:gridCol w:w="1134"/>
        <w:gridCol w:w="1274"/>
        <w:gridCol w:w="709"/>
        <w:gridCol w:w="566"/>
        <w:gridCol w:w="568"/>
        <w:gridCol w:w="709"/>
        <w:gridCol w:w="850"/>
        <w:gridCol w:w="49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8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59"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4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60" w:right="59"/>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71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491"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青岛高创 澳海创业 投资企业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北京智科 产业投资 控股集团 股份有限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青岛高创 澳海股权 投资管理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北京同润 网络科技 有限公司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宁波产融 创享股权 投资合伙 企业（有 限合伙）</w:t>
            </w:r>
          </w:p>
        </w:tc>
        <w:tc>
          <w:tcPr>
            <w:tcW w:w="11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中国浦发 机械工业 股份有限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2,026,566.52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2,026,566.52</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网联清算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w:t>
            </w: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百融金融 信息服务 股份有限</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2" w:right="0"/>
              <w:jc w:val="center"/>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277"/>
        <w:gridCol w:w="1134"/>
        <w:gridCol w:w="1274"/>
        <w:gridCol w:w="709"/>
        <w:gridCol w:w="566"/>
        <w:gridCol w:w="568"/>
        <w:gridCol w:w="709"/>
        <w:gridCol w:w="850"/>
        <w:gridCol w:w="491"/>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85,126,566.52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159,900,000.00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195,026,566.52</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5"/>
          <w:szCs w:val="15"/>
        </w:rPr>
      </w:pPr>
    </w:p>
    <w:p>
      <w:pPr>
        <w:pStyle w:val="BodyText"/>
        <w:spacing w:line="319" w:lineRule="auto" w:before="44"/>
        <w:ind w:right="0" w:firstLine="360"/>
        <w:jc w:val="left"/>
      </w:pPr>
      <w:r>
        <w:rPr>
          <w:spacing w:val="-2"/>
        </w:rPr>
        <w:t>注：本集团对上述被投资单位均不具有重大影响，不参与被投资单位的生产经营管理及政策制定过程，除分红事项外未</w:t>
      </w:r>
      <w:r>
        <w:rPr/>
        <w:t> 与被投资单位发生交易。</w:t>
      </w:r>
    </w:p>
    <w:p>
      <w:pPr>
        <w:spacing w:line="240" w:lineRule="auto" w:before="5"/>
        <w:rPr>
          <w:rFonts w:ascii="宋体" w:hAnsi="宋体" w:cs="宋体" w:eastAsia="宋体" w:hint="default"/>
          <w:sz w:val="22"/>
          <w:szCs w:val="22"/>
        </w:rPr>
      </w:pPr>
    </w:p>
    <w:p>
      <w:pPr>
        <w:pStyle w:val="Heading7"/>
        <w:spacing w:line="240" w:lineRule="auto"/>
        <w:ind w:right="0"/>
        <w:jc w:val="left"/>
        <w:rPr>
          <w:b w:val="0"/>
          <w:bCs w:val="0"/>
        </w:rPr>
      </w:pPr>
      <w:bookmarkStart w:name="12、持有至到期投资" w:id="252"/>
      <w:bookmarkEnd w:id="25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3、长期应收款" w:id="253"/>
      <w:bookmarkEnd w:id="25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4、长期股权投资" w:id="254"/>
      <w:bookmarkEnd w:id="25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 泽兴股权 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15、投资性房地产" w:id="255"/>
      <w:bookmarkEnd w:id="25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26,181,081.00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26,181,081.00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26,181,081.00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38,651,381.00</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13,493,083.85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2,743,465.60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16,236,549.45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1,243,601.40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249,405.96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1,493,007.36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12,249,482.45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2,494,059.64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14,743,542.09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13,493,083.85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2,743,465.60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16,236,549.45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12,687,997.15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9,726,834.40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22,414,831.55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7"/>
        <w:spacing w:line="240" w:lineRule="auto" w:before="35"/>
        <w:ind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3）未办妥产权证书的投资性房地产情况" w:id="258"/>
      <w:bookmarkEnd w:id="25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6、固定资产" w:id="259"/>
      <w:bookmarkEnd w:id="25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3171"/>
        <w:gridCol w:w="3199"/>
        <w:gridCol w:w="3189"/>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972,791,151.27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734,477,018.23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972,791,151.27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734,477,018.23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344"/>
        <w:gridCol w:w="1379"/>
        <w:gridCol w:w="1367"/>
        <w:gridCol w:w="1367"/>
        <w:gridCol w:w="1367"/>
        <w:gridCol w:w="1367"/>
        <w:gridCol w:w="1368"/>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448,421,453.81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429,865,088.14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15,685,547.27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155,939,279.26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124,692,018.40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1,174,603,386.88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48,158,801.10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303,624,253.51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10,604,743.66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110,051,858.26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65,986,692.87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538,426,349.40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150,375.00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30,026,576.45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1,987,279.21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98,824,300.37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14,101,549.60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145,090,080.63</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11,315,155.35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86,339,635.55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3,157,944.97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646,774.55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51,885,143.27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153,344,653.69</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36,693,270.75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187,258,041.51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5,459,519.48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10,580,783.34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239,991,615.08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43,691,767.32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36,702,900.81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2,568,462.53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20,826,292.87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13,584,321.96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117,373,745.49</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298,713.16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36,702,900.81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2,568,462.53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20,826,292.87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13,584,321.96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73,980,691.33</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）其他转</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43,393,054.16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43,393,054.16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452,888,487.59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696,786,440.84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23,721,828.40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245,164,844.65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177,094,389.31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1,595,655,990.79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84,855,761.42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174,198,318.00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9,739,561.56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120,080,863.84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51,251,863.83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440,126,368.65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1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41,103,968.48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124,114,444.98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5,934,085.09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35,816,114.25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28,210,008.35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235,178,621.15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8"/>
        <w:gridCol w:w="1367"/>
        <w:gridCol w:w="1367"/>
        <w:gridCol w:w="1367"/>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21,617,857.79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49,727,560.35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3,858,463.55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29,014,800.03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28,210,008.35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132,428,690.07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19,486,110.69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74,386,884.63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2,075,621.54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6,801,314.22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102,749,931.08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20,347,002.25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14,439,565.49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2,035,479.67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3,163,243.10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12,454,859.77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52,440,150.28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21"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298,382.00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14,439,565.49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2,035,479.67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3,163,243.10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12,454,859.77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32,391,530.03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）其他转</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20,048,620.25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20,048,620.25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105,612,727.65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283,873,197.49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13,638,166.98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152,733,734.99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67,007,012.41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622,864,839.52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21"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347,275,759.94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412,913,243.35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10,083,661.42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92,431,109.66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110,087,376.90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972,791,151.27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4"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363,565,692.39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255,666,770.14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5,945,985.71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35,858,415.42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73,440,154.57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734,477,018.23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暂时闲置的固定资产情况" w:id="261"/>
      <w:bookmarkEnd w:id="26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34,780,740.55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25,301,838.21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9,478,902.34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6,867,583.78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4,025,153.66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2,842,430.12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41,648,324.33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29,326,991.87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12,321,332.46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3）通过融资租赁租入的固定资产情况" w:id="262"/>
      <w:bookmarkEnd w:id="26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263"/>
      <w:bookmarkEnd w:id="263"/>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通过经营租赁租出的固定资产" w:id="264"/>
      <w:bookmarkEnd w:id="26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265"/>
      <w:bookmarkEnd w:id="265"/>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5）未办妥产权证书的固定资产情况" w:id="266"/>
      <w:bookmarkEnd w:id="26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复兴大道办公楼及车间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101,749,385.56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北仑厂房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7,853,259.62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固定资产清理" w:id="267"/>
      <w:bookmarkEnd w:id="267"/>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17、在建工程" w:id="268"/>
      <w:bookmarkEnd w:id="26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895"/>
        <w:gridCol w:w="3815"/>
        <w:gridCol w:w="3860"/>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90,935,722.47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89,868,225.13</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90,935,722.47</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89,868,225.13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在建工程情况" w:id="269"/>
      <w:bookmarkEnd w:id="26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05"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19,835,107.67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19,835,107.67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30,942,910.45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30,942,910.45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46,188,593.76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46,188,593.76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35,585,655.10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845,430.34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34,740,224.76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24,912,021.04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24,912,021.04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24,185,089.92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24,185,089.92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90,935,722.47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90,935,722.47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90,713,655.47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845,430.34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89,868,225.13</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2）重要在建工程项目本期变动情况" w:id="270"/>
      <w:bookmarkEnd w:id="27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7"/>
        <w:gridCol w:w="736"/>
        <w:gridCol w:w="736"/>
        <w:gridCol w:w="725"/>
      </w:tblGrid>
      <w:tr>
        <w:trPr>
          <w:trHeight w:val="38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0"/>
                <w:sz w:val="18"/>
                <w:szCs w:val="18"/>
              </w:rPr>
              <w:t>其中：本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复兴大 道北厂 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18,440,5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6,509,05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11,931,5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04.99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涂装车 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19,130,0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10,661,8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2,915,29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13,577,1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机电新 产线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67,621,9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18,609,8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37.84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18,609,8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w:t>
            </w:r>
          </w:p>
          <w:p>
            <w:pPr>
              <w:pStyle w:val="TableParagraph"/>
              <w:spacing w:line="319" w:lineRule="auto" w:before="61"/>
              <w:ind w:left="22" w:right="159"/>
              <w:jc w:val="left"/>
              <w:rPr>
                <w:rFonts w:ascii="宋体" w:hAnsi="宋体" w:cs="宋体" w:eastAsia="宋体" w:hint="default"/>
                <w:sz w:val="18"/>
                <w:szCs w:val="18"/>
              </w:rPr>
            </w:pPr>
            <w:r>
              <w:rPr>
                <w:rFonts w:ascii="宋体" w:hAnsi="宋体" w:cs="宋体" w:eastAsia="宋体" w:hint="default"/>
                <w:sz w:val="18"/>
                <w:szCs w:val="18"/>
              </w:rPr>
              <w:t>动化生 产线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6,378,68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4,872,62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4,872,62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8,893,43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3,927,15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4,966,28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5,741,00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3,152,43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座椅骨 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6,453,69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4,223,68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2,508,38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1,715,30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目模具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7,925,34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7,736,96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6,905,53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C10HB</w:t>
            </w:r>
          </w:p>
          <w:p>
            <w:pPr>
              <w:pStyle w:val="TableParagraph"/>
              <w:spacing w:line="319" w:lineRule="auto" w:before="64"/>
              <w:ind w:left="22" w:right="159"/>
              <w:jc w:val="both"/>
              <w:rPr>
                <w:rFonts w:ascii="宋体" w:hAnsi="宋体" w:cs="宋体" w:eastAsia="宋体" w:hint="default"/>
                <w:sz w:val="18"/>
                <w:szCs w:val="18"/>
              </w:rPr>
            </w:pPr>
            <w:r>
              <w:rPr>
                <w:rFonts w:ascii="宋体" w:hAnsi="宋体" w:cs="宋体" w:eastAsia="宋体" w:hint="default"/>
                <w:sz w:val="18"/>
                <w:szCs w:val="18"/>
              </w:rPr>
              <w:t>北汽新 能源项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12,539,4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12,214,9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FE-6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36,218,7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12,876,6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13,748,8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18,237,1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8,388,34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NL-3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34,705,6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7,782,98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24,407,1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28,351,7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3,838,41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344,327,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570.67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72,299,0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75,410,3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99,077,6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11,931,5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04.99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36,700,2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87.65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本期计提在建工程减值准备情况" w:id="271"/>
      <w:bookmarkEnd w:id="27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272"/>
      <w:bookmarkEnd w:id="272"/>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工程物资" w:id="273"/>
      <w:bookmarkEnd w:id="27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18、生产性生物资产" w:id="274"/>
      <w:bookmarkEnd w:id="27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采用成本计量模式的生产性生物资产" w:id="275"/>
      <w:bookmarkEnd w:id="27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采用公允价值计量模式的生产性生物资产" w:id="276"/>
      <w:bookmarkEnd w:id="27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19、油气资产" w:id="277"/>
      <w:bookmarkEnd w:id="27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20、无形资产" w:id="278"/>
      <w:bookmarkEnd w:id="27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无形资产情况" w:id="279"/>
      <w:bookmarkEnd w:id="27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244,623,993.46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11,397,672.78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148,722,670.94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463,892,637.18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26,720,028.00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23,936,847.25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7,076,253.18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15,672,342.34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73,405,470.77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12,925,848.00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316,847.25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7,483,104.07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20,725,799.32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7,076,253.18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7,989,749.74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15,066,002.92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13,794,180.00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199,488.53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37,613,668.53</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19,385,990.45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19,499,890.45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19,385,990.45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19,385,990.45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251,958,031.01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73,085,147.25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18,473,925.96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164,281,113.28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517,798,217.50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26,829,354.73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14,455,382.34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424,605.51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47,293,603.43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6,749,999.75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95,752,945.76</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8,487,864.33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7,566,877.20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1,295,119.95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16,506,003.62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33,855,865.10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7,652,084.33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7,566,877.20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1,295,119.95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16,371,473.09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32,885,554.57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134,530.53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970,310.53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4,237,038.43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4,350,938.43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4,237,038.43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4,237,038.43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31,080,180.63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22,022,259.54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63,685,707.05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6,749,999.75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125,257,872.43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3,250,000.25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220,877,850.38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51,062,887.71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16,754,200.50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100,595,406.23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389,290,344.82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217,794,638.73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34,692,917.66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10,973,067.27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101,429,067.51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364,889,691.17</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3.87%</w:t>
      </w:r>
      <w:r>
        <w:rPr/>
        <w:t>。</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2）未办妥产权证书的土地使用权情况" w:id="280"/>
      <w:bookmarkEnd w:id="28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30" w:firstLine="360"/>
        <w:jc w:val="left"/>
      </w:pPr>
      <w:r>
        <w:rPr/>
        <w:t>注：截至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日，本公司控股子公司湖北海立田汽车部件有限公司以</w:t>
      </w:r>
      <w:r>
        <w:rPr>
          <w:rFonts w:ascii="Times New Roman" w:hAnsi="Times New Roman" w:cs="Times New Roman" w:eastAsia="Times New Roman" w:hint="default"/>
        </w:rPr>
        <w:t>“</w:t>
      </w:r>
      <w:r>
        <w:rPr/>
        <w:t>鄂（</w:t>
      </w:r>
      <w:r>
        <w:rPr>
          <w:rFonts w:ascii="Times New Roman" w:hAnsi="Times New Roman" w:cs="Times New Roman" w:eastAsia="Times New Roman" w:hint="default"/>
        </w:rPr>
        <w:t>2018</w:t>
      </w:r>
      <w:r>
        <w:rPr/>
        <w:t>）枣阳市不动产权第</w:t>
      </w:r>
      <w:r>
        <w:rPr>
          <w:rFonts w:ascii="Times New Roman" w:hAnsi="Times New Roman" w:cs="Times New Roman" w:eastAsia="Times New Roman" w:hint="default"/>
        </w:rPr>
        <w:t>0002253 </w:t>
      </w:r>
      <w:r>
        <w:rPr/>
        <w:t>号</w:t>
      </w:r>
      <w:r>
        <w:rPr>
          <w:rFonts w:ascii="Times New Roman" w:hAnsi="Times New Roman" w:cs="Times New Roman" w:eastAsia="Times New Roman" w:hint="default"/>
        </w:rPr>
        <w:t>”</w:t>
      </w:r>
      <w:r>
        <w:rPr/>
        <w:t>期末账面价值</w:t>
      </w:r>
      <w:r>
        <w:rPr>
          <w:rFonts w:ascii="Times New Roman" w:hAnsi="Times New Roman" w:cs="Times New Roman" w:eastAsia="Times New Roman" w:hint="default"/>
        </w:rPr>
        <w:t>15,182,699.02</w:t>
      </w:r>
      <w:r>
        <w:rPr/>
        <w:t>元的土地使用权及账面价值</w:t>
      </w:r>
      <w:r>
        <w:rPr>
          <w:rFonts w:ascii="Times New Roman" w:hAnsi="Times New Roman" w:cs="Times New Roman" w:eastAsia="Times New Roman" w:hint="default"/>
        </w:rPr>
        <w:t>11,307,601.14</w:t>
      </w:r>
      <w:r>
        <w:rPr/>
        <w:t>元的厂房作为抵押物与湖北枣阳农村商业银行股份 </w:t>
      </w:r>
      <w:r>
        <w:rPr>
          <w:spacing w:val="-1"/>
        </w:rPr>
        <w:t>有限公司签订了最高额抵押合同（编号：枣农商（人民路）借</w:t>
      </w:r>
      <w:r>
        <w:rPr>
          <w:rFonts w:ascii="Times New Roman" w:hAnsi="Times New Roman" w:cs="Times New Roman" w:eastAsia="Times New Roman" w:hint="default"/>
          <w:spacing w:val="-1"/>
        </w:rPr>
        <w:t>20180419-1</w:t>
      </w:r>
      <w:r>
        <w:rPr>
          <w:spacing w:val="-1"/>
        </w:rPr>
        <w:t>号），以担保湖北海立田汽车部件有限公司自</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日期间办理各类融资业务所发生的债权。</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21、开发支出" w:id="281"/>
      <w:bookmarkEnd w:id="28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22、商誉" w:id="282"/>
      <w:bookmarkEnd w:id="282"/>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商誉账面原值" w:id="283"/>
      <w:bookmarkEnd w:id="28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7"/>
        <w:gridCol w:w="1628"/>
        <w:gridCol w:w="1106"/>
        <w:gridCol w:w="1367"/>
        <w:gridCol w:w="1367"/>
        <w:gridCol w:w="1368"/>
      </w:tblGrid>
      <w:tr>
        <w:trPr>
          <w:trHeight w:val="360"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9"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49" w:hRule="exact"/>
        </w:trPr>
        <w:tc>
          <w:tcPr>
            <w:tcW w:w="1368"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8"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10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9" w:space="0" w:color="D2D2D2"/>
            </w:tcBorders>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8" w:type="dxa"/>
            <w:vMerge/>
            <w:tcBorders>
              <w:left w:val="single" w:sz="10" w:space="0" w:color="D2D2D2"/>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9" w:space="0" w:color="D2D2D2"/>
            </w:tcBorders>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2,483,064,273.45</w:t>
            </w:r>
          </w:p>
        </w:tc>
        <w:tc>
          <w:tcPr>
            <w:tcW w:w="16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2,483,064,273.45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450,499.72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450,499.72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2,502,769,649.74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2,502,769,649.74</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商誉减值准备" w:id="284"/>
      <w:bookmarkEnd w:id="28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7"/>
        <w:gridCol w:w="1367"/>
        <w:gridCol w:w="1367"/>
        <w:gridCol w:w="1367"/>
        <w:gridCol w:w="1367"/>
        <w:gridCol w:w="1368"/>
      </w:tblGrid>
      <w:tr>
        <w:trPr>
          <w:trHeight w:val="360"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9"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368"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9" w:space="0" w:color="D2D2D2"/>
            </w:tcBorders>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9" w:space="0" w:color="D2D2D2"/>
            </w:tcBorders>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19,254,876.57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270,698,061.53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270,698,061.53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450,499.72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450,499.72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450,499.72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289,952,938.10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290,403,437.82</w:t>
            </w:r>
          </w:p>
        </w:tc>
      </w:tr>
    </w:tbl>
    <w:p>
      <w:pPr>
        <w:pStyle w:val="BodyText"/>
        <w:spacing w:line="240" w:lineRule="auto" w:before="51"/>
        <w:ind w:right="0"/>
        <w:jc w:val="both"/>
      </w:pPr>
      <w:r>
        <w:rPr/>
        <w:t>商誉所在资产组或资产组组合的相关信息</w:t>
      </w:r>
    </w:p>
    <w:p>
      <w:pPr>
        <w:pStyle w:val="BodyText"/>
        <w:spacing w:line="300" w:lineRule="auto" w:before="115"/>
        <w:ind w:right="1131"/>
        <w:jc w:val="both"/>
      </w:pPr>
      <w:r>
        <w:rPr>
          <w:rFonts w:ascii="Times New Roman" w:hAnsi="Times New Roman" w:cs="Times New Roman" w:eastAsia="Times New Roman" w:hint="default"/>
        </w:rPr>
        <w:t>1</w:t>
      </w:r>
      <w:r>
        <w:rPr/>
        <w:t>、联动优势科技有限公司包含商誉的资产组为</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个，联动优势科技有限公司资产组组合（简称组合</w:t>
      </w:r>
      <w:r>
        <w:rPr>
          <w:spacing w:val="-46"/>
        </w:rPr>
        <w:t> </w:t>
      </w:r>
      <w:r>
        <w:rPr>
          <w:rFonts w:ascii="Times New Roman" w:hAnsi="Times New Roman" w:cs="Times New Roman" w:eastAsia="Times New Roman" w:hint="default"/>
        </w:rPr>
        <w:t>1</w:t>
      </w:r>
      <w:r>
        <w:rPr/>
        <w:t>）及联动优势电子商 </w:t>
      </w:r>
      <w:r>
        <w:rPr>
          <w:spacing w:val="-1"/>
        </w:rPr>
        <w:t>务有限公司资产组（简称组合</w:t>
      </w:r>
      <w:r>
        <w:rPr>
          <w:spacing w:val="-43"/>
        </w:rPr>
        <w:t> </w:t>
      </w:r>
      <w:r>
        <w:rPr>
          <w:rFonts w:ascii="Times New Roman" w:hAnsi="Times New Roman" w:cs="Times New Roman" w:eastAsia="Times New Roman" w:hint="default"/>
          <w:spacing w:val="-14"/>
        </w:rPr>
        <w:t>2</w:t>
      </w:r>
      <w:r>
        <w:rPr>
          <w:spacing w:val="-14"/>
        </w:rPr>
        <w:t>），其中组合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包含</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4"/>
        </w:rPr>
        <w:t>家法人实体，分别为联动优势科技有限公司（以下简称联动科技）、海</w:t>
      </w:r>
    </w:p>
    <w:p>
      <w:pPr>
        <w:pStyle w:val="BodyText"/>
        <w:spacing w:line="240" w:lineRule="auto" w:before="13"/>
        <w:ind w:right="0"/>
        <w:jc w:val="both"/>
        <w:rPr>
          <w:rFonts w:ascii="Times New Roman" w:hAnsi="Times New Roman" w:cs="Times New Roman" w:eastAsia="Times New Roman" w:hint="default"/>
        </w:rPr>
      </w:pPr>
      <w:r>
        <w:rPr/>
        <w:t>联金汇（北京）金融科技有限公司（以下简称海联金科</w:t>
      </w:r>
      <w:r>
        <w:rPr>
          <w:spacing w:val="-90"/>
        </w:rPr>
        <w:t>）</w:t>
      </w:r>
      <w:r>
        <w:rPr/>
        <w:t>、蜜小蜂智慧（北京）科技有限公司（以下简称蜜小蜂</w:t>
      </w:r>
      <w:r>
        <w:rPr>
          <w:spacing w:val="-90"/>
        </w:rPr>
        <w:t>）</w:t>
      </w:r>
      <w:r>
        <w:rPr/>
        <w:t>，组合</w:t>
      </w:r>
      <w:r>
        <w:rPr>
          <w:spacing w:val="-45"/>
        </w:rPr>
        <w:t> </w:t>
      </w:r>
      <w:r>
        <w:rPr>
          <w:rFonts w:ascii="Times New Roman" w:hAnsi="Times New Roman" w:cs="Times New Roman" w:eastAsia="Times New Roman" w:hint="default"/>
        </w:rPr>
        <w:t>2</w:t>
      </w:r>
    </w:p>
    <w:p>
      <w:pPr>
        <w:pStyle w:val="BodyText"/>
        <w:spacing w:line="304" w:lineRule="auto" w:before="63"/>
        <w:ind w:right="1131"/>
        <w:jc w:val="both"/>
      </w:pPr>
      <w:r>
        <w:rPr/>
        <w:t>包含</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家法人实体，为联动优势电子商务有限公司（以下简称联动商务）；资产组的确定主要根据公司股权交易时中通诚资</w:t>
      </w:r>
      <w:r>
        <w:rPr/>
        <w:t> </w:t>
      </w:r>
      <w:r>
        <w:rPr>
          <w:spacing w:val="-2"/>
        </w:rPr>
        <w:t>产评估有限公司出具的《青岛海立美达股份有限公司进行重大资产重组事宜涉及的联动优势科技有限公司股权项目资产评估</w:t>
      </w:r>
      <w:r>
        <w:rPr>
          <w:spacing w:val="-64"/>
        </w:rPr>
        <w:t> </w:t>
      </w:r>
      <w:r>
        <w:rPr>
          <w:spacing w:val="-64"/>
        </w:rPr>
      </w:r>
      <w:r>
        <w:rPr>
          <w:spacing w:val="-5"/>
        </w:rPr>
        <w:t>报告》（中通评报字〔</w:t>
      </w:r>
      <w:r>
        <w:rPr>
          <w:rFonts w:ascii="Times New Roman" w:hAnsi="Times New Roman" w:cs="Times New Roman" w:eastAsia="Times New Roman" w:hint="default"/>
          <w:spacing w:val="-5"/>
        </w:rPr>
        <w:t>2015</w:t>
      </w:r>
      <w:r>
        <w:rPr>
          <w:spacing w:val="-5"/>
        </w:rPr>
        <w:t>〕</w:t>
      </w:r>
      <w:r>
        <w:rPr>
          <w:rFonts w:ascii="Times New Roman" w:hAnsi="Times New Roman" w:cs="Times New Roman" w:eastAsia="Times New Roman" w:hint="default"/>
          <w:spacing w:val="-5"/>
        </w:rPr>
        <w:t>396</w:t>
      </w:r>
      <w:r>
        <w:rPr>
          <w:rFonts w:ascii="Times New Roman" w:hAnsi="Times New Roman" w:cs="Times New Roman" w:eastAsia="Times New Roman" w:hint="default"/>
          <w:spacing w:val="-1"/>
        </w:rPr>
        <w:t> </w:t>
      </w:r>
      <w:r>
        <w:rPr>
          <w:spacing w:val="-18"/>
        </w:rPr>
        <w:t>号），以及</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年交易完成时中通诚资产评估有限公司出具的《联动优势科技有限公司合 </w:t>
      </w:r>
      <w:r>
        <w:rPr>
          <w:spacing w:val="-3"/>
        </w:rPr>
        <w:t>并对价分摊涉及的部分可辨认资产公允价值评估项目》（中通评报字〔</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207</w:t>
      </w:r>
      <w:r>
        <w:rPr>
          <w:rFonts w:ascii="Times New Roman" w:hAnsi="Times New Roman" w:cs="Times New Roman" w:eastAsia="Times New Roman" w:hint="default"/>
          <w:spacing w:val="5"/>
        </w:rPr>
        <w:t> </w:t>
      </w:r>
      <w:r>
        <w:rPr/>
        <w:t>号）确定的资产组范围；资产组组合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业</w:t>
      </w:r>
      <w:r>
        <w:rPr>
          <w:spacing w:val="-82"/>
        </w:rPr>
        <w:t> </w:t>
      </w:r>
      <w:r>
        <w:rPr/>
        <w:t>务板块范围与购买日、以前年度商誉减值测试所确定的资产组相比增加了</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3"/>
        </w:rPr>
        <w:t>个业务板块，分别为海联金科业务板块、蜜小蜂</w:t>
      </w:r>
      <w:r>
        <w:rPr/>
        <w:t> 业务板块，</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家公司的业务板块均为原联动科技大数据板块业务的延伸业务，因此纳入资产组组合范围；资产组组合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业务 板块范围与购买日、以前年度商誉减值测试所确定的资产组相比无变化。</w:t>
      </w:r>
    </w:p>
    <w:p>
      <w:pPr>
        <w:pStyle w:val="BodyText"/>
        <w:spacing w:line="240" w:lineRule="auto" w:before="66"/>
        <w:ind w:right="0"/>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商誉相关资产组合</w:t>
      </w:r>
      <w:r>
        <w:rPr>
          <w:spacing w:val="-59"/>
        </w:rPr>
        <w:t> </w:t>
      </w:r>
      <w:r>
        <w:rPr>
          <w:rFonts w:ascii="Times New Roman" w:hAnsi="Times New Roman" w:cs="Times New Roman" w:eastAsia="Times New Roman" w:hint="default"/>
        </w:rPr>
        <w:t>1</w:t>
      </w:r>
      <w:r>
        <w:rPr/>
        <w:t>：海联金汇科技股份有限公司因并购联动优势科技有限公司形成的商誉相关的资产组组合</w:t>
      </w:r>
      <w:r>
        <w:rPr>
          <w:spacing w:val="-58"/>
        </w:rPr>
        <w:t> </w:t>
      </w:r>
      <w:r>
        <w:rPr>
          <w:rFonts w:ascii="Times New Roman" w:hAnsi="Times New Roman" w:cs="Times New Roman" w:eastAsia="Times New Roman" w:hint="default"/>
          <w:spacing w:val="-9"/>
        </w:rPr>
        <w:t>1</w:t>
      </w:r>
      <w:r>
        <w:rPr>
          <w:spacing w:val="-9"/>
        </w:rPr>
        <w:t>，包括固</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t>定资产、无形资产、长期待摊费用及商誉。截至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日，资产含商誉的账面值合计</w:t>
      </w:r>
      <w:r>
        <w:rPr>
          <w:spacing w:val="-46"/>
        </w:rPr>
        <w:t> </w:t>
      </w:r>
      <w:r>
        <w:rPr>
          <w:rFonts w:ascii="Times New Roman" w:hAnsi="Times New Roman" w:cs="Times New Roman" w:eastAsia="Times New Roman" w:hint="default"/>
        </w:rPr>
        <w:t>168,883.82</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p>
    <w:p>
      <w:pPr>
        <w:pStyle w:val="BodyText"/>
        <w:spacing w:line="302" w:lineRule="auto" w:before="101"/>
        <w:ind w:right="1115"/>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商誉相关资产组合</w:t>
      </w:r>
      <w:r>
        <w:rPr>
          <w:spacing w:val="-59"/>
        </w:rPr>
        <w:t> </w:t>
      </w:r>
      <w:r>
        <w:rPr>
          <w:rFonts w:ascii="Times New Roman" w:hAnsi="Times New Roman" w:cs="Times New Roman" w:eastAsia="Times New Roman" w:hint="default"/>
        </w:rPr>
        <w:t>2</w:t>
      </w:r>
      <w:r>
        <w:rPr/>
        <w:t>：海联金汇科技股份有限公司因并购联动优势科技有限公司形成的商誉相关的资产组</w:t>
      </w:r>
      <w:r>
        <w:rPr>
          <w:spacing w:val="-58"/>
        </w:rPr>
        <w:t> </w:t>
      </w:r>
      <w:r>
        <w:rPr>
          <w:rFonts w:ascii="Times New Roman" w:hAnsi="Times New Roman" w:cs="Times New Roman" w:eastAsia="Times New Roman" w:hint="default"/>
          <w:spacing w:val="-6"/>
        </w:rPr>
        <w:t>2</w:t>
      </w:r>
      <w:r>
        <w:rPr>
          <w:spacing w:val="-6"/>
        </w:rPr>
        <w:t>，包括固定资</w:t>
      </w:r>
      <w:r>
        <w:rPr/>
        <w:t> 产、无形资产、其他非流动资产及商誉。截至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日，资产含商誉的账面值合计</w:t>
      </w:r>
      <w:r>
        <w:rPr>
          <w:spacing w:val="-46"/>
        </w:rPr>
        <w:t> </w:t>
      </w:r>
      <w:r>
        <w:rPr>
          <w:rFonts w:ascii="Times New Roman" w:hAnsi="Times New Roman" w:cs="Times New Roman" w:eastAsia="Times New Roman" w:hint="default"/>
        </w:rPr>
        <w:t>98,869.81</w:t>
      </w:r>
      <w:r>
        <w:rPr>
          <w:rFonts w:ascii="Times New Roman" w:hAnsi="Times New Roman" w:cs="Times New Roman" w:eastAsia="Times New Roman" w:hint="default"/>
          <w:spacing w:val="-1"/>
        </w:rPr>
        <w:t> </w:t>
      </w:r>
      <w:r>
        <w:rPr/>
        <w:t>万元。</w:t>
      </w:r>
    </w:p>
    <w:p>
      <w:pPr>
        <w:pStyle w:val="BodyText"/>
        <w:spacing w:line="319" w:lineRule="auto" w:before="50"/>
        <w:ind w:right="1124"/>
        <w:jc w:val="left"/>
      </w:pPr>
      <w:r>
        <w:rPr>
          <w:rFonts w:ascii="Times New Roman" w:hAnsi="Times New Roman" w:cs="Times New Roman" w:eastAsia="Times New Roman" w:hint="default"/>
        </w:rPr>
        <w:t>2</w:t>
      </w:r>
      <w:r>
        <w:rPr/>
        <w:t>、湖北海立美达汽车有限公司作为</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个资产组，海联金汇科技股份有限公司因并购湖北海立美达汽车有限公司形成的商誉 </w:t>
      </w:r>
      <w:r>
        <w:rPr>
          <w:spacing w:val="-2"/>
        </w:rPr>
        <w:t>相关的资产组包括固定资产、无形资产及商誉。资产组业务板块范围与购买日、以前年度商誉减值测试所确定的资产组相比</w:t>
      </w:r>
      <w:r>
        <w:rPr>
          <w:spacing w:val="-66"/>
        </w:rPr>
        <w:t> </w:t>
      </w:r>
      <w:r>
        <w:rPr>
          <w:spacing w:val="-66"/>
        </w:rPr>
      </w:r>
      <w:r>
        <w:rPr/>
        <w:t>无变化。截至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日，资产含商誉的账面值合计</w:t>
      </w:r>
      <w:r>
        <w:rPr>
          <w:spacing w:val="-46"/>
        </w:rPr>
        <w:t> </w:t>
      </w:r>
      <w:r>
        <w:rPr>
          <w:rFonts w:ascii="Times New Roman" w:hAnsi="Times New Roman" w:cs="Times New Roman" w:eastAsia="Times New Roman" w:hint="default"/>
        </w:rPr>
        <w:t>20,363.60</w:t>
      </w:r>
      <w:r>
        <w:rPr>
          <w:rFonts w:ascii="Times New Roman" w:hAnsi="Times New Roman" w:cs="Times New Roman" w:eastAsia="Times New Roman" w:hint="default"/>
          <w:spacing w:val="-1"/>
        </w:rPr>
        <w:t> </w:t>
      </w:r>
      <w:r>
        <w:rPr/>
        <w:t>万元。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240" w:lineRule="auto" w:before="56"/>
        <w:ind w:right="0"/>
        <w:jc w:val="left"/>
      </w:pPr>
      <w:r>
        <w:rPr>
          <w:rFonts w:ascii="Times New Roman" w:hAnsi="Times New Roman" w:cs="Times New Roman" w:eastAsia="Times New Roman" w:hint="default"/>
        </w:rPr>
        <w:t>1</w:t>
      </w:r>
      <w:r>
        <w:rPr/>
        <w:t>、 联动优势科技有限公司</w:t>
      </w:r>
    </w:p>
    <w:p>
      <w:pPr>
        <w:pStyle w:val="BodyText"/>
        <w:spacing w:line="240" w:lineRule="auto" w:before="103"/>
        <w:ind w:right="0"/>
        <w:jc w:val="left"/>
        <w:rPr>
          <w:rFonts w:ascii="Times New Roman" w:hAnsi="Times New Roman" w:cs="Times New Roman" w:eastAsia="Times New Roman" w:hint="default"/>
        </w:rPr>
      </w:pPr>
      <w:r>
        <w:rPr>
          <w:rFonts w:ascii="Times New Roman" w:hAnsi="Times New Roman" w:cs="Times New Roman" w:eastAsia="Times New Roman" w:hint="default"/>
        </w:rPr>
        <w:t>1.1 </w:t>
      </w:r>
      <w:r>
        <w:rPr/>
        <w:t>资产组合</w:t>
      </w:r>
      <w:r>
        <w:rPr>
          <w:spacing w:val="-47"/>
        </w:rPr>
        <w:t> </w:t>
      </w:r>
      <w:r>
        <w:rPr>
          <w:rFonts w:ascii="Times New Roman" w:hAnsi="Times New Roman" w:cs="Times New Roman" w:eastAsia="Times New Roman" w:hint="default"/>
        </w:rPr>
        <w:t>1</w:t>
      </w:r>
    </w:p>
    <w:p>
      <w:pPr>
        <w:pStyle w:val="BodyText"/>
        <w:spacing w:line="319" w:lineRule="auto" w:before="101"/>
        <w:ind w:right="1131" w:firstLine="360"/>
        <w:jc w:val="both"/>
      </w:pPr>
      <w:r>
        <w:rPr>
          <w:spacing w:val="-2"/>
        </w:rPr>
        <w:t>商誉减值测试测算过程与方法：根据《以财务报告为目的的评估指南》及相关会计准则，当资产的可回收价值低于资产</w:t>
      </w:r>
      <w:r>
        <w:rPr/>
        <w:t> </w:t>
      </w:r>
      <w:r>
        <w:rPr>
          <w:spacing w:val="-2"/>
        </w:rPr>
        <w:t>的账面价值时，该资产出现减值，资产的可回收价值应当根据资产的公允价值减去处置费用后的净额与资产预计未来现金流</w:t>
      </w:r>
      <w:r>
        <w:rPr>
          <w:spacing w:val="-64"/>
        </w:rPr>
        <w:t> </w:t>
      </w:r>
      <w:r>
        <w:rPr>
          <w:spacing w:val="-64"/>
        </w:rPr>
      </w:r>
      <w:r>
        <w:rPr/>
        <w:t>量的现值两者之间较高者确定。</w:t>
      </w:r>
    </w:p>
    <w:p>
      <w:pPr>
        <w:pStyle w:val="BodyText"/>
        <w:spacing w:line="319" w:lineRule="auto" w:before="55"/>
        <w:ind w:right="1132" w:firstLine="360"/>
        <w:jc w:val="both"/>
      </w:pPr>
      <w:r>
        <w:rPr>
          <w:spacing w:val="-2"/>
        </w:rPr>
        <w:t>由于商誉减值测试评估的评估对象及评估范围内资产的特殊性，不存在相关活跃市场并且缺乏相关市场信息，评估对象</w:t>
      </w:r>
      <w:r>
        <w:rPr/>
        <w:t> </w:t>
      </w:r>
      <w:r>
        <w:rPr>
          <w:spacing w:val="-2"/>
        </w:rPr>
        <w:t>的公允价值及处置费用难以合理估测，因此本次商誉减值测试评估以资产预计未来现金流量的现值作为评估值，采用收益法</w:t>
      </w:r>
      <w:r>
        <w:rPr>
          <w:spacing w:val="-64"/>
        </w:rPr>
        <w:t> </w:t>
      </w:r>
      <w:r>
        <w:rPr>
          <w:spacing w:val="-64"/>
        </w:rPr>
      </w:r>
      <w:r>
        <w:rPr/>
        <w:t>进行评估。</w:t>
      </w:r>
    </w:p>
    <w:p>
      <w:pPr>
        <w:pStyle w:val="BodyText"/>
        <w:spacing w:line="240" w:lineRule="auto" w:before="58"/>
        <w:ind w:left="514" w:right="0"/>
        <w:jc w:val="left"/>
      </w:pPr>
      <w:r>
        <w:rPr/>
        <w:t>收益法是指将预期收益资本化或者折现，确定评估对象价值的评估方法。计算式如下：</w:t>
      </w:r>
    </w:p>
    <w:p>
      <w:pPr>
        <w:pStyle w:val="BodyText"/>
        <w:spacing w:line="240" w:lineRule="auto" w:before="99"/>
        <w:ind w:left="514" w:right="0"/>
        <w:jc w:val="left"/>
        <w:rPr>
          <w:rFonts w:ascii="Times New Roman" w:hAnsi="Times New Roman" w:cs="Times New Roman" w:eastAsia="Times New Roman" w:hint="default"/>
        </w:rPr>
      </w:pPr>
      <w:r>
        <w:rPr>
          <w:rFonts w:ascii="Times New Roman"/>
        </w:rPr>
        <w:t>E=P-C</w:t>
      </w:r>
    </w:p>
    <w:p>
      <w:pPr>
        <w:pStyle w:val="BodyText"/>
        <w:spacing w:line="271" w:lineRule="auto" w:before="15"/>
        <w:ind w:left="514" w:right="8292"/>
        <w:jc w:val="left"/>
      </w:pPr>
      <w:r>
        <w:rPr/>
        <w:t>式中： </w:t>
      </w:r>
      <w:r>
        <w:rPr>
          <w:rFonts w:ascii="Times New Roman" w:hAnsi="Times New Roman" w:cs="Times New Roman" w:eastAsia="Times New Roman" w:hint="default"/>
        </w:rPr>
        <w:t>E</w:t>
      </w:r>
      <w:r>
        <w:rPr/>
        <w:t>：资产组可回收价值； </w:t>
      </w:r>
      <w:r>
        <w:rPr>
          <w:rFonts w:ascii="Times New Roman" w:hAnsi="Times New Roman" w:cs="Times New Roman" w:eastAsia="Times New Roman" w:hint="default"/>
        </w:rPr>
        <w:t>C</w:t>
      </w:r>
      <w:r>
        <w:rPr/>
        <w:t>：基准日运营资本净额；</w:t>
      </w:r>
    </w:p>
    <w:p>
      <w:pPr>
        <w:pStyle w:val="BodyText"/>
        <w:spacing w:line="246" w:lineRule="exact"/>
        <w:ind w:left="514" w:right="0"/>
        <w:jc w:val="left"/>
      </w:pPr>
      <w:r>
        <w:rPr>
          <w:rFonts w:ascii="Times New Roman" w:hAnsi="Times New Roman" w:cs="Times New Roman" w:eastAsia="Times New Roman" w:hint="default"/>
          <w:spacing w:val="-1"/>
          <w:w w:val="99"/>
        </w:rPr>
        <w:t>P</w:t>
      </w:r>
      <w:r>
        <w:rPr/>
        <w:t>：评估对象的经营性资产组价值（含运营资本</w:t>
      </w:r>
      <w:r>
        <w:rPr>
          <w:spacing w:val="-90"/>
        </w:rPr>
        <w:t>）</w:t>
      </w:r>
      <w:r>
        <w:rPr/>
        <w:t>；</w:t>
      </w:r>
    </w:p>
    <w:p>
      <w:pPr>
        <w:spacing w:after="0" w:line="246" w:lineRule="exact"/>
        <w:jc w:val="left"/>
        <w:sectPr>
          <w:pgSz w:w="11910" w:h="16840"/>
          <w:pgMar w:header="747" w:footer="979" w:top="1060" w:bottom="1160" w:left="980" w:right="0"/>
        </w:sectPr>
      </w:pPr>
    </w:p>
    <w:p>
      <w:pPr>
        <w:tabs>
          <w:tab w:pos="2020" w:val="left" w:leader="none"/>
        </w:tabs>
        <w:spacing w:line="234" w:lineRule="exact" w:before="110"/>
        <w:ind w:left="199" w:right="0" w:firstLine="0"/>
        <w:jc w:val="left"/>
        <w:rPr>
          <w:rFonts w:ascii="Symbol" w:hAnsi="Symbol" w:cs="Symbol" w:eastAsia="Symbol" w:hint="default"/>
          <w:sz w:val="24"/>
          <w:szCs w:val="24"/>
        </w:rPr>
      </w:pPr>
      <w:r>
        <w:rPr/>
        <w:pict>
          <v:shape style="position:absolute;margin-left:91.720482pt;margin-top:9.475674pt;width:3.95pt;height:7.55pt;mso-position-horizontal-relative:page;mso-position-vertical-relative:paragraph;z-index:-1708168"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i/>
                      <w:w w:val="105"/>
                      <w:sz w:val="15"/>
                    </w:rPr>
                    <w:t>n</w:t>
                  </w:r>
                  <w:r>
                    <w:rPr>
                      <w:rFonts w:ascii="宋体"/>
                      <w:sz w:val="15"/>
                    </w:rPr>
                  </w:r>
                </w:p>
              </w:txbxContent>
            </v:textbox>
            <w10:wrap type="none"/>
          </v:shape>
        </w:pict>
      </w:r>
      <w:r>
        <w:rPr>
          <w:rFonts w:ascii="宋体" w:hAnsi="宋体" w:cs="宋体" w:eastAsia="宋体" w:hint="default"/>
          <w:i/>
          <w:w w:val="110"/>
          <w:sz w:val="26"/>
          <w:szCs w:val="26"/>
        </w:rPr>
        <w:t>p </w:t>
      </w:r>
      <w:r>
        <w:rPr>
          <w:rFonts w:ascii="Symbol" w:hAnsi="Symbol" w:cs="Symbol" w:eastAsia="Symbol" w:hint="default"/>
          <w:w w:val="110"/>
          <w:sz w:val="24"/>
          <w:szCs w:val="24"/>
        </w:rPr>
        <w:t></w:t>
      </w:r>
      <w:r>
        <w:rPr>
          <w:rFonts w:ascii="Times New Roman" w:hAnsi="Times New Roman" w:cs="Times New Roman" w:eastAsia="Times New Roman" w:hint="default"/>
          <w:w w:val="110"/>
          <w:sz w:val="24"/>
          <w:szCs w:val="24"/>
        </w:rPr>
      </w:r>
      <w:r>
        <w:rPr>
          <w:rFonts w:ascii="Symbol" w:hAnsi="Symbol" w:cs="Symbol" w:eastAsia="Symbol" w:hint="default"/>
          <w:w w:val="110"/>
          <w:position w:val="-5"/>
          <w:sz w:val="36"/>
          <w:szCs w:val="36"/>
        </w:rPr>
        <w:t></w:t>
      </w:r>
      <w:r>
        <w:rPr>
          <w:rFonts w:ascii="Symbol" w:hAnsi="Symbol" w:cs="Symbol" w:eastAsia="Symbol" w:hint="default"/>
          <w:spacing w:val="5"/>
          <w:w w:val="110"/>
          <w:position w:val="-5"/>
          <w:sz w:val="36"/>
          <w:szCs w:val="36"/>
        </w:rPr>
        <w:t></w:t>
      </w:r>
      <w:r>
        <w:rPr>
          <w:rFonts w:ascii="Times New Roman" w:hAnsi="Times New Roman" w:cs="Times New Roman" w:eastAsia="Times New Roman" w:hint="default"/>
          <w:spacing w:val="5"/>
          <w:w w:val="110"/>
          <w:position w:val="-5"/>
          <w:sz w:val="36"/>
          <w:szCs w:val="36"/>
        </w:rPr>
      </w:r>
      <w:r>
        <w:rPr>
          <w:rFonts w:ascii="宋体" w:hAnsi="宋体" w:cs="宋体" w:eastAsia="宋体" w:hint="default"/>
          <w:i/>
          <w:spacing w:val="5"/>
          <w:w w:val="110"/>
          <w:position w:val="15"/>
          <w:sz w:val="26"/>
          <w:szCs w:val="26"/>
        </w:rPr>
      </w:r>
      <w:r>
        <w:rPr>
          <w:rFonts w:ascii="宋体" w:hAnsi="宋体" w:cs="宋体" w:eastAsia="宋体" w:hint="default"/>
          <w:i/>
          <w:spacing w:val="5"/>
          <w:w w:val="110"/>
          <w:position w:val="15"/>
          <w:sz w:val="26"/>
          <w:szCs w:val="26"/>
          <w:u w:val="single" w:color="000000"/>
        </w:rPr>
        <w:t> </w:t>
      </w:r>
      <w:r>
        <w:rPr>
          <w:rFonts w:ascii="宋体" w:hAnsi="宋体" w:cs="宋体" w:eastAsia="宋体" w:hint="default"/>
          <w:i/>
          <w:w w:val="110"/>
          <w:position w:val="15"/>
          <w:sz w:val="26"/>
          <w:szCs w:val="26"/>
          <w:u w:val="single" w:color="000000"/>
        </w:rPr>
        <w:t>F</w:t>
        <w:tab/>
      </w:r>
      <w:r>
        <w:rPr>
          <w:rFonts w:ascii="宋体" w:hAnsi="宋体" w:cs="宋体" w:eastAsia="宋体" w:hint="default"/>
          <w:i/>
          <w:w w:val="110"/>
          <w:position w:val="15"/>
          <w:sz w:val="26"/>
          <w:szCs w:val="26"/>
        </w:rPr>
      </w:r>
      <w:r>
        <w:rPr>
          <w:rFonts w:ascii="Symbol" w:hAnsi="Symbol" w:cs="Symbol" w:eastAsia="Symbol" w:hint="default"/>
          <w:w w:val="110"/>
          <w:sz w:val="24"/>
          <w:szCs w:val="24"/>
        </w:rPr>
        <w:t></w:t>
      </w:r>
      <w:r>
        <w:rPr>
          <w:rFonts w:ascii="Symbol" w:hAnsi="Symbol" w:cs="Symbol" w:eastAsia="Symbol" w:hint="default"/>
          <w:sz w:val="24"/>
          <w:szCs w:val="24"/>
        </w:rPr>
      </w:r>
    </w:p>
    <w:p>
      <w:pPr>
        <w:spacing w:line="303" w:lineRule="exact" w:before="40"/>
        <w:ind w:left="199" w:right="0" w:firstLine="0"/>
        <w:jc w:val="left"/>
        <w:rPr>
          <w:rFonts w:ascii="Symbol" w:hAnsi="Symbol" w:cs="Symbol" w:eastAsia="Symbol" w:hint="default"/>
          <w:sz w:val="37"/>
          <w:szCs w:val="37"/>
        </w:rPr>
      </w:pPr>
      <w:r>
        <w:rPr/>
        <w:br w:type="column"/>
      </w:r>
      <w:r>
        <w:rPr>
          <w:rFonts w:ascii="宋体" w:hAnsi="宋体" w:cs="宋体" w:eastAsia="宋体" w:hint="default"/>
          <w:i/>
          <w:sz w:val="26"/>
          <w:szCs w:val="26"/>
        </w:rPr>
        <w:t>F</w:t>
      </w:r>
      <w:r>
        <w:rPr>
          <w:rFonts w:ascii="宋体" w:hAnsi="宋体" w:cs="宋体" w:eastAsia="宋体" w:hint="default"/>
          <w:i/>
          <w:position w:val="-5"/>
          <w:sz w:val="15"/>
          <w:szCs w:val="15"/>
        </w:rPr>
        <w:t>n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Symbol" w:hAnsi="Symbol" w:cs="Symbol" w:eastAsia="Symbol" w:hint="default"/>
          <w:spacing w:val="-28"/>
          <w:sz w:val="37"/>
          <w:szCs w:val="37"/>
        </w:rPr>
        <w:t></w:t>
      </w:r>
      <w:r>
        <w:rPr>
          <w:rFonts w:ascii="宋体" w:hAnsi="宋体" w:cs="宋体" w:eastAsia="宋体" w:hint="default"/>
          <w:spacing w:val="-28"/>
          <w:sz w:val="24"/>
          <w:szCs w:val="24"/>
        </w:rPr>
        <w:t>1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i/>
          <w:sz w:val="26"/>
          <w:szCs w:val="26"/>
        </w:rPr>
        <w:t>g</w:t>
      </w:r>
      <w:r>
        <w:rPr>
          <w:rFonts w:ascii="宋体" w:hAnsi="宋体" w:cs="宋体" w:eastAsia="宋体" w:hint="default"/>
          <w:i/>
          <w:spacing w:val="-95"/>
          <w:sz w:val="26"/>
          <w:szCs w:val="26"/>
        </w:rPr>
        <w:t> </w:t>
      </w:r>
      <w:r>
        <w:rPr>
          <w:rFonts w:ascii="Symbol" w:hAnsi="Symbol" w:cs="Symbol" w:eastAsia="Symbol" w:hint="default"/>
          <w:sz w:val="37"/>
          <w:szCs w:val="37"/>
        </w:rPr>
        <w:t></w:t>
      </w:r>
    </w:p>
    <w:p>
      <w:pPr>
        <w:spacing w:after="0" w:line="303" w:lineRule="exact"/>
        <w:jc w:val="left"/>
        <w:rPr>
          <w:rFonts w:ascii="Symbol" w:hAnsi="Symbol" w:cs="Symbol" w:eastAsia="Symbol" w:hint="default"/>
          <w:sz w:val="37"/>
          <w:szCs w:val="37"/>
        </w:rPr>
        <w:sectPr>
          <w:type w:val="continuous"/>
          <w:pgSz w:w="11910" w:h="16840"/>
          <w:pgMar w:top="1060" w:bottom="1160" w:left="980" w:right="0"/>
          <w:cols w:num="2" w:equalWidth="0">
            <w:col w:w="2287" w:space="282"/>
            <w:col w:w="8361"/>
          </w:cols>
        </w:sectPr>
      </w:pPr>
    </w:p>
    <w:p>
      <w:pPr>
        <w:spacing w:line="240" w:lineRule="auto" w:before="0"/>
        <w:rPr>
          <w:rFonts w:ascii="Symbol" w:hAnsi="Symbol" w:cs="Symbol" w:eastAsia="Symbol" w:hint="default"/>
          <w:sz w:val="14"/>
          <w:szCs w:val="14"/>
        </w:rPr>
      </w:pPr>
    </w:p>
    <w:p>
      <w:pPr>
        <w:spacing w:before="104"/>
        <w:ind w:left="0" w:right="0" w:firstLine="0"/>
        <w:jc w:val="right"/>
        <w:rPr>
          <w:rFonts w:ascii="宋体" w:hAnsi="宋体" w:cs="宋体" w:eastAsia="宋体" w:hint="default"/>
          <w:sz w:val="14"/>
          <w:szCs w:val="14"/>
        </w:rPr>
      </w:pPr>
      <w:r>
        <w:rPr/>
        <w:pict>
          <v:group style="position:absolute;margin-left:169.037537pt;margin-top:-.608513pt;width:103.05pt;height:.1pt;mso-position-horizontal-relative:page;mso-position-vertical-relative:paragraph;z-index:-1708192" coordorigin="3381,-12" coordsize="2061,2">
            <v:shape style="position:absolute;left:3381;top:-12;width:2061;height:2" coordorigin="3381,-12" coordsize="2061,0" path="m3381,-12l5441,-12e" filled="false" stroked="true" strokeweight=".503180pt" strokecolor="#000000">
              <v:path arrowok="t"/>
            </v:shape>
            <w10:wrap type="none"/>
          </v:group>
        </w:pict>
      </w:r>
      <w:r>
        <w:rPr>
          <w:rFonts w:ascii="宋体" w:hAnsi="宋体" w:cs="宋体" w:eastAsia="宋体" w:hint="default"/>
          <w:i/>
          <w:w w:val="110"/>
          <w:sz w:val="15"/>
          <w:szCs w:val="15"/>
        </w:rPr>
        <w:t>i</w:t>
      </w:r>
      <w:r>
        <w:rPr>
          <w:rFonts w:ascii="宋体" w:hAnsi="宋体" w:cs="宋体" w:eastAsia="宋体" w:hint="default"/>
          <w:i/>
          <w:spacing w:val="-49"/>
          <w:w w:val="110"/>
          <w:sz w:val="15"/>
          <w:szCs w:val="15"/>
        </w:rPr>
        <w:t> </w:t>
      </w:r>
      <w:r>
        <w:rPr>
          <w:rFonts w:ascii="Symbol" w:hAnsi="Symbol" w:cs="Symbol" w:eastAsia="Symbol" w:hint="default"/>
          <w:spacing w:val="2"/>
          <w:w w:val="110"/>
          <w:sz w:val="14"/>
          <w:szCs w:val="14"/>
        </w:rPr>
        <w:t></w:t>
      </w:r>
      <w:r>
        <w:rPr>
          <w:rFonts w:ascii="宋体" w:hAnsi="宋体" w:cs="宋体" w:eastAsia="宋体" w:hint="default"/>
          <w:spacing w:val="2"/>
          <w:w w:val="110"/>
          <w:sz w:val="14"/>
          <w:szCs w:val="14"/>
        </w:rPr>
        <w:t>1</w:t>
      </w:r>
      <w:r>
        <w:rPr>
          <w:rFonts w:ascii="宋体" w:hAnsi="宋体" w:cs="宋体" w:eastAsia="宋体" w:hint="default"/>
          <w:spacing w:val="2"/>
          <w:sz w:val="14"/>
          <w:szCs w:val="14"/>
        </w:rPr>
      </w:r>
    </w:p>
    <w:p>
      <w:pPr>
        <w:spacing w:before="85"/>
        <w:ind w:left="56" w:right="-18" w:firstLine="0"/>
        <w:jc w:val="left"/>
        <w:rPr>
          <w:rFonts w:ascii="Symbol" w:hAnsi="Symbol" w:cs="Symbol" w:eastAsia="Symbol" w:hint="default"/>
          <w:sz w:val="24"/>
          <w:szCs w:val="24"/>
        </w:rPr>
      </w:pPr>
      <w:r>
        <w:rPr>
          <w:spacing w:val="-28"/>
        </w:rPr>
        <w:br w:type="column"/>
      </w:r>
      <w:r>
        <w:rPr>
          <w:rFonts w:ascii="Symbol" w:hAnsi="Symbol" w:cs="Symbol" w:eastAsia="Symbol" w:hint="default"/>
          <w:spacing w:val="-28"/>
          <w:sz w:val="37"/>
          <w:szCs w:val="37"/>
        </w:rPr>
        <w:t></w:t>
      </w:r>
      <w:r>
        <w:rPr>
          <w:rFonts w:ascii="宋体" w:hAnsi="宋体" w:cs="宋体" w:eastAsia="宋体" w:hint="default"/>
          <w:spacing w:val="-28"/>
          <w:sz w:val="24"/>
          <w:szCs w:val="24"/>
        </w:rPr>
        <w:t>1</w:t>
      </w:r>
      <w:r>
        <w:rPr>
          <w:rFonts w:ascii="宋体" w:hAnsi="宋体" w:cs="宋体" w:eastAsia="宋体" w:hint="default"/>
          <w:spacing w:val="-22"/>
          <w:sz w:val="24"/>
          <w:szCs w:val="24"/>
        </w:rPr>
        <w:t> </w:t>
      </w:r>
      <w:r>
        <w:rPr>
          <w:rFonts w:ascii="Symbol" w:hAnsi="Symbol" w:cs="Symbol" w:eastAsia="Symbol" w:hint="default"/>
          <w:sz w:val="24"/>
          <w:szCs w:val="24"/>
        </w:rPr>
        <w:t></w:t>
      </w:r>
    </w:p>
    <w:p>
      <w:pPr>
        <w:spacing w:line="118" w:lineRule="exact" w:before="0"/>
        <w:ind w:left="-20" w:right="-18" w:firstLine="0"/>
        <w:jc w:val="left"/>
        <w:rPr>
          <w:rFonts w:ascii="宋体" w:hAnsi="宋体" w:cs="宋体" w:eastAsia="宋体" w:hint="default"/>
          <w:sz w:val="15"/>
          <w:szCs w:val="15"/>
        </w:rPr>
      </w:pPr>
      <w:r>
        <w:rPr>
          <w:w w:val="105"/>
        </w:rPr>
        <w:br w:type="column"/>
      </w:r>
      <w:r>
        <w:rPr>
          <w:rFonts w:ascii="宋体"/>
          <w:i/>
          <w:w w:val="105"/>
          <w:sz w:val="15"/>
        </w:rPr>
        <w:t>i</w:t>
      </w:r>
      <w:r>
        <w:rPr>
          <w:rFonts w:ascii="宋体"/>
          <w:sz w:val="15"/>
        </w:rPr>
      </w:r>
    </w:p>
    <w:p>
      <w:pPr>
        <w:spacing w:line="421" w:lineRule="exact" w:before="0"/>
        <w:ind w:left="65" w:right="-18" w:firstLine="0"/>
        <w:jc w:val="left"/>
        <w:rPr>
          <w:rFonts w:ascii="宋体" w:hAnsi="宋体" w:cs="宋体" w:eastAsia="宋体" w:hint="default"/>
          <w:sz w:val="15"/>
          <w:szCs w:val="15"/>
        </w:rPr>
      </w:pPr>
      <w:r>
        <w:rPr>
          <w:rFonts w:ascii="宋体" w:hAnsi="宋体" w:cs="宋体" w:eastAsia="宋体" w:hint="default"/>
          <w:i/>
          <w:w w:val="104"/>
          <w:sz w:val="26"/>
          <w:szCs w:val="26"/>
        </w:rPr>
        <w:t>r</w:t>
      </w:r>
      <w:r>
        <w:rPr>
          <w:rFonts w:ascii="宋体" w:hAnsi="宋体" w:cs="宋体" w:eastAsia="宋体" w:hint="default"/>
          <w:i/>
          <w:spacing w:val="-88"/>
          <w:sz w:val="26"/>
          <w:szCs w:val="26"/>
        </w:rPr>
        <w:t> </w:t>
      </w:r>
      <w:r>
        <w:rPr>
          <w:rFonts w:ascii="Symbol" w:hAnsi="Symbol" w:cs="Symbol" w:eastAsia="Symbol" w:hint="default"/>
          <w:spacing w:val="-35"/>
          <w:w w:val="71"/>
          <w:sz w:val="37"/>
          <w:szCs w:val="37"/>
        </w:rPr>
        <w:t></w:t>
      </w:r>
      <w:r>
        <w:rPr>
          <w:rFonts w:ascii="宋体" w:hAnsi="宋体" w:cs="宋体" w:eastAsia="宋体" w:hint="default"/>
          <w:i/>
          <w:w w:val="105"/>
          <w:position w:val="15"/>
          <w:sz w:val="15"/>
          <w:szCs w:val="15"/>
        </w:rPr>
        <w:t>i</w:t>
      </w:r>
      <w:r>
        <w:rPr>
          <w:rFonts w:ascii="宋体" w:hAnsi="宋体" w:cs="宋体" w:eastAsia="宋体" w:hint="default"/>
          <w:sz w:val="15"/>
          <w:szCs w:val="15"/>
        </w:rPr>
      </w:r>
    </w:p>
    <w:p>
      <w:pPr>
        <w:spacing w:before="85"/>
        <w:ind w:left="402" w:right="-17" w:firstLine="0"/>
        <w:jc w:val="left"/>
        <w:rPr>
          <w:rFonts w:ascii="Symbol" w:hAnsi="Symbol" w:cs="Symbol" w:eastAsia="Symbol" w:hint="default"/>
          <w:sz w:val="24"/>
          <w:szCs w:val="24"/>
        </w:rPr>
      </w:pPr>
      <w:r>
        <w:rPr>
          <w:spacing w:val="-14"/>
        </w:rPr>
        <w:br w:type="column"/>
      </w:r>
      <w:r>
        <w:rPr>
          <w:rFonts w:ascii="Symbol" w:hAnsi="Symbol" w:cs="Symbol" w:eastAsia="Symbol" w:hint="default"/>
          <w:spacing w:val="-14"/>
          <w:sz w:val="37"/>
          <w:szCs w:val="37"/>
        </w:rPr>
        <w:t></w:t>
      </w:r>
      <w:r>
        <w:rPr>
          <w:rFonts w:ascii="宋体" w:hAnsi="宋体" w:cs="宋体" w:eastAsia="宋体" w:hint="default"/>
          <w:i/>
          <w:spacing w:val="-14"/>
          <w:sz w:val="26"/>
          <w:szCs w:val="26"/>
        </w:rPr>
        <w:t>r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i/>
          <w:sz w:val="26"/>
          <w:szCs w:val="26"/>
        </w:rPr>
        <w:t>g </w:t>
      </w:r>
      <w:r>
        <w:rPr>
          <w:rFonts w:ascii="Symbol" w:hAnsi="Symbol" w:cs="Symbol" w:eastAsia="Symbol" w:hint="default"/>
          <w:sz w:val="37"/>
          <w:szCs w:val="37"/>
        </w:rPr>
        <w:t></w:t>
      </w:r>
      <w:r>
        <w:rPr>
          <w:rFonts w:ascii="Times New Roman" w:hAnsi="Times New Roman" w:cs="Times New Roman" w:eastAsia="Times New Roman" w:hint="default"/>
          <w:sz w:val="37"/>
          <w:szCs w:val="37"/>
        </w:rPr>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Symbol" w:hAnsi="Symbol" w:cs="Symbol" w:eastAsia="Symbol" w:hint="default"/>
          <w:spacing w:val="-28"/>
          <w:sz w:val="37"/>
          <w:szCs w:val="37"/>
        </w:rPr>
        <w:t></w:t>
      </w:r>
      <w:r>
        <w:rPr>
          <w:rFonts w:ascii="宋体" w:hAnsi="宋体" w:cs="宋体" w:eastAsia="宋体" w:hint="default"/>
          <w:spacing w:val="-28"/>
          <w:sz w:val="24"/>
          <w:szCs w:val="24"/>
        </w:rPr>
        <w:t>1</w:t>
      </w:r>
      <w:r>
        <w:rPr>
          <w:rFonts w:ascii="宋体" w:hAnsi="宋体" w:cs="宋体" w:eastAsia="宋体" w:hint="default"/>
          <w:spacing w:val="-62"/>
          <w:sz w:val="24"/>
          <w:szCs w:val="24"/>
        </w:rPr>
        <w:t> </w:t>
      </w:r>
      <w:r>
        <w:rPr>
          <w:rFonts w:ascii="Symbol" w:hAnsi="Symbol" w:cs="Symbol" w:eastAsia="Symbol" w:hint="default"/>
          <w:sz w:val="24"/>
          <w:szCs w:val="24"/>
        </w:rPr>
        <w:t></w:t>
      </w:r>
    </w:p>
    <w:p>
      <w:pPr>
        <w:spacing w:before="85"/>
        <w:ind w:left="65" w:right="0" w:firstLine="0"/>
        <w:jc w:val="left"/>
        <w:rPr>
          <w:rFonts w:ascii="宋体" w:hAnsi="宋体" w:cs="宋体" w:eastAsia="宋体" w:hint="default"/>
          <w:sz w:val="15"/>
          <w:szCs w:val="15"/>
        </w:rPr>
      </w:pPr>
      <w:r>
        <w:rPr/>
        <w:br w:type="column"/>
      </w:r>
      <w:r>
        <w:rPr>
          <w:rFonts w:ascii="宋体" w:hAnsi="宋体" w:cs="宋体" w:eastAsia="宋体" w:hint="default"/>
          <w:i/>
          <w:w w:val="104"/>
          <w:sz w:val="26"/>
          <w:szCs w:val="26"/>
        </w:rPr>
        <w:t>r</w:t>
      </w:r>
      <w:r>
        <w:rPr>
          <w:rFonts w:ascii="宋体" w:hAnsi="宋体" w:cs="宋体" w:eastAsia="宋体" w:hint="default"/>
          <w:i/>
          <w:spacing w:val="-87"/>
          <w:sz w:val="26"/>
          <w:szCs w:val="26"/>
        </w:rPr>
        <w:t> </w:t>
      </w:r>
      <w:r>
        <w:rPr>
          <w:rFonts w:ascii="Symbol" w:hAnsi="Symbol" w:cs="Symbol" w:eastAsia="Symbol" w:hint="default"/>
          <w:spacing w:val="-23"/>
          <w:w w:val="71"/>
          <w:sz w:val="37"/>
          <w:szCs w:val="37"/>
        </w:rPr>
        <w:t></w:t>
      </w:r>
      <w:r>
        <w:rPr>
          <w:rFonts w:ascii="宋体" w:hAnsi="宋体" w:cs="宋体" w:eastAsia="宋体" w:hint="default"/>
          <w:i/>
          <w:w w:val="105"/>
          <w:position w:val="15"/>
          <w:sz w:val="15"/>
          <w:szCs w:val="15"/>
        </w:rPr>
        <w:t>n</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60" w:bottom="1160" w:left="980" w:right="0"/>
          <w:cols w:num="5" w:equalWidth="0">
            <w:col w:w="1041" w:space="40"/>
            <w:col w:w="476" w:space="39"/>
            <w:col w:w="378" w:space="40"/>
            <w:col w:w="1972" w:space="40"/>
            <w:col w:w="6904"/>
          </w:cols>
        </w:sectPr>
      </w:pPr>
    </w:p>
    <w:p>
      <w:pPr>
        <w:spacing w:line="240" w:lineRule="auto" w:before="12"/>
        <w:rPr>
          <w:rFonts w:ascii="宋体" w:hAnsi="宋体" w:cs="宋体" w:eastAsia="宋体" w:hint="default"/>
          <w:i/>
          <w:sz w:val="8"/>
          <w:szCs w:val="8"/>
        </w:rPr>
      </w:pPr>
    </w:p>
    <w:p>
      <w:pPr>
        <w:pStyle w:val="BodyText"/>
        <w:spacing w:line="338" w:lineRule="auto" w:before="44"/>
        <w:ind w:left="514" w:right="0"/>
        <w:jc w:val="left"/>
      </w:pPr>
      <w:r>
        <w:rPr/>
        <w:t>（</w:t>
      </w:r>
      <w:r>
        <w:rPr>
          <w:rFonts w:ascii="Times New Roman" w:hAnsi="Times New Roman" w:cs="Times New Roman" w:eastAsia="Times New Roman" w:hint="default"/>
        </w:rPr>
        <w:t>1</w:t>
      </w:r>
      <w:r>
        <w:rPr/>
        <w:t>）各年度现金流量的确定 </w:t>
      </w:r>
      <w:r>
        <w:rPr>
          <w:spacing w:val="-2"/>
        </w:rPr>
        <w:t>根据相关准则，对资产预计未来现金流量的预测应基于特定实体现有管理模式下可能实现的收益，即将评估对象作为企</w:t>
      </w:r>
    </w:p>
    <w:p>
      <w:pPr>
        <w:pStyle w:val="BodyText"/>
        <w:spacing w:line="319" w:lineRule="auto" w:before="2"/>
        <w:ind w:right="0"/>
        <w:jc w:val="left"/>
      </w:pPr>
      <w:r>
        <w:rPr>
          <w:spacing w:val="-2"/>
        </w:rPr>
        <w:t>业组成部分或要素资产，按其正在使用方式和程度及其对所属企业的贡献测算其现金流量。使用资产组的自由现金流量作为</w:t>
      </w:r>
      <w:r>
        <w:rPr>
          <w:spacing w:val="-64"/>
        </w:rPr>
        <w:t> </w:t>
      </w:r>
      <w:r>
        <w:rPr>
          <w:spacing w:val="-64"/>
        </w:rPr>
      </w:r>
      <w:r>
        <w:rPr/>
        <w:t>评估对象的收益指标，计算式如下：</w:t>
      </w:r>
    </w:p>
    <w:p>
      <w:pPr>
        <w:pStyle w:val="BodyText"/>
        <w:spacing w:line="240" w:lineRule="auto" w:before="14"/>
        <w:ind w:left="514" w:right="0"/>
        <w:jc w:val="left"/>
      </w:pPr>
      <w:r>
        <w:rPr>
          <w:rFonts w:ascii="Times New Roman" w:hAnsi="Times New Roman" w:cs="Times New Roman" w:eastAsia="Times New Roman" w:hint="default"/>
        </w:rPr>
        <w:t>F</w:t>
      </w:r>
      <w:r>
        <w:rPr/>
        <w:t>＝息税前利润＋折旧和摊销－资本性支出－营运资本增加</w:t>
      </w:r>
    </w:p>
    <w:p>
      <w:pPr>
        <w:pStyle w:val="BodyText"/>
        <w:spacing w:line="302" w:lineRule="auto" w:before="24"/>
        <w:ind w:left="514" w:right="0"/>
        <w:jc w:val="left"/>
      </w:pPr>
      <w:r>
        <w:rPr/>
        <w:t>（</w:t>
      </w:r>
      <w:r>
        <w:rPr>
          <w:rFonts w:ascii="Times New Roman" w:hAnsi="Times New Roman" w:cs="Times New Roman" w:eastAsia="Times New Roman" w:hint="default"/>
        </w:rPr>
        <w:t>2</w:t>
      </w:r>
      <w:r>
        <w:rPr/>
        <w:t>）折现率的确定 </w:t>
      </w:r>
      <w:r>
        <w:rPr>
          <w:spacing w:val="-2"/>
        </w:rPr>
        <w:t>评估预测的现金流为税前现金流，因此折现率应为税前折现率，本次评估采用税前折现率，税后折现率采用资本资产加</w:t>
      </w:r>
    </w:p>
    <w:p>
      <w:pPr>
        <w:pStyle w:val="BodyText"/>
        <w:spacing w:line="240" w:lineRule="auto" w:before="31"/>
        <w:ind w:right="0"/>
        <w:jc w:val="left"/>
      </w:pPr>
      <w:r>
        <w:rPr/>
        <w:t>权平均成本模型（</w:t>
      </w:r>
      <w:r>
        <w:rPr>
          <w:rFonts w:ascii="Times New Roman" w:hAnsi="Times New Roman" w:cs="Times New Roman" w:eastAsia="Times New Roman" w:hint="default"/>
        </w:rPr>
        <w:t>WACC</w:t>
      </w:r>
      <w:r>
        <w:rPr/>
        <w:t>）确定折现率</w:t>
      </w:r>
      <w:r>
        <w:rPr>
          <w:spacing w:val="-67"/>
        </w:rPr>
        <w:t> </w:t>
      </w:r>
      <w:r>
        <w:rPr>
          <w:rFonts w:ascii="Times New Roman" w:hAnsi="Times New Roman" w:cs="Times New Roman" w:eastAsia="Times New Roman" w:hint="default"/>
        </w:rPr>
        <w:t>R</w:t>
      </w:r>
      <w:r>
        <w:rPr/>
        <w:t>：</w:t>
      </w:r>
    </w:p>
    <w:p>
      <w:pPr>
        <w:spacing w:before="14"/>
        <w:ind w:left="557" w:right="0"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i/>
          <w:w w:val="104"/>
          <w:sz w:val="24"/>
          <w:szCs w:val="24"/>
        </w:rPr>
        <w:t>R</w:t>
      </w:r>
      <w:r>
        <w:rPr>
          <w:rFonts w:ascii="Times New Roman" w:hAnsi="Times New Roman" w:cs="Times New Roman" w:eastAsia="Times New Roman" w:hint="default"/>
          <w:i/>
          <w:sz w:val="24"/>
          <w:szCs w:val="24"/>
        </w:rPr>
        <w:t> </w:t>
      </w:r>
      <w:r>
        <w:rPr>
          <w:rFonts w:ascii="Symbol" w:hAnsi="Symbol" w:cs="Symbol" w:eastAsia="Symbol" w:hint="default"/>
          <w:w w:val="104"/>
          <w:sz w:val="24"/>
          <w:szCs w:val="24"/>
        </w:rPr>
        <w: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pacing w:val="-4"/>
          <w:w w:val="104"/>
          <w:sz w:val="24"/>
          <w:szCs w:val="24"/>
        </w:rPr>
        <w:t>R</w:t>
      </w:r>
      <w:r>
        <w:rPr>
          <w:rFonts w:ascii="Times New Roman" w:hAnsi="Times New Roman" w:cs="Times New Roman" w:eastAsia="Times New Roman" w:hint="default"/>
          <w:i/>
          <w:w w:val="104"/>
          <w:position w:val="-5"/>
          <w:sz w:val="14"/>
          <w:szCs w:val="14"/>
        </w:rPr>
        <w:t>d</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6"/>
          <w:position w:val="-5"/>
          <w:sz w:val="14"/>
          <w:szCs w:val="14"/>
        </w:rPr>
        <w:t> </w:t>
      </w:r>
      <w:r>
        <w:rPr>
          <w:rFonts w:ascii="Symbol" w:hAnsi="Symbol" w:cs="Symbol" w:eastAsia="Symbol" w:hint="default"/>
          <w:w w:val="104"/>
          <w:sz w:val="24"/>
          <w:szCs w:val="24"/>
        </w:rPr>
        <w:t></w:t>
      </w:r>
      <w:r>
        <w:rPr>
          <w:rFonts w:ascii="Times New Roman" w:hAnsi="Times New Roman" w:cs="Times New Roman" w:eastAsia="Times New Roman" w:hint="default"/>
          <w:spacing w:val="-30"/>
          <w:sz w:val="24"/>
          <w:szCs w:val="24"/>
        </w:rPr>
        <w:t> </w:t>
      </w:r>
      <w:r>
        <w:rPr>
          <w:rFonts w:ascii="Symbol" w:hAnsi="Symbol" w:cs="Symbol" w:eastAsia="Symbol" w:hint="default"/>
          <w:spacing w:val="-34"/>
          <w:w w:val="77"/>
          <w:sz w:val="32"/>
          <w:szCs w:val="32"/>
        </w:rPr>
        <w:t></w:t>
      </w:r>
      <w:r>
        <w:rPr>
          <w:rFonts w:ascii="Times New Roman" w:hAnsi="Times New Roman" w:cs="Times New Roman" w:eastAsia="Times New Roman" w:hint="default"/>
          <w:spacing w:val="20"/>
          <w:w w:val="104"/>
          <w:sz w:val="24"/>
          <w:szCs w:val="24"/>
        </w:rPr>
        <w:t>1</w:t>
      </w:r>
      <w:r>
        <w:rPr>
          <w:rFonts w:ascii="Symbol" w:hAnsi="Symbol" w:cs="Symbol" w:eastAsia="Symbol" w:hint="default"/>
          <w:w w:val="104"/>
          <w:sz w:val="24"/>
          <w:szCs w:val="24"/>
        </w:rPr>
        <w: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i/>
          <w:w w:val="104"/>
          <w:sz w:val="24"/>
          <w:szCs w:val="24"/>
        </w:rPr>
        <w:t>T</w:t>
      </w:r>
      <w:r>
        <w:rPr>
          <w:rFonts w:ascii="Times New Roman" w:hAnsi="Times New Roman" w:cs="Times New Roman" w:eastAsia="Times New Roman" w:hint="default"/>
          <w:i/>
          <w:spacing w:val="-28"/>
          <w:sz w:val="24"/>
          <w:szCs w:val="24"/>
        </w:rPr>
        <w:t> </w:t>
      </w:r>
      <w:r>
        <w:rPr>
          <w:rFonts w:ascii="Symbol" w:hAnsi="Symbol" w:cs="Symbol" w:eastAsia="Symbol" w:hint="default"/>
          <w:spacing w:val="10"/>
          <w:w w:val="77"/>
          <w:sz w:val="32"/>
          <w:szCs w:val="32"/>
        </w:rPr>
        <w:t></w:t>
      </w:r>
      <w:r>
        <w:rPr>
          <w:rFonts w:ascii="Symbol" w:hAnsi="Symbol" w:cs="Symbol" w:eastAsia="Symbol" w:hint="default"/>
          <w:spacing w:val="13"/>
          <w:w w:val="104"/>
          <w:sz w:val="24"/>
          <w:szCs w:val="24"/>
        </w:rPr>
        <w:t></w:t>
      </w:r>
      <w:r>
        <w:rPr>
          <w:rFonts w:ascii="Times New Roman" w:hAnsi="Times New Roman" w:cs="Times New Roman" w:eastAsia="Times New Roman" w:hint="default"/>
          <w:i/>
          <w:spacing w:val="-7"/>
          <w:w w:val="104"/>
          <w:sz w:val="24"/>
          <w:szCs w:val="24"/>
        </w:rPr>
        <w:t>W</w:t>
      </w:r>
      <w:r>
        <w:rPr>
          <w:rFonts w:ascii="Times New Roman" w:hAnsi="Times New Roman" w:cs="Times New Roman" w:eastAsia="Times New Roman" w:hint="default"/>
          <w:i/>
          <w:w w:val="104"/>
          <w:position w:val="-5"/>
          <w:sz w:val="14"/>
          <w:szCs w:val="14"/>
        </w:rPr>
        <w:t>d</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14"/>
          <w:position w:val="-5"/>
          <w:sz w:val="14"/>
          <w:szCs w:val="14"/>
        </w:rPr>
        <w:t> </w:t>
      </w:r>
      <w:r>
        <w:rPr>
          <w:rFonts w:ascii="Symbol" w:hAnsi="Symbol" w:cs="Symbol" w:eastAsia="Symbol" w:hint="default"/>
          <w:w w:val="104"/>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pacing w:val="-6"/>
          <w:w w:val="104"/>
          <w:sz w:val="24"/>
          <w:szCs w:val="24"/>
        </w:rPr>
        <w:t>R</w:t>
      </w:r>
      <w:r>
        <w:rPr>
          <w:rFonts w:ascii="Times New Roman" w:hAnsi="Times New Roman" w:cs="Times New Roman" w:eastAsia="Times New Roman" w:hint="default"/>
          <w:i/>
          <w:w w:val="104"/>
          <w:position w:val="-5"/>
          <w:sz w:val="14"/>
          <w:szCs w:val="14"/>
        </w:rPr>
        <w:t>e</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7"/>
          <w:position w:val="-5"/>
          <w:sz w:val="14"/>
          <w:szCs w:val="14"/>
        </w:rPr>
        <w:t> </w:t>
      </w:r>
      <w:r>
        <w:rPr>
          <w:rFonts w:ascii="Symbol" w:hAnsi="Symbol" w:cs="Symbol" w:eastAsia="Symbol" w:hint="default"/>
          <w:spacing w:val="12"/>
          <w:w w:val="104"/>
          <w:sz w:val="24"/>
          <w:szCs w:val="24"/>
        </w:rPr>
        <w:t></w:t>
      </w:r>
      <w:r>
        <w:rPr>
          <w:rFonts w:ascii="Times New Roman" w:hAnsi="Times New Roman" w:cs="Times New Roman" w:eastAsia="Times New Roman" w:hint="default"/>
          <w:i/>
          <w:spacing w:val="-10"/>
          <w:w w:val="104"/>
          <w:sz w:val="24"/>
          <w:szCs w:val="24"/>
        </w:rPr>
        <w:t>W</w:t>
      </w:r>
      <w:r>
        <w:rPr>
          <w:rFonts w:ascii="Times New Roman" w:hAnsi="Times New Roman" w:cs="Times New Roman" w:eastAsia="Times New Roman" w:hint="default"/>
          <w:i/>
          <w:w w:val="104"/>
          <w:position w:val="-5"/>
          <w:sz w:val="14"/>
          <w:szCs w:val="14"/>
        </w:rPr>
        <w:t>e</w:t>
      </w:r>
      <w:r>
        <w:rPr>
          <w:rFonts w:ascii="Times New Roman" w:hAnsi="Times New Roman" w:cs="Times New Roman" w:eastAsia="Times New Roman" w:hint="default"/>
          <w:sz w:val="14"/>
          <w:szCs w:val="14"/>
        </w:rPr>
      </w:r>
    </w:p>
    <w:p>
      <w:pPr>
        <w:pStyle w:val="BodyText"/>
        <w:spacing w:line="240" w:lineRule="auto" w:before="43"/>
        <w:ind w:left="514" w:right="0"/>
        <w:jc w:val="left"/>
      </w:pPr>
      <w:r>
        <w:rPr/>
        <w:t>式中：</w:t>
      </w:r>
    </w:p>
    <w:p>
      <w:pPr>
        <w:pStyle w:val="BodyText"/>
        <w:spacing w:line="240" w:lineRule="auto" w:before="92"/>
        <w:ind w:left="528" w:right="0"/>
        <w:jc w:val="left"/>
      </w:pPr>
      <w:r>
        <w:rPr>
          <w:rFonts w:ascii="Times New Roman" w:hAnsi="Times New Roman" w:cs="Times New Roman" w:eastAsia="Times New Roman" w:hint="default"/>
          <w:i/>
          <w:position w:val="12"/>
          <w:sz w:val="24"/>
          <w:szCs w:val="24"/>
        </w:rPr>
        <w:t>W</w:t>
      </w:r>
      <w:r>
        <w:rPr>
          <w:rFonts w:ascii="Times New Roman" w:hAnsi="Times New Roman" w:cs="Times New Roman" w:eastAsia="Times New Roman" w:hint="default"/>
          <w:i/>
          <w:position w:val="6"/>
          <w:sz w:val="14"/>
          <w:szCs w:val="14"/>
        </w:rPr>
        <w:t>d</w:t>
      </w:r>
      <w:r>
        <w:rPr>
          <w:rFonts w:ascii="Times New Roman" w:hAnsi="Times New Roman" w:cs="Times New Roman" w:eastAsia="Times New Roman" w:hint="default"/>
          <w:i/>
          <w:spacing w:val="22"/>
          <w:position w:val="6"/>
          <w:sz w:val="14"/>
          <w:szCs w:val="14"/>
        </w:rPr>
        <w:t> </w:t>
      </w:r>
      <w:r>
        <w:rPr/>
        <w:t>：评估对象的付息债务比率；</w:t>
      </w:r>
    </w:p>
    <w:p>
      <w:pPr>
        <w:spacing w:after="0" w:line="240" w:lineRule="auto"/>
        <w:jc w:val="left"/>
        <w:sectPr>
          <w:type w:val="continuous"/>
          <w:pgSz w:w="11910" w:h="16840"/>
          <w:pgMar w:top="1060" w:bottom="1160" w:left="980" w:right="0"/>
        </w:sectPr>
      </w:pPr>
    </w:p>
    <w:p>
      <w:pPr>
        <w:spacing w:before="205"/>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d  </w:t>
      </w:r>
      <w:r>
        <w:rPr>
          <w:rFonts w:ascii="Times New Roman" w:hAnsi="Times New Roman" w:cs="Times New Roman" w:eastAsia="Times New Roman" w:hint="default"/>
          <w:i/>
          <w:spacing w:val="10"/>
          <w:position w:val="-5"/>
          <w:sz w:val="14"/>
          <w:szCs w:val="14"/>
        </w:rPr>
        <w:t> </w:t>
      </w:r>
      <w:r>
        <w:rPr>
          <w:rFonts w:ascii="Symbol" w:hAnsi="Symbol" w:cs="Symbol" w:eastAsia="Symbol" w:hint="default"/>
          <w:sz w:val="24"/>
          <w:szCs w:val="24"/>
        </w:rPr>
        <w:t></w:t>
      </w:r>
    </w:p>
    <w:p>
      <w:pPr>
        <w:spacing w:before="71"/>
        <w:ind w:left="20" w:right="9020" w:firstLine="0"/>
        <w:jc w:val="center"/>
        <w:rPr>
          <w:rFonts w:ascii="Times New Roman" w:hAnsi="Times New Roman" w:cs="Times New Roman" w:eastAsia="Times New Roman" w:hint="default"/>
          <w:sz w:val="24"/>
          <w:szCs w:val="24"/>
        </w:rPr>
      </w:pPr>
      <w:r>
        <w:rPr/>
        <w:br w:type="column"/>
      </w:r>
      <w:r>
        <w:rPr>
          <w:rFonts w:ascii="Times New Roman"/>
          <w:i/>
          <w:sz w:val="24"/>
        </w:rPr>
        <w:t>D</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3,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20" w:right="9027" w:firstLine="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E </w:t>
      </w:r>
      <w:r>
        <w:rPr>
          <w:rFonts w:ascii="Symbol" w:hAnsi="Symbol" w:cs="Symbol" w:eastAsia="Symbol" w:hint="default"/>
          <w:sz w:val="24"/>
          <w:szCs w:val="24"/>
        </w:rPr>
        <w:t></w:t>
      </w:r>
      <w:r>
        <w:rPr>
          <w:rFonts w:ascii="Symbol" w:hAnsi="Symbol" w:cs="Symbol" w:eastAsia="Symbol" w:hint="default"/>
          <w:spacing w:val="6"/>
          <w:sz w:val="24"/>
          <w:szCs w:val="24"/>
        </w:rPr>
        <w:t></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i/>
          <w:sz w:val="24"/>
          <w:szCs w:val="24"/>
        </w:rPr>
        <w:t>D</w:t>
      </w:r>
      <w:r>
        <w:rPr>
          <w:rFonts w:ascii="Times New Roman" w:hAnsi="Times New Roman" w:cs="Times New Roman" w:eastAsia="Times New Roman" w:hint="default"/>
          <w:sz w:val="24"/>
          <w:szCs w:val="24"/>
        </w:rPr>
        <w:t>)</w:t>
      </w:r>
    </w:p>
    <w:p>
      <w:pPr>
        <w:spacing w:after="0"/>
        <w:jc w:val="center"/>
        <w:rPr>
          <w:rFonts w:ascii="Times New Roman" w:hAnsi="Times New Roman" w:cs="Times New Roman" w:eastAsia="Times New Roman" w:hint="default"/>
          <w:sz w:val="24"/>
          <w:szCs w:val="24"/>
        </w:rPr>
        <w:sectPr>
          <w:type w:val="continuous"/>
          <w:pgSz w:w="11910" w:h="16840"/>
          <w:pgMar w:top="1060" w:bottom="1160" w:left="980" w:right="0"/>
          <w:cols w:num="2" w:equalWidth="0">
            <w:col w:w="1046" w:space="40"/>
            <w:col w:w="9844"/>
          </w:cols>
        </w:sectPr>
      </w:pPr>
    </w:p>
    <w:p>
      <w:pPr>
        <w:pStyle w:val="BodyText"/>
        <w:spacing w:line="240" w:lineRule="auto" w:before="105"/>
        <w:ind w:left="527" w:right="0"/>
        <w:jc w:val="left"/>
      </w:pPr>
      <w:r>
        <w:rPr>
          <w:rFonts w:ascii="Times New Roman" w:hAnsi="Times New Roman" w:cs="Times New Roman" w:eastAsia="Times New Roman" w:hint="default"/>
          <w:i/>
          <w:position w:val="12"/>
          <w:sz w:val="24"/>
          <w:szCs w:val="24"/>
        </w:rPr>
        <w:t>W</w:t>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3"/>
          <w:position w:val="6"/>
          <w:sz w:val="14"/>
          <w:szCs w:val="14"/>
        </w:rPr>
        <w:t> </w:t>
      </w:r>
      <w:r>
        <w:rPr/>
        <w:t>：评估对象的权益资本比率；</w:t>
      </w:r>
    </w:p>
    <w:p>
      <w:pPr>
        <w:spacing w:after="0" w:line="240" w:lineRule="auto"/>
        <w:jc w:val="left"/>
        <w:sectPr>
          <w:type w:val="continuous"/>
          <w:pgSz w:w="11910" w:h="16840"/>
          <w:pgMar w:top="1060" w:bottom="1160" w:left="980" w:right="0"/>
        </w:sectPr>
      </w:pPr>
    </w:p>
    <w:p>
      <w:pPr>
        <w:spacing w:before="205"/>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e </w:t>
      </w:r>
      <w:r>
        <w:rPr>
          <w:rFonts w:ascii="Times New Roman" w:hAnsi="Times New Roman" w:cs="Times New Roman" w:eastAsia="Times New Roman" w:hint="default"/>
          <w:i/>
          <w:spacing w:val="26"/>
          <w:position w:val="-5"/>
          <w:sz w:val="14"/>
          <w:szCs w:val="14"/>
        </w:rPr>
        <w:t> </w:t>
      </w:r>
      <w:r>
        <w:rPr>
          <w:rFonts w:ascii="Symbol" w:hAnsi="Symbol" w:cs="Symbol" w:eastAsia="Symbol" w:hint="default"/>
          <w:sz w:val="24"/>
          <w:szCs w:val="24"/>
        </w:rPr>
        <w:t></w:t>
      </w:r>
    </w:p>
    <w:p>
      <w:pPr>
        <w:spacing w:before="71"/>
        <w:ind w:left="18" w:right="9059" w:firstLine="0"/>
        <w:jc w:val="center"/>
        <w:rPr>
          <w:rFonts w:ascii="Times New Roman" w:hAnsi="Times New Roman" w:cs="Times New Roman" w:eastAsia="Times New Roman" w:hint="default"/>
          <w:sz w:val="24"/>
          <w:szCs w:val="24"/>
        </w:rPr>
      </w:pPr>
      <w:r>
        <w:rPr/>
        <w:br w:type="column"/>
      </w:r>
      <w:r>
        <w:rPr>
          <w:rFonts w:ascii="Times New Roman"/>
          <w:i/>
          <w:sz w:val="24"/>
        </w:rPr>
        <w:t>E</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2pt;height:.5pt;mso-position-horizontal-relative:char;mso-position-vertical-relative:line" coordorigin="0,0" coordsize="784,10">
            <v:group style="position:absolute;left:5;top:5;width:774;height:2" coordorigin="5,5" coordsize="774,2">
              <v:shape style="position:absolute;left:5;top:5;width:774;height:2" coordorigin="5,5" coordsize="774,0" path="m5,5l778,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18" w:right="9059" w:firstLine="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E </w:t>
      </w:r>
      <w:r>
        <w:rPr>
          <w:rFonts w:ascii="Symbol" w:hAnsi="Symbol" w:cs="Symbol" w:eastAsia="Symbol" w:hint="default"/>
          <w:sz w:val="24"/>
          <w:szCs w:val="24"/>
        </w:rPr>
        <w:t></w:t>
      </w:r>
      <w:r>
        <w:rPr>
          <w:rFonts w:ascii="Symbol" w:hAnsi="Symbol" w:cs="Symbol" w:eastAsia="Symbol" w:hint="default"/>
          <w:spacing w:val="2"/>
          <w:sz w:val="24"/>
          <w:szCs w:val="24"/>
        </w:rPr>
        <w:t></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z w:val="24"/>
          <w:szCs w:val="24"/>
        </w:rPr>
        <w:t>D</w:t>
      </w:r>
      <w:r>
        <w:rPr>
          <w:rFonts w:ascii="Times New Roman" w:hAnsi="Times New Roman" w:cs="Times New Roman" w:eastAsia="Times New Roman" w:hint="default"/>
          <w:sz w:val="24"/>
          <w:szCs w:val="24"/>
        </w:rPr>
        <w:t>)</w:t>
      </w:r>
    </w:p>
    <w:p>
      <w:pPr>
        <w:spacing w:after="0"/>
        <w:jc w:val="center"/>
        <w:rPr>
          <w:rFonts w:ascii="Times New Roman" w:hAnsi="Times New Roman" w:cs="Times New Roman" w:eastAsia="Times New Roman" w:hint="default"/>
          <w:sz w:val="24"/>
          <w:szCs w:val="24"/>
        </w:rPr>
        <w:sectPr>
          <w:type w:val="continuous"/>
          <w:pgSz w:w="11910" w:h="16840"/>
          <w:pgMar w:top="1060" w:bottom="1160" w:left="980" w:right="0"/>
          <w:cols w:num="2" w:equalWidth="0">
            <w:col w:w="1020" w:space="40"/>
            <w:col w:w="9870"/>
          </w:cols>
        </w:sectPr>
      </w:pPr>
    </w:p>
    <w:p>
      <w:pPr>
        <w:spacing w:before="82"/>
        <w:ind w:left="539" w:right="0" w:firstLine="0"/>
        <w:jc w:val="left"/>
        <w:rPr>
          <w:rFonts w:ascii="宋体" w:hAnsi="宋体" w:cs="宋体" w:eastAsia="宋体" w:hint="default"/>
          <w:sz w:val="18"/>
          <w:szCs w:val="18"/>
        </w:rPr>
      </w:pPr>
      <w:r>
        <w:rPr>
          <w:rFonts w:ascii="Times New Roman" w:hAnsi="Times New Roman" w:cs="Times New Roman" w:eastAsia="Times New Roman" w:hint="default"/>
          <w:i/>
          <w:w w:val="105"/>
          <w:position w:val="4"/>
          <w:sz w:val="23"/>
          <w:szCs w:val="23"/>
        </w:rPr>
        <w:t>T</w:t>
      </w:r>
      <w:r>
        <w:rPr>
          <w:rFonts w:ascii="Times New Roman" w:hAnsi="Times New Roman" w:cs="Times New Roman" w:eastAsia="Times New Roman" w:hint="default"/>
          <w:i/>
          <w:spacing w:val="-17"/>
          <w:w w:val="105"/>
          <w:position w:val="4"/>
          <w:sz w:val="23"/>
          <w:szCs w:val="23"/>
        </w:rPr>
        <w:t> </w:t>
      </w:r>
      <w:r>
        <w:rPr>
          <w:rFonts w:ascii="宋体" w:hAnsi="宋体" w:cs="宋体" w:eastAsia="宋体" w:hint="default"/>
          <w:w w:val="105"/>
          <w:sz w:val="18"/>
          <w:szCs w:val="18"/>
        </w:rPr>
        <w:t>：所得税率；</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p>
      <w:pPr>
        <w:spacing w:before="76"/>
        <w:ind w:left="556" w:right="0" w:firstLine="0"/>
        <w:jc w:val="left"/>
        <w:rPr>
          <w:rFonts w:ascii="宋体" w:hAnsi="宋体" w:cs="宋体" w:eastAsia="宋体" w:hint="default"/>
          <w:sz w:val="18"/>
          <w:szCs w:val="18"/>
        </w:rPr>
      </w:pPr>
      <w:r>
        <w:rPr>
          <w:rFonts w:ascii="Times New Roman" w:hAnsi="Times New Roman" w:cs="Times New Roman" w:eastAsia="Times New Roman" w:hint="default"/>
          <w:i/>
          <w:spacing w:val="3"/>
          <w:position w:val="12"/>
          <w:sz w:val="24"/>
          <w:szCs w:val="24"/>
        </w:rPr>
        <w:t>R</w:t>
      </w:r>
      <w:r>
        <w:rPr>
          <w:rFonts w:ascii="Times New Roman" w:hAnsi="Times New Roman" w:cs="Times New Roman" w:eastAsia="Times New Roman" w:hint="default"/>
          <w:i/>
          <w:spacing w:val="3"/>
          <w:position w:val="6"/>
          <w:sz w:val="14"/>
          <w:szCs w:val="14"/>
        </w:rPr>
        <w:t>d</w:t>
      </w:r>
      <w:r>
        <w:rPr>
          <w:rFonts w:ascii="Times New Roman" w:hAnsi="Times New Roman" w:cs="Times New Roman" w:eastAsia="Times New Roman" w:hint="default"/>
          <w:i/>
          <w:spacing w:val="8"/>
          <w:position w:val="6"/>
          <w:sz w:val="14"/>
          <w:szCs w:val="14"/>
        </w:rPr>
        <w:t> </w:t>
      </w:r>
      <w:r>
        <w:rPr>
          <w:rFonts w:ascii="宋体" w:hAnsi="宋体" w:cs="宋体" w:eastAsia="宋体" w:hint="default"/>
          <w:sz w:val="18"/>
          <w:szCs w:val="18"/>
        </w:rPr>
        <w:t>：付息债务利率；</w:t>
      </w:r>
    </w:p>
    <w:p>
      <w:pPr>
        <w:pStyle w:val="BodyText"/>
        <w:spacing w:line="240" w:lineRule="auto" w:before="84"/>
        <w:ind w:left="556" w:right="0"/>
        <w:jc w:val="left"/>
      </w:pPr>
      <w:r>
        <w:rPr>
          <w:rFonts w:ascii="Times New Roman" w:hAnsi="Times New Roman" w:cs="Times New Roman" w:eastAsia="Times New Roman" w:hint="default"/>
          <w:i/>
          <w:position w:val="12"/>
          <w:sz w:val="24"/>
          <w:szCs w:val="24"/>
        </w:rPr>
        <w:t>R</w:t>
      </w:r>
      <w:r>
        <w:rPr>
          <w:rFonts w:ascii="Times New Roman" w:hAnsi="Times New Roman" w:cs="Times New Roman" w:eastAsia="Times New Roman" w:hint="default"/>
          <w:i/>
          <w:position w:val="6"/>
          <w:sz w:val="14"/>
          <w:szCs w:val="14"/>
        </w:rPr>
        <w:t>e </w:t>
      </w:r>
      <w:r>
        <w:rPr/>
        <w:t>：权益资本成本，按资本资产定价模型（</w:t>
      </w:r>
      <w:r>
        <w:rPr>
          <w:rFonts w:ascii="Times New Roman" w:hAnsi="Times New Roman" w:cs="Times New Roman" w:eastAsia="Times New Roman" w:hint="default"/>
        </w:rPr>
        <w:t>CAPM</w:t>
      </w:r>
      <w:r>
        <w:rPr/>
        <w:t>）确定权益资本成本 </w:t>
      </w:r>
      <w:r>
        <w:rPr>
          <w:rFonts w:ascii="Times New Roman" w:hAnsi="Times New Roman" w:cs="Times New Roman" w:eastAsia="Times New Roman" w:hint="default"/>
          <w:i/>
          <w:position w:val="14"/>
          <w:sz w:val="28"/>
          <w:szCs w:val="28"/>
        </w:rPr>
        <w:t>R</w:t>
      </w:r>
      <w:r>
        <w:rPr>
          <w:rFonts w:ascii="Times New Roman" w:hAnsi="Times New Roman" w:cs="Times New Roman" w:eastAsia="Times New Roman" w:hint="default"/>
          <w:i/>
          <w:position w:val="7"/>
          <w:sz w:val="16"/>
          <w:szCs w:val="16"/>
        </w:rPr>
        <w:t>e</w:t>
      </w:r>
      <w:r>
        <w:rPr>
          <w:rFonts w:ascii="Times New Roman" w:hAnsi="Times New Roman" w:cs="Times New Roman" w:eastAsia="Times New Roman" w:hint="default"/>
          <w:i/>
          <w:spacing w:val="-3"/>
          <w:position w:val="7"/>
          <w:sz w:val="16"/>
          <w:szCs w:val="16"/>
        </w:rPr>
        <w:t> </w:t>
      </w:r>
      <w:r>
        <w:rPr/>
        <w:t>；</w:t>
      </w:r>
    </w:p>
    <w:p>
      <w:pPr>
        <w:spacing w:after="0" w:line="240" w:lineRule="auto"/>
        <w:jc w:val="left"/>
        <w:sectPr>
          <w:pgSz w:w="11910" w:h="16840"/>
          <w:pgMar w:header="747" w:footer="979" w:top="1060" w:bottom="1160" w:left="980" w:right="0"/>
        </w:sectPr>
      </w:pPr>
    </w:p>
    <w:p>
      <w:pPr>
        <w:spacing w:before="51"/>
        <w:ind w:left="557" w:right="-16"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i/>
          <w:spacing w:val="-3"/>
          <w:w w:val="105"/>
          <w:sz w:val="24"/>
          <w:szCs w:val="24"/>
        </w:rPr>
        <w:t>R</w:t>
      </w:r>
      <w:r>
        <w:rPr>
          <w:rFonts w:ascii="Times New Roman" w:hAnsi="Times New Roman" w:cs="Times New Roman" w:eastAsia="Times New Roman" w:hint="default"/>
          <w:i/>
          <w:spacing w:val="-3"/>
          <w:w w:val="105"/>
          <w:position w:val="-5"/>
          <w:sz w:val="14"/>
          <w:szCs w:val="14"/>
        </w:rPr>
        <w:t>e   </w:t>
      </w:r>
      <w:r>
        <w:rPr>
          <w:rFonts w:ascii="Symbol" w:hAnsi="Symbol" w:cs="Symbol" w:eastAsia="Symbol" w:hint="default"/>
          <w:w w:val="105"/>
          <w:sz w:val="24"/>
          <w:szCs w:val="24"/>
        </w:rPr>
        <w:t></w:t>
      </w:r>
      <w:r>
        <w:rPr>
          <w:rFonts w:ascii="Symbol" w:hAnsi="Symbol" w:cs="Symbol" w:eastAsia="Symbol" w:hint="default"/>
          <w:spacing w:val="-10"/>
          <w:w w:val="105"/>
          <w:sz w:val="24"/>
          <w:szCs w:val="24"/>
        </w:rPr>
        <w:t></w:t>
      </w:r>
      <w:r>
        <w:rPr>
          <w:rFonts w:ascii="Times New Roman" w:hAnsi="Times New Roman" w:cs="Times New Roman" w:eastAsia="Times New Roman" w:hint="default"/>
          <w:spacing w:val="-10"/>
          <w:w w:val="105"/>
          <w:sz w:val="24"/>
          <w:szCs w:val="24"/>
        </w:rPr>
      </w:r>
      <w:r>
        <w:rPr>
          <w:rFonts w:ascii="Times New Roman" w:hAnsi="Times New Roman" w:cs="Times New Roman" w:eastAsia="Times New Roman" w:hint="default"/>
          <w:i/>
          <w:spacing w:val="10"/>
          <w:w w:val="105"/>
          <w:sz w:val="24"/>
          <w:szCs w:val="24"/>
        </w:rPr>
        <w:t>R</w:t>
      </w:r>
      <w:r>
        <w:rPr>
          <w:rFonts w:ascii="Times New Roman" w:hAnsi="Times New Roman" w:cs="Times New Roman" w:eastAsia="Times New Roman" w:hint="default"/>
          <w:i/>
          <w:spacing w:val="10"/>
          <w:w w:val="105"/>
          <w:position w:val="-5"/>
          <w:sz w:val="14"/>
          <w:szCs w:val="14"/>
        </w:rPr>
        <w:t>f</w:t>
      </w:r>
      <w:r>
        <w:rPr>
          <w:rFonts w:ascii="Times New Roman" w:hAnsi="Times New Roman" w:cs="Times New Roman" w:eastAsia="Times New Roman" w:hint="default"/>
          <w:spacing w:val="10"/>
          <w:sz w:val="14"/>
          <w:szCs w:val="14"/>
        </w:rPr>
      </w:r>
    </w:p>
    <w:p>
      <w:pPr>
        <w:pStyle w:val="BodyText"/>
        <w:spacing w:line="240" w:lineRule="auto" w:before="58"/>
        <w:ind w:left="514" w:right="-16"/>
        <w:jc w:val="left"/>
      </w:pPr>
      <w:r>
        <w:rPr/>
        <w:t>式中：</w:t>
      </w:r>
    </w:p>
    <w:p>
      <w:pPr>
        <w:pStyle w:val="ListParagraph"/>
        <w:numPr>
          <w:ilvl w:val="0"/>
          <w:numId w:val="1"/>
        </w:numPr>
        <w:tabs>
          <w:tab w:pos="260" w:val="left" w:leader="none"/>
        </w:tabs>
        <w:spacing w:line="240" w:lineRule="auto" w:before="41" w:after="0"/>
        <w:ind w:left="259" w:right="0" w:hanging="188"/>
        <w:jc w:val="left"/>
        <w:rPr>
          <w:rFonts w:ascii="Symbol" w:hAnsi="Symbol" w:cs="Symbol" w:eastAsia="Symbol" w:hint="default"/>
          <w:sz w:val="25"/>
          <w:szCs w:val="25"/>
        </w:rPr>
      </w:pPr>
      <w:r>
        <w:rPr>
          <w:rFonts w:ascii="Symbol" w:hAnsi="Symbol" w:cs="Symbol" w:eastAsia="Symbol" w:hint="default"/>
          <w:i/>
          <w:spacing w:val="6"/>
          <w:w w:val="105"/>
          <w:sz w:val="25"/>
          <w:szCs w:val="25"/>
        </w:rPr>
        <w:t></w:t>
      </w:r>
      <w:r>
        <w:rPr>
          <w:rFonts w:ascii="Times New Roman" w:hAnsi="Times New Roman" w:cs="Times New Roman" w:eastAsia="Times New Roman" w:hint="default"/>
          <w:i/>
          <w:spacing w:val="6"/>
          <w:w w:val="105"/>
          <w:position w:val="-5"/>
          <w:sz w:val="14"/>
          <w:szCs w:val="14"/>
        </w:rPr>
        <w:t>e</w:t>
      </w:r>
      <w:r>
        <w:rPr>
          <w:rFonts w:ascii="Times New Roman" w:hAnsi="Times New Roman" w:cs="Times New Roman" w:eastAsia="Times New Roman" w:hint="default"/>
          <w:i/>
          <w:spacing w:val="20"/>
          <w:w w:val="105"/>
          <w:position w:val="-5"/>
          <w:sz w:val="14"/>
          <w:szCs w:val="14"/>
        </w:rPr>
        <w:t> </w:t>
      </w:r>
      <w:r>
        <w:rPr>
          <w:rFonts w:ascii="Symbol" w:hAnsi="Symbol" w:cs="Symbol" w:eastAsia="Symbol" w:hint="default"/>
          <w:w w:val="105"/>
          <w:sz w:val="24"/>
          <w:szCs w:val="24"/>
        </w:rPr>
        <w:t></w:t>
      </w:r>
      <w:r>
        <w:rPr>
          <w:rFonts w:ascii="Symbol" w:hAnsi="Symbol" w:cs="Symbol" w:eastAsia="Symbol" w:hint="default"/>
          <w:spacing w:val="-28"/>
          <w:w w:val="105"/>
          <w:sz w:val="24"/>
          <w:szCs w:val="24"/>
        </w:rPr>
        <w:t></w:t>
      </w:r>
      <w:r>
        <w:rPr>
          <w:rFonts w:ascii="Times New Roman" w:hAnsi="Times New Roman" w:cs="Times New Roman" w:eastAsia="Times New Roman" w:hint="default"/>
          <w:spacing w:val="-28"/>
          <w:w w:val="105"/>
          <w:sz w:val="24"/>
          <w:szCs w:val="24"/>
        </w:rPr>
      </w:r>
      <w:r>
        <w:rPr>
          <w:rFonts w:ascii="Times New Roman" w:hAnsi="Times New Roman" w:cs="Times New Roman" w:eastAsia="Times New Roman" w:hint="default"/>
          <w:i/>
          <w:spacing w:val="-8"/>
          <w:w w:val="105"/>
          <w:sz w:val="24"/>
          <w:szCs w:val="24"/>
        </w:rPr>
        <w:t>MRP</w:t>
      </w:r>
      <w:r>
        <w:rPr>
          <w:rFonts w:ascii="Times New Roman" w:hAnsi="Times New Roman" w:cs="Times New Roman" w:eastAsia="Times New Roman" w:hint="default"/>
          <w:i/>
          <w:spacing w:val="-18"/>
          <w:w w:val="105"/>
          <w:sz w:val="24"/>
          <w:szCs w:val="24"/>
        </w:rPr>
        <w:t> </w:t>
      </w:r>
      <w:r>
        <w:rPr>
          <w:rFonts w:ascii="Symbol" w:hAnsi="Symbol" w:cs="Symbol" w:eastAsia="Symbol" w:hint="default"/>
          <w:w w:val="105"/>
          <w:sz w:val="24"/>
          <w:szCs w:val="24"/>
        </w:rPr>
        <w:t></w:t>
      </w:r>
      <w:r>
        <w:rPr>
          <w:rFonts w:ascii="Symbol" w:hAnsi="Symbol" w:cs="Symbol" w:eastAsia="Symbol" w:hint="default"/>
          <w:spacing w:val="-31"/>
          <w:w w:val="105"/>
          <w:sz w:val="24"/>
          <w:szCs w:val="24"/>
        </w:rPr>
        <w:t></w:t>
      </w:r>
      <w:r>
        <w:rPr>
          <w:rFonts w:ascii="Times New Roman" w:hAnsi="Times New Roman" w:cs="Times New Roman" w:eastAsia="Times New Roman" w:hint="default"/>
          <w:spacing w:val="-31"/>
          <w:w w:val="105"/>
          <w:sz w:val="24"/>
          <w:szCs w:val="24"/>
        </w:rPr>
      </w:r>
      <w:r>
        <w:rPr>
          <w:rFonts w:ascii="Symbol" w:hAnsi="Symbol" w:cs="Symbol" w:eastAsia="Symbol" w:hint="default"/>
          <w:i/>
          <w:w w:val="105"/>
          <w:sz w:val="25"/>
          <w:szCs w:val="25"/>
        </w:rPr>
        <w:t></w:t>
      </w:r>
      <w:r>
        <w:rPr>
          <w:rFonts w:ascii="Symbol" w:hAnsi="Symbol" w:cs="Symbol" w:eastAsia="Symbol" w:hint="default"/>
          <w:w w:val="105"/>
          <w:sz w:val="25"/>
          <w:szCs w:val="25"/>
        </w:rPr>
      </w:r>
    </w:p>
    <w:p>
      <w:pPr>
        <w:spacing w:after="0" w:line="240" w:lineRule="auto"/>
        <w:jc w:val="left"/>
        <w:rPr>
          <w:rFonts w:ascii="Symbol" w:hAnsi="Symbol" w:cs="Symbol" w:eastAsia="Symbol" w:hint="default"/>
          <w:sz w:val="25"/>
          <w:szCs w:val="25"/>
        </w:rPr>
        <w:sectPr>
          <w:type w:val="continuous"/>
          <w:pgSz w:w="11910" w:h="16840"/>
          <w:pgMar w:top="1060" w:bottom="1160" w:left="980" w:right="0"/>
          <w:cols w:num="2" w:equalWidth="0">
            <w:col w:w="1282" w:space="40"/>
            <w:col w:w="9608"/>
          </w:cols>
        </w:sectPr>
      </w:pPr>
    </w:p>
    <w:p>
      <w:pPr>
        <w:spacing w:before="80"/>
        <w:ind w:left="558" w:right="0" w:firstLine="0"/>
        <w:jc w:val="left"/>
        <w:rPr>
          <w:rFonts w:ascii="宋体" w:hAnsi="宋体" w:cs="宋体" w:eastAsia="宋体" w:hint="default"/>
          <w:sz w:val="18"/>
          <w:szCs w:val="18"/>
        </w:rPr>
      </w:pPr>
      <w:r>
        <w:rPr>
          <w:rFonts w:ascii="Times New Roman" w:hAnsi="Times New Roman" w:cs="Times New Roman" w:eastAsia="Times New Roman" w:hint="default"/>
          <w:i/>
          <w:spacing w:val="13"/>
          <w:position w:val="14"/>
          <w:sz w:val="24"/>
          <w:szCs w:val="24"/>
        </w:rPr>
        <w:t>R</w:t>
      </w:r>
      <w:r>
        <w:rPr>
          <w:rFonts w:ascii="Times New Roman" w:hAnsi="Times New Roman" w:cs="Times New Roman" w:eastAsia="Times New Roman" w:hint="default"/>
          <w:i/>
          <w:spacing w:val="13"/>
          <w:position w:val="8"/>
          <w:sz w:val="14"/>
          <w:szCs w:val="14"/>
        </w:rPr>
        <w:t>f</w:t>
      </w:r>
      <w:r>
        <w:rPr>
          <w:rFonts w:ascii="Times New Roman" w:hAnsi="Times New Roman" w:cs="Times New Roman" w:eastAsia="Times New Roman" w:hint="default"/>
          <w:i/>
          <w:spacing w:val="51"/>
          <w:position w:val="8"/>
          <w:sz w:val="14"/>
          <w:szCs w:val="14"/>
        </w:rPr>
        <w:t> </w:t>
      </w:r>
      <w:r>
        <w:rPr>
          <w:rFonts w:ascii="宋体" w:hAnsi="宋体" w:cs="宋体" w:eastAsia="宋体" w:hint="default"/>
          <w:sz w:val="18"/>
          <w:szCs w:val="18"/>
        </w:rPr>
        <w:t>：无风险报酬率；</w:t>
      </w:r>
    </w:p>
    <w:p>
      <w:pPr>
        <w:pStyle w:val="Heading6"/>
        <w:spacing w:line="207" w:lineRule="exact" w:before="82"/>
        <w:ind w:right="0"/>
        <w:jc w:val="left"/>
        <w:rPr>
          <w:i w:val="0"/>
        </w:rPr>
      </w:pPr>
      <w:r>
        <w:rPr>
          <w:i/>
          <w:spacing w:val="-5"/>
        </w:rPr>
        <w:t>MRP</w:t>
      </w:r>
      <w:r>
        <w:rPr>
          <w:i w:val="0"/>
          <w:spacing w:val="-5"/>
        </w:rPr>
      </w:r>
    </w:p>
    <w:p>
      <w:pPr>
        <w:pStyle w:val="BodyText"/>
        <w:spacing w:line="180" w:lineRule="exact"/>
        <w:ind w:left="1114" w:right="0"/>
        <w:jc w:val="left"/>
      </w:pPr>
      <w:r>
        <w:rPr/>
        <w:t>：市场风险溢价；</w:t>
      </w:r>
    </w:p>
    <w:p>
      <w:pPr>
        <w:pStyle w:val="BodyText"/>
        <w:spacing w:line="240" w:lineRule="auto" w:before="38"/>
        <w:ind w:left="514" w:right="0"/>
        <w:jc w:val="left"/>
      </w:pPr>
      <w:r>
        <w:rPr>
          <w:rFonts w:ascii="Arial" w:hAnsi="Arial" w:cs="Arial" w:eastAsia="Arial" w:hint="default"/>
        </w:rPr>
        <w:t>ε</w:t>
      </w:r>
      <w:r>
        <w:rPr>
          <w:rFonts w:ascii="Arial" w:hAnsi="Arial" w:cs="Arial" w:eastAsia="Arial" w:hint="default"/>
          <w:spacing w:val="49"/>
        </w:rPr>
        <w:t> </w:t>
      </w:r>
      <w:r>
        <w:rPr/>
        <w:t>：评估对象的特定风险调整系数；</w:t>
      </w:r>
    </w:p>
    <w:p>
      <w:pPr>
        <w:pStyle w:val="BodyText"/>
        <w:spacing w:line="240" w:lineRule="auto" w:before="52"/>
        <w:ind w:left="553" w:right="0"/>
        <w:jc w:val="left"/>
      </w:pPr>
      <w:r>
        <w:rPr>
          <w:rFonts w:ascii="Symbol" w:hAnsi="Symbol" w:cs="Symbol" w:eastAsia="Symbol" w:hint="default"/>
          <w:i/>
          <w:position w:val="12"/>
          <w:sz w:val="25"/>
          <w:szCs w:val="25"/>
        </w:rPr>
        <w:t></w:t>
      </w:r>
      <w:r>
        <w:rPr>
          <w:rFonts w:ascii="Symbol" w:hAnsi="Symbol" w:cs="Symbol" w:eastAsia="Symbol" w:hint="default"/>
          <w:i/>
          <w:spacing w:val="-47"/>
          <w:position w:val="12"/>
          <w:sz w:val="25"/>
          <w:szCs w:val="25"/>
        </w:rPr>
        <w:t></w:t>
      </w:r>
      <w:r>
        <w:rPr>
          <w:rFonts w:ascii="Times New Roman" w:hAnsi="Times New Roman" w:cs="Times New Roman" w:eastAsia="Times New Roman" w:hint="default"/>
          <w:i/>
          <w:spacing w:val="-47"/>
          <w:position w:val="12"/>
          <w:sz w:val="25"/>
          <w:szCs w:val="25"/>
        </w:rPr>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
          <w:position w:val="6"/>
          <w:sz w:val="14"/>
          <w:szCs w:val="14"/>
        </w:rPr>
        <w:t> </w:t>
      </w:r>
      <w:r>
        <w:rPr/>
        <w:t>：评估对象权益资本的预期市场风险系数；</w:t>
      </w:r>
    </w:p>
    <w:p>
      <w:pPr>
        <w:spacing w:line="366" w:lineRule="exact" w:before="70"/>
        <w:ind w:left="0" w:right="7440" w:firstLine="0"/>
        <w:jc w:val="center"/>
        <w:rPr>
          <w:rFonts w:ascii="Times New Roman" w:hAnsi="Times New Roman" w:cs="Times New Roman" w:eastAsia="Times New Roman" w:hint="default"/>
          <w:sz w:val="24"/>
          <w:szCs w:val="24"/>
        </w:rPr>
      </w:pPr>
      <w:r>
        <w:rPr/>
        <w:pict>
          <v:group style="position:absolute;margin-left:180.179672pt;margin-top:19.217365pt;width:10.65pt;height:.1pt;mso-position-horizontal-relative:page;mso-position-vertical-relative:paragraph;z-index:-1708120" coordorigin="3604,384" coordsize="213,2">
            <v:shape style="position:absolute;left:3604;top:384;width:213;height:2" coordorigin="3604,384" coordsize="213,0" path="m3604,384l3816,384e" filled="false" stroked="true" strokeweight=".494602pt" strokecolor="#000000">
              <v:path arrowok="t"/>
            </v:shape>
            <w10:wrap type="none"/>
          </v:group>
        </w:pict>
      </w:r>
      <w:r>
        <w:rPr>
          <w:rFonts w:ascii="Symbol" w:hAnsi="Symbol" w:cs="Symbol" w:eastAsia="Symbol" w:hint="default"/>
          <w:i/>
          <w:sz w:val="25"/>
          <w:szCs w:val="25"/>
        </w:rPr>
        <w:t></w:t>
      </w:r>
      <w:r>
        <w:rPr>
          <w:rFonts w:ascii="Symbol" w:hAnsi="Symbol" w:cs="Symbol" w:eastAsia="Symbol" w:hint="default"/>
          <w:i/>
          <w:spacing w:val="61"/>
          <w:sz w:val="25"/>
          <w:szCs w:val="25"/>
        </w:rPr>
        <w:t></w:t>
      </w:r>
      <w:r>
        <w:rPr>
          <w:rFonts w:ascii="Times New Roman" w:hAnsi="Times New Roman" w:cs="Times New Roman" w:eastAsia="Times New Roman" w:hint="default"/>
          <w:i/>
          <w:spacing w:val="61"/>
          <w:sz w:val="25"/>
          <w:szCs w:val="25"/>
        </w:rPr>
      </w:r>
      <w:r>
        <w:rPr>
          <w:rFonts w:ascii="Symbol" w:hAnsi="Symbol" w:cs="Symbol" w:eastAsia="Symbol" w:hint="default"/>
          <w:sz w:val="24"/>
          <w:szCs w:val="24"/>
        </w:rPr>
        <w:t></w:t>
      </w:r>
      <w:r>
        <w:rPr>
          <w:rFonts w:ascii="Symbol" w:hAnsi="Symbol" w:cs="Symbol" w:eastAsia="Symbol" w:hint="default"/>
          <w:spacing w:val="8"/>
          <w:sz w:val="24"/>
          <w:szCs w:val="24"/>
        </w:rPr>
        <w:t></w:t>
      </w:r>
      <w:r>
        <w:rPr>
          <w:rFonts w:ascii="Times New Roman" w:hAnsi="Times New Roman" w:cs="Times New Roman" w:eastAsia="Times New Roman" w:hint="default"/>
          <w:spacing w:val="8"/>
          <w:sz w:val="24"/>
          <w:szCs w:val="24"/>
        </w:rPr>
      </w:r>
      <w:r>
        <w:rPr>
          <w:rFonts w:ascii="Symbol" w:hAnsi="Symbol" w:cs="Symbol" w:eastAsia="Symbol" w:hint="default"/>
          <w:i/>
          <w:sz w:val="25"/>
          <w:szCs w:val="25"/>
        </w:rPr>
        <w:t></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13"/>
          <w:sz w:val="24"/>
          <w:szCs w:val="24"/>
        </w:rPr>
        <w:t> </w:t>
      </w:r>
      <w:r>
        <w:rPr>
          <w:rFonts w:ascii="Symbol" w:hAnsi="Symbol" w:cs="Symbol" w:eastAsia="Symbol" w:hint="default"/>
          <w:sz w:val="24"/>
          <w:szCs w:val="24"/>
        </w:rPr>
        <w:t></w:t>
      </w:r>
      <w:r>
        <w:rPr>
          <w:rFonts w:ascii="Symbol" w:hAnsi="Symbol" w:cs="Symbol" w:eastAsia="Symbol" w:hint="default"/>
          <w:spacing w:val="-25"/>
          <w:sz w:val="24"/>
          <w:szCs w:val="24"/>
        </w:rPr>
        <w:t></w:t>
      </w:r>
      <w:r>
        <w:rPr>
          <w:rFonts w:ascii="Times New Roman" w:hAnsi="Times New Roman" w:cs="Times New Roman" w:eastAsia="Times New Roman" w:hint="default"/>
          <w:spacing w:val="-25"/>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12"/>
          <w:sz w:val="24"/>
          <w:szCs w:val="24"/>
        </w:rPr>
        <w:t></w:t>
      </w:r>
      <w:r>
        <w:rPr>
          <w:rFonts w:ascii="Times New Roman" w:hAnsi="Times New Roman" w:cs="Times New Roman" w:eastAsia="Times New Roman" w:hint="default"/>
          <w:spacing w:val="-12"/>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21"/>
          <w:sz w:val="24"/>
          <w:szCs w:val="24"/>
        </w:rPr>
        <w:t></w:t>
      </w:r>
      <w:r>
        <w:rPr>
          <w:rFonts w:ascii="Times New Roman" w:hAnsi="Times New Roman" w:cs="Times New Roman" w:eastAsia="Times New Roman" w:hint="default"/>
          <w:spacing w:val="-21"/>
          <w:sz w:val="24"/>
          <w:szCs w:val="24"/>
        </w:rPr>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8"/>
          <w:sz w:val="24"/>
          <w:szCs w:val="24"/>
        </w:rPr>
        <w:t> </w:t>
      </w:r>
      <w:r>
        <w:rPr>
          <w:rFonts w:ascii="Symbol" w:hAnsi="Symbol" w:cs="Symbol" w:eastAsia="Symbol" w:hint="default"/>
          <w:sz w:val="24"/>
          <w:szCs w:val="24"/>
        </w:rPr>
        <w:t></w:t>
      </w:r>
      <w:r>
        <w:rPr>
          <w:rFonts w:ascii="Symbol" w:hAnsi="Symbol" w:cs="Symbol" w:eastAsia="Symbol" w:hint="default"/>
          <w:spacing w:val="9"/>
          <w:sz w:val="24"/>
          <w:szCs w:val="24"/>
        </w:rPr>
        <w:t></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i/>
          <w:position w:val="15"/>
          <w:sz w:val="24"/>
          <w:szCs w:val="24"/>
        </w:rPr>
        <w:t>D</w:t>
      </w:r>
      <w:r>
        <w:rPr>
          <w:rFonts w:ascii="Times New Roman" w:hAnsi="Times New Roman" w:cs="Times New Roman" w:eastAsia="Times New Roman" w:hint="default"/>
          <w:i/>
          <w:spacing w:val="-37"/>
          <w:position w:val="15"/>
          <w:sz w:val="24"/>
          <w:szCs w:val="24"/>
        </w:rPr>
        <w:t> </w:t>
      </w:r>
      <w:r>
        <w:rPr>
          <w:rFonts w:ascii="Times New Roman" w:hAnsi="Times New Roman" w:cs="Times New Roman" w:eastAsia="Times New Roman" w:hint="default"/>
          <w:sz w:val="24"/>
          <w:szCs w:val="24"/>
        </w:rPr>
        <w:t>)</w:t>
      </w:r>
    </w:p>
    <w:p>
      <w:pPr>
        <w:tabs>
          <w:tab w:pos="1950" w:val="left" w:leader="none"/>
        </w:tabs>
        <w:spacing w:line="250" w:lineRule="exact" w:before="0"/>
        <w:ind w:left="0" w:right="7411" w:firstLine="0"/>
        <w:jc w:val="center"/>
        <w:rPr>
          <w:rFonts w:ascii="Times New Roman" w:hAnsi="Times New Roman" w:cs="Times New Roman" w:eastAsia="Times New Roman" w:hint="default"/>
          <w:sz w:val="24"/>
          <w:szCs w:val="24"/>
        </w:rPr>
      </w:pPr>
      <w:r>
        <w:rPr>
          <w:rFonts w:ascii="Times New Roman"/>
          <w:i/>
          <w:sz w:val="14"/>
        </w:rPr>
        <w:t>e</w:t>
        <w:tab/>
      </w:r>
      <w:r>
        <w:rPr>
          <w:rFonts w:ascii="Times New Roman"/>
          <w:i/>
          <w:position w:val="-12"/>
          <w:sz w:val="24"/>
        </w:rPr>
        <w:t>E</w:t>
      </w:r>
      <w:r>
        <w:rPr>
          <w:rFonts w:ascii="Times New Roman"/>
          <w:sz w:val="24"/>
        </w:rPr>
      </w:r>
    </w:p>
    <w:p>
      <w:pPr>
        <w:pStyle w:val="BodyText"/>
        <w:spacing w:line="357" w:lineRule="auto" w:before="5"/>
        <w:ind w:left="514" w:right="5532"/>
        <w:jc w:val="left"/>
      </w:pPr>
      <w:r>
        <w:rPr/>
        <w:t>式中：</w:t>
      </w:r>
      <w:r>
        <w:rPr>
          <w:spacing w:val="-52"/>
        </w:rPr>
        <w:t> </w:t>
      </w:r>
      <w:r>
        <w:rPr>
          <w:rFonts w:ascii="Symbol" w:hAnsi="Symbol" w:cs="Symbol" w:eastAsia="Symbol" w:hint="default"/>
          <w:i/>
          <w:spacing w:val="3"/>
          <w:position w:val="10"/>
          <w:sz w:val="24"/>
          <w:szCs w:val="24"/>
        </w:rPr>
        <w:t></w:t>
      </w:r>
      <w:r>
        <w:rPr>
          <w:rFonts w:ascii="Times New Roman" w:hAnsi="Times New Roman" w:cs="Times New Roman" w:eastAsia="Times New Roman" w:hint="default"/>
          <w:i/>
          <w:spacing w:val="3"/>
          <w:position w:val="10"/>
          <w:sz w:val="23"/>
          <w:szCs w:val="23"/>
        </w:rPr>
        <w:t>t</w:t>
      </w:r>
      <w:r>
        <w:rPr>
          <w:rFonts w:ascii="Times New Roman" w:hAnsi="Times New Roman" w:cs="Times New Roman" w:eastAsia="Times New Roman" w:hint="default"/>
          <w:i/>
          <w:spacing w:val="-6"/>
          <w:position w:val="10"/>
          <w:sz w:val="23"/>
          <w:szCs w:val="23"/>
        </w:rPr>
        <w:t> </w:t>
      </w:r>
      <w:r>
        <w:rPr/>
        <w:t>为可比公司的预期无杠杆市场风险系数； </w:t>
      </w:r>
      <w:r>
        <w:rPr>
          <w:rFonts w:ascii="Times New Roman" w:hAnsi="Times New Roman" w:cs="Times New Roman" w:eastAsia="Times New Roman" w:hint="default"/>
        </w:rPr>
        <w:t>D</w:t>
      </w:r>
      <w:r>
        <w:rPr/>
        <w:t>、</w:t>
      </w:r>
      <w:r>
        <w:rPr>
          <w:rFonts w:ascii="Times New Roman" w:hAnsi="Times New Roman" w:cs="Times New Roman" w:eastAsia="Times New Roman" w:hint="default"/>
        </w:rPr>
        <w:t>E</w:t>
      </w:r>
      <w:r>
        <w:rPr/>
        <w:t>：分别为可比公司的付息债务与权益资本。 根据上述公式计算出税后折现率，然后再折算为税前折现率。</w:t>
      </w:r>
    </w:p>
    <w:p>
      <w:pPr>
        <w:pStyle w:val="BodyText"/>
        <w:spacing w:line="357" w:lineRule="auto" w:before="65"/>
        <w:ind w:right="1118" w:firstLine="360"/>
        <w:jc w:val="left"/>
      </w:pPr>
      <w:r>
        <w:rPr>
          <w:spacing w:val="-2"/>
        </w:rPr>
        <w:t>委估资产组按公历年度作为会计期间，因而本项评估中所有参数的选取均以年度会计数据为准，以保证所有参数的计算</w:t>
      </w:r>
      <w:r>
        <w:rPr/>
        <w:t> 口径一致。</w:t>
      </w:r>
    </w:p>
    <w:p>
      <w:pPr>
        <w:spacing w:after="0" w:line="357" w:lineRule="auto"/>
        <w:jc w:val="left"/>
        <w:sectPr>
          <w:type w:val="continuous"/>
          <w:pgSz w:w="11910" w:h="16840"/>
          <w:pgMar w:top="1060" w:bottom="1160" w:left="980" w:right="0"/>
        </w:sectPr>
      </w:pPr>
    </w:p>
    <w:p>
      <w:pPr>
        <w:pStyle w:val="Heading2"/>
        <w:spacing w:line="337" w:lineRule="exact" w:before="195"/>
        <w:ind w:right="0"/>
        <w:jc w:val="right"/>
        <w:rPr>
          <w:i w:val="0"/>
        </w:rPr>
      </w:pPr>
      <w:r>
        <w:rPr>
          <w:w w:val="103"/>
        </w:rPr>
        <w:t>r</w:t>
      </w:r>
      <w:r>
        <w:rPr>
          <w:i w:val="0"/>
        </w:rPr>
      </w:r>
    </w:p>
    <w:p>
      <w:pPr>
        <w:pStyle w:val="BodyText"/>
        <w:spacing w:line="233" w:lineRule="exact"/>
        <w:ind w:left="514" w:right="0"/>
        <w:jc w:val="left"/>
      </w:pPr>
      <w:r>
        <w:rPr/>
        <w:t>税前折现率</w:t>
      </w:r>
    </w:p>
    <w:p>
      <w:pPr>
        <w:pStyle w:val="Heading2"/>
        <w:spacing w:line="279" w:lineRule="exact" w:before="40"/>
        <w:ind w:left="411" w:right="0"/>
        <w:jc w:val="left"/>
        <w:rPr>
          <w:i w:val="0"/>
        </w:rPr>
      </w:pPr>
      <w:r>
        <w:rPr>
          <w:i w:val="0"/>
          <w:w w:val="105"/>
        </w:rPr>
        <w:br w:type="column"/>
      </w:r>
      <w:r>
        <w:rPr>
          <w:w w:val="105"/>
        </w:rPr>
        <w:t>wacc</w:t>
      </w:r>
      <w:r>
        <w:rPr>
          <w:i w:val="0"/>
        </w:rPr>
      </w:r>
    </w:p>
    <w:p>
      <w:pPr>
        <w:pStyle w:val="Heading5"/>
        <w:spacing w:line="149" w:lineRule="exact"/>
        <w:ind w:right="0"/>
        <w:jc w:val="left"/>
      </w:pPr>
      <w:r>
        <w:rPr/>
        <w:pict>
          <v:group style="position:absolute;margin-left:150.595627pt;margin-top:5.952346pt;width:29.4pt;height:.1pt;mso-position-horizontal-relative:page;mso-position-vertical-relative:paragraph;z-index:1936" coordorigin="3012,119" coordsize="588,2">
            <v:shape style="position:absolute;left:3012;top:119;width:588;height:2" coordorigin="3012,119" coordsize="588,0" path="m3012,119l3600,119e" filled="false" stroked="true" strokeweight=".501392pt" strokecolor="#000000">
              <v:path arrowok="t"/>
            </v:shape>
            <w10:wrap type="none"/>
          </v:group>
        </w:pict>
      </w:r>
      <w:r>
        <w:rPr>
          <w:w w:val="111"/>
        </w:rPr>
        <w:t></w:t>
      </w:r>
      <w:r>
        <w:rPr/>
      </w:r>
    </w:p>
    <w:p>
      <w:pPr>
        <w:pStyle w:val="Heading5"/>
        <w:spacing w:line="274" w:lineRule="exact"/>
        <w:ind w:left="400" w:right="0"/>
        <w:jc w:val="left"/>
        <w:rPr>
          <w:rFonts w:ascii="宋体" w:hAnsi="宋体" w:cs="宋体" w:eastAsia="宋体" w:hint="default"/>
          <w:sz w:val="26"/>
          <w:szCs w:val="26"/>
        </w:rPr>
      </w:pPr>
      <w:r>
        <w:rPr>
          <w:rFonts w:ascii="宋体" w:hAnsi="宋体" w:cs="宋体" w:eastAsia="宋体" w:hint="default"/>
          <w:w w:val="110"/>
        </w:rPr>
        <w:t>1</w:t>
      </w:r>
      <w:r>
        <w:rPr>
          <w:rFonts w:ascii="宋体" w:hAnsi="宋体" w:cs="宋体" w:eastAsia="宋体" w:hint="default"/>
          <w:spacing w:val="-46"/>
          <w:w w:val="110"/>
        </w:rPr>
        <w:t> </w:t>
      </w:r>
      <w:r>
        <w:rPr>
          <w:w w:val="110"/>
        </w:rPr>
        <w:t></w:t>
      </w:r>
      <w:r>
        <w:rPr>
          <w:spacing w:val="-12"/>
          <w:w w:val="110"/>
        </w:rPr>
        <w:t></w:t>
      </w:r>
      <w:r>
        <w:rPr>
          <w:rFonts w:ascii="Times New Roman" w:hAnsi="Times New Roman" w:cs="Times New Roman" w:eastAsia="Times New Roman" w:hint="default"/>
          <w:spacing w:val="-12"/>
          <w:w w:val="110"/>
        </w:rPr>
      </w:r>
      <w:r>
        <w:rPr>
          <w:rFonts w:ascii="宋体" w:hAnsi="宋体" w:cs="宋体" w:eastAsia="宋体" w:hint="default"/>
          <w:i/>
          <w:w w:val="110"/>
          <w:sz w:val="26"/>
          <w:szCs w:val="26"/>
        </w:rPr>
        <w:t>t</w:t>
      </w:r>
      <w:r>
        <w:rPr>
          <w:rFonts w:ascii="宋体" w:hAnsi="宋体" w:cs="宋体" w:eastAsia="宋体" w:hint="default"/>
          <w:sz w:val="26"/>
          <w:szCs w:val="26"/>
        </w:rPr>
      </w:r>
    </w:p>
    <w:p>
      <w:pPr>
        <w:spacing w:after="0" w:line="274" w:lineRule="exact"/>
        <w:jc w:val="left"/>
        <w:rPr>
          <w:rFonts w:ascii="宋体" w:hAnsi="宋体" w:cs="宋体" w:eastAsia="宋体" w:hint="default"/>
          <w:sz w:val="26"/>
          <w:szCs w:val="26"/>
        </w:rPr>
        <w:sectPr>
          <w:type w:val="continuous"/>
          <w:pgSz w:w="11910" w:h="16840"/>
          <w:pgMar w:top="1060" w:bottom="1160" w:left="980" w:right="0"/>
          <w:cols w:num="2" w:equalWidth="0">
            <w:col w:w="1585" w:space="40"/>
            <w:col w:w="9305"/>
          </w:cols>
        </w:sectPr>
      </w:pPr>
    </w:p>
    <w:p>
      <w:pPr>
        <w:spacing w:line="240" w:lineRule="auto" w:before="7"/>
        <w:rPr>
          <w:rFonts w:ascii="宋体" w:hAnsi="宋体" w:cs="宋体" w:eastAsia="宋体" w:hint="default"/>
          <w:i/>
          <w:sz w:val="11"/>
          <w:szCs w:val="11"/>
        </w:rPr>
      </w:pPr>
    </w:p>
    <w:p>
      <w:pPr>
        <w:pStyle w:val="BodyText"/>
        <w:spacing w:line="240" w:lineRule="auto" w:before="44"/>
        <w:ind w:left="514" w:right="0"/>
        <w:jc w:val="left"/>
      </w:pPr>
      <w:r>
        <w:rPr/>
        <w:t>①权益资本成本</w:t>
      </w:r>
    </w:p>
    <w:p>
      <w:pPr>
        <w:spacing w:line="240" w:lineRule="auto" w:before="5"/>
        <w:rPr>
          <w:rFonts w:ascii="宋体" w:hAnsi="宋体" w:cs="宋体" w:eastAsia="宋体" w:hint="default"/>
          <w:sz w:val="17"/>
          <w:szCs w:val="17"/>
        </w:rPr>
      </w:pPr>
    </w:p>
    <w:p>
      <w:pPr>
        <w:pStyle w:val="Heading6"/>
        <w:spacing w:line="207" w:lineRule="exact"/>
        <w:ind w:left="4470" w:right="3763"/>
        <w:jc w:val="center"/>
        <w:rPr>
          <w:i w:val="0"/>
        </w:rPr>
      </w:pPr>
      <w:r>
        <w:rPr>
          <w:i/>
          <w:w w:val="95"/>
        </w:rPr>
        <w:t>R</w:t>
      </w:r>
      <w:r>
        <w:rPr>
          <w:i w:val="0"/>
        </w:rPr>
      </w:r>
    </w:p>
    <w:p>
      <w:pPr>
        <w:pStyle w:val="BodyText"/>
        <w:spacing w:line="180" w:lineRule="exact"/>
        <w:ind w:left="514" w:right="0"/>
        <w:jc w:val="left"/>
      </w:pPr>
      <w:r>
        <w:rPr/>
        <w:t>权益资本成本，按资本资产定价模型（</w:t>
      </w:r>
      <w:r>
        <w:rPr>
          <w:rFonts w:ascii="Times New Roman" w:hAnsi="Times New Roman" w:cs="Times New Roman" w:eastAsia="Times New Roman" w:hint="default"/>
        </w:rPr>
        <w:t>CAPM</w:t>
      </w:r>
      <w:r>
        <w:rPr/>
        <w:t>）确定权益资本成本  </w:t>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1"/>
          <w:position w:val="6"/>
          <w:sz w:val="14"/>
          <w:szCs w:val="14"/>
        </w:rPr>
        <w:t> </w:t>
      </w:r>
      <w:r>
        <w:rPr/>
        <w:t>：</w:t>
      </w:r>
    </w:p>
    <w:p>
      <w:pPr>
        <w:spacing w:line="240" w:lineRule="auto" w:before="12"/>
        <w:rPr>
          <w:rFonts w:ascii="宋体" w:hAnsi="宋体" w:cs="宋体" w:eastAsia="宋体" w:hint="default"/>
          <w:sz w:val="15"/>
          <w:szCs w:val="15"/>
        </w:rPr>
      </w:pPr>
    </w:p>
    <w:p>
      <w:pPr>
        <w:spacing w:before="56"/>
        <w:ind w:left="557" w:right="0" w:firstLine="0"/>
        <w:jc w:val="left"/>
        <w:rPr>
          <w:rFonts w:ascii="Symbol" w:hAnsi="Symbol" w:cs="Symbol" w:eastAsia="Symbol" w:hint="default"/>
          <w:sz w:val="25"/>
          <w:szCs w:val="25"/>
        </w:rPr>
      </w:pPr>
      <w:r>
        <w:rPr>
          <w:rFonts w:ascii="Times New Roman" w:hAnsi="Times New Roman" w:cs="Times New Roman" w:eastAsia="Times New Roman" w:hint="default"/>
          <w:i/>
          <w:spacing w:val="-3"/>
          <w:w w:val="105"/>
          <w:sz w:val="24"/>
          <w:szCs w:val="24"/>
        </w:rPr>
        <w:t>R</w:t>
      </w:r>
      <w:r>
        <w:rPr>
          <w:rFonts w:ascii="Times New Roman" w:hAnsi="Times New Roman" w:cs="Times New Roman" w:eastAsia="Times New Roman" w:hint="default"/>
          <w:i/>
          <w:spacing w:val="-3"/>
          <w:w w:val="105"/>
          <w:position w:val="-5"/>
          <w:sz w:val="14"/>
          <w:szCs w:val="14"/>
        </w:rPr>
        <w:t>e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Times New Roman" w:hAnsi="Times New Roman" w:cs="Times New Roman" w:eastAsia="Times New Roman" w:hint="default"/>
          <w:i/>
          <w:spacing w:val="10"/>
          <w:w w:val="105"/>
          <w:sz w:val="24"/>
          <w:szCs w:val="24"/>
        </w:rPr>
        <w:t>R</w:t>
      </w:r>
      <w:r>
        <w:rPr>
          <w:rFonts w:ascii="Times New Roman" w:hAnsi="Times New Roman" w:cs="Times New Roman" w:eastAsia="Times New Roman" w:hint="default"/>
          <w:i/>
          <w:spacing w:val="10"/>
          <w:w w:val="105"/>
          <w:position w:val="-5"/>
          <w:sz w:val="14"/>
          <w:szCs w:val="14"/>
        </w:rPr>
        <w:t>f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Symbol" w:hAnsi="Symbol" w:cs="Symbol" w:eastAsia="Symbol" w:hint="default"/>
          <w:i/>
          <w:spacing w:val="6"/>
          <w:w w:val="105"/>
          <w:sz w:val="25"/>
          <w:szCs w:val="25"/>
        </w:rPr>
        <w:t></w:t>
      </w:r>
      <w:r>
        <w:rPr>
          <w:rFonts w:ascii="Times New Roman" w:hAnsi="Times New Roman" w:cs="Times New Roman" w:eastAsia="Times New Roman" w:hint="default"/>
          <w:i/>
          <w:spacing w:val="6"/>
          <w:w w:val="105"/>
          <w:position w:val="-5"/>
          <w:sz w:val="14"/>
          <w:szCs w:val="14"/>
        </w:rPr>
        <w:t>e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Times New Roman" w:hAnsi="Times New Roman" w:cs="Times New Roman" w:eastAsia="Times New Roman" w:hint="default"/>
          <w:i/>
          <w:spacing w:val="-8"/>
          <w:w w:val="105"/>
          <w:sz w:val="24"/>
          <w:szCs w:val="24"/>
        </w:rPr>
        <w:t>MRP </w:t>
      </w:r>
      <w:r>
        <w:rPr>
          <w:rFonts w:ascii="Symbol" w:hAnsi="Symbol" w:cs="Symbol" w:eastAsia="Symbol" w:hint="default"/>
          <w:w w:val="105"/>
          <w:sz w:val="24"/>
          <w:szCs w:val="24"/>
        </w:rPr>
        <w:t></w:t>
      </w:r>
      <w:r>
        <w:rPr>
          <w:rFonts w:ascii="Symbol" w:hAnsi="Symbol" w:cs="Symbol" w:eastAsia="Symbol" w:hint="default"/>
          <w:spacing w:val="-23"/>
          <w:w w:val="105"/>
          <w:sz w:val="24"/>
          <w:szCs w:val="24"/>
        </w:rPr>
        <w:t></w:t>
      </w:r>
      <w:r>
        <w:rPr>
          <w:rFonts w:ascii="Times New Roman" w:hAnsi="Times New Roman" w:cs="Times New Roman" w:eastAsia="Times New Roman" w:hint="default"/>
          <w:spacing w:val="-23"/>
          <w:w w:val="105"/>
          <w:sz w:val="24"/>
          <w:szCs w:val="24"/>
        </w:rPr>
      </w:r>
      <w:r>
        <w:rPr>
          <w:rFonts w:ascii="Symbol" w:hAnsi="Symbol" w:cs="Symbol" w:eastAsia="Symbol" w:hint="default"/>
          <w:i/>
          <w:w w:val="105"/>
          <w:sz w:val="25"/>
          <w:szCs w:val="25"/>
        </w:rPr>
        <w:t></w:t>
      </w:r>
      <w:r>
        <w:rPr>
          <w:rFonts w:ascii="Symbol" w:hAnsi="Symbol" w:cs="Symbol" w:eastAsia="Symbol" w:hint="default"/>
          <w:w w:val="105"/>
          <w:sz w:val="25"/>
          <w:szCs w:val="25"/>
        </w:rPr>
      </w:r>
    </w:p>
    <w:p>
      <w:pPr>
        <w:spacing w:line="240" w:lineRule="auto" w:before="8"/>
        <w:rPr>
          <w:rFonts w:ascii="Symbol" w:hAnsi="Symbol" w:cs="Symbol" w:eastAsia="Symbol" w:hint="default"/>
          <w:i/>
          <w:sz w:val="14"/>
          <w:szCs w:val="14"/>
        </w:rPr>
      </w:pPr>
    </w:p>
    <w:p>
      <w:pPr>
        <w:pStyle w:val="BodyText"/>
        <w:spacing w:line="240" w:lineRule="auto" w:before="44"/>
        <w:ind w:left="514" w:right="0"/>
        <w:jc w:val="left"/>
      </w:pPr>
      <w:r>
        <w:rPr/>
        <w:t>式中：</w:t>
      </w:r>
    </w:p>
    <w:p>
      <w:pPr>
        <w:spacing w:line="240" w:lineRule="auto" w:before="7"/>
        <w:rPr>
          <w:rFonts w:ascii="宋体" w:hAnsi="宋体" w:cs="宋体" w:eastAsia="宋体" w:hint="default"/>
          <w:sz w:val="16"/>
          <w:szCs w:val="16"/>
        </w:rPr>
      </w:pPr>
    </w:p>
    <w:p>
      <w:pPr>
        <w:spacing w:before="0"/>
        <w:ind w:left="558" w:right="0" w:firstLine="0"/>
        <w:jc w:val="left"/>
        <w:rPr>
          <w:rFonts w:ascii="宋体" w:hAnsi="宋体" w:cs="宋体" w:eastAsia="宋体" w:hint="default"/>
          <w:sz w:val="18"/>
          <w:szCs w:val="18"/>
        </w:rPr>
      </w:pPr>
      <w:r>
        <w:rPr>
          <w:rFonts w:ascii="Times New Roman" w:hAnsi="Times New Roman" w:cs="Times New Roman" w:eastAsia="Times New Roman" w:hint="default"/>
          <w:i/>
          <w:spacing w:val="13"/>
          <w:position w:val="14"/>
          <w:sz w:val="24"/>
          <w:szCs w:val="24"/>
        </w:rPr>
        <w:t>R</w:t>
      </w:r>
      <w:r>
        <w:rPr>
          <w:rFonts w:ascii="Times New Roman" w:hAnsi="Times New Roman" w:cs="Times New Roman" w:eastAsia="Times New Roman" w:hint="default"/>
          <w:i/>
          <w:spacing w:val="13"/>
          <w:position w:val="8"/>
          <w:sz w:val="14"/>
          <w:szCs w:val="14"/>
        </w:rPr>
        <w:t>f</w:t>
      </w:r>
      <w:r>
        <w:rPr>
          <w:rFonts w:ascii="Times New Roman" w:hAnsi="Times New Roman" w:cs="Times New Roman" w:eastAsia="Times New Roman" w:hint="default"/>
          <w:i/>
          <w:spacing w:val="51"/>
          <w:position w:val="8"/>
          <w:sz w:val="14"/>
          <w:szCs w:val="14"/>
        </w:rPr>
        <w:t> </w:t>
      </w:r>
      <w:r>
        <w:rPr>
          <w:rFonts w:ascii="宋体" w:hAnsi="宋体" w:cs="宋体" w:eastAsia="宋体" w:hint="default"/>
          <w:sz w:val="18"/>
          <w:szCs w:val="18"/>
        </w:rPr>
        <w:t>：无风险报酬率；</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Heading6"/>
        <w:spacing w:line="240" w:lineRule="auto" w:before="68"/>
        <w:ind w:right="-9"/>
        <w:jc w:val="left"/>
        <w:rPr>
          <w:i w:val="0"/>
        </w:rPr>
      </w:pPr>
      <w:r>
        <w:rPr>
          <w:i/>
          <w:spacing w:val="-5"/>
        </w:rPr>
        <w:t>MRP</w:t>
      </w:r>
      <w:r>
        <w:rPr>
          <w:i w:val="0"/>
          <w:spacing w:val="-5"/>
        </w:rPr>
      </w:r>
    </w:p>
    <w:p>
      <w:pPr>
        <w:spacing w:line="240" w:lineRule="auto" w:before="3"/>
        <w:rPr>
          <w:rFonts w:ascii="Times New Roman" w:hAnsi="Times New Roman" w:cs="Times New Roman" w:eastAsia="Times New Roman" w:hint="default"/>
          <w:i/>
          <w:sz w:val="19"/>
          <w:szCs w:val="19"/>
        </w:rPr>
      </w:pPr>
      <w:r>
        <w:rPr/>
        <w:br w:type="column"/>
      </w:r>
      <w:r>
        <w:rPr>
          <w:rFonts w:ascii="Times New Roman"/>
          <w:i/>
          <w:sz w:val="19"/>
        </w:rPr>
      </w:r>
    </w:p>
    <w:p>
      <w:pPr>
        <w:pStyle w:val="BodyText"/>
        <w:spacing w:line="240" w:lineRule="auto"/>
        <w:ind w:left="30" w:right="0"/>
        <w:jc w:val="left"/>
      </w:pPr>
      <w:r>
        <w:rPr/>
        <w:t>：市场风险溢价；</w:t>
      </w:r>
    </w:p>
    <w:p>
      <w:pPr>
        <w:spacing w:after="0" w:line="240" w:lineRule="auto"/>
        <w:jc w:val="left"/>
        <w:sectPr>
          <w:type w:val="continuous"/>
          <w:pgSz w:w="11910" w:h="16840"/>
          <w:pgMar w:top="1060" w:bottom="1160" w:left="980" w:right="0"/>
          <w:cols w:num="2" w:equalWidth="0">
            <w:col w:w="1044" w:space="40"/>
            <w:col w:w="9846"/>
          </w:cols>
        </w:sectPr>
      </w:pPr>
    </w:p>
    <w:p>
      <w:pPr>
        <w:spacing w:line="240" w:lineRule="auto" w:before="13"/>
        <w:rPr>
          <w:rFonts w:ascii="宋体" w:hAnsi="宋体" w:cs="宋体" w:eastAsia="宋体" w:hint="default"/>
          <w:sz w:val="9"/>
          <w:szCs w:val="9"/>
        </w:rPr>
      </w:pPr>
    </w:p>
    <w:p>
      <w:pPr>
        <w:pStyle w:val="BodyText"/>
        <w:spacing w:line="240" w:lineRule="auto" w:before="44"/>
        <w:ind w:left="514" w:right="0"/>
        <w:jc w:val="left"/>
      </w:pPr>
      <w:r>
        <w:rPr>
          <w:rFonts w:ascii="Arial" w:hAnsi="Arial" w:cs="Arial" w:eastAsia="Arial" w:hint="default"/>
        </w:rPr>
        <w:t>ε</w:t>
      </w:r>
      <w:r>
        <w:rPr>
          <w:rFonts w:ascii="Arial" w:hAnsi="Arial" w:cs="Arial" w:eastAsia="Arial" w:hint="default"/>
          <w:spacing w:val="49"/>
        </w:rPr>
        <w:t> </w:t>
      </w:r>
      <w:r>
        <w:rPr/>
        <w:t>：评估对象的特定风险调整系数；</w:t>
      </w:r>
    </w:p>
    <w:p>
      <w:pPr>
        <w:spacing w:line="240" w:lineRule="auto" w:before="9"/>
        <w:rPr>
          <w:rFonts w:ascii="宋体" w:hAnsi="宋体" w:cs="宋体" w:eastAsia="宋体" w:hint="default"/>
          <w:sz w:val="14"/>
          <w:szCs w:val="14"/>
        </w:rPr>
      </w:pPr>
    </w:p>
    <w:p>
      <w:pPr>
        <w:pStyle w:val="BodyText"/>
        <w:spacing w:line="240" w:lineRule="auto"/>
        <w:ind w:left="553" w:right="0"/>
        <w:jc w:val="left"/>
      </w:pPr>
      <w:r>
        <w:rPr>
          <w:rFonts w:ascii="Symbol" w:hAnsi="Symbol" w:cs="Symbol" w:eastAsia="Symbol" w:hint="default"/>
          <w:i/>
          <w:position w:val="12"/>
          <w:sz w:val="25"/>
          <w:szCs w:val="25"/>
        </w:rPr>
        <w:t></w:t>
      </w:r>
      <w:r>
        <w:rPr>
          <w:rFonts w:ascii="Symbol" w:hAnsi="Symbol" w:cs="Symbol" w:eastAsia="Symbol" w:hint="default"/>
          <w:i/>
          <w:spacing w:val="-47"/>
          <w:position w:val="12"/>
          <w:sz w:val="25"/>
          <w:szCs w:val="25"/>
        </w:rPr>
        <w:t></w:t>
      </w:r>
      <w:r>
        <w:rPr>
          <w:rFonts w:ascii="Times New Roman" w:hAnsi="Times New Roman" w:cs="Times New Roman" w:eastAsia="Times New Roman" w:hint="default"/>
          <w:i/>
          <w:spacing w:val="-47"/>
          <w:position w:val="12"/>
          <w:sz w:val="25"/>
          <w:szCs w:val="25"/>
        </w:rPr>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
          <w:position w:val="6"/>
          <w:sz w:val="14"/>
          <w:szCs w:val="14"/>
        </w:rPr>
        <w:t> </w:t>
      </w:r>
      <w:r>
        <w:rPr/>
        <w:t>：评估对象权益资本的预期市场风险系数；</w:t>
      </w:r>
    </w:p>
    <w:p>
      <w:pPr>
        <w:spacing w:line="240" w:lineRule="auto" w:before="1"/>
        <w:rPr>
          <w:rFonts w:ascii="宋体" w:hAnsi="宋体" w:cs="宋体" w:eastAsia="宋体" w:hint="default"/>
          <w:sz w:val="8"/>
          <w:szCs w:val="8"/>
        </w:rPr>
      </w:pPr>
    </w:p>
    <w:p>
      <w:pPr>
        <w:spacing w:line="366" w:lineRule="exact" w:before="69"/>
        <w:ind w:left="0" w:right="7439" w:firstLine="0"/>
        <w:jc w:val="center"/>
        <w:rPr>
          <w:rFonts w:ascii="Times New Roman" w:hAnsi="Times New Roman" w:cs="Times New Roman" w:eastAsia="Times New Roman" w:hint="default"/>
          <w:sz w:val="24"/>
          <w:szCs w:val="24"/>
        </w:rPr>
      </w:pPr>
      <w:r>
        <w:rPr/>
        <w:pict>
          <v:group style="position:absolute;margin-left:180.209442pt;margin-top:19.167383pt;width:10.7pt;height:.1pt;mso-position-horizontal-relative:page;mso-position-vertical-relative:paragraph;z-index:-1708096" coordorigin="3604,383" coordsize="214,2">
            <v:shape style="position:absolute;left:3604;top:383;width:214;height:2" coordorigin="3604,383" coordsize="214,0" path="m3604,383l3817,383e" filled="false" stroked="true" strokeweight=".494602pt" strokecolor="#000000">
              <v:path arrowok="t"/>
            </v:shape>
            <w10:wrap type="none"/>
          </v:group>
        </w:pict>
      </w:r>
      <w:r>
        <w:rPr>
          <w:rFonts w:ascii="Symbol" w:hAnsi="Symbol" w:cs="Symbol" w:eastAsia="Symbol" w:hint="default"/>
          <w:i/>
          <w:sz w:val="25"/>
          <w:szCs w:val="25"/>
        </w:rPr>
        <w:t></w:t>
      </w:r>
      <w:r>
        <w:rPr>
          <w:rFonts w:ascii="Symbol" w:hAnsi="Symbol" w:cs="Symbol" w:eastAsia="Symbol" w:hint="default"/>
          <w:i/>
          <w:spacing w:val="61"/>
          <w:sz w:val="25"/>
          <w:szCs w:val="25"/>
        </w:rPr>
        <w:t></w:t>
      </w:r>
      <w:r>
        <w:rPr>
          <w:rFonts w:ascii="Times New Roman" w:hAnsi="Times New Roman" w:cs="Times New Roman" w:eastAsia="Times New Roman" w:hint="default"/>
          <w:i/>
          <w:spacing w:val="61"/>
          <w:sz w:val="25"/>
          <w:szCs w:val="25"/>
        </w:rPr>
      </w:r>
      <w:r>
        <w:rPr>
          <w:rFonts w:ascii="Symbol" w:hAnsi="Symbol" w:cs="Symbol" w:eastAsia="Symbol" w:hint="default"/>
          <w:sz w:val="24"/>
          <w:szCs w:val="24"/>
        </w:rPr>
        <w:t></w:t>
      </w:r>
      <w:r>
        <w:rPr>
          <w:rFonts w:ascii="Symbol" w:hAnsi="Symbol" w:cs="Symbol" w:eastAsia="Symbol" w:hint="default"/>
          <w:spacing w:val="8"/>
          <w:sz w:val="24"/>
          <w:szCs w:val="24"/>
        </w:rPr>
        <w:t></w:t>
      </w:r>
      <w:r>
        <w:rPr>
          <w:rFonts w:ascii="Times New Roman" w:hAnsi="Times New Roman" w:cs="Times New Roman" w:eastAsia="Times New Roman" w:hint="default"/>
          <w:spacing w:val="8"/>
          <w:sz w:val="24"/>
          <w:szCs w:val="24"/>
        </w:rPr>
      </w:r>
      <w:r>
        <w:rPr>
          <w:rFonts w:ascii="Symbol" w:hAnsi="Symbol" w:cs="Symbol" w:eastAsia="Symbol" w:hint="default"/>
          <w:i/>
          <w:sz w:val="25"/>
          <w:szCs w:val="25"/>
        </w:rPr>
        <w:t></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13"/>
          <w:sz w:val="24"/>
          <w:szCs w:val="24"/>
        </w:rPr>
        <w:t> </w:t>
      </w:r>
      <w:r>
        <w:rPr>
          <w:rFonts w:ascii="Symbol" w:hAnsi="Symbol" w:cs="Symbol" w:eastAsia="Symbol" w:hint="default"/>
          <w:sz w:val="24"/>
          <w:szCs w:val="24"/>
        </w:rPr>
        <w:t></w:t>
      </w:r>
      <w:r>
        <w:rPr>
          <w:rFonts w:ascii="Symbol" w:hAnsi="Symbol" w:cs="Symbol" w:eastAsia="Symbol" w:hint="default"/>
          <w:spacing w:val="-24"/>
          <w:sz w:val="24"/>
          <w:szCs w:val="24"/>
        </w:rPr>
        <w:t></w:t>
      </w:r>
      <w:r>
        <w:rPr>
          <w:rFonts w:ascii="Times New Roman" w:hAnsi="Times New Roman" w:cs="Times New Roman" w:eastAsia="Times New Roman" w:hint="default"/>
          <w:spacing w:val="-24"/>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12"/>
          <w:sz w:val="24"/>
          <w:szCs w:val="24"/>
        </w:rPr>
        <w:t></w:t>
      </w:r>
      <w:r>
        <w:rPr>
          <w:rFonts w:ascii="Times New Roman" w:hAnsi="Times New Roman" w:cs="Times New Roman" w:eastAsia="Times New Roman" w:hint="default"/>
          <w:spacing w:val="-12"/>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21"/>
          <w:sz w:val="24"/>
          <w:szCs w:val="24"/>
        </w:rPr>
        <w:t></w:t>
      </w:r>
      <w:r>
        <w:rPr>
          <w:rFonts w:ascii="Times New Roman" w:hAnsi="Times New Roman" w:cs="Times New Roman" w:eastAsia="Times New Roman" w:hint="default"/>
          <w:spacing w:val="-21"/>
          <w:sz w:val="24"/>
          <w:szCs w:val="24"/>
        </w:rPr>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8"/>
          <w:sz w:val="24"/>
          <w:szCs w:val="24"/>
        </w:rPr>
        <w:t> </w:t>
      </w:r>
      <w:r>
        <w:rPr>
          <w:rFonts w:ascii="Symbol" w:hAnsi="Symbol" w:cs="Symbol" w:eastAsia="Symbol" w:hint="default"/>
          <w:sz w:val="24"/>
          <w:szCs w:val="24"/>
        </w:rPr>
        <w:t></w:t>
      </w:r>
      <w:r>
        <w:rPr>
          <w:rFonts w:ascii="Symbol" w:hAnsi="Symbol" w:cs="Symbol" w:eastAsia="Symbol" w:hint="default"/>
          <w:spacing w:val="9"/>
          <w:sz w:val="24"/>
          <w:szCs w:val="24"/>
        </w:rPr>
        <w:t></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i/>
          <w:position w:val="15"/>
          <w:sz w:val="24"/>
          <w:szCs w:val="24"/>
        </w:rPr>
        <w:t>D</w:t>
      </w:r>
      <w:r>
        <w:rPr>
          <w:rFonts w:ascii="Times New Roman" w:hAnsi="Times New Roman" w:cs="Times New Roman" w:eastAsia="Times New Roman" w:hint="default"/>
          <w:i/>
          <w:spacing w:val="-37"/>
          <w:position w:val="15"/>
          <w:sz w:val="24"/>
          <w:szCs w:val="24"/>
        </w:rPr>
        <w:t> </w:t>
      </w:r>
      <w:r>
        <w:rPr>
          <w:rFonts w:ascii="Times New Roman" w:hAnsi="Times New Roman" w:cs="Times New Roman" w:eastAsia="Times New Roman" w:hint="default"/>
          <w:sz w:val="24"/>
          <w:szCs w:val="24"/>
        </w:rPr>
        <w:t>)</w:t>
      </w:r>
    </w:p>
    <w:p>
      <w:pPr>
        <w:tabs>
          <w:tab w:pos="1950" w:val="left" w:leader="none"/>
        </w:tabs>
        <w:spacing w:line="250" w:lineRule="exact" w:before="0"/>
        <w:ind w:left="0" w:right="7410" w:firstLine="0"/>
        <w:jc w:val="center"/>
        <w:rPr>
          <w:rFonts w:ascii="Times New Roman" w:hAnsi="Times New Roman" w:cs="Times New Roman" w:eastAsia="Times New Roman" w:hint="default"/>
          <w:sz w:val="24"/>
          <w:szCs w:val="24"/>
        </w:rPr>
      </w:pPr>
      <w:r>
        <w:rPr>
          <w:rFonts w:ascii="Times New Roman"/>
          <w:i/>
          <w:sz w:val="14"/>
        </w:rPr>
        <w:t>e</w:t>
        <w:tab/>
      </w:r>
      <w:r>
        <w:rPr>
          <w:rFonts w:ascii="Times New Roman"/>
          <w:i/>
          <w:position w:val="-12"/>
          <w:sz w:val="24"/>
        </w:rPr>
        <w:t>E</w:t>
      </w:r>
      <w:r>
        <w:rPr>
          <w:rFonts w:ascii="Times New Roman"/>
          <w:sz w:val="24"/>
        </w:rPr>
      </w:r>
    </w:p>
    <w:p>
      <w:pPr>
        <w:pStyle w:val="BodyText"/>
        <w:spacing w:line="357" w:lineRule="auto" w:before="140"/>
        <w:ind w:left="514" w:right="6323"/>
        <w:jc w:val="left"/>
      </w:pPr>
      <w:r>
        <w:rPr/>
        <w:t>式中：</w:t>
      </w:r>
      <w:r>
        <w:rPr>
          <w:spacing w:val="-53"/>
        </w:rPr>
        <w:t> </w:t>
      </w:r>
      <w:r>
        <w:rPr>
          <w:rFonts w:ascii="Symbol" w:hAnsi="Symbol" w:cs="Symbol" w:eastAsia="Symbol" w:hint="default"/>
          <w:i/>
          <w:spacing w:val="3"/>
          <w:position w:val="10"/>
          <w:sz w:val="24"/>
          <w:szCs w:val="24"/>
        </w:rPr>
        <w:t></w:t>
      </w:r>
      <w:r>
        <w:rPr>
          <w:rFonts w:ascii="Times New Roman" w:hAnsi="Times New Roman" w:cs="Times New Roman" w:eastAsia="Times New Roman" w:hint="default"/>
          <w:i/>
          <w:spacing w:val="3"/>
          <w:position w:val="10"/>
          <w:sz w:val="23"/>
          <w:szCs w:val="23"/>
        </w:rPr>
        <w:t>t</w:t>
      </w:r>
      <w:r>
        <w:rPr>
          <w:rFonts w:ascii="Times New Roman" w:hAnsi="Times New Roman" w:cs="Times New Roman" w:eastAsia="Times New Roman" w:hint="default"/>
          <w:i/>
          <w:spacing w:val="-7"/>
          <w:position w:val="10"/>
          <w:sz w:val="23"/>
          <w:szCs w:val="23"/>
        </w:rPr>
        <w:t> </w:t>
      </w:r>
      <w:r>
        <w:rPr/>
        <w:t>为可比公司的预期无杠杆市场风险系数； </w:t>
      </w:r>
      <w:r>
        <w:rPr>
          <w:rFonts w:ascii="Times New Roman" w:hAnsi="Times New Roman" w:cs="Times New Roman" w:eastAsia="Times New Roman" w:hint="default"/>
        </w:rPr>
        <w:t>D</w:t>
      </w:r>
      <w:r>
        <w:rPr/>
        <w:t>、</w:t>
      </w:r>
      <w:r>
        <w:rPr>
          <w:rFonts w:ascii="Times New Roman" w:hAnsi="Times New Roman" w:cs="Times New Roman" w:eastAsia="Times New Roman" w:hint="default"/>
        </w:rPr>
        <w:t>E</w:t>
      </w:r>
      <w:r>
        <w:rPr/>
        <w:t>：分别为付息债务与权益资本。 分析</w:t>
      </w:r>
      <w:r>
        <w:rPr>
          <w:rFonts w:ascii="Times New Roman" w:hAnsi="Times New Roman" w:cs="Times New Roman" w:eastAsia="Times New Roman" w:hint="default"/>
        </w:rPr>
        <w:t>CAPM</w:t>
      </w:r>
      <w:r>
        <w:rPr/>
        <w:t>我们采用以下几步：</w:t>
      </w:r>
    </w:p>
    <w:p>
      <w:pPr>
        <w:pStyle w:val="BodyText"/>
        <w:spacing w:line="240" w:lineRule="auto" w:before="4"/>
        <w:ind w:left="514" w:right="0"/>
        <w:jc w:val="left"/>
      </w:pPr>
      <w:r>
        <w:rPr/>
        <w:t>②无风险报酬率</w:t>
      </w:r>
    </w:p>
    <w:p>
      <w:pPr>
        <w:pStyle w:val="BodyText"/>
        <w:spacing w:line="240" w:lineRule="auto" w:before="116"/>
        <w:ind w:left="514" w:right="0"/>
        <w:jc w:val="left"/>
      </w:pPr>
      <w:r>
        <w:rPr/>
        <w:t>根据</w:t>
      </w:r>
      <w:r>
        <w:rPr>
          <w:spacing w:val="-47"/>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12"/>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1"/>
        </w:rPr>
        <w:t> </w:t>
      </w:r>
      <w:r>
        <w:rPr/>
        <w:t>的研究，一般会把作为无风险资产的零违约证券的久期，设为现金流的久期。国际上，企业价</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214" w:right="1118"/>
        <w:jc w:val="left"/>
      </w:pPr>
      <w:r>
        <w:rPr/>
        <w:t>值评估中最常选用的年限为</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年期债券利率作为无风险利率。经查中国债券信息网最新</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3"/>
        </w:rPr>
        <w:t>年期的、可以市场交易的国债平</w:t>
      </w:r>
      <w:r>
        <w:rPr/>
        <w:t> 均到期实际收益率为</w:t>
      </w:r>
      <w:r>
        <w:rPr>
          <w:spacing w:val="-46"/>
        </w:rPr>
        <w:t> </w:t>
      </w:r>
      <w:r>
        <w:rPr>
          <w:rFonts w:ascii="Times New Roman" w:hAnsi="Times New Roman" w:cs="Times New Roman" w:eastAsia="Times New Roman" w:hint="default"/>
        </w:rPr>
        <w:t>3.40%</w:t>
      </w:r>
      <w:r>
        <w:rPr/>
        <w:t>。</w:t>
      </w:r>
    </w:p>
    <w:p>
      <w:pPr>
        <w:pStyle w:val="BodyText"/>
        <w:spacing w:line="240" w:lineRule="auto" w:before="50"/>
        <w:ind w:left="574" w:right="456"/>
        <w:jc w:val="left"/>
      </w:pPr>
      <w:r>
        <w:rPr/>
        <w:t>③市场风险溢价</w:t>
      </w:r>
      <w:r>
        <w:rPr>
          <w:rFonts w:ascii="Times New Roman" w:hAnsi="Times New Roman" w:cs="Times New Roman" w:eastAsia="Times New Roman" w:hint="default"/>
        </w:rPr>
        <w:t>MRP</w:t>
      </w:r>
      <w:r>
        <w:rPr/>
        <w:t>的确定</w:t>
      </w:r>
    </w:p>
    <w:p>
      <w:pPr>
        <w:pStyle w:val="BodyText"/>
        <w:spacing w:line="309" w:lineRule="auto" w:before="102"/>
        <w:ind w:left="214" w:right="1131" w:firstLine="360"/>
        <w:jc w:val="both"/>
      </w:pPr>
      <w:r>
        <w:rPr/>
        <w:t>市场风险溢价（</w:t>
      </w:r>
      <w:r>
        <w:rPr>
          <w:rFonts w:ascii="Times New Roman" w:hAnsi="Times New Roman" w:cs="Times New Roman" w:eastAsia="Times New Roman" w:hint="default"/>
        </w:rPr>
        <w:t>Equity Risk</w:t>
      </w:r>
      <w:r>
        <w:rPr>
          <w:rFonts w:ascii="Times New Roman" w:hAnsi="Times New Roman" w:cs="Times New Roman" w:eastAsia="Times New Roman" w:hint="default"/>
          <w:spacing w:val="25"/>
        </w:rPr>
        <w:t> </w:t>
      </w:r>
      <w:r>
        <w:rPr>
          <w:rFonts w:ascii="Times New Roman" w:hAnsi="Times New Roman" w:cs="Times New Roman" w:eastAsia="Times New Roman" w:hint="default"/>
        </w:rPr>
        <w:t>Premiums,ERP</w:t>
      </w:r>
      <w:r>
        <w:rPr/>
        <w:t>）是预期市场证券组合收益率与无风险利率之间的差额。在成熟资本市场， </w:t>
      </w:r>
      <w:r>
        <w:rPr>
          <w:spacing w:val="-2"/>
        </w:rPr>
        <w:t>由于有较长期的历史统计数据，市场总体的市场风险溢价可以直接通过分析历史数据得到，因此国际上新兴市场的风险溢价</w:t>
      </w:r>
      <w:r>
        <w:rPr>
          <w:spacing w:val="-64"/>
        </w:rPr>
        <w:t> </w:t>
      </w:r>
      <w:r>
        <w:rPr>
          <w:spacing w:val="-64"/>
        </w:rPr>
      </w:r>
      <w:r>
        <w:rPr/>
        <w:t>通常也可以采用成熟市场的风险溢价进行调整后确定。</w:t>
      </w:r>
    </w:p>
    <w:p>
      <w:pPr>
        <w:pStyle w:val="BodyText"/>
        <w:spacing w:line="302" w:lineRule="auto" w:before="62"/>
        <w:ind w:left="214" w:right="1130" w:firstLine="360"/>
        <w:jc w:val="both"/>
      </w:pPr>
      <w:r>
        <w:rPr/>
        <w:t>本次评估中采用美国纽约大学斯特恩商学院著名金融学教授、估值专家</w:t>
      </w:r>
      <w:r>
        <w:rPr>
          <w:spacing w:val="-46"/>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13"/>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1"/>
        </w:rPr>
        <w:t> </w:t>
      </w:r>
      <w:r>
        <w:rPr/>
        <w:t>的方法，通过在成熟股票市 场风险溢价的基础上进行信用违约风险息差调整得到市场风险溢价。具体计算过程如下：</w:t>
      </w:r>
    </w:p>
    <w:p>
      <w:pPr>
        <w:pStyle w:val="BodyText"/>
        <w:spacing w:line="338" w:lineRule="auto" w:before="69"/>
        <w:ind w:left="574" w:right="1120"/>
        <w:jc w:val="left"/>
      </w:pPr>
      <w:r>
        <w:rPr/>
        <w:t>市场风险溢价</w:t>
      </w:r>
      <w:r>
        <w:rPr>
          <w:rFonts w:ascii="Times New Roman" w:hAnsi="Times New Roman" w:cs="Times New Roman" w:eastAsia="Times New Roman" w:hint="default"/>
        </w:rPr>
        <w:t>=</w:t>
      </w:r>
      <w:r>
        <w:rPr/>
        <w:t>成熟股票市场的风险溢价</w:t>
      </w:r>
      <w:r>
        <w:rPr>
          <w:rFonts w:ascii="Times New Roman" w:hAnsi="Times New Roman" w:cs="Times New Roman" w:eastAsia="Times New Roman" w:hint="default"/>
        </w:rPr>
        <w:t>+</w:t>
      </w:r>
      <w:r>
        <w:rPr/>
        <w:t>国家风险溢价补偿 成熟股票市场的风险溢价：美国股票市场是世界上成熟股票市场的最典型代表，</w:t>
      </w:r>
      <w:r>
        <w:rPr>
          <w:rFonts w:ascii="Times New Roman" w:hAnsi="Times New Roman" w:cs="Times New Roman" w:eastAsia="Times New Roman" w:hint="default"/>
        </w:rPr>
        <w:t>Aswath</w:t>
      </w:r>
      <w:r>
        <w:rPr>
          <w:rFonts w:ascii="Times New Roman" w:hAnsi="Times New Roman" w:cs="Times New Roman" w:eastAsia="Times New Roman" w:hint="default"/>
          <w:spacing w:val="-9"/>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9"/>
        </w:rPr>
        <w:t> </w:t>
      </w:r>
      <w:r>
        <w:rPr/>
        <w:t>采用</w:t>
      </w:r>
      <w:r>
        <w:rPr>
          <w:spacing w:val="-55"/>
        </w:rPr>
        <w:t> </w:t>
      </w:r>
      <w:r>
        <w:rPr>
          <w:rFonts w:ascii="Times New Roman" w:hAnsi="Times New Roman" w:cs="Times New Roman" w:eastAsia="Times New Roman" w:hint="default"/>
        </w:rPr>
        <w:t>1928</w:t>
      </w:r>
      <w:r>
        <w:rPr>
          <w:rFonts w:ascii="Times New Roman" w:hAnsi="Times New Roman" w:cs="Times New Roman" w:eastAsia="Times New Roman" w:hint="default"/>
          <w:spacing w:val="-10"/>
        </w:rPr>
        <w:t> </w:t>
      </w:r>
      <w:r>
        <w:rPr/>
        <w:t>年至今美</w:t>
      </w:r>
    </w:p>
    <w:p>
      <w:pPr>
        <w:pStyle w:val="BodyText"/>
        <w:spacing w:line="231" w:lineRule="exact"/>
        <w:ind w:left="214" w:right="456"/>
        <w:jc w:val="left"/>
      </w:pPr>
      <w:r>
        <w:rPr/>
        <w:t>国股票市场标准普尔</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指数和国债收益率数据，经计算得到截至目前美国股票与国债的算术平均收益差为</w:t>
      </w:r>
      <w:r>
        <w:rPr>
          <w:spacing w:val="-45"/>
        </w:rPr>
        <w:t> </w:t>
      </w:r>
      <w:r>
        <w:rPr>
          <w:rFonts w:ascii="Times New Roman" w:hAnsi="Times New Roman" w:cs="Times New Roman" w:eastAsia="Times New Roman" w:hint="default"/>
        </w:rPr>
        <w:t>6.37%</w:t>
      </w:r>
      <w:r>
        <w:rPr/>
        <w:t>。</w:t>
      </w:r>
    </w:p>
    <w:p>
      <w:pPr>
        <w:pStyle w:val="BodyText"/>
        <w:spacing w:line="309" w:lineRule="auto" w:before="101"/>
        <w:ind w:left="214" w:right="1130" w:firstLine="360"/>
        <w:jc w:val="both"/>
      </w:pPr>
      <w:r>
        <w:rPr/>
        <w:t>国家风险溢价补偿：</w:t>
      </w:r>
      <w:r>
        <w:rPr>
          <w:spacing w:val="-30"/>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9"/>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9"/>
        </w:rPr>
        <w:t> </w:t>
      </w:r>
      <w:r>
        <w:rPr/>
        <w:t>根据彭博数据库（</w:t>
      </w:r>
      <w:r>
        <w:rPr>
          <w:rFonts w:ascii="Times New Roman" w:hAnsi="Times New Roman" w:cs="Times New Roman" w:eastAsia="Times New Roman" w:hint="default"/>
        </w:rPr>
        <w:t>Bloomberg</w:t>
      </w:r>
      <w:r>
        <w:rPr/>
        <w:t>）发布的最新世界各国</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年期</w:t>
      </w:r>
      <w:r>
        <w:rPr>
          <w:spacing w:val="-54"/>
        </w:rPr>
        <w:t> </w:t>
      </w:r>
      <w:r>
        <w:rPr>
          <w:rFonts w:ascii="Times New Roman" w:hAnsi="Times New Roman" w:cs="Times New Roman" w:eastAsia="Times New Roman" w:hint="default"/>
        </w:rPr>
        <w:t>CDS</w:t>
      </w:r>
      <w:r>
        <w:rPr/>
        <w:t>（信用违约互</w:t>
      </w:r>
      <w:r>
        <w:rPr>
          <w:w w:val="99"/>
        </w:rPr>
        <w:t> </w:t>
      </w:r>
      <w:r>
        <w:rPr>
          <w:spacing w:val="-2"/>
        </w:rPr>
        <w:t>换）利率，计算得到中国相对于美国的信用违约风险息差，并结合中国股票市场相对于债券的收益率标准差，计算得出目前</w:t>
      </w:r>
      <w:r>
        <w:rPr>
          <w:spacing w:val="-67"/>
        </w:rPr>
        <w:t> </w:t>
      </w:r>
      <w:r>
        <w:rPr>
          <w:spacing w:val="-67"/>
        </w:rPr>
      </w:r>
      <w:r>
        <w:rPr/>
        <w:t>中国的国家风险溢价补偿约</w:t>
      </w:r>
      <w:r>
        <w:rPr>
          <w:spacing w:val="-47"/>
        </w:rPr>
        <w:t> </w:t>
      </w:r>
      <w:r>
        <w:rPr>
          <w:rFonts w:ascii="Times New Roman" w:hAnsi="Times New Roman" w:cs="Times New Roman" w:eastAsia="Times New Roman" w:hint="default"/>
        </w:rPr>
        <w:t>0.75%</w:t>
      </w:r>
      <w:r>
        <w:rPr/>
        <w:t>。</w:t>
      </w:r>
    </w:p>
    <w:p>
      <w:pPr>
        <w:pStyle w:val="BodyText"/>
        <w:spacing w:line="240" w:lineRule="auto" w:before="44"/>
        <w:ind w:left="574" w:right="456"/>
        <w:jc w:val="left"/>
        <w:rPr>
          <w:rFonts w:ascii="Times New Roman" w:hAnsi="Times New Roman" w:cs="Times New Roman" w:eastAsia="Times New Roman" w:hint="default"/>
        </w:rPr>
      </w:pPr>
      <w:r>
        <w:rPr/>
        <w:t>则：</w:t>
      </w:r>
      <w:r>
        <w:rPr>
          <w:rFonts w:ascii="Times New Roman" w:hAnsi="Times New Roman" w:cs="Times New Roman" w:eastAsia="Times New Roman" w:hint="default"/>
        </w:rPr>
        <w:t>ERP</w:t>
      </w:r>
      <w:r>
        <w:rPr>
          <w:rFonts w:ascii="Times New Roman" w:hAnsi="Times New Roman" w:cs="Times New Roman" w:eastAsia="Times New Roman" w:hint="default"/>
          <w:spacing w:val="-9"/>
        </w:rPr>
        <w:t> </w:t>
      </w:r>
      <w:r>
        <w:rPr>
          <w:rFonts w:ascii="Times New Roman" w:hAnsi="Times New Roman" w:cs="Times New Roman" w:eastAsia="Times New Roman" w:hint="default"/>
        </w:rPr>
        <w:t>=6.37%+0.75%</w:t>
      </w:r>
    </w:p>
    <w:p>
      <w:pPr>
        <w:pStyle w:val="BodyText"/>
        <w:spacing w:line="240" w:lineRule="auto" w:before="143"/>
        <w:ind w:left="1275" w:right="9104"/>
        <w:jc w:val="center"/>
        <w:rPr>
          <w:rFonts w:ascii="Times New Roman" w:hAnsi="Times New Roman" w:cs="Times New Roman" w:eastAsia="Times New Roman" w:hint="default"/>
        </w:rPr>
      </w:pPr>
      <w:r>
        <w:rPr>
          <w:rFonts w:ascii="Times New Roman"/>
        </w:rPr>
        <w:t>=7.12%</w:t>
      </w:r>
    </w:p>
    <w:p>
      <w:pPr>
        <w:pStyle w:val="BodyText"/>
        <w:spacing w:line="240" w:lineRule="auto" w:before="105"/>
        <w:ind w:left="574" w:right="456"/>
        <w:jc w:val="left"/>
      </w:pPr>
      <w:r>
        <w:rPr/>
        <w:t>即目前中国股权市场风险溢价约为</w:t>
      </w:r>
      <w:r>
        <w:rPr>
          <w:spacing w:val="-46"/>
        </w:rPr>
        <w:t> </w:t>
      </w:r>
      <w:r>
        <w:rPr>
          <w:rFonts w:ascii="Times New Roman" w:hAnsi="Times New Roman" w:cs="Times New Roman" w:eastAsia="Times New Roman" w:hint="default"/>
        </w:rPr>
        <w:t>7.12%</w:t>
      </w:r>
      <w:r>
        <w:rPr/>
        <w:t>。</w:t>
      </w:r>
    </w:p>
    <w:p>
      <w:pPr>
        <w:pStyle w:val="BodyText"/>
        <w:spacing w:line="357" w:lineRule="auto" w:before="102"/>
        <w:ind w:left="574" w:right="456"/>
        <w:jc w:val="left"/>
      </w:pPr>
      <w:r>
        <w:rPr/>
        <w:t>④贝塔值 </w:t>
      </w:r>
      <w:r>
        <w:rPr>
          <w:spacing w:val="-2"/>
        </w:rPr>
        <w:t>该系数是衡量委估企业相对于资本市场整体回报的风险溢价程度，也用来衡量个别股票受包括股市价格变动在内的整个</w:t>
      </w:r>
    </w:p>
    <w:p>
      <w:pPr>
        <w:pStyle w:val="BodyText"/>
        <w:spacing w:line="224" w:lineRule="exact"/>
        <w:ind w:left="214" w:right="456"/>
        <w:jc w:val="left"/>
      </w:pPr>
      <w:r>
        <w:rPr/>
        <w:t>经济环境影响程度的指标。由于委估企业目前为非上市公司，一般情况下难以直接对其测算出该系数指标值，通过选定与委</w:t>
      </w:r>
    </w:p>
    <w:p>
      <w:pPr>
        <w:pStyle w:val="Heading2"/>
        <w:spacing w:line="247" w:lineRule="exact" w:before="151"/>
        <w:ind w:left="1275" w:right="3333"/>
        <w:jc w:val="center"/>
        <w:rPr>
          <w:rFonts w:ascii="Symbol" w:hAnsi="Symbol" w:cs="Symbol" w:eastAsia="Symbol" w:hint="default"/>
          <w:i w:val="0"/>
        </w:rPr>
      </w:pPr>
      <w:r>
        <w:rPr>
          <w:rFonts w:ascii="Symbol" w:hAnsi="Symbol" w:cs="Symbol" w:eastAsia="Symbol" w:hint="default"/>
          <w:w w:val="94"/>
        </w:rPr>
        <w:t></w:t>
      </w:r>
      <w:r>
        <w:rPr>
          <w:rFonts w:ascii="Symbol" w:hAnsi="Symbol" w:cs="Symbol" w:eastAsia="Symbol" w:hint="default"/>
          <w:i w:val="0"/>
        </w:rPr>
      </w:r>
    </w:p>
    <w:p>
      <w:pPr>
        <w:pStyle w:val="BodyText"/>
        <w:spacing w:line="177" w:lineRule="exact"/>
        <w:ind w:left="214" w:right="456"/>
        <w:jc w:val="left"/>
      </w:pPr>
      <w:r>
        <w:rPr/>
        <w:t>估企业处于同行业的上市公司于基准日的</w:t>
      </w:r>
      <w:r>
        <w:rPr>
          <w:rFonts w:ascii="Arial" w:hAnsi="Arial" w:cs="Arial" w:eastAsia="Arial" w:hint="default"/>
        </w:rPr>
        <w:t>β  </w:t>
      </w:r>
      <w:r>
        <w:rPr/>
        <w:t>系数（即  </w:t>
      </w:r>
      <w:r>
        <w:rPr>
          <w:rFonts w:ascii="Times New Roman" w:hAnsi="Times New Roman" w:cs="Times New Roman" w:eastAsia="Times New Roman" w:hint="default"/>
          <w:i/>
          <w:position w:val="6"/>
          <w:sz w:val="14"/>
          <w:szCs w:val="14"/>
        </w:rPr>
        <w:t>t</w:t>
      </w:r>
      <w:r>
        <w:rPr>
          <w:rFonts w:ascii="Times New Roman" w:hAnsi="Times New Roman" w:cs="Times New Roman" w:eastAsia="Times New Roman" w:hint="default"/>
          <w:i/>
          <w:spacing w:val="11"/>
          <w:position w:val="6"/>
          <w:sz w:val="14"/>
          <w:szCs w:val="14"/>
        </w:rPr>
        <w:t> </w:t>
      </w:r>
      <w:r>
        <w:rPr/>
        <w:t>）指标平均值作为参照。</w:t>
      </w:r>
    </w:p>
    <w:p>
      <w:pPr>
        <w:pStyle w:val="BodyText"/>
        <w:spacing w:line="240" w:lineRule="auto" w:before="165"/>
        <w:ind w:left="574" w:right="456"/>
        <w:jc w:val="left"/>
      </w:pPr>
      <w:r>
        <w:rPr/>
        <w:t>目前中国国内同花顺资讯公司是一家从事于</w:t>
      </w:r>
      <w:r>
        <w:rPr>
          <w:rFonts w:ascii="Arial" w:hAnsi="Arial" w:cs="Arial" w:eastAsia="Arial" w:hint="default"/>
          <w:w w:val="99"/>
        </w:rPr>
        <w:t>β</w:t>
      </w:r>
      <w:r>
        <w:rPr>
          <w:rFonts w:ascii="Arial" w:hAnsi="Arial" w:cs="Arial" w:eastAsia="Arial" w:hint="default"/>
        </w:rPr>
        <w:t> </w:t>
      </w:r>
      <w:r>
        <w:rPr>
          <w:rFonts w:ascii="Arial" w:hAnsi="Arial" w:cs="Arial" w:eastAsia="Arial" w:hint="default"/>
          <w:spacing w:val="-24"/>
        </w:rPr>
        <w:t> </w:t>
      </w:r>
      <w:r>
        <w:rPr/>
        <w:t>的研究并给出计算</w:t>
      </w:r>
      <w:r>
        <w:rPr>
          <w:rFonts w:ascii="Arial" w:hAnsi="Arial" w:cs="Arial" w:eastAsia="Arial" w:hint="default"/>
          <w:w w:val="99"/>
        </w:rPr>
        <w:t>β</w:t>
      </w:r>
      <w:r>
        <w:rPr>
          <w:rFonts w:ascii="Arial" w:hAnsi="Arial" w:cs="Arial" w:eastAsia="Arial" w:hint="default"/>
        </w:rPr>
        <w:t> </w:t>
      </w:r>
      <w:r>
        <w:rPr>
          <w:rFonts w:ascii="Arial" w:hAnsi="Arial" w:cs="Arial" w:eastAsia="Arial" w:hint="default"/>
          <w:spacing w:val="-24"/>
        </w:rPr>
        <w:t> </w:t>
      </w:r>
      <w:r>
        <w:rPr/>
        <w:t>值的计算公式的公司</w:t>
      </w:r>
      <w:r>
        <w:rPr>
          <w:spacing w:val="-82"/>
        </w:rPr>
        <w:t>。</w:t>
      </w:r>
      <w:r>
        <w:rPr/>
        <w:t>经查软件和信息技术服务业的</w:t>
      </w:r>
    </w:p>
    <w:p>
      <w:pPr>
        <w:pStyle w:val="Heading2"/>
        <w:spacing w:line="247" w:lineRule="exact"/>
        <w:ind w:left="3135" w:right="456"/>
        <w:jc w:val="left"/>
        <w:rPr>
          <w:rFonts w:ascii="Symbol" w:hAnsi="Symbol" w:cs="Symbol" w:eastAsia="Symbol" w:hint="default"/>
          <w:i w:val="0"/>
        </w:rPr>
      </w:pPr>
      <w:r>
        <w:rPr>
          <w:rFonts w:ascii="Symbol" w:hAnsi="Symbol" w:cs="Symbol" w:eastAsia="Symbol" w:hint="default"/>
          <w:w w:val="94"/>
        </w:rPr>
        <w:t></w:t>
      </w:r>
      <w:r>
        <w:rPr>
          <w:rFonts w:ascii="Symbol" w:hAnsi="Symbol" w:cs="Symbol" w:eastAsia="Symbol" w:hint="default"/>
          <w:i w:val="0"/>
        </w:rPr>
      </w:r>
    </w:p>
    <w:p>
      <w:pPr>
        <w:pStyle w:val="BodyText"/>
        <w:spacing w:line="177" w:lineRule="exact"/>
        <w:ind w:left="214" w:right="456"/>
        <w:jc w:val="left"/>
      </w:pPr>
      <w:r>
        <w:rPr/>
        <w:t>可比公司加权剔除财务杠杆调整平均  </w:t>
      </w:r>
      <w:r>
        <w:rPr>
          <w:rFonts w:ascii="Times New Roman" w:hAnsi="Times New Roman" w:cs="Times New Roman" w:eastAsia="Times New Roman" w:hint="default"/>
          <w:i/>
          <w:position w:val="6"/>
          <w:sz w:val="14"/>
          <w:szCs w:val="14"/>
        </w:rPr>
        <w:t>t</w:t>
      </w:r>
      <w:r>
        <w:rPr>
          <w:rFonts w:ascii="Times New Roman" w:hAnsi="Times New Roman" w:cs="Times New Roman" w:eastAsia="Times New Roman" w:hint="default"/>
          <w:i/>
          <w:spacing w:val="33"/>
          <w:position w:val="6"/>
          <w:sz w:val="14"/>
          <w:szCs w:val="14"/>
        </w:rPr>
        <w:t> </w:t>
      </w:r>
      <w:r>
        <w:rPr>
          <w:rFonts w:ascii="Times New Roman" w:hAnsi="Times New Roman" w:cs="Times New Roman" w:eastAsia="Times New Roman" w:hint="default"/>
        </w:rPr>
        <w:t>=1.0167</w:t>
      </w:r>
      <w:r>
        <w:rPr/>
        <w:t>。</w:t>
      </w:r>
    </w:p>
    <w:p>
      <w:pPr>
        <w:pStyle w:val="BodyText"/>
        <w:spacing w:line="240" w:lineRule="auto" w:before="166"/>
        <w:ind w:left="574" w:right="456"/>
        <w:jc w:val="left"/>
      </w:pPr>
      <w:r>
        <w:rPr/>
        <w:t>资本结构选取基准日行业的资本结构作为被评估企业目标资本结构比率。</w:t>
      </w:r>
    </w:p>
    <w:p>
      <w:pPr>
        <w:pStyle w:val="BodyText"/>
        <w:spacing w:line="338" w:lineRule="auto" w:before="117"/>
        <w:ind w:left="574" w:right="4064"/>
        <w:jc w:val="left"/>
      </w:pPr>
      <w:r>
        <w:rPr>
          <w:rFonts w:ascii="Times New Roman" w:hAnsi="Times New Roman" w:cs="Times New Roman" w:eastAsia="Times New Roman" w:hint="default"/>
        </w:rPr>
        <w:t>D </w:t>
      </w:r>
      <w:r>
        <w:rPr/>
        <w:t>根据基准日的有息负债确定，</w:t>
      </w:r>
      <w:r>
        <w:rPr>
          <w:rFonts w:ascii="Times New Roman" w:hAnsi="Times New Roman" w:cs="Times New Roman" w:eastAsia="Times New Roman" w:hint="default"/>
        </w:rPr>
        <w:t>E</w:t>
      </w:r>
      <w:r>
        <w:rPr>
          <w:rFonts w:ascii="Times New Roman" w:hAnsi="Times New Roman" w:cs="Times New Roman" w:eastAsia="Times New Roman" w:hint="default"/>
          <w:spacing w:val="-2"/>
        </w:rPr>
        <w:t> </w:t>
      </w:r>
      <w:r>
        <w:rPr/>
        <w:t>根据基准日的每股收盘价格×股份总额确定</w:t>
      </w:r>
      <w:r>
        <w:rPr>
          <w:rFonts w:ascii="Times New Roman" w:hAnsi="Times New Roman" w:cs="Times New Roman" w:eastAsia="Times New Roman" w:hint="default"/>
        </w:rPr>
        <w:t>)</w:t>
      </w:r>
      <w:r>
        <w:rPr/>
        <w:t>。 经过计算，该行业的</w:t>
      </w:r>
      <w:r>
        <w:rPr>
          <w:spacing w:val="-46"/>
        </w:rPr>
        <w:t> </w:t>
      </w:r>
      <w:r>
        <w:rPr>
          <w:rFonts w:ascii="Times New Roman" w:hAnsi="Times New Roman" w:cs="Times New Roman" w:eastAsia="Times New Roman" w:hint="default"/>
        </w:rPr>
        <w:t>D/E=4.9%</w:t>
      </w:r>
      <w:r>
        <w:rPr/>
        <w:t>。 最后得到评估对象权益资本预期风险系数的估计值</w:t>
      </w:r>
      <w:r>
        <w:rPr>
          <w:rFonts w:ascii="Arial" w:hAnsi="Arial" w:cs="Arial" w:eastAsia="Arial" w:hint="default"/>
        </w:rPr>
        <w:t>β</w:t>
      </w:r>
      <w:r>
        <w:rPr>
          <w:rFonts w:ascii="Arial" w:hAnsi="Arial" w:cs="Arial" w:eastAsia="Arial" w:hint="default"/>
          <w:spacing w:val="24"/>
        </w:rPr>
        <w:t> </w:t>
      </w:r>
      <w:r>
        <w:rPr>
          <w:rFonts w:ascii="Times New Roman" w:hAnsi="Times New Roman" w:cs="Times New Roman" w:eastAsia="Times New Roman" w:hint="default"/>
        </w:rPr>
        <w:t>e=1.061</w:t>
      </w:r>
      <w:r>
        <w:rPr/>
        <w:t>。</w:t>
      </w:r>
    </w:p>
    <w:p>
      <w:pPr>
        <w:pStyle w:val="BodyText"/>
        <w:spacing w:line="338" w:lineRule="auto" w:before="21"/>
        <w:ind w:left="574" w:right="456"/>
        <w:jc w:val="left"/>
      </w:pPr>
      <w:r>
        <w:rPr/>
        <w:t>⑤企业特定风险</w:t>
      </w:r>
      <w:r>
        <w:rPr>
          <w:rFonts w:ascii="Arial" w:hAnsi="Arial" w:cs="Arial" w:eastAsia="Arial" w:hint="default"/>
        </w:rPr>
        <w:t>ε</w:t>
      </w:r>
      <w:r>
        <w:rPr>
          <w:rFonts w:ascii="Arial" w:hAnsi="Arial" w:cs="Arial" w:eastAsia="Arial" w:hint="default"/>
          <w:spacing w:val="49"/>
        </w:rPr>
        <w:t> </w:t>
      </w:r>
      <w:r>
        <w:rPr/>
        <w:t>的确定 </w:t>
      </w:r>
      <w:r>
        <w:rPr>
          <w:spacing w:val="-2"/>
        </w:rPr>
        <w:t>经分析，企业特定风险调整系数为待估企业与所选择的可比上市公司在企业规模、经营风险、管理能力、财务风险等方</w:t>
      </w:r>
    </w:p>
    <w:p>
      <w:pPr>
        <w:pStyle w:val="BodyText"/>
        <w:spacing w:line="357" w:lineRule="auto" w:before="4"/>
        <w:ind w:left="574" w:right="456" w:hanging="360"/>
        <w:jc w:val="left"/>
      </w:pPr>
      <w:r>
        <w:rPr/>
        <w:t>面所形成的优劣势方面的差异，各风险说明如下： </w:t>
      </w:r>
      <w:r>
        <w:rPr>
          <w:spacing w:val="-2"/>
        </w:rPr>
        <w:t>企业主要从事移动信息化服务领域，目前是国内领先的移动互联网运营支撑服务商，为移动互联网多种应用提供运营支</w:t>
      </w:r>
    </w:p>
    <w:p>
      <w:pPr>
        <w:pStyle w:val="BodyText"/>
        <w:spacing w:line="224" w:lineRule="exact"/>
        <w:ind w:left="214" w:right="456"/>
        <w:jc w:val="left"/>
      </w:pPr>
      <w:r>
        <w:rPr/>
        <w:t>撑平台，主要为中国移动通信集团和多家大型银行等金融机构提供移动信息服务，企业资产规模和营业收入与可比上市公司</w:t>
      </w:r>
    </w:p>
    <w:p>
      <w:pPr>
        <w:pStyle w:val="BodyText"/>
        <w:spacing w:line="319" w:lineRule="auto" w:before="76"/>
        <w:ind w:left="214" w:right="1117"/>
        <w:jc w:val="left"/>
      </w:pPr>
      <w:r>
        <w:rPr>
          <w:spacing w:val="-2"/>
        </w:rPr>
        <w:t>相比较小。但是，经营业务上销售毛利率、净利润率、净资产收益率等指标已经达到甚至超过可比公司水平；企业经营业务</w:t>
      </w:r>
      <w:r>
        <w:rPr>
          <w:spacing w:val="-66"/>
        </w:rPr>
        <w:t> </w:t>
      </w:r>
      <w:r>
        <w:rPr>
          <w:spacing w:val="-66"/>
        </w:rPr>
      </w:r>
      <w:r>
        <w:rPr>
          <w:spacing w:val="-4"/>
        </w:rPr>
        <w:t>涉及全国。企业内部管理及控制机制尚好，管理人员的从业经验和资历较高。综合以上因素，企业特定风险</w:t>
      </w:r>
      <w:r>
        <w:rPr>
          <w:rFonts w:ascii="Arial" w:hAnsi="Arial" w:cs="Arial" w:eastAsia="Arial" w:hint="default"/>
          <w:spacing w:val="-4"/>
        </w:rPr>
        <w:t>ε  </w:t>
      </w:r>
      <w:r>
        <w:rPr/>
        <w:t>的确定为</w:t>
      </w:r>
      <w:r>
        <w:rPr>
          <w:spacing w:val="-35"/>
        </w:rPr>
        <w:t> </w:t>
      </w:r>
      <w:r>
        <w:rPr>
          <w:rFonts w:ascii="Times New Roman" w:hAnsi="Times New Roman" w:cs="Times New Roman" w:eastAsia="Times New Roman" w:hint="default"/>
        </w:rPr>
        <w:t>2%</w:t>
      </w:r>
      <w:r>
        <w:rPr/>
        <w:t>。</w:t>
      </w:r>
    </w:p>
    <w:p>
      <w:pPr>
        <w:pStyle w:val="BodyText"/>
        <w:spacing w:line="357" w:lineRule="auto" w:before="37"/>
        <w:ind w:left="574" w:right="6864"/>
        <w:jc w:val="left"/>
      </w:pPr>
      <w:r>
        <w:rPr/>
        <w:t>⑥税前权益资本成本的确定 最终得到评估对象的权益资本成本</w:t>
      </w:r>
      <w:r>
        <w:rPr>
          <w:spacing w:val="-46"/>
        </w:rPr>
        <w:t> </w:t>
      </w:r>
      <w:r>
        <w:rPr>
          <w:rFonts w:ascii="Times New Roman" w:hAnsi="Times New Roman" w:cs="Times New Roman" w:eastAsia="Times New Roman" w:hint="default"/>
        </w:rPr>
        <w:t>Re</w:t>
      </w:r>
      <w:r>
        <w:rPr>
          <w:rFonts w:ascii="Times New Roman" w:hAnsi="Times New Roman" w:cs="Times New Roman" w:eastAsia="Times New Roman" w:hint="default"/>
          <w:spacing w:val="-1"/>
        </w:rPr>
        <w:t> </w:t>
      </w:r>
      <w:r>
        <w:rPr/>
        <w:t>如下：</w:t>
      </w:r>
    </w:p>
    <w:tbl>
      <w:tblPr>
        <w:tblW w:w="0" w:type="auto"/>
        <w:jc w:val="left"/>
        <w:tblInd w:w="101" w:type="dxa"/>
        <w:tblLayout w:type="fixed"/>
        <w:tblCellMar>
          <w:top w:w="0" w:type="dxa"/>
          <w:left w:w="0" w:type="dxa"/>
          <w:bottom w:w="0" w:type="dxa"/>
          <w:right w:w="0" w:type="dxa"/>
        </w:tblCellMar>
        <w:tblLook w:val="01E0"/>
      </w:tblPr>
      <w:tblGrid>
        <w:gridCol w:w="2891"/>
        <w:gridCol w:w="682"/>
        <w:gridCol w:w="681"/>
        <w:gridCol w:w="682"/>
        <w:gridCol w:w="680"/>
        <w:gridCol w:w="682"/>
        <w:gridCol w:w="680"/>
        <w:gridCol w:w="1162"/>
      </w:tblGrid>
      <w:tr>
        <w:trPr>
          <w:trHeight w:val="42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模型选择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2019</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6" w:right="0"/>
              <w:jc w:val="left"/>
              <w:rPr>
                <w:rFonts w:ascii="Times New Roman" w:hAnsi="Times New Roman" w:cs="Times New Roman" w:eastAsia="Times New Roman" w:hint="default"/>
                <w:sz w:val="18"/>
                <w:szCs w:val="18"/>
              </w:rPr>
            </w:pPr>
            <w:r>
              <w:rPr>
                <w:rFonts w:ascii="Times New Roman"/>
                <w:sz w:val="18"/>
              </w:rPr>
              <w:t>2022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 w:right="0"/>
              <w:jc w:val="left"/>
              <w:rPr>
                <w:rFonts w:ascii="Times New Roman" w:hAnsi="Times New Roman" w:cs="Times New Roman" w:eastAsia="Times New Roman" w:hint="default"/>
                <w:sz w:val="18"/>
                <w:szCs w:val="18"/>
              </w:rPr>
            </w:pPr>
            <w:r>
              <w:rPr>
                <w:rFonts w:ascii="Times New Roman"/>
                <w:sz w:val="18"/>
              </w:rPr>
              <w:t>2024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w:t>
            </w:r>
          </w:p>
        </w:tc>
      </w:tr>
      <w:tr>
        <w:trPr>
          <w:trHeight w:val="41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行业的资本结构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D/E</w:t>
            </w:r>
            <w:r>
              <w:rPr>
                <w:rFonts w:ascii="宋体" w:hAnsi="宋体" w:cs="宋体" w:eastAsia="宋体" w:hint="default"/>
                <w:sz w:val="18"/>
                <w:szCs w:val="18"/>
              </w:rPr>
              <w:t>（保持不变）</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4.9%</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4.9%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Times New Roman" w:hAnsi="Times New Roman" w:cs="Times New Roman" w:eastAsia="Times New Roman" w:hint="default"/>
                <w:sz w:val="18"/>
                <w:szCs w:val="18"/>
              </w:rPr>
            </w:pPr>
            <w:r>
              <w:rPr>
                <w:rFonts w:ascii="Times New Roman"/>
                <w:sz w:val="18"/>
              </w:rPr>
              <w:t>4.9%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8" w:right="0"/>
              <w:jc w:val="left"/>
              <w:rPr>
                <w:rFonts w:ascii="Times New Roman" w:hAnsi="Times New Roman" w:cs="Times New Roman" w:eastAsia="Times New Roman" w:hint="default"/>
                <w:sz w:val="18"/>
                <w:szCs w:val="18"/>
              </w:rPr>
            </w:pPr>
            <w:r>
              <w:rPr>
                <w:rFonts w:ascii="Times New Roman"/>
                <w:sz w:val="18"/>
              </w:rPr>
              <w:t>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4.9%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891"/>
        <w:gridCol w:w="682"/>
        <w:gridCol w:w="681"/>
        <w:gridCol w:w="682"/>
        <w:gridCol w:w="680"/>
        <w:gridCol w:w="682"/>
        <w:gridCol w:w="680"/>
        <w:gridCol w:w="1162"/>
      </w:tblGrid>
      <w:tr>
        <w:trPr>
          <w:trHeight w:val="42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模型选择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2019</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2020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5"/>
              <w:jc w:val="right"/>
              <w:rPr>
                <w:rFonts w:ascii="Times New Roman" w:hAnsi="Times New Roman" w:cs="Times New Roman" w:eastAsia="Times New Roman" w:hint="default"/>
                <w:sz w:val="18"/>
                <w:szCs w:val="18"/>
              </w:rPr>
            </w:pPr>
            <w:r>
              <w:rPr>
                <w:rFonts w:ascii="Times New Roman"/>
                <w:sz w:val="18"/>
              </w:rPr>
              <w:t>2021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sz w:val="18"/>
              </w:rPr>
              <w:t>2022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5"/>
              <w:jc w:val="right"/>
              <w:rPr>
                <w:rFonts w:ascii="Times New Roman" w:hAnsi="Times New Roman" w:cs="Times New Roman" w:eastAsia="Times New Roman" w:hint="default"/>
                <w:sz w:val="18"/>
                <w:szCs w:val="18"/>
              </w:rPr>
            </w:pPr>
            <w:r>
              <w:rPr>
                <w:rFonts w:ascii="Times New Roman"/>
                <w:sz w:val="18"/>
              </w:rPr>
              <w:t>2023</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5" w:right="0"/>
              <w:jc w:val="left"/>
              <w:rPr>
                <w:rFonts w:ascii="Times New Roman" w:hAnsi="Times New Roman" w:cs="Times New Roman" w:eastAsia="Times New Roman" w:hint="default"/>
                <w:sz w:val="18"/>
                <w:szCs w:val="18"/>
              </w:rPr>
            </w:pPr>
            <w:r>
              <w:rPr>
                <w:rFonts w:ascii="Times New Roman"/>
                <w:sz w:val="18"/>
              </w:rPr>
              <w:t>2024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w:t>
            </w:r>
          </w:p>
        </w:tc>
      </w:tr>
      <w:tr>
        <w:trPr>
          <w:trHeight w:val="41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被评估企业贝塔系数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1.061</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1.061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Times New Roman" w:hAnsi="Times New Roman" w:cs="Times New Roman" w:eastAsia="Times New Roman" w:hint="default"/>
                <w:sz w:val="18"/>
                <w:szCs w:val="18"/>
              </w:rPr>
            </w:pPr>
            <w:r>
              <w:rPr>
                <w:rFonts w:ascii="Times New Roman"/>
                <w:sz w:val="18"/>
              </w:rPr>
              <w:t>1.060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3" w:right="0"/>
              <w:jc w:val="left"/>
              <w:rPr>
                <w:rFonts w:ascii="Times New Roman" w:hAnsi="Times New Roman" w:cs="Times New Roman" w:eastAsia="Times New Roman" w:hint="default"/>
                <w:sz w:val="18"/>
                <w:szCs w:val="18"/>
              </w:rPr>
            </w:pPr>
            <w:r>
              <w:rPr>
                <w:rFonts w:ascii="Times New Roman"/>
                <w:sz w:val="18"/>
              </w:rPr>
              <w:t>1.060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Times New Roman" w:hAnsi="Times New Roman" w:cs="Times New Roman" w:eastAsia="Times New Roman" w:hint="default"/>
                <w:sz w:val="18"/>
                <w:szCs w:val="18"/>
              </w:rPr>
            </w:pPr>
            <w:r>
              <w:rPr>
                <w:rFonts w:ascii="Times New Roman"/>
                <w:sz w:val="18"/>
              </w:rPr>
              <w:t>1.061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3" w:right="0"/>
              <w:jc w:val="left"/>
              <w:rPr>
                <w:rFonts w:ascii="Times New Roman" w:hAnsi="Times New Roman" w:cs="Times New Roman" w:eastAsia="Times New Roman" w:hint="default"/>
                <w:sz w:val="18"/>
                <w:szCs w:val="18"/>
              </w:rPr>
            </w:pPr>
            <w:r>
              <w:rPr>
                <w:rFonts w:ascii="Times New Roman"/>
                <w:sz w:val="18"/>
              </w:rPr>
              <w:t>1.061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1.061</w:t>
            </w:r>
          </w:p>
        </w:tc>
      </w:tr>
      <w:tr>
        <w:trPr>
          <w:trHeight w:val="41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股东权益资本报酬率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13.0%</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12.9%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Times New Roman" w:hAnsi="Times New Roman" w:cs="Times New Roman" w:eastAsia="Times New Roman" w:hint="default"/>
                <w:sz w:val="18"/>
                <w:szCs w:val="18"/>
              </w:rPr>
            </w:pPr>
            <w:r>
              <w:rPr>
                <w:rFonts w:ascii="Times New Roman"/>
                <w:sz w:val="18"/>
              </w:rPr>
              <w:t>12.9%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13.0%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Times New Roman" w:hAnsi="Times New Roman" w:cs="Times New Roman" w:eastAsia="Times New Roman" w:hint="default"/>
                <w:sz w:val="18"/>
                <w:szCs w:val="18"/>
              </w:rPr>
            </w:pPr>
            <w:r>
              <w:rPr>
                <w:rFonts w:ascii="Times New Roman"/>
                <w:sz w:val="18"/>
              </w:rPr>
              <w:t>13.0%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13.0%</w:t>
            </w:r>
          </w:p>
        </w:tc>
      </w:tr>
    </w:tbl>
    <w:p>
      <w:pPr>
        <w:pStyle w:val="BodyText"/>
        <w:spacing w:line="240" w:lineRule="auto" w:before="51"/>
        <w:ind w:left="574" w:right="456"/>
        <w:jc w:val="left"/>
      </w:pPr>
      <w:r>
        <w:rPr/>
        <w:t>⑦债务资本成本</w:t>
      </w:r>
    </w:p>
    <w:p>
      <w:pPr>
        <w:spacing w:line="240" w:lineRule="auto" w:before="6"/>
        <w:rPr>
          <w:rFonts w:ascii="宋体" w:hAnsi="宋体" w:cs="宋体" w:eastAsia="宋体" w:hint="default"/>
          <w:sz w:val="17"/>
          <w:szCs w:val="17"/>
        </w:rPr>
      </w:pPr>
    </w:p>
    <w:p>
      <w:pPr>
        <w:pStyle w:val="Heading6"/>
        <w:spacing w:line="207" w:lineRule="exact"/>
        <w:ind w:left="1696" w:right="456"/>
        <w:jc w:val="left"/>
        <w:rPr>
          <w:i w:val="0"/>
        </w:rPr>
      </w:pPr>
      <w:r>
        <w:rPr>
          <w:i/>
          <w:w w:val="95"/>
        </w:rPr>
        <w:t>R</w:t>
      </w:r>
      <w:r>
        <w:rPr>
          <w:i w:val="0"/>
        </w:rPr>
      </w:r>
    </w:p>
    <w:p>
      <w:pPr>
        <w:pStyle w:val="BodyText"/>
        <w:spacing w:line="180" w:lineRule="exact"/>
        <w:ind w:left="574" w:right="456"/>
        <w:jc w:val="left"/>
      </w:pPr>
      <w:r>
        <w:rPr/>
        <w:t>债务资本成本  </w:t>
      </w:r>
      <w:r>
        <w:rPr>
          <w:rFonts w:ascii="Times New Roman" w:hAnsi="Times New Roman" w:cs="Times New Roman" w:eastAsia="Times New Roman" w:hint="default"/>
          <w:i/>
          <w:position w:val="6"/>
          <w:sz w:val="14"/>
          <w:szCs w:val="14"/>
        </w:rPr>
        <w:t>d</w:t>
      </w:r>
      <w:r>
        <w:rPr>
          <w:rFonts w:ascii="Times New Roman" w:hAnsi="Times New Roman" w:cs="Times New Roman" w:eastAsia="Times New Roman" w:hint="default"/>
          <w:i/>
          <w:spacing w:val="23"/>
          <w:position w:val="6"/>
          <w:sz w:val="14"/>
          <w:szCs w:val="14"/>
        </w:rPr>
        <w:t> </w:t>
      </w:r>
      <w:r>
        <w:rPr/>
        <w:t>取</w:t>
      </w:r>
      <w:r>
        <w:rPr>
          <w:rFonts w:ascii="Times New Roman" w:hAnsi="Times New Roman" w:cs="Times New Roman" w:eastAsia="Times New Roman" w:hint="default"/>
        </w:rPr>
        <w:t>5</w:t>
      </w:r>
      <w:r>
        <w:rPr/>
        <w:t>年期以上贷款利率</w:t>
      </w:r>
      <w:r>
        <w:rPr>
          <w:rFonts w:ascii="Times New Roman" w:hAnsi="Times New Roman" w:cs="Times New Roman" w:eastAsia="Times New Roman" w:hint="default"/>
        </w:rPr>
        <w:t>4.90%</w:t>
      </w:r>
      <w:r>
        <w:rPr/>
        <w:t>。</w:t>
      </w:r>
    </w:p>
    <w:p>
      <w:pPr>
        <w:pStyle w:val="BodyText"/>
        <w:spacing w:line="360" w:lineRule="auto" w:before="166"/>
        <w:ind w:left="574" w:right="2472"/>
        <w:jc w:val="left"/>
      </w:pPr>
      <w:r>
        <w:rPr/>
        <w:t>⑧资本结构的确定 结合企业未来盈利情况、管理层未来的筹资策略，确定上市公司资本结构为企业目标资本结构比率。</w:t>
      </w:r>
    </w:p>
    <w:p>
      <w:pPr>
        <w:spacing w:after="0" w:line="360" w:lineRule="auto"/>
        <w:jc w:val="left"/>
        <w:sectPr>
          <w:pgSz w:w="11910" w:h="16840"/>
          <w:pgMar w:header="747" w:footer="979" w:top="1060" w:bottom="1160" w:left="920" w:right="0"/>
        </w:sectPr>
      </w:pPr>
    </w:p>
    <w:p>
      <w:pPr>
        <w:spacing w:line="240" w:lineRule="auto" w:before="3"/>
        <w:rPr>
          <w:rFonts w:ascii="宋体" w:hAnsi="宋体" w:cs="宋体" w:eastAsia="宋体" w:hint="default"/>
          <w:sz w:val="20"/>
          <w:szCs w:val="20"/>
        </w:rPr>
      </w:pPr>
    </w:p>
    <w:p>
      <w:pPr>
        <w:spacing w:before="0"/>
        <w:ind w:left="58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d  </w:t>
      </w:r>
      <w:r>
        <w:rPr>
          <w:rFonts w:ascii="Times New Roman" w:hAnsi="Times New Roman" w:cs="Times New Roman" w:eastAsia="Times New Roman" w:hint="default"/>
          <w:i/>
          <w:spacing w:val="10"/>
          <w:position w:val="-5"/>
          <w:sz w:val="14"/>
          <w:szCs w:val="14"/>
        </w:rPr>
        <w:t> </w:t>
      </w:r>
      <w:r>
        <w:rPr>
          <w:rFonts w:ascii="Symbol" w:hAnsi="Symbol" w:cs="Symbol" w:eastAsia="Symbol" w:hint="default"/>
          <w:sz w:val="24"/>
          <w:szCs w:val="24"/>
        </w:rPr>
        <w:t></w:t>
      </w:r>
    </w:p>
    <w:p>
      <w:pPr>
        <w:spacing w:line="240" w:lineRule="auto" w:before="0"/>
        <w:rPr>
          <w:rFonts w:ascii="Symbol" w:hAnsi="Symbol" w:cs="Symbol" w:eastAsia="Symbol" w:hint="default"/>
          <w:sz w:val="28"/>
          <w:szCs w:val="28"/>
        </w:rPr>
      </w:pPr>
    </w:p>
    <w:p>
      <w:pPr>
        <w:spacing w:line="240" w:lineRule="auto" w:before="7"/>
        <w:rPr>
          <w:rFonts w:ascii="Symbol" w:hAnsi="Symbol" w:cs="Symbol" w:eastAsia="Symbol" w:hint="default"/>
          <w:sz w:val="24"/>
          <w:szCs w:val="24"/>
        </w:rPr>
      </w:pPr>
    </w:p>
    <w:p>
      <w:pPr>
        <w:spacing w:before="0"/>
        <w:ind w:left="58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e </w:t>
      </w:r>
      <w:r>
        <w:rPr>
          <w:rFonts w:ascii="Times New Roman" w:hAnsi="Times New Roman" w:cs="Times New Roman" w:eastAsia="Times New Roman" w:hint="default"/>
          <w:i/>
          <w:spacing w:val="26"/>
          <w:position w:val="-5"/>
          <w:sz w:val="14"/>
          <w:szCs w:val="14"/>
        </w:rPr>
        <w:t> </w:t>
      </w:r>
      <w:r>
        <w:rPr>
          <w:rFonts w:ascii="Symbol" w:hAnsi="Symbol" w:cs="Symbol" w:eastAsia="Symbol" w:hint="default"/>
          <w:sz w:val="24"/>
          <w:szCs w:val="24"/>
        </w:rPr>
        <w:t></w:t>
      </w:r>
    </w:p>
    <w:p>
      <w:pPr>
        <w:spacing w:before="130"/>
        <w:ind w:left="330" w:right="0" w:firstLine="0"/>
        <w:jc w:val="left"/>
        <w:rPr>
          <w:rFonts w:ascii="Times New Roman" w:hAnsi="Times New Roman" w:cs="Times New Roman" w:eastAsia="Times New Roman" w:hint="default"/>
          <w:sz w:val="24"/>
          <w:szCs w:val="24"/>
        </w:rPr>
      </w:pPr>
      <w:r>
        <w:rPr/>
        <w:br w:type="column"/>
      </w:r>
      <w:r>
        <w:rPr>
          <w:rFonts w:ascii="Times New Roman"/>
          <w:i/>
          <w:sz w:val="24"/>
        </w:rPr>
        <w:t>D</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35pt;height:.5pt;mso-position-horizontal-relative:char;mso-position-vertical-relative:line" coordorigin="0,0" coordsize="787,10">
            <v:group style="position:absolute;left:5;top:5;width:777;height:2" coordorigin="5,5" coordsize="777,2">
              <v:shape style="position:absolute;left:5;top:5;width:777;height:2" coordorigin="5,5" coordsize="777,0" path="m5,5l782,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3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E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D</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
          <w:sz w:val="24"/>
          <w:szCs w:val="24"/>
        </w:rPr>
        <w:t> </w:t>
      </w:r>
      <w:r>
        <w:rPr>
          <w:rFonts w:ascii="宋体" w:hAnsi="宋体" w:cs="宋体" w:eastAsia="宋体" w:hint="default"/>
          <w:position w:val="-8"/>
          <w:sz w:val="18"/>
          <w:szCs w:val="18"/>
        </w:rPr>
        <w:t>＝</w:t>
      </w:r>
      <w:r>
        <w:rPr>
          <w:rFonts w:ascii="Times New Roman" w:hAnsi="Times New Roman" w:cs="Times New Roman" w:eastAsia="Times New Roman" w:hint="default"/>
          <w:position w:val="-8"/>
          <w:sz w:val="18"/>
          <w:szCs w:val="18"/>
        </w:rPr>
        <w:t>4.7%</w:t>
      </w:r>
      <w:r>
        <w:rPr>
          <w:rFonts w:ascii="Times New Roman" w:hAnsi="Times New Roman" w:cs="Times New Roman" w:eastAsia="Times New Roman" w:hint="default"/>
          <w:sz w:val="18"/>
          <w:szCs w:val="18"/>
        </w:rPr>
      </w:r>
    </w:p>
    <w:p>
      <w:pPr>
        <w:pStyle w:val="Heading6"/>
        <w:spacing w:line="240" w:lineRule="auto" w:before="284"/>
        <w:ind w:left="310" w:right="0"/>
        <w:jc w:val="left"/>
        <w:rPr>
          <w:i w:val="0"/>
        </w:rPr>
      </w:pPr>
      <w:r>
        <w:rPr>
          <w:i/>
          <w:w w:val="101"/>
        </w:rPr>
        <w:t>E</w:t>
      </w:r>
      <w:r>
        <w:rPr>
          <w:i w:val="0"/>
        </w:rPr>
      </w:r>
    </w:p>
    <w:p>
      <w:pPr>
        <w:spacing w:line="240" w:lineRule="auto" w:before="11"/>
        <w:rPr>
          <w:rFonts w:ascii="Times New Roman" w:hAnsi="Times New Roman" w:cs="Times New Roman" w:eastAsia="Times New Roman" w:hint="default"/>
          <w:i/>
          <w:sz w:val="2"/>
          <w:szCs w:val="2"/>
        </w:rPr>
      </w:pPr>
    </w:p>
    <w:p>
      <w:pPr>
        <w:spacing w:line="20" w:lineRule="exact"/>
        <w:ind w:left="-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2pt;height:.5pt;mso-position-horizontal-relative:char;mso-position-vertical-relative:line" coordorigin="0,0" coordsize="784,10">
            <v:group style="position:absolute;left:5;top:5;width:774;height:2" coordorigin="5,5" coordsize="774,2">
              <v:shape style="position:absolute;left:5;top:5;width:774;height:2" coordorigin="5,5" coordsize="774,0" path="m5,5l778,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position w:val="9"/>
          <w:sz w:val="24"/>
          <w:szCs w:val="24"/>
        </w:rPr>
        <w:t>(</w:t>
      </w:r>
      <w:r>
        <w:rPr>
          <w:rFonts w:ascii="Times New Roman" w:hAnsi="Times New Roman" w:cs="Times New Roman" w:eastAsia="Times New Roman" w:hint="default"/>
          <w:i/>
          <w:spacing w:val="5"/>
          <w:position w:val="9"/>
          <w:sz w:val="24"/>
          <w:szCs w:val="24"/>
        </w:rPr>
        <w:t>E </w:t>
      </w:r>
      <w:r>
        <w:rPr>
          <w:rFonts w:ascii="Symbol" w:hAnsi="Symbol" w:cs="Symbol" w:eastAsia="Symbol" w:hint="default"/>
          <w:position w:val="9"/>
          <w:sz w:val="24"/>
          <w:szCs w:val="24"/>
        </w:rPr>
        <w:t></w:t>
      </w:r>
      <w:r>
        <w:rPr>
          <w:rFonts w:ascii="Times New Roman" w:hAnsi="Times New Roman" w:cs="Times New Roman" w:eastAsia="Times New Roman" w:hint="default"/>
          <w:position w:val="9"/>
          <w:sz w:val="24"/>
          <w:szCs w:val="24"/>
        </w:rPr>
      </w:r>
      <w:r>
        <w:rPr>
          <w:rFonts w:ascii="Times New Roman" w:hAnsi="Times New Roman" w:cs="Times New Roman" w:eastAsia="Times New Roman" w:hint="default"/>
          <w:i/>
          <w:position w:val="9"/>
          <w:sz w:val="24"/>
          <w:szCs w:val="24"/>
        </w:rPr>
        <w:t>D</w:t>
      </w:r>
      <w:r>
        <w:rPr>
          <w:rFonts w:ascii="Times New Roman" w:hAnsi="Times New Roman" w:cs="Times New Roman" w:eastAsia="Times New Roman" w:hint="default"/>
          <w:position w:val="9"/>
          <w:sz w:val="24"/>
          <w:szCs w:val="24"/>
        </w:rPr>
        <w:t>)</w:t>
      </w:r>
      <w:r>
        <w:rPr>
          <w:rFonts w:ascii="Times New Roman" w:hAnsi="Times New Roman" w:cs="Times New Roman" w:eastAsia="Times New Roman" w:hint="default"/>
          <w:spacing w:val="6"/>
          <w:position w:val="9"/>
          <w:sz w:val="24"/>
          <w:szCs w:val="24"/>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95.3%</w:t>
      </w:r>
    </w:p>
    <w:p>
      <w:pPr>
        <w:spacing w:after="0"/>
        <w:jc w:val="left"/>
        <w:rPr>
          <w:rFonts w:ascii="Times New Roman" w:hAnsi="Times New Roman" w:cs="Times New Roman" w:eastAsia="Times New Roman" w:hint="default"/>
          <w:sz w:val="18"/>
          <w:szCs w:val="18"/>
        </w:rPr>
        <w:sectPr>
          <w:type w:val="continuous"/>
          <w:pgSz w:w="11910" w:h="16840"/>
          <w:pgMar w:top="1060" w:bottom="1160" w:left="920" w:right="0"/>
          <w:cols w:num="2" w:equalWidth="0">
            <w:col w:w="1106" w:space="40"/>
            <w:col w:w="9844"/>
          </w:cols>
        </w:sectPr>
      </w:pPr>
    </w:p>
    <w:p>
      <w:pPr>
        <w:spacing w:line="240" w:lineRule="auto" w:before="6"/>
        <w:rPr>
          <w:rFonts w:ascii="Times New Roman" w:hAnsi="Times New Roman" w:cs="Times New Roman" w:eastAsia="Times New Roman" w:hint="default"/>
          <w:sz w:val="11"/>
          <w:szCs w:val="11"/>
        </w:rPr>
      </w:pPr>
    </w:p>
    <w:p>
      <w:pPr>
        <w:pStyle w:val="BodyText"/>
        <w:spacing w:line="240" w:lineRule="auto" w:before="44"/>
        <w:ind w:left="574" w:right="456"/>
        <w:jc w:val="left"/>
      </w:pPr>
      <w:r>
        <w:rPr/>
        <w:t>⑨税后折现率计算</w:t>
      </w:r>
    </w:p>
    <w:p>
      <w:pPr>
        <w:pStyle w:val="BodyText"/>
        <w:spacing w:line="240" w:lineRule="auto" w:before="116"/>
        <w:ind w:left="574" w:right="456"/>
        <w:jc w:val="left"/>
      </w:pPr>
      <w:r>
        <w:rPr>
          <w:rFonts w:ascii="Times New Roman" w:hAnsi="Times New Roman" w:cs="Times New Roman" w:eastAsia="Times New Roman" w:hint="default"/>
        </w:rPr>
        <w:t>R</w:t>
      </w:r>
      <w:r>
        <w:rPr>
          <w:rFonts w:ascii="Times New Roman" w:hAnsi="Times New Roman" w:cs="Times New Roman" w:eastAsia="Times New Roman" w:hint="default"/>
          <w:spacing w:val="-20"/>
        </w:rPr>
        <w:t> </w:t>
      </w:r>
      <w:r>
        <w:rPr/>
        <w:t>税后</w:t>
      </w:r>
      <w:r>
        <w:rPr>
          <w:rFonts w:ascii="Times New Roman" w:hAnsi="Times New Roman" w:cs="Times New Roman" w:eastAsia="Times New Roman" w:hint="default"/>
        </w:rPr>
        <w:t>=Rd×</w:t>
      </w:r>
      <w:r>
        <w:rPr/>
        <w:t>（</w:t>
      </w:r>
      <w:r>
        <w:rPr>
          <w:rFonts w:ascii="Times New Roman" w:hAnsi="Times New Roman" w:cs="Times New Roman" w:eastAsia="Times New Roman" w:hint="default"/>
        </w:rPr>
        <w:t>1-T</w:t>
      </w:r>
      <w:r>
        <w:rPr/>
        <w:t>）</w:t>
      </w:r>
      <w:r>
        <w:rPr>
          <w:rFonts w:ascii="Times New Roman" w:hAnsi="Times New Roman" w:cs="Times New Roman" w:eastAsia="Times New Roman" w:hint="default"/>
        </w:rPr>
        <w:t>×Wd+Re×We</w:t>
      </w:r>
      <w:r>
        <w:rPr/>
        <w:t>，经计算折现率如下表所示：</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009"/>
        <w:gridCol w:w="908"/>
        <w:gridCol w:w="910"/>
        <w:gridCol w:w="908"/>
        <w:gridCol w:w="910"/>
        <w:gridCol w:w="909"/>
        <w:gridCol w:w="910"/>
        <w:gridCol w:w="1393"/>
      </w:tblGrid>
      <w:tr>
        <w:trPr>
          <w:trHeight w:val="402" w:hRule="exact"/>
        </w:trPr>
        <w:tc>
          <w:tcPr>
            <w:tcW w:w="3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2020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9"/>
              <w:jc w:val="right"/>
              <w:rPr>
                <w:rFonts w:ascii="Times New Roman" w:hAnsi="Times New Roman" w:cs="Times New Roman" w:eastAsia="Times New Roman" w:hint="default"/>
                <w:sz w:val="18"/>
                <w:szCs w:val="18"/>
              </w:rPr>
            </w:pPr>
            <w:r>
              <w:rPr>
                <w:rFonts w:ascii="Times New Roman"/>
                <w:sz w:val="18"/>
              </w:rPr>
              <w:t>2021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2022</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2023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2024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w:t>
            </w:r>
          </w:p>
        </w:tc>
      </w:tr>
      <w:tr>
        <w:trPr>
          <w:trHeight w:val="402" w:hRule="exact"/>
        </w:trPr>
        <w:tc>
          <w:tcPr>
            <w:tcW w:w="3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税后折现率</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4"/>
              <w:jc w:val="right"/>
              <w:rPr>
                <w:rFonts w:ascii="Times New Roman" w:hAnsi="Times New Roman" w:cs="Times New Roman" w:eastAsia="Times New Roman" w:hint="default"/>
                <w:sz w:val="18"/>
                <w:szCs w:val="18"/>
              </w:rPr>
            </w:pPr>
            <w:r>
              <w:rPr>
                <w:rFonts w:ascii="Times New Roman"/>
                <w:sz w:val="18"/>
              </w:rPr>
              <w:t>12.5%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12.5%</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12.6%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3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宋体" w:hAnsi="宋体" w:cs="宋体" w:eastAsia="宋体" w:hint="default"/>
                <w:sz w:val="18"/>
                <w:szCs w:val="18"/>
              </w:rPr>
              <w:t>（实际税负）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4"/>
              <w:jc w:val="right"/>
              <w:rPr>
                <w:rFonts w:ascii="Times New Roman" w:hAnsi="Times New Roman" w:cs="Times New Roman" w:eastAsia="Times New Roman" w:hint="default"/>
                <w:sz w:val="18"/>
                <w:szCs w:val="18"/>
              </w:rPr>
            </w:pPr>
            <w:r>
              <w:rPr>
                <w:rFonts w:ascii="Times New Roman"/>
                <w:sz w:val="18"/>
              </w:rPr>
              <w:t>13.5%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12.8%</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12.3%</w:t>
            </w:r>
          </w:p>
        </w:tc>
      </w:tr>
    </w:tbl>
    <w:p>
      <w:pPr>
        <w:pStyle w:val="BodyText"/>
        <w:spacing w:line="240" w:lineRule="auto" w:before="51"/>
        <w:ind w:left="574" w:right="456"/>
        <w:jc w:val="left"/>
      </w:pPr>
      <w:r>
        <w:rPr/>
        <w:t>实际所得税税赋率的分析如下：</w:t>
      </w:r>
    </w:p>
    <w:p>
      <w:pPr>
        <w:pStyle w:val="BodyText"/>
        <w:spacing w:line="307" w:lineRule="auto" w:before="115"/>
        <w:ind w:left="214" w:right="1131" w:firstLine="360"/>
        <w:jc w:val="both"/>
      </w:pPr>
      <w:r>
        <w:rPr/>
        <w:t>（</w:t>
      </w:r>
      <w:r>
        <w:rPr>
          <w:rFonts w:ascii="Times New Roman" w:hAnsi="Times New Roman" w:cs="Times New Roman" w:eastAsia="Times New Roman" w:hint="default"/>
        </w:rPr>
        <w:t>1</w:t>
      </w:r>
      <w:r>
        <w:rPr/>
        <w:t>）联动科技：为高新技术企业，依照《中华人民共和国企业所得税法》及其实施条例等有关规定，高新技术企业享 </w:t>
      </w:r>
      <w:r>
        <w:rPr>
          <w:spacing w:val="-1"/>
        </w:rPr>
        <w:t>受减至</w:t>
      </w:r>
      <w:r>
        <w:rPr>
          <w:rFonts w:ascii="Times New Roman" w:hAnsi="Times New Roman" w:cs="Times New Roman" w:eastAsia="Times New Roman" w:hint="default"/>
          <w:spacing w:val="-1"/>
        </w:rPr>
        <w:t>15%</w:t>
      </w:r>
      <w:r>
        <w:rPr>
          <w:spacing w:val="-1"/>
        </w:rPr>
        <w:t>的税率征收企业所得税税收优惠政策。被评估企业目前符合此项优惠政策，考虑被评估企业目前拥有的研发能力</w:t>
      </w:r>
      <w:r>
        <w:rPr/>
        <w:t> </w:t>
      </w:r>
      <w:r>
        <w:rPr>
          <w:spacing w:val="-2"/>
        </w:rPr>
        <w:t>等高新技术能力因素，本次评估假设被评估企业在《高新技术企业证书》到期后可以再次申请并取得高新技术企业证书，并</w:t>
      </w:r>
      <w:r>
        <w:rPr>
          <w:spacing w:val="-66"/>
        </w:rPr>
        <w:t> </w:t>
      </w:r>
      <w:r>
        <w:rPr>
          <w:spacing w:val="-66"/>
        </w:rPr>
      </w:r>
      <w:r>
        <w:rPr/>
        <w:t>享受减至</w:t>
      </w:r>
      <w:r>
        <w:rPr>
          <w:rFonts w:ascii="Times New Roman" w:hAnsi="Times New Roman" w:cs="Times New Roman" w:eastAsia="Times New Roman" w:hint="default"/>
        </w:rPr>
        <w:t>15%</w:t>
      </w:r>
      <w:r>
        <w:rPr/>
        <w:t>企业所得税税收优惠政策。在对未来年度所得税进行预测时，考虑纳税调整事项和税收优惠政策的影响。</w:t>
      </w:r>
    </w:p>
    <w:p>
      <w:pPr>
        <w:pStyle w:val="BodyText"/>
        <w:spacing w:line="240" w:lineRule="auto" w:before="48"/>
        <w:ind w:left="574" w:right="456"/>
        <w:jc w:val="left"/>
      </w:pPr>
      <w:r>
        <w:rPr/>
        <w:t>（</w:t>
      </w:r>
      <w:r>
        <w:rPr>
          <w:rFonts w:ascii="Times New Roman" w:hAnsi="Times New Roman" w:cs="Times New Roman" w:eastAsia="Times New Roman" w:hint="default"/>
        </w:rPr>
        <w:t>2</w:t>
      </w:r>
      <w:r>
        <w:rPr/>
        <w:t>）海联金科：所得税税率为</w:t>
      </w:r>
      <w:r>
        <w:rPr>
          <w:rFonts w:ascii="Times New Roman" w:hAnsi="Times New Roman" w:cs="Times New Roman" w:eastAsia="Times New Roman" w:hint="default"/>
        </w:rPr>
        <w:t>25%</w:t>
      </w:r>
      <w:r>
        <w:rPr/>
        <w:t>。</w:t>
      </w:r>
    </w:p>
    <w:p>
      <w:pPr>
        <w:pStyle w:val="BodyText"/>
        <w:spacing w:line="240" w:lineRule="auto" w:before="102"/>
        <w:ind w:left="574" w:right="456"/>
        <w:jc w:val="left"/>
      </w:pPr>
      <w:r>
        <w:rPr/>
        <w:t>（</w:t>
      </w:r>
      <w:r>
        <w:rPr>
          <w:rFonts w:ascii="Times New Roman" w:hAnsi="Times New Roman" w:cs="Times New Roman" w:eastAsia="Times New Roman" w:hint="default"/>
        </w:rPr>
        <w:t>3</w:t>
      </w:r>
      <w:r>
        <w:rPr/>
        <w:t>）蜜小蜂：所得税税率为</w:t>
      </w:r>
      <w:r>
        <w:rPr>
          <w:rFonts w:ascii="Times New Roman" w:hAnsi="Times New Roman" w:cs="Times New Roman" w:eastAsia="Times New Roman" w:hint="default"/>
        </w:rPr>
        <w:t>25%</w:t>
      </w:r>
      <w:r>
        <w:rPr/>
        <w:t>。</w:t>
      </w:r>
    </w:p>
    <w:p>
      <w:pPr>
        <w:pStyle w:val="BodyText"/>
        <w:spacing w:line="302" w:lineRule="auto" w:before="101"/>
        <w:ind w:left="214" w:right="1122" w:firstLine="360"/>
        <w:jc w:val="left"/>
      </w:pPr>
      <w:r>
        <w:rPr/>
        <w:t>（</w:t>
      </w:r>
      <w:r>
        <w:rPr>
          <w:rFonts w:ascii="Times New Roman" w:hAnsi="Times New Roman" w:cs="Times New Roman" w:eastAsia="Times New Roman" w:hint="default"/>
        </w:rPr>
        <w:t>4</w:t>
      </w:r>
      <w:r>
        <w:rPr/>
        <w:t>）本次盈利预测对未来年度所得税，按照各个公司业务板块应负担的所得税分别进行测算，汇总后作为合并收益法 中的所得税费用。并根据预测年度合并口径实际税赋率作为资产组所得税税负率。</w:t>
      </w:r>
    </w:p>
    <w:p>
      <w:pPr>
        <w:pStyle w:val="BodyText"/>
        <w:spacing w:line="240" w:lineRule="auto" w:before="70"/>
        <w:ind w:left="574" w:right="456"/>
        <w:jc w:val="left"/>
      </w:pPr>
      <w:r>
        <w:rPr/>
        <w:t>⑩税前折现率计算</w:t>
      </w:r>
    </w:p>
    <w:p>
      <w:pPr>
        <w:pStyle w:val="BodyText"/>
        <w:spacing w:line="338" w:lineRule="auto" w:before="116"/>
        <w:ind w:left="574" w:right="7872"/>
        <w:jc w:val="left"/>
      </w:pPr>
      <w:r>
        <w:rPr>
          <w:rFonts w:ascii="Times New Roman" w:hAnsi="Times New Roman" w:cs="Times New Roman" w:eastAsia="Times New Roman" w:hint="default"/>
        </w:rPr>
        <w:t>R </w:t>
      </w:r>
      <w:r>
        <w:rPr/>
        <w:t>税前</w:t>
      </w:r>
      <w:r>
        <w:rPr>
          <w:rFonts w:ascii="Times New Roman" w:hAnsi="Times New Roman" w:cs="Times New Roman" w:eastAsia="Times New Roman" w:hint="default"/>
        </w:rPr>
        <w:t>=R</w:t>
      </w:r>
      <w:r>
        <w:rPr>
          <w:rFonts w:ascii="Times New Roman" w:hAnsi="Times New Roman" w:cs="Times New Roman" w:eastAsia="Times New Roman" w:hint="default"/>
          <w:spacing w:val="-2"/>
        </w:rPr>
        <w:t> </w:t>
      </w:r>
      <w:r>
        <w:rPr/>
        <w:t>税后÷（</w:t>
      </w:r>
      <w:r>
        <w:rPr>
          <w:rFonts w:ascii="Times New Roman" w:hAnsi="Times New Roman" w:cs="Times New Roman" w:eastAsia="Times New Roman" w:hint="default"/>
        </w:rPr>
        <w:t>1-T</w:t>
      </w:r>
      <w:r>
        <w:rPr/>
        <w:t>） 经计算折现率结果如下表所示：</w:t>
      </w:r>
    </w:p>
    <w:p>
      <w:pPr>
        <w:spacing w:line="240" w:lineRule="auto" w:before="6"/>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21"/>
        <w:gridCol w:w="906"/>
        <w:gridCol w:w="907"/>
        <w:gridCol w:w="906"/>
        <w:gridCol w:w="907"/>
        <w:gridCol w:w="908"/>
        <w:gridCol w:w="907"/>
        <w:gridCol w:w="1393"/>
      </w:tblGrid>
      <w:tr>
        <w:trPr>
          <w:trHeight w:val="402" w:hRule="exact"/>
        </w:trPr>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2019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6"/>
              <w:jc w:val="right"/>
              <w:rPr>
                <w:rFonts w:ascii="Times New Roman" w:hAnsi="Times New Roman" w:cs="Times New Roman" w:eastAsia="Times New Roman" w:hint="default"/>
                <w:sz w:val="18"/>
                <w:szCs w:val="18"/>
              </w:rPr>
            </w:pPr>
            <w:r>
              <w:rPr>
                <w:rFonts w:ascii="Times New Roman"/>
                <w:sz w:val="18"/>
              </w:rPr>
              <w:t>2022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2024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w:t>
            </w:r>
          </w:p>
        </w:tc>
      </w:tr>
      <w:tr>
        <w:trPr>
          <w:trHeight w:val="402" w:hRule="exact"/>
        </w:trPr>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税前折现率</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14.10%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z w:val="18"/>
              </w:rPr>
              <w:t>14.30%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z w:val="18"/>
              </w:rPr>
              <w:t>14.40%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企业所得税率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w:t>
            </w:r>
            <w:r>
              <w:rPr>
                <w:rFonts w:ascii="宋体" w:hAnsi="宋体" w:cs="宋体" w:eastAsia="宋体" w:hint="default"/>
                <w:sz w:val="18"/>
                <w:szCs w:val="18"/>
              </w:rPr>
              <w:t>（实际税负）</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z w:val="18"/>
              </w:rPr>
              <w:t>12.8%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z w:val="18"/>
              </w:rPr>
              <w:t>12.3%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w:t>
            </w:r>
          </w:p>
        </w:tc>
      </w:tr>
    </w:tbl>
    <w:p>
      <w:pPr>
        <w:pStyle w:val="BodyText"/>
        <w:spacing w:line="338" w:lineRule="auto" w:before="51"/>
        <w:ind w:left="574" w:right="456"/>
        <w:jc w:val="left"/>
      </w:pPr>
      <w:r>
        <w:rPr/>
        <w:t>（</w:t>
      </w:r>
      <w:r>
        <w:rPr>
          <w:rFonts w:ascii="Times New Roman" w:hAnsi="Times New Roman" w:cs="Times New Roman" w:eastAsia="Times New Roman" w:hint="default"/>
        </w:rPr>
        <w:t>3</w:t>
      </w:r>
      <w:r>
        <w:rPr/>
        <w:t>）收益期与预测期的确定 </w:t>
      </w:r>
      <w:r>
        <w:rPr>
          <w:spacing w:val="-2"/>
        </w:rPr>
        <w:t>在对企业收入结构、成本结构、资本结构、资本性支出、投资收益和风险水平等综合分析的基础上，结合宏观政策、行</w:t>
      </w:r>
    </w:p>
    <w:p>
      <w:pPr>
        <w:pStyle w:val="BodyText"/>
        <w:spacing w:line="240" w:lineRule="auto" w:before="4"/>
        <w:ind w:left="214" w:right="456"/>
        <w:jc w:val="left"/>
      </w:pPr>
      <w:r>
        <w:rPr/>
        <w:t>业周期及其他影响企业进入稳定期的因素，确定预测期。本次明确的预测期期间</w:t>
      </w:r>
      <w:r>
        <w:rPr>
          <w:spacing w:val="-45"/>
        </w:rPr>
        <w:t> </w:t>
      </w:r>
      <w:r>
        <w:rPr>
          <w:rFonts w:ascii="Times New Roman" w:hAnsi="Times New Roman" w:cs="Times New Roman" w:eastAsia="Times New Roman" w:hint="default"/>
        </w:rPr>
        <w:t>n </w:t>
      </w:r>
      <w:r>
        <w:rPr/>
        <w:t>选择为</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p>
    <w:p>
      <w:pPr>
        <w:pStyle w:val="BodyText"/>
        <w:spacing w:line="240" w:lineRule="auto" w:before="101"/>
        <w:ind w:left="574" w:right="456"/>
        <w:jc w:val="left"/>
        <w:rPr>
          <w:rFonts w:ascii="Times New Roman" w:hAnsi="Times New Roman" w:cs="Times New Roman" w:eastAsia="Times New Roman" w:hint="default"/>
        </w:rPr>
      </w:pPr>
      <w:r>
        <w:rPr/>
        <w:t>①未来各类型业务收入的预测以企业 </w:t>
      </w:r>
      <w:r>
        <w:rPr>
          <w:rFonts w:ascii="Times New Roman" w:hAnsi="Times New Roman" w:cs="Times New Roman" w:eastAsia="Times New Roman" w:hint="default"/>
          <w:spacing w:val="-9"/>
        </w:rPr>
        <w:t>2016</w:t>
      </w:r>
      <w:r>
        <w:rPr>
          <w:spacing w:val="-9"/>
        </w:rPr>
        <w:t>、</w:t>
      </w:r>
      <w:r>
        <w:rPr>
          <w:rFonts w:ascii="Times New Roman" w:hAnsi="Times New Roman" w:cs="Times New Roman" w:eastAsia="Times New Roman" w:hint="default"/>
          <w:spacing w:val="-9"/>
        </w:rPr>
        <w:t>2017</w:t>
      </w:r>
      <w:r>
        <w:rPr>
          <w:spacing w:val="-9"/>
        </w:rPr>
        <w:t>、</w:t>
      </w:r>
      <w:r>
        <w:rPr>
          <w:rFonts w:ascii="Times New Roman" w:hAnsi="Times New Roman" w:cs="Times New Roman" w:eastAsia="Times New Roman" w:hint="default"/>
          <w:spacing w:val="-9"/>
        </w:rPr>
        <w:t>2018   </w:t>
      </w:r>
      <w:r>
        <w:rPr>
          <w:spacing w:val="-3"/>
        </w:rPr>
        <w:t>年数据为基础，并结合上述对企业市场情况的分析和企业</w:t>
      </w:r>
      <w:r>
        <w:rPr>
          <w:spacing w:val="9"/>
        </w:rPr>
        <w:t> </w:t>
      </w:r>
      <w:r>
        <w:rPr>
          <w:rFonts w:ascii="Times New Roman" w:hAnsi="Times New Roman" w:cs="Times New Roman" w:eastAsia="Times New Roman" w:hint="default"/>
        </w:rPr>
        <w:t>2019</w:t>
      </w:r>
    </w:p>
    <w:p>
      <w:pPr>
        <w:pStyle w:val="BodyText"/>
        <w:spacing w:line="240" w:lineRule="auto" w:before="64"/>
        <w:ind w:left="214" w:right="456"/>
        <w:jc w:val="left"/>
      </w:pPr>
      <w:r>
        <w:rPr/>
        <w:t>年的预算情况对未来收入进行预测。</w:t>
      </w:r>
    </w:p>
    <w:p>
      <w:pPr>
        <w:spacing w:after="0" w:line="240" w:lineRule="auto"/>
        <w:jc w:val="left"/>
        <w:sectPr>
          <w:type w:val="continuous"/>
          <w:pgSz w:w="11910" w:h="16840"/>
          <w:pgMar w:top="1060" w:bottom="1160" w:left="920" w:right="0"/>
        </w:sectPr>
      </w:pPr>
    </w:p>
    <w:p>
      <w:pPr>
        <w:spacing w:line="240" w:lineRule="auto" w:before="13"/>
        <w:rPr>
          <w:rFonts w:ascii="宋体" w:hAnsi="宋体" w:cs="宋体" w:eastAsia="宋体" w:hint="default"/>
          <w:sz w:val="25"/>
          <w:szCs w:val="25"/>
        </w:rPr>
      </w:pPr>
    </w:p>
    <w:p>
      <w:pPr>
        <w:pStyle w:val="BodyText"/>
        <w:spacing w:line="314" w:lineRule="auto" w:before="44"/>
        <w:ind w:left="514" w:right="0"/>
        <w:jc w:val="left"/>
      </w:pPr>
      <w:r>
        <w:rPr/>
        <w:t>②本次预测营业成本时按以下假设条件进行的： </w:t>
      </w:r>
      <w:r>
        <w:rPr>
          <w:spacing w:val="-4"/>
        </w:rPr>
        <w:t>被评估企业目前及未来的管理层合法合规、尽职地履行经营管理职能，不会出现严重影响企业发展或损害股东利益情形，</w:t>
      </w:r>
    </w:p>
    <w:p>
      <w:pPr>
        <w:pStyle w:val="BodyText"/>
        <w:spacing w:line="398" w:lineRule="auto" w:before="60"/>
        <w:ind w:left="514" w:right="1119" w:hanging="360"/>
        <w:jc w:val="left"/>
      </w:pPr>
      <w:r>
        <w:rPr/>
        <w:t>并继续保持现有的经营管理模式。 评估企业各项业务相关经营资质在有效期届满后能顺利通过有关部门的审批并持续有效。 被评估企业于评估基准日后采用的会计政策和编写本评估报告时所采用的会计政策在重要方面保持一致。 被评估企业目前位于北京市海淀区学院南路</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号京师科技大厦（原孵化大厦）</w:t>
      </w:r>
      <w:r>
        <w:rPr>
          <w:rFonts w:ascii="Times New Roman" w:hAnsi="Times New Roman" w:cs="Times New Roman" w:eastAsia="Times New Roman" w:hint="default"/>
          <w:spacing w:val="-3"/>
        </w:rPr>
        <w:t>B</w:t>
      </w:r>
      <w:r>
        <w:rPr>
          <w:rFonts w:ascii="Times New Roman" w:hAnsi="Times New Roman" w:cs="Times New Roman" w:eastAsia="Times New Roman" w:hint="default"/>
          <w:spacing w:val="-2"/>
        </w:rPr>
        <w:t> </w:t>
      </w:r>
      <w:r>
        <w:rPr/>
        <w:t>座</w:t>
      </w:r>
      <w:r>
        <w:rPr>
          <w:spacing w:val="-47"/>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2"/>
        </w:rPr>
        <w:t> </w:t>
      </w:r>
      <w:r>
        <w:rPr/>
        <w:t>层房屋，生产经营场所系租赁</w:t>
      </w:r>
    </w:p>
    <w:p>
      <w:pPr>
        <w:pStyle w:val="BodyText"/>
        <w:spacing w:line="218" w:lineRule="exact"/>
        <w:ind w:right="0"/>
        <w:jc w:val="left"/>
      </w:pPr>
      <w:r>
        <w:rPr/>
        <w:t>取得</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Times New Roman" w:hAnsi="Times New Roman" w:cs="Times New Roman" w:eastAsia="Times New Roman" w:hint="default"/>
        </w:rPr>
        <w:t>B </w:t>
      </w:r>
      <w:r>
        <w:rPr/>
        <w:t>座</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层房屋租赁面积为</w:t>
      </w:r>
      <w:r>
        <w:rPr>
          <w:spacing w:val="-46"/>
        </w:rPr>
        <w:t> </w:t>
      </w:r>
      <w:r>
        <w:rPr>
          <w:rFonts w:ascii="Times New Roman" w:hAnsi="Times New Roman" w:cs="Times New Roman" w:eastAsia="Times New Roman" w:hint="default"/>
        </w:rPr>
        <w:t>1,210.90</w:t>
      </w:r>
      <w:r>
        <w:rPr>
          <w:rFonts w:ascii="Times New Roman" w:hAnsi="Times New Roman" w:cs="Times New Roman" w:eastAsia="Times New Roman" w:hint="default"/>
          <w:spacing w:val="-1"/>
        </w:rPr>
        <w:t> </w:t>
      </w:r>
      <w:r>
        <w:rPr/>
        <w:t>平方米，</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45"/>
        </w:rPr>
        <w:t> </w:t>
      </w:r>
      <w:r>
        <w:rPr>
          <w:rFonts w:ascii="Times New Roman" w:hAnsi="Times New Roman" w:cs="Times New Roman" w:eastAsia="Times New Roman" w:hint="default"/>
        </w:rPr>
        <w:t>2 </w:t>
      </w:r>
      <w:r>
        <w:rPr/>
        <w:t>层面积为</w:t>
      </w:r>
      <w:r>
        <w:rPr>
          <w:spacing w:val="-46"/>
        </w:rPr>
        <w:t> </w:t>
      </w:r>
      <w:r>
        <w:rPr>
          <w:rFonts w:ascii="Times New Roman" w:hAnsi="Times New Roman" w:cs="Times New Roman" w:eastAsia="Times New Roman" w:hint="default"/>
        </w:rPr>
        <w:t>1,888.50</w:t>
      </w:r>
      <w:r>
        <w:rPr>
          <w:rFonts w:ascii="Times New Roman" w:hAnsi="Times New Roman" w:cs="Times New Roman" w:eastAsia="Times New Roman" w:hint="default"/>
          <w:spacing w:val="-1"/>
        </w:rPr>
        <w:t> </w:t>
      </w:r>
      <w:r>
        <w:rPr/>
        <w:t>平方米，租赁期至</w:t>
      </w:r>
      <w:r>
        <w:rPr>
          <w:spacing w:val="-46"/>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日；联动科技</w:t>
      </w:r>
    </w:p>
    <w:p>
      <w:pPr>
        <w:pStyle w:val="BodyText"/>
        <w:spacing w:line="240" w:lineRule="auto" w:before="101"/>
        <w:ind w:right="0"/>
        <w:jc w:val="left"/>
        <w:rPr>
          <w:rFonts w:ascii="Times New Roman" w:hAnsi="Times New Roman" w:cs="Times New Roman" w:eastAsia="Times New Roman" w:hint="default"/>
        </w:rPr>
      </w:pPr>
      <w:r>
        <w:rPr/>
        <w:t>上海分公司办公场所为联动优势科技有限公司租赁周琳坐落在上海市徐汇区虹桥路</w:t>
      </w:r>
      <w:r>
        <w:rPr>
          <w:spacing w:val="-45"/>
        </w:rPr>
        <w:t> </w:t>
      </w:r>
      <w:r>
        <w:rPr>
          <w:rFonts w:ascii="Times New Roman" w:hAnsi="Times New Roman" w:cs="Times New Roman" w:eastAsia="Times New Roman" w:hint="default"/>
        </w:rPr>
        <w:t>777</w:t>
      </w:r>
      <w:r>
        <w:rPr>
          <w:rFonts w:ascii="Times New Roman" w:hAnsi="Times New Roman" w:cs="Times New Roman" w:eastAsia="Times New Roman" w:hint="default"/>
          <w:spacing w:val="-1"/>
        </w:rPr>
        <w:t> </w:t>
      </w:r>
      <w:r>
        <w:rPr/>
        <w:t>号</w:t>
      </w:r>
      <w:r>
        <w:rPr>
          <w:spacing w:val="-46"/>
        </w:rPr>
        <w:t> </w:t>
      </w:r>
      <w:r>
        <w:rPr>
          <w:rFonts w:ascii="Times New Roman" w:hAnsi="Times New Roman" w:cs="Times New Roman" w:eastAsia="Times New Roman" w:hint="default"/>
        </w:rPr>
        <w:t>601</w:t>
      </w:r>
      <w:r>
        <w:rPr>
          <w:rFonts w:ascii="Times New Roman" w:hAnsi="Times New Roman" w:cs="Times New Roman" w:eastAsia="Times New Roman" w:hint="default"/>
          <w:spacing w:val="-1"/>
        </w:rPr>
        <w:t> </w:t>
      </w:r>
      <w:r>
        <w:rPr/>
        <w:t>室</w:t>
      </w:r>
      <w:r>
        <w:rPr>
          <w:spacing w:val="1"/>
        </w:rPr>
        <w:t>的</w:t>
      </w:r>
      <w:r>
        <w:rPr/>
        <w:t>房屋</w:t>
      </w:r>
      <w:r>
        <w:rPr>
          <w:spacing w:val="-82"/>
        </w:rPr>
        <w:t>，</w:t>
      </w:r>
      <w:r>
        <w:rPr/>
        <w:t>租赁面积为</w:t>
      </w:r>
      <w:r>
        <w:rPr>
          <w:spacing w:val="-46"/>
        </w:rPr>
        <w:t> </w:t>
      </w:r>
      <w:r>
        <w:rPr>
          <w:rFonts w:ascii="Times New Roman" w:hAnsi="Times New Roman" w:cs="Times New Roman" w:eastAsia="Times New Roman" w:hint="default"/>
        </w:rPr>
        <w:t>238.20</w:t>
      </w:r>
    </w:p>
    <w:p>
      <w:pPr>
        <w:pStyle w:val="BodyText"/>
        <w:spacing w:line="240" w:lineRule="auto" w:before="101"/>
        <w:ind w:right="0"/>
        <w:jc w:val="left"/>
      </w:pPr>
      <w:r>
        <w:rPr/>
        <w:t>平方米</w:t>
      </w:r>
      <w:r>
        <w:rPr>
          <w:rFonts w:ascii="Times New Roman" w:hAnsi="Times New Roman" w:cs="Times New Roman" w:eastAsia="Times New Roman" w:hint="default"/>
        </w:rPr>
        <w:t>,</w:t>
      </w:r>
      <w:r>
        <w:rPr/>
        <w:t>租赁期限自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日，前两年年租金为</w:t>
      </w:r>
      <w:r>
        <w:rPr>
          <w:spacing w:val="-4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1"/>
        </w:rPr>
        <w:t> </w:t>
      </w:r>
      <w:r>
        <w:rPr/>
        <w:t>万元，自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日起年租金</w:t>
      </w:r>
    </w:p>
    <w:p>
      <w:pPr>
        <w:pStyle w:val="BodyText"/>
        <w:spacing w:line="240" w:lineRule="auto" w:before="101"/>
        <w:ind w:right="0"/>
        <w:jc w:val="left"/>
      </w:pPr>
      <w:r>
        <w:rPr/>
        <w:t>调整为</w:t>
      </w:r>
      <w:r>
        <w:rPr>
          <w:spacing w:val="-49"/>
        </w:rPr>
        <w:t> </w:t>
      </w:r>
      <w:r>
        <w:rPr>
          <w:rFonts w:ascii="Times New Roman" w:hAnsi="Times New Roman" w:cs="Times New Roman" w:eastAsia="Times New Roman" w:hint="default"/>
        </w:rPr>
        <w:t>70.56</w:t>
      </w:r>
      <w:r>
        <w:rPr>
          <w:rFonts w:ascii="Times New Roman" w:hAnsi="Times New Roman" w:cs="Times New Roman" w:eastAsia="Times New Roman" w:hint="default"/>
          <w:spacing w:val="-4"/>
        </w:rPr>
        <w:t> </w:t>
      </w:r>
      <w:r>
        <w:rPr/>
        <w:t>万元。海联金科办公场所为租赁天安人寿保险股份有限公司坐落在北京市石景山古城南街</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号院</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号楼（绿地</w:t>
      </w:r>
    </w:p>
    <w:p>
      <w:pPr>
        <w:pStyle w:val="BodyText"/>
        <w:spacing w:line="240" w:lineRule="auto" w:before="101"/>
        <w:ind w:right="0"/>
        <w:jc w:val="left"/>
      </w:pPr>
      <w:r>
        <w:rPr>
          <w:spacing w:val="-3"/>
        </w:rPr>
        <w:t>环球文化金融城）的</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层</w:t>
      </w:r>
      <w:r>
        <w:rPr>
          <w:spacing w:val="-47"/>
        </w:rPr>
        <w:t> </w:t>
      </w:r>
      <w:r>
        <w:rPr>
          <w:rFonts w:ascii="Times New Roman" w:hAnsi="Times New Roman" w:cs="Times New Roman" w:eastAsia="Times New Roman" w:hint="default"/>
        </w:rPr>
        <w:t>01-12</w:t>
      </w:r>
      <w:r>
        <w:rPr>
          <w:rFonts w:ascii="Times New Roman" w:hAnsi="Times New Roman" w:cs="Times New Roman" w:eastAsia="Times New Roman" w:hint="default"/>
          <w:spacing w:val="-2"/>
        </w:rPr>
        <w:t> </w:t>
      </w:r>
      <w:r>
        <w:rPr>
          <w:spacing w:val="-5"/>
        </w:rPr>
        <w:t>单元、</w:t>
      </w:r>
      <w:r>
        <w:rPr>
          <w:rFonts w:ascii="Times New Roman" w:hAnsi="Times New Roman" w:cs="Times New Roman" w:eastAsia="Times New Roman" w:hint="default"/>
          <w:spacing w:val="-5"/>
        </w:rPr>
        <w:t>23</w:t>
      </w:r>
      <w:r>
        <w:rPr>
          <w:rFonts w:ascii="Times New Roman" w:hAnsi="Times New Roman" w:cs="Times New Roman" w:eastAsia="Times New Roman" w:hint="default"/>
          <w:spacing w:val="-1"/>
        </w:rPr>
        <w:t> </w:t>
      </w:r>
      <w:r>
        <w:rPr/>
        <w:t>层</w:t>
      </w:r>
      <w:r>
        <w:rPr>
          <w:spacing w:val="-47"/>
        </w:rPr>
        <w:t> </w:t>
      </w:r>
      <w:r>
        <w:rPr>
          <w:rFonts w:ascii="Times New Roman" w:hAnsi="Times New Roman" w:cs="Times New Roman" w:eastAsia="Times New Roman" w:hint="default"/>
        </w:rPr>
        <w:t>01-12</w:t>
      </w:r>
      <w:r>
        <w:rPr>
          <w:rFonts w:ascii="Times New Roman" w:hAnsi="Times New Roman" w:cs="Times New Roman" w:eastAsia="Times New Roman" w:hint="default"/>
          <w:spacing w:val="-2"/>
        </w:rPr>
        <w:t> </w:t>
      </w:r>
      <w:r>
        <w:rPr/>
        <w:t>单元的房产，租赁面积为</w:t>
      </w:r>
      <w:r>
        <w:rPr>
          <w:spacing w:val="-47"/>
        </w:rPr>
        <w:t> </w:t>
      </w:r>
      <w:r>
        <w:rPr>
          <w:rFonts w:ascii="Times New Roman" w:hAnsi="Times New Roman" w:cs="Times New Roman" w:eastAsia="Times New Roman" w:hint="default"/>
        </w:rPr>
        <w:t>4129.92</w:t>
      </w:r>
      <w:r>
        <w:rPr>
          <w:rFonts w:ascii="Times New Roman" w:hAnsi="Times New Roman" w:cs="Times New Roman" w:eastAsia="Times New Roman" w:hint="default"/>
          <w:spacing w:val="-2"/>
        </w:rPr>
        <w:t> </w:t>
      </w:r>
      <w:r>
        <w:rPr/>
        <w:t>平方米</w:t>
      </w:r>
      <w:r>
        <w:rPr>
          <w:rFonts w:ascii="Times New Roman" w:hAnsi="Times New Roman" w:cs="Times New Roman" w:eastAsia="Times New Roman" w:hint="default"/>
        </w:rPr>
        <w:t>,</w:t>
      </w:r>
      <w:r>
        <w:rPr/>
        <w:t>租赁期限自</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240" w:lineRule="auto" w:before="100"/>
        <w:ind w:right="0"/>
        <w:jc w:val="left"/>
        <w:rPr>
          <w:rFonts w:ascii="Times New Roman" w:hAnsi="Times New Roman" w:cs="Times New Roman" w:eastAsia="Times New Roman" w:hint="default"/>
        </w:rPr>
      </w:pPr>
      <w:r>
        <w:rPr/>
        <w:t>至</w:t>
      </w:r>
      <w:r>
        <w:rPr>
          <w:spacing w:val="-46"/>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11"/>
        </w:rPr>
        <w:t>日</w:t>
      </w:r>
      <w:r>
        <w:rPr>
          <w:spacing w:val="1"/>
        </w:rPr>
        <w:t>（</w:t>
      </w:r>
      <w:r>
        <w:rPr/>
        <w:t>含</w:t>
      </w:r>
      <w:r>
        <w:rPr>
          <w:spacing w:val="-46"/>
        </w:rPr>
        <w:t> </w:t>
      </w:r>
      <w:r>
        <w:rPr>
          <w:rFonts w:ascii="Times New Roman" w:hAnsi="Times New Roman" w:cs="Times New Roman" w:eastAsia="Times New Roman" w:hint="default"/>
        </w:rPr>
        <w:t>6 </w:t>
      </w:r>
      <w:r>
        <w:rPr/>
        <w:t>个月的免租期</w:t>
      </w:r>
      <w:r>
        <w:rPr>
          <w:spacing w:val="-90"/>
        </w:rPr>
        <w:t>）</w:t>
      </w:r>
      <w:r>
        <w:rPr>
          <w:spacing w:val="-11"/>
        </w:rPr>
        <w:t>，</w:t>
      </w:r>
      <w:r>
        <w:rPr/>
        <w:t>日租金为人民币</w:t>
      </w:r>
      <w:r>
        <w:rPr>
          <w:spacing w:val="-46"/>
        </w:rPr>
        <w:t> </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spacing w:val="-11"/>
        </w:rPr>
        <w:t>，</w:t>
      </w:r>
      <w:r>
        <w:rPr/>
        <w:t>房屋租金</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年内不</w:t>
      </w:r>
      <w:r>
        <w:rPr>
          <w:spacing w:val="1"/>
        </w:rPr>
        <w:t>做</w:t>
      </w:r>
      <w:r>
        <w:rPr/>
        <w:t>调整</w:t>
      </w:r>
      <w:r>
        <w:rPr>
          <w:spacing w:val="-11"/>
        </w:rPr>
        <w:t>，</w:t>
      </w:r>
      <w:r>
        <w:rPr/>
        <w:t>自</w:t>
      </w:r>
      <w:r>
        <w:rPr>
          <w:spacing w:val="-46"/>
        </w:rPr>
        <w:t> </w:t>
      </w:r>
      <w:r>
        <w:rPr>
          <w:rFonts w:ascii="Times New Roman" w:hAnsi="Times New Roman" w:cs="Times New Roman" w:eastAsia="Times New Roman" w:hint="default"/>
        </w:rPr>
        <w:t>2020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r>
    </w:p>
    <w:p>
      <w:pPr>
        <w:pStyle w:val="BodyText"/>
        <w:spacing w:line="240" w:lineRule="auto" w:before="101"/>
        <w:ind w:right="0"/>
        <w:jc w:val="left"/>
        <w:rPr>
          <w:rFonts w:ascii="Times New Roman" w:hAnsi="Times New Roman" w:cs="Times New Roman" w:eastAsia="Times New Roman" w:hint="default"/>
        </w:rPr>
      </w:pPr>
      <w:r>
        <w:rPr/>
        <w:t>日以每年 </w:t>
      </w:r>
      <w:r>
        <w:rPr>
          <w:rFonts w:ascii="Times New Roman" w:hAnsi="Times New Roman" w:cs="Times New Roman" w:eastAsia="Times New Roman" w:hint="default"/>
        </w:rPr>
        <w:t>5%</w:t>
      </w:r>
      <w:r>
        <w:rPr/>
        <w:t>的标准进行递增；蜜小蜂办公场所为租赁北京兴盛合文化产业投资有限公司坐落在北京市海淀区学院南路</w:t>
      </w:r>
      <w:r>
        <w:rPr>
          <w:spacing w:val="37"/>
        </w:rPr>
        <w:t> </w:t>
      </w:r>
      <w:r>
        <w:rPr>
          <w:rFonts w:ascii="Times New Roman" w:hAnsi="Times New Roman" w:cs="Times New Roman" w:eastAsia="Times New Roman" w:hint="default"/>
        </w:rPr>
        <w:t>12</w:t>
      </w:r>
    </w:p>
    <w:p>
      <w:pPr>
        <w:pStyle w:val="BodyText"/>
        <w:spacing w:line="240" w:lineRule="auto" w:before="101"/>
        <w:ind w:right="0"/>
        <w:jc w:val="left"/>
        <w:rPr>
          <w:rFonts w:ascii="Times New Roman" w:hAnsi="Times New Roman" w:cs="Times New Roman" w:eastAsia="Times New Roman" w:hint="default"/>
        </w:rPr>
      </w:pPr>
      <w:r>
        <w:rPr/>
        <w:t>号北师大科技园孵化大厦</w:t>
      </w:r>
      <w:r>
        <w:rPr>
          <w:spacing w:val="-46"/>
        </w:rPr>
        <w:t> </w:t>
      </w:r>
      <w:r>
        <w:rPr>
          <w:rFonts w:ascii="Times New Roman" w:hAnsi="Times New Roman" w:cs="Times New Roman" w:eastAsia="Times New Roman" w:hint="default"/>
        </w:rPr>
        <w:t>B </w:t>
      </w:r>
      <w:r>
        <w:rPr/>
        <w:t>座</w:t>
      </w:r>
      <w:r>
        <w:rPr>
          <w:spacing w:val="-46"/>
        </w:rPr>
        <w:t> </w:t>
      </w:r>
      <w:r>
        <w:rPr>
          <w:rFonts w:ascii="Times New Roman" w:hAnsi="Times New Roman" w:cs="Times New Roman" w:eastAsia="Times New Roman" w:hint="default"/>
        </w:rPr>
        <w:t>B1-20</w:t>
      </w:r>
      <w:r>
        <w:rPr>
          <w:rFonts w:ascii="Times New Roman" w:hAnsi="Times New Roman" w:cs="Times New Roman" w:eastAsia="Times New Roman" w:hint="default"/>
          <w:spacing w:val="-1"/>
        </w:rPr>
        <w:t> </w:t>
      </w:r>
      <w:r>
        <w:rPr>
          <w:spacing w:val="-6"/>
        </w:rPr>
        <w:t>室的房产，租赁面积为</w:t>
      </w:r>
      <w:r>
        <w:rPr>
          <w:spacing w:val="-46"/>
        </w:rPr>
        <w:t> </w:t>
      </w:r>
      <w:r>
        <w:rPr>
          <w:rFonts w:ascii="Times New Roman" w:hAnsi="Times New Roman" w:cs="Times New Roman" w:eastAsia="Times New Roman" w:hint="default"/>
        </w:rPr>
        <w:t>98.98</w:t>
      </w:r>
      <w:r>
        <w:rPr>
          <w:rFonts w:ascii="Times New Roman" w:hAnsi="Times New Roman" w:cs="Times New Roman" w:eastAsia="Times New Roman" w:hint="default"/>
          <w:spacing w:val="-1"/>
        </w:rPr>
        <w:t> </w:t>
      </w:r>
      <w:r>
        <w:rPr/>
        <w:t>平方米</w:t>
      </w:r>
      <w:r>
        <w:rPr>
          <w:rFonts w:ascii="Times New Roman" w:hAnsi="Times New Roman" w:cs="Times New Roman" w:eastAsia="Times New Roman" w:hint="default"/>
        </w:rPr>
        <w:t>,</w:t>
      </w:r>
      <w:r>
        <w:rPr/>
        <w:t>租赁期限自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p>
    <w:p>
      <w:pPr>
        <w:pStyle w:val="BodyText"/>
        <w:spacing w:line="338" w:lineRule="auto" w:before="101"/>
        <w:ind w:right="1116"/>
        <w:jc w:val="left"/>
      </w:pPr>
      <w:r>
        <w:rPr/>
        <w:t>日，年租金为人民币</w:t>
      </w:r>
      <w:r>
        <w:rPr>
          <w:spacing w:val="-42"/>
        </w:rPr>
        <w:t> </w:t>
      </w:r>
      <w:r>
        <w:rPr>
          <w:rFonts w:ascii="Times New Roman" w:hAnsi="Times New Roman" w:cs="Times New Roman" w:eastAsia="Times New Roman" w:hint="default"/>
        </w:rPr>
        <w:t>72,255.40</w:t>
      </w:r>
      <w:r>
        <w:rPr>
          <w:rFonts w:ascii="Times New Roman" w:hAnsi="Times New Roman" w:cs="Times New Roman" w:eastAsia="Times New Roman" w:hint="default"/>
          <w:spacing w:val="3"/>
        </w:rPr>
        <w:t> </w:t>
      </w:r>
      <w:r>
        <w:rPr/>
        <w:t>元。本次评估假设该租赁合同到期后，被评估企业能按租赁合同的约定条件获得续签继续使 用，或届时能以市场租金价格水平获取类似条件和规模的经营场所。</w:t>
      </w:r>
    </w:p>
    <w:p>
      <w:pPr>
        <w:pStyle w:val="BodyText"/>
        <w:spacing w:line="348" w:lineRule="auto" w:before="80"/>
        <w:ind w:right="1032" w:firstLine="360"/>
        <w:jc w:val="left"/>
      </w:pPr>
      <w:r>
        <w:rPr/>
        <w:t>联动科技《高新技术企业证书》取得日期为</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25 </w:t>
      </w:r>
      <w:r>
        <w:rPr/>
        <w:t>日，有效期为</w:t>
      </w:r>
      <w:r>
        <w:rPr>
          <w:spacing w:val="-45"/>
        </w:rPr>
        <w:t> </w:t>
      </w:r>
      <w:r>
        <w:rPr>
          <w:rFonts w:ascii="Times New Roman" w:hAnsi="Times New Roman" w:cs="Times New Roman" w:eastAsia="Times New Roman" w:hint="default"/>
        </w:rPr>
        <w:t>3 </w:t>
      </w:r>
      <w:r>
        <w:rPr/>
        <w:t>年。假设未来现行高新技术企业认定的相 关法律法规无重大变化，评估师对企业目前的主营业务类型、研发人员构成、未来的研发投入占收入比等指标进行分析后，</w:t>
      </w:r>
      <w:r>
        <w:rPr>
          <w:spacing w:val="-85"/>
        </w:rPr>
        <w:t> </w:t>
      </w:r>
      <w:r>
        <w:rPr>
          <w:spacing w:val="-85"/>
        </w:rPr>
      </w:r>
      <w:r>
        <w:rPr/>
        <w:t>基于未来合理的经营假设，认为该公司基本具备持续获得高新技术企业认定的条件，能够持续享受所得税优惠政策。</w:t>
      </w:r>
    </w:p>
    <w:p>
      <w:pPr>
        <w:pStyle w:val="BodyText"/>
        <w:spacing w:line="357" w:lineRule="auto" w:before="72"/>
        <w:ind w:right="0" w:firstLine="360"/>
        <w:jc w:val="left"/>
      </w:pPr>
      <w:r>
        <w:rPr>
          <w:spacing w:val="-2"/>
        </w:rPr>
        <w:t>③税金及附加的预测主要是根据浙联动科技应缴增值税计算城建税、教育费附加及地方教育费附加，增值税根据销项税</w:t>
      </w:r>
      <w:r>
        <w:rPr/>
        <w:t> 减去可抵扣进项税缴纳，其中增值税税率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6%</w:t>
      </w:r>
      <w:r>
        <w:rPr/>
        <w:t>，城建税税率为 </w:t>
      </w:r>
      <w:r>
        <w:rPr>
          <w:rFonts w:ascii="Times New Roman" w:hAnsi="Times New Roman" w:cs="Times New Roman" w:eastAsia="Times New Roman" w:hint="default"/>
        </w:rPr>
        <w:t>7%</w:t>
      </w:r>
      <w:r>
        <w:rPr/>
        <w:t>，教育费附加税率为 </w:t>
      </w:r>
      <w:r>
        <w:rPr>
          <w:rFonts w:ascii="Times New Roman" w:hAnsi="Times New Roman" w:cs="Times New Roman" w:eastAsia="Times New Roman" w:hint="default"/>
        </w:rPr>
        <w:t>5%</w:t>
      </w:r>
      <w:r>
        <w:rPr/>
        <w:t>。</w:t>
      </w:r>
    </w:p>
    <w:p>
      <w:pPr>
        <w:pStyle w:val="BodyText"/>
        <w:spacing w:line="357" w:lineRule="auto" w:before="42"/>
        <w:ind w:right="1131" w:firstLine="360"/>
        <w:jc w:val="both"/>
      </w:pPr>
      <w:r>
        <w:rPr>
          <w:spacing w:val="-2"/>
        </w:rPr>
        <w:t>④销售费用核算内容主要是销售人员工资及福利费、业务宣传费、通讯费、差旅费、办公费和房屋租赁费等内容。本次</w:t>
      </w:r>
      <w:r>
        <w:rPr/>
        <w:t> </w:t>
      </w:r>
      <w:r>
        <w:rPr>
          <w:spacing w:val="-2"/>
        </w:rPr>
        <w:t>估值中对营业费用的预测首先是根据费用与销售收入的相关性对其进行划分为固定费用和变动费用，而对于固定费用根据企</w:t>
      </w:r>
      <w:r>
        <w:rPr>
          <w:spacing w:val="-64"/>
        </w:rPr>
        <w:t> </w:t>
      </w:r>
      <w:r>
        <w:rPr>
          <w:spacing w:val="-64"/>
        </w:rPr>
      </w:r>
      <w:r>
        <w:rPr>
          <w:spacing w:val="-2"/>
        </w:rPr>
        <w:t>业未来的经营计划及费用发生的合理性进行分析后进行预测：对于变动费用，根据该类费用发生与业务量的依存关系进行预</w:t>
      </w:r>
      <w:r>
        <w:rPr>
          <w:spacing w:val="-64"/>
        </w:rPr>
        <w:t> </w:t>
      </w:r>
      <w:r>
        <w:rPr>
          <w:spacing w:val="-64"/>
        </w:rPr>
      </w:r>
      <w:r>
        <w:rPr/>
        <w:t>测。</w:t>
      </w:r>
    </w:p>
    <w:p>
      <w:pPr>
        <w:pStyle w:val="BodyText"/>
        <w:spacing w:line="357" w:lineRule="auto" w:before="65"/>
        <w:ind w:right="0" w:firstLine="360"/>
        <w:jc w:val="left"/>
      </w:pPr>
      <w:r>
        <w:rPr>
          <w:spacing w:val="-2"/>
        </w:rPr>
        <w:t>⑤对管理费用的预测首先是根据管理费用与销售收入的相关性对其进行划分为固定费用和变动费用，而对于固定费用根</w:t>
      </w:r>
      <w:r>
        <w:rPr/>
        <w:t> 据企业未来的经营计划及费用发生</w:t>
      </w:r>
    </w:p>
    <w:p>
      <w:pPr>
        <w:spacing w:line="240" w:lineRule="auto" w:before="2"/>
        <w:rPr>
          <w:rFonts w:ascii="宋体" w:hAnsi="宋体" w:cs="宋体" w:eastAsia="宋体" w:hint="default"/>
          <w:sz w:val="14"/>
          <w:szCs w:val="14"/>
        </w:rPr>
      </w:pPr>
    </w:p>
    <w:p>
      <w:pPr>
        <w:pStyle w:val="BodyText"/>
        <w:spacing w:line="240" w:lineRule="auto"/>
        <w:ind w:right="0"/>
        <w:jc w:val="left"/>
      </w:pPr>
      <w:r>
        <w:rPr/>
        <w:t>的合理性进行分析后进行预测。对于变动费用，根据该类费用发生与业务量的依存关系进行预测。</w:t>
      </w:r>
    </w:p>
    <w:p>
      <w:pPr>
        <w:spacing w:line="240" w:lineRule="auto" w:before="10"/>
        <w:rPr>
          <w:rFonts w:ascii="宋体" w:hAnsi="宋体" w:cs="宋体" w:eastAsia="宋体" w:hint="default"/>
          <w:sz w:val="20"/>
          <w:szCs w:val="20"/>
        </w:rPr>
      </w:pPr>
    </w:p>
    <w:p>
      <w:pPr>
        <w:pStyle w:val="BodyText"/>
        <w:spacing w:line="516" w:lineRule="auto"/>
        <w:ind w:right="2562" w:firstLine="360"/>
        <w:jc w:val="left"/>
      </w:pPr>
      <w:r>
        <w:rPr/>
        <w:t>⑥根据资产组中各类机器设备的经济寿命及尚可使用年限，确定预测年度资 本性支出为存量资产的更新支出。 企业采用年限直线折旧法计提固定资产折旧，折旧额计算公式如下：</w:t>
      </w:r>
    </w:p>
    <w:p>
      <w:pPr>
        <w:pStyle w:val="BodyText"/>
        <w:spacing w:line="412" w:lineRule="auto" w:before="66"/>
        <w:ind w:left="514" w:right="4452"/>
        <w:jc w:val="left"/>
      </w:pPr>
      <w:r>
        <w:rPr/>
        <w:t>未来各年度折旧额</w:t>
      </w:r>
      <w:r>
        <w:rPr>
          <w:rFonts w:ascii="Times New Roman" w:hAnsi="Times New Roman" w:cs="Times New Roman" w:eastAsia="Times New Roman" w:hint="default"/>
        </w:rPr>
        <w:t>=</w:t>
      </w:r>
      <w:r>
        <w:rPr/>
        <w:t>当年固定资产平均原值×折旧率 折旧的预测：根据当年新增的固定资产和减少的固定资产以及折旧率计算未</w:t>
      </w:r>
    </w:p>
    <w:p>
      <w:pPr>
        <w:pStyle w:val="BodyText"/>
        <w:spacing w:line="222" w:lineRule="exact"/>
        <w:ind w:right="0"/>
        <w:jc w:val="left"/>
      </w:pPr>
      <w:r>
        <w:rPr/>
        <w:t>来年度固定资产计提的折旧，其中新增固定资产来源于当年的资本性支出。根据</w:t>
      </w:r>
    </w:p>
    <w:p>
      <w:pPr>
        <w:pStyle w:val="BodyText"/>
        <w:spacing w:line="357" w:lineRule="auto" w:before="117"/>
        <w:ind w:right="4452"/>
        <w:jc w:val="left"/>
      </w:pPr>
      <w:r>
        <w:rPr/>
        <w:t>企业现有设备原值与设备使用年限，固定资产减少量按设备使用年限计算。根据 企业固定资产账面值、资本性支出、折旧率等数据，预测未来年度的折旧费。</w:t>
      </w:r>
    </w:p>
    <w:p>
      <w:pPr>
        <w:pStyle w:val="BodyText"/>
        <w:spacing w:line="319" w:lineRule="auto" w:before="26"/>
        <w:ind w:right="0" w:firstLine="360"/>
        <w:jc w:val="left"/>
      </w:pPr>
      <w:r>
        <w:rPr>
          <w:spacing w:val="-2"/>
        </w:rPr>
        <w:t>⑦无形资产摊销内容主要是长期待摊费用的摊销，根据长期待摊费用取得时间、原始入账价值、账面价值、预计摊销时</w:t>
      </w:r>
      <w:r>
        <w:rPr/>
        <w:t> 间等数据，预测各项资产未来年度的摊销值。</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3" w:firstLine="360"/>
        <w:jc w:val="both"/>
      </w:pPr>
      <w:r>
        <w:rPr>
          <w:spacing w:val="-2"/>
        </w:rPr>
        <w:t>⑧营运资金增加额：系指企业在不改变当前主营业务条件下，为保持企业持续经营能力所需的新增营运资金。营运资金</w:t>
      </w:r>
      <w:r>
        <w:rPr/>
        <w:t> </w:t>
      </w:r>
      <w:r>
        <w:rPr>
          <w:spacing w:val="-2"/>
        </w:rPr>
        <w:t>的追加是指随着企业经营活动的变化，获取他人的商业信用而占用的现金，正常经营所需保持的现金、存货等；同时，在经</w:t>
      </w:r>
      <w:r>
        <w:rPr>
          <w:spacing w:val="-66"/>
        </w:rPr>
        <w:t> </w:t>
      </w:r>
      <w:r>
        <w:rPr>
          <w:spacing w:val="-66"/>
        </w:rPr>
      </w:r>
      <w:r>
        <w:rPr/>
        <w:t>济活动中，提供商业信用，相应可以减少现金的即时支付。</w:t>
      </w:r>
    </w:p>
    <w:p>
      <w:pPr>
        <w:pStyle w:val="BodyText"/>
        <w:spacing w:line="319" w:lineRule="auto" w:before="55"/>
        <w:ind w:right="1131" w:firstLine="360"/>
        <w:jc w:val="both"/>
      </w:pPr>
      <w:r>
        <w:rPr>
          <w:spacing w:val="-5"/>
        </w:rPr>
        <w:t>资产组营运资本主要包括：正常经营所需保持的安全现金保有量、产品存货购置、代客户垫付购货款（应收、预付账款）</w:t>
      </w:r>
      <w:r>
        <w:rPr/>
        <w:t> </w:t>
      </w:r>
      <w:r>
        <w:rPr>
          <w:spacing w:val="-2"/>
        </w:rPr>
        <w:t>等所需的基本资金以及应付、预收账款等。通常上述科目的金额与收入、成本呈相对稳定的比例关系，其他应收账款和其他</w:t>
      </w:r>
      <w:r>
        <w:rPr>
          <w:spacing w:val="-66"/>
        </w:rPr>
        <w:t> </w:t>
      </w:r>
      <w:r>
        <w:rPr>
          <w:spacing w:val="-66"/>
        </w:rPr>
      </w:r>
      <w:r>
        <w:rPr>
          <w:spacing w:val="-2"/>
        </w:rPr>
        <w:t>应付账款需具体甄别视其与所估算经营业务的相关性确定（其中与主营业务无关或暂时性的往来作为非经营性）；应交税金</w:t>
      </w:r>
      <w:r>
        <w:rPr>
          <w:spacing w:val="-64"/>
        </w:rPr>
        <w:t> </w:t>
      </w:r>
      <w:r>
        <w:rPr>
          <w:spacing w:val="-64"/>
        </w:rPr>
      </w:r>
      <w:r>
        <w:rPr/>
        <w:t>和应付薪酬因周转快，按各年预测数据确定。本报告所定义的营运资本增加额为：</w:t>
      </w:r>
    </w:p>
    <w:p>
      <w:pPr>
        <w:pStyle w:val="BodyText"/>
        <w:spacing w:line="240" w:lineRule="auto" w:before="58"/>
        <w:ind w:left="514" w:right="0"/>
        <w:jc w:val="left"/>
      </w:pPr>
      <w:r>
        <w:rPr/>
        <w:t>营运资本增加额</w:t>
      </w:r>
      <w:r>
        <w:rPr>
          <w:rFonts w:ascii="Times New Roman" w:hAnsi="Times New Roman" w:cs="Times New Roman" w:eastAsia="Times New Roman" w:hint="default"/>
        </w:rPr>
        <w:t>=</w:t>
      </w:r>
      <w:r>
        <w:rPr/>
        <w:t>当期营运资本</w:t>
      </w:r>
      <w:r>
        <w:rPr>
          <w:rFonts w:ascii="Times New Roman" w:hAnsi="Times New Roman" w:cs="Times New Roman" w:eastAsia="Times New Roman" w:hint="default"/>
        </w:rPr>
        <w:t>-</w:t>
      </w:r>
      <w:r>
        <w:rPr/>
        <w:t>上期营运资本</w:t>
      </w:r>
    </w:p>
    <w:p>
      <w:pPr>
        <w:pStyle w:val="BodyText"/>
        <w:spacing w:line="338" w:lineRule="auto" w:before="102"/>
        <w:ind w:left="514" w:right="0"/>
        <w:jc w:val="left"/>
      </w:pPr>
      <w:r>
        <w:rPr/>
        <w:t>其中，营运资本</w:t>
      </w:r>
      <w:r>
        <w:rPr>
          <w:rFonts w:ascii="Times New Roman" w:hAnsi="Times New Roman" w:cs="Times New Roman" w:eastAsia="Times New Roman" w:hint="default"/>
        </w:rPr>
        <w:t>=</w:t>
      </w:r>
      <w:r>
        <w:rPr/>
        <w:t>安全现金保有量</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预付账款</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应付账款－预收账款</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应交税费 </w:t>
      </w:r>
      <w:r>
        <w:rPr>
          <w:spacing w:val="-2"/>
        </w:rPr>
        <w:t>安全现金保有量：企业要维持正常运营，需要一定数量的现金保有量。结合分析企业以前年度营运资金的现金持有量与</w:t>
      </w:r>
    </w:p>
    <w:p>
      <w:pPr>
        <w:pStyle w:val="BodyText"/>
        <w:spacing w:line="345" w:lineRule="auto" w:before="4"/>
        <w:ind w:left="514" w:right="4272" w:hanging="360"/>
        <w:jc w:val="left"/>
      </w:pPr>
      <w:r>
        <w:rPr/>
        <w:t>付现成本情况，确定安全现金保有量的月数，根据该月数计算完全付现成本费用。 月完全付现成本</w:t>
      </w:r>
      <w:r>
        <w:rPr>
          <w:rFonts w:ascii="Times New Roman" w:hAnsi="Times New Roman" w:cs="Times New Roman" w:eastAsia="Times New Roman" w:hint="default"/>
        </w:rPr>
        <w:t>=</w:t>
      </w:r>
      <w:r>
        <w:rPr/>
        <w:t>（销售成本</w:t>
      </w:r>
      <w:r>
        <w:rPr>
          <w:rFonts w:ascii="Times New Roman" w:hAnsi="Times New Roman" w:cs="Times New Roman" w:eastAsia="Times New Roman" w:hint="default"/>
        </w:rPr>
        <w:t>+</w:t>
      </w:r>
      <w:r>
        <w:rPr/>
        <w:t>应交税金</w:t>
      </w:r>
      <w:r>
        <w:rPr>
          <w:rFonts w:ascii="Times New Roman" w:hAnsi="Times New Roman" w:cs="Times New Roman" w:eastAsia="Times New Roman" w:hint="default"/>
        </w:rPr>
        <w:t>+</w:t>
      </w:r>
      <w:r>
        <w:rPr/>
        <w:t>三项费用—折旧与摊销）</w:t>
      </w:r>
      <w:r>
        <w:rPr>
          <w:rFonts w:ascii="Times New Roman" w:hAnsi="Times New Roman" w:cs="Times New Roman" w:eastAsia="Times New Roman" w:hint="default"/>
        </w:rPr>
        <w:t>/12 </w:t>
      </w:r>
      <w:r>
        <w:rPr/>
        <w:t>应收账款＝营业收入总额</w:t>
      </w:r>
      <w:r>
        <w:rPr>
          <w:rFonts w:ascii="Times New Roman" w:hAnsi="Times New Roman" w:cs="Times New Roman" w:eastAsia="Times New Roman" w:hint="default"/>
        </w:rPr>
        <w:t>/</w:t>
      </w:r>
      <w:r>
        <w:rPr/>
        <w:t>应收款项周转率 预付账款＝营业成本总额</w:t>
      </w:r>
      <w:r>
        <w:rPr>
          <w:rFonts w:ascii="Times New Roman" w:hAnsi="Times New Roman" w:cs="Times New Roman" w:eastAsia="Times New Roman" w:hint="default"/>
        </w:rPr>
        <w:t>/</w:t>
      </w:r>
      <w:r>
        <w:rPr/>
        <w:t>预付账款周转率</w:t>
      </w:r>
    </w:p>
    <w:p>
      <w:pPr>
        <w:pStyle w:val="BodyText"/>
        <w:spacing w:line="338" w:lineRule="auto" w:before="16"/>
        <w:ind w:left="514" w:right="6820"/>
        <w:jc w:val="left"/>
      </w:pPr>
      <w:r>
        <w:rPr/>
        <w:t>存货</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存货周转率 应付账款</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应付账款周转率 预收账款＝营业收入总额</w:t>
      </w:r>
      <w:r>
        <w:rPr>
          <w:rFonts w:ascii="Times New Roman" w:hAnsi="Times New Roman" w:cs="Times New Roman" w:eastAsia="Times New Roman" w:hint="default"/>
        </w:rPr>
        <w:t>/</w:t>
      </w:r>
      <w:r>
        <w:rPr/>
        <w:t>预收账款周转率。 应付职工薪酬</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应付职工薪酬率 应交税费</w:t>
      </w:r>
      <w:r>
        <w:rPr>
          <w:rFonts w:ascii="Times New Roman" w:hAnsi="Times New Roman" w:cs="Times New Roman" w:eastAsia="Times New Roman" w:hint="default"/>
        </w:rPr>
        <w:t>=</w:t>
      </w:r>
      <w:r>
        <w:rPr/>
        <w:t>营业收入总额</w:t>
      </w:r>
      <w:r>
        <w:rPr>
          <w:rFonts w:ascii="Times New Roman" w:hAnsi="Times New Roman" w:cs="Times New Roman" w:eastAsia="Times New Roman" w:hint="default"/>
        </w:rPr>
        <w:t>/</w:t>
      </w:r>
      <w:r>
        <w:rPr/>
        <w:t>应交税费周转率。</w:t>
      </w:r>
    </w:p>
    <w:p>
      <w:pPr>
        <w:pStyle w:val="BodyText"/>
        <w:spacing w:line="360" w:lineRule="auto" w:before="20"/>
        <w:ind w:left="514" w:right="2472"/>
        <w:jc w:val="left"/>
      </w:pPr>
      <w:r>
        <w:rPr/>
        <w:t>⑨基准日运营资本净额 根据企业基准日的安全运营现金、经营性应收及应付款项，经计算资产组组合基准日运营资本净额。</w:t>
      </w:r>
    </w:p>
    <w:p>
      <w:pPr>
        <w:pStyle w:val="BodyText"/>
        <w:spacing w:line="338" w:lineRule="auto" w:before="26"/>
        <w:ind w:right="4609" w:firstLine="360"/>
        <w:jc w:val="left"/>
      </w:pPr>
      <w:r>
        <w:rPr/>
        <w:t>⑩资产组净现金流量折现值</w:t>
      </w:r>
      <w:r>
        <w:rPr>
          <w:rFonts w:ascii="Times New Roman" w:hAnsi="Times New Roman" w:cs="Times New Roman" w:eastAsia="Times New Roman" w:hint="default"/>
        </w:rPr>
        <w:t>=</w:t>
      </w:r>
      <w:r>
        <w:rPr/>
        <w:t>预测期资产组自由现金流量折现值</w:t>
      </w:r>
      <w:r>
        <w:rPr>
          <w:rFonts w:ascii="Times New Roman" w:hAnsi="Times New Roman" w:cs="Times New Roman" w:eastAsia="Times New Roman" w:hint="default"/>
        </w:rPr>
        <w:t>+</w:t>
      </w:r>
      <w:r>
        <w:rPr/>
        <w:t>预测期后 资产组自由现金流量</w:t>
      </w:r>
      <w:r>
        <w:rPr>
          <w:rFonts w:ascii="Times New Roman" w:hAnsi="Times New Roman" w:cs="Times New Roman" w:eastAsia="Times New Roman" w:hint="default"/>
        </w:rPr>
        <w:t>(</w:t>
      </w:r>
      <w:r>
        <w:rPr/>
        <w:t>终值</w:t>
      </w:r>
      <w:r>
        <w:rPr>
          <w:rFonts w:ascii="Times New Roman" w:hAnsi="Times New Roman" w:cs="Times New Roman" w:eastAsia="Times New Roman" w:hint="default"/>
        </w:rPr>
        <w:t>)</w:t>
      </w:r>
      <w:r>
        <w:rPr/>
        <w:t>折现值</w:t>
      </w:r>
    </w:p>
    <w:p>
      <w:pPr>
        <w:pStyle w:val="BodyText"/>
        <w:spacing w:line="240" w:lineRule="auto" w:before="22"/>
        <w:ind w:left="514" w:right="0"/>
        <w:jc w:val="left"/>
      </w:pPr>
      <w:r>
        <w:rPr/>
        <w:t>（</w:t>
      </w:r>
      <w:r>
        <w:rPr>
          <w:rFonts w:ascii="Times New Roman" w:hAnsi="Times New Roman" w:cs="Times New Roman" w:eastAsia="Times New Roman" w:hint="default"/>
        </w:rPr>
        <w:t>4</w:t>
      </w:r>
      <w:r>
        <w:rPr/>
        <w:t>）评估假设</w:t>
      </w:r>
    </w:p>
    <w:p>
      <w:pPr>
        <w:pStyle w:val="BodyText"/>
        <w:spacing w:line="300" w:lineRule="auto" w:before="102"/>
        <w:ind w:left="694" w:right="8862" w:hanging="181"/>
        <w:jc w:val="left"/>
      </w:pPr>
      <w:r>
        <w:rPr>
          <w:rFonts w:ascii="Times New Roman" w:hAnsi="Times New Roman" w:cs="Times New Roman" w:eastAsia="Times New Roman" w:hint="default"/>
        </w:rPr>
        <w:t>A</w:t>
      </w:r>
      <w:r>
        <w:rPr/>
        <w:t>、基本假设 </w:t>
      </w:r>
      <w:r>
        <w:rPr>
          <w:rFonts w:ascii="Times New Roman" w:hAnsi="Times New Roman" w:cs="Times New Roman" w:eastAsia="Times New Roman" w:hint="default"/>
        </w:rPr>
        <w:t>1</w:t>
      </w:r>
      <w:r>
        <w:rPr/>
        <w:t>）公开市场假设</w:t>
      </w:r>
    </w:p>
    <w:p>
      <w:pPr>
        <w:pStyle w:val="BodyText"/>
        <w:spacing w:line="357" w:lineRule="auto" w:before="89"/>
        <w:ind w:right="1131" w:firstLine="360"/>
        <w:jc w:val="both"/>
      </w:pPr>
      <w:r>
        <w:rPr>
          <w:spacing w:val="-2"/>
        </w:rPr>
        <w:t>公开市场假设是对资产拟进入的市场条件以及资产在这样的市场条件下接受何种影响的一种假定。公开市场是指充分发</w:t>
      </w:r>
      <w:r>
        <w:rPr/>
        <w:t> </w:t>
      </w:r>
      <w:r>
        <w:rPr>
          <w:spacing w:val="-2"/>
        </w:rPr>
        <w:t>达与完善的市场条件，是指一个有自愿的买方和卖方的竞争性市场，在这个市场上，买方和卖方的地位平等，都有获取足够</w:t>
      </w:r>
      <w:r>
        <w:rPr>
          <w:spacing w:val="-66"/>
        </w:rPr>
        <w:t> </w:t>
      </w:r>
      <w:r>
        <w:rPr>
          <w:spacing w:val="-66"/>
        </w:rPr>
      </w:r>
      <w:r>
        <w:rPr>
          <w:spacing w:val="-2"/>
        </w:rPr>
        <w:t>市场信息的机会和时间，买卖双方的交易都是在自愿的、理智的、非强制性或不受限制的条件下进行。公开市场假设以资产</w:t>
      </w:r>
      <w:r>
        <w:rPr>
          <w:spacing w:val="-66"/>
        </w:rPr>
        <w:t> </w:t>
      </w:r>
      <w:r>
        <w:rPr>
          <w:spacing w:val="-66"/>
        </w:rPr>
      </w:r>
      <w:r>
        <w:rPr/>
        <w:t>在市场上可以公开买卖为基础。</w:t>
      </w:r>
    </w:p>
    <w:p>
      <w:pPr>
        <w:pStyle w:val="BodyText"/>
        <w:spacing w:line="374" w:lineRule="auto" w:before="66"/>
        <w:ind w:left="514" w:right="0"/>
        <w:jc w:val="left"/>
      </w:pPr>
      <w:r>
        <w:rPr>
          <w:rFonts w:ascii="Times New Roman" w:hAnsi="Times New Roman" w:cs="Times New Roman" w:eastAsia="Times New Roman" w:hint="default"/>
        </w:rPr>
        <w:t>2</w:t>
      </w:r>
      <w:r>
        <w:rPr/>
        <w:t>）资产持续使用假设 </w:t>
      </w:r>
      <w:r>
        <w:rPr>
          <w:spacing w:val="-2"/>
        </w:rPr>
        <w:t>资产持续使用假设是对资产拟进入市场条件以及资产在这样的市场条件下的资产状态的一种假定。首先假定被评估资产</w:t>
      </w:r>
    </w:p>
    <w:p>
      <w:pPr>
        <w:pStyle w:val="BodyText"/>
        <w:spacing w:line="357" w:lineRule="auto" w:before="14"/>
        <w:ind w:right="0"/>
        <w:jc w:val="left"/>
      </w:pPr>
      <w:r>
        <w:rPr>
          <w:spacing w:val="-2"/>
        </w:rPr>
        <w:t>正处于使用状态，其次假定按目前的用途和使用方式还将继续使用下去。在持续使用假设条件下，没有考虑资产用途转换或</w:t>
      </w:r>
      <w:r>
        <w:rPr>
          <w:spacing w:val="-66"/>
        </w:rPr>
        <w:t> </w:t>
      </w:r>
      <w:r>
        <w:rPr>
          <w:spacing w:val="-66"/>
        </w:rPr>
      </w:r>
      <w:r>
        <w:rPr/>
        <w:t>者最佳利用条件，其评估结论的使用范围受到限制。</w:t>
      </w:r>
    </w:p>
    <w:p>
      <w:pPr>
        <w:pStyle w:val="BodyText"/>
        <w:spacing w:line="374" w:lineRule="auto" w:before="66"/>
        <w:ind w:left="514" w:right="0"/>
        <w:jc w:val="left"/>
      </w:pPr>
      <w:r>
        <w:rPr>
          <w:rFonts w:ascii="Times New Roman" w:hAnsi="Times New Roman" w:cs="Times New Roman" w:eastAsia="Times New Roman" w:hint="default"/>
        </w:rPr>
        <w:t>3</w:t>
      </w:r>
      <w:r>
        <w:rPr/>
        <w:t>）企业持续经营假设 </w:t>
      </w:r>
      <w:r>
        <w:rPr>
          <w:spacing w:val="-2"/>
        </w:rPr>
        <w:t>企业持续经营假设是假设被评估企业在现有的资产资源条件下，其生产经营业务可以合法地按其现状持续经营下去，并</w:t>
      </w:r>
    </w:p>
    <w:p>
      <w:pPr>
        <w:pStyle w:val="BodyText"/>
        <w:spacing w:line="240" w:lineRule="auto" w:before="15"/>
        <w:ind w:right="0"/>
        <w:jc w:val="left"/>
      </w:pPr>
      <w:r>
        <w:rPr/>
        <w:t>在可预见的经营期内，其经营状况不发生重大变化。</w:t>
      </w:r>
    </w:p>
    <w:p>
      <w:pPr>
        <w:spacing w:line="240" w:lineRule="auto" w:before="12"/>
        <w:rPr>
          <w:rFonts w:ascii="宋体" w:hAnsi="宋体" w:cs="宋体" w:eastAsia="宋体" w:hint="default"/>
          <w:sz w:val="20"/>
          <w:szCs w:val="20"/>
        </w:rPr>
      </w:pPr>
    </w:p>
    <w:p>
      <w:pPr>
        <w:pStyle w:val="BodyText"/>
        <w:spacing w:line="240" w:lineRule="auto"/>
        <w:ind w:left="514" w:right="0"/>
        <w:jc w:val="left"/>
      </w:pPr>
      <w:r>
        <w:rPr>
          <w:rFonts w:ascii="Times New Roman" w:hAnsi="Times New Roman" w:cs="Times New Roman" w:eastAsia="Times New Roman" w:hint="default"/>
        </w:rPr>
        <w:t>B</w:t>
      </w:r>
      <w:r>
        <w:rPr/>
        <w:t>、一般假设</w:t>
      </w:r>
    </w:p>
    <w:p>
      <w:pPr>
        <w:pStyle w:val="BodyText"/>
        <w:tabs>
          <w:tab w:pos="994" w:val="left" w:leader="none"/>
        </w:tabs>
        <w:spacing w:line="240" w:lineRule="auto" w:before="138"/>
        <w:ind w:left="578" w:right="0"/>
        <w:jc w:val="left"/>
      </w:pPr>
      <w:r>
        <w:rPr>
          <w:rFonts w:ascii="Times New Roman" w:hAnsi="Times New Roman" w:cs="Times New Roman" w:eastAsia="Times New Roman" w:hint="default"/>
        </w:rPr>
        <w:t>1)</w:t>
        <w:tab/>
      </w:r>
      <w:r>
        <w:rPr/>
        <w:t>本次评估假设评估基准日后国家现行有关法律、宏观经济、金融以及产业政策等外部经济环境不会发生不可预见</w:t>
      </w:r>
    </w:p>
    <w:p>
      <w:pPr>
        <w:spacing w:after="0" w:line="240" w:lineRule="auto"/>
        <w:jc w:val="left"/>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的重大不利变化，亦无其他人力不可抗拒及不可预见因素造成的重大影响。</w:t>
      </w:r>
    </w:p>
    <w:p>
      <w:pPr>
        <w:pStyle w:val="BodyText"/>
        <w:spacing w:line="338" w:lineRule="auto" w:before="153"/>
        <w:ind w:right="1131" w:firstLine="42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本次评估没有考虑被评估企业及其资产将来可能承担的抵押、担保事宜，以及特殊的交易方式可能追加付出的价</w:t>
      </w:r>
      <w:r>
        <w:rPr>
          <w:w w:val="99"/>
        </w:rPr>
        <w:t> </w:t>
      </w:r>
      <w:r>
        <w:rPr/>
        <w:t>格等对其评估价值的影响。</w:t>
      </w:r>
    </w:p>
    <w:p>
      <w:pPr>
        <w:pStyle w:val="BodyText"/>
        <w:spacing w:line="338" w:lineRule="auto" w:before="79"/>
        <w:ind w:right="1050" w:firstLine="42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假设被评估单位所在地所处的社会经济环境以及所执行的税赋、税率等财税政策无重大变化，信贷政策、利率、</w:t>
      </w:r>
      <w:r>
        <w:rPr>
          <w:w w:val="99"/>
        </w:rPr>
        <w:t> </w:t>
      </w:r>
      <w:r>
        <w:rPr/>
        <w:t>汇率等金融政策基本稳定。</w:t>
      </w:r>
    </w:p>
    <w:p>
      <w:pPr>
        <w:pStyle w:val="BodyText"/>
        <w:spacing w:line="338" w:lineRule="auto" w:before="79"/>
        <w:ind w:right="1131" w:firstLine="424"/>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本次评估的各项资产均以评估基准日的实际存量为前提，有关资产的现行市价以评估基准日评估对象所在地有效</w:t>
      </w:r>
      <w:r>
        <w:rPr>
          <w:w w:val="99"/>
        </w:rPr>
        <w:t> </w:t>
      </w:r>
      <w:r>
        <w:rPr/>
        <w:t>价格为依据。</w:t>
      </w:r>
    </w:p>
    <w:p>
      <w:pPr>
        <w:pStyle w:val="BodyText"/>
        <w:tabs>
          <w:tab w:pos="994" w:val="left" w:leader="none"/>
        </w:tabs>
        <w:spacing w:line="240" w:lineRule="auto" w:before="80"/>
        <w:ind w:left="578" w:right="0"/>
        <w:jc w:val="left"/>
      </w:pPr>
      <w:r>
        <w:rPr>
          <w:rFonts w:ascii="Times New Roman" w:hAnsi="Times New Roman" w:cs="Times New Roman" w:eastAsia="Times New Roman" w:hint="default"/>
        </w:rPr>
        <w:t>5)</w:t>
        <w:tab/>
      </w:r>
      <w:r>
        <w:rPr/>
        <w:t>被评估单位现在及将来的经营业务合法合规，并且符合其营业执照、公司章程的相关约定。</w:t>
      </w:r>
    </w:p>
    <w:p>
      <w:pPr>
        <w:spacing w:line="240" w:lineRule="auto" w:before="10"/>
        <w:rPr>
          <w:rFonts w:ascii="宋体" w:hAnsi="宋体" w:cs="宋体" w:eastAsia="宋体" w:hint="default"/>
          <w:sz w:val="19"/>
          <w:szCs w:val="19"/>
        </w:rPr>
      </w:pPr>
    </w:p>
    <w:p>
      <w:pPr>
        <w:pStyle w:val="BodyText"/>
        <w:spacing w:line="240" w:lineRule="auto"/>
        <w:ind w:left="514" w:right="0"/>
        <w:jc w:val="left"/>
        <w:rPr>
          <w:rFonts w:ascii="Times New Roman" w:hAnsi="Times New Roman" w:cs="Times New Roman" w:eastAsia="Times New Roman" w:hint="default"/>
        </w:rPr>
      </w:pPr>
      <w:r>
        <w:rPr/>
        <w:t>评估结论：在评估基准日</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日，海联金汇科技股份有限公司因并购联动优势科技有限公司资产组组合</w:t>
      </w:r>
      <w:r>
        <w:rPr>
          <w:spacing w:val="-37"/>
        </w:rPr>
        <w:t> </w:t>
      </w:r>
      <w:r>
        <w:rPr>
          <w:rFonts w:ascii="Times New Roman" w:hAnsi="Times New Roman" w:cs="Times New Roman" w:eastAsia="Times New Roman" w:hint="default"/>
        </w:rPr>
        <w:t>1</w:t>
      </w:r>
    </w:p>
    <w:p>
      <w:pPr>
        <w:spacing w:line="240" w:lineRule="auto" w:before="2"/>
        <w:rPr>
          <w:rFonts w:ascii="Times New Roman" w:hAnsi="Times New Roman" w:cs="Times New Roman" w:eastAsia="Times New Roman" w:hint="default"/>
          <w:sz w:val="19"/>
          <w:szCs w:val="19"/>
        </w:rPr>
      </w:pPr>
    </w:p>
    <w:p>
      <w:pPr>
        <w:pStyle w:val="BodyText"/>
        <w:spacing w:line="240" w:lineRule="auto"/>
        <w:ind w:right="0"/>
        <w:jc w:val="left"/>
      </w:pPr>
      <w:r>
        <w:rPr/>
        <w:t>形成的商誉相关资产组的账面值为</w:t>
      </w:r>
      <w:r>
        <w:rPr>
          <w:spacing w:val="-47"/>
        </w:rPr>
        <w:t> </w:t>
      </w:r>
      <w:r>
        <w:rPr>
          <w:rFonts w:ascii="Times New Roman" w:hAnsi="Times New Roman" w:cs="Times New Roman" w:eastAsia="Times New Roman" w:hint="default"/>
        </w:rPr>
        <w:t>168,883.82</w:t>
      </w:r>
      <w:r>
        <w:rPr>
          <w:rFonts w:ascii="Times New Roman" w:hAnsi="Times New Roman" w:cs="Times New Roman" w:eastAsia="Times New Roman" w:hint="default"/>
          <w:spacing w:val="-2"/>
        </w:rPr>
        <w:t> </w:t>
      </w:r>
      <w:r>
        <w:rPr/>
        <w:t>万元，可回收价值评估结果为</w:t>
      </w:r>
      <w:r>
        <w:rPr>
          <w:spacing w:val="-47"/>
        </w:rPr>
        <w:t> </w:t>
      </w:r>
      <w:r>
        <w:rPr>
          <w:rFonts w:ascii="Times New Roman" w:hAnsi="Times New Roman" w:cs="Times New Roman" w:eastAsia="Times New Roman" w:hint="default"/>
        </w:rPr>
        <w:t>216,600.00</w:t>
      </w:r>
      <w:r>
        <w:rPr>
          <w:rFonts w:ascii="Times New Roman" w:hAnsi="Times New Roman" w:cs="Times New Roman" w:eastAsia="Times New Roman" w:hint="default"/>
          <w:spacing w:val="-2"/>
        </w:rPr>
        <w:t> </w:t>
      </w:r>
      <w:r>
        <w:rPr/>
        <w:t>万元。</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综上，根据上述评估，公司因并购联动优势科技有限公司资产组组合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形成的商誉不存在减值情形。</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资产组合</w:t>
      </w:r>
      <w:r>
        <w:rPr>
          <w:spacing w:val="-47"/>
        </w:rPr>
        <w:t> </w:t>
      </w:r>
      <w:r>
        <w:rPr>
          <w:rFonts w:ascii="Times New Roman" w:hAnsi="Times New Roman" w:cs="Times New Roman" w:eastAsia="Times New Roman" w:hint="default"/>
        </w:rPr>
        <w:t>2</w:t>
      </w:r>
    </w:p>
    <w:p>
      <w:pPr>
        <w:spacing w:line="240" w:lineRule="auto" w:before="4"/>
        <w:rPr>
          <w:rFonts w:ascii="Times New Roman" w:hAnsi="Times New Roman" w:cs="Times New Roman" w:eastAsia="Times New Roman" w:hint="default"/>
          <w:sz w:val="22"/>
          <w:szCs w:val="22"/>
        </w:rPr>
      </w:pPr>
    </w:p>
    <w:p>
      <w:pPr>
        <w:pStyle w:val="BodyText"/>
        <w:spacing w:line="477" w:lineRule="auto"/>
        <w:ind w:right="1131" w:firstLine="360"/>
        <w:jc w:val="both"/>
      </w:pPr>
      <w:r>
        <w:rPr>
          <w:spacing w:val="-2"/>
        </w:rPr>
        <w:t>商誉减值测试测算过程与方法：根据《以财务报告为目的的评估指南》及相关会计准则，当资产的可回收价值低于资产</w:t>
      </w:r>
      <w:r>
        <w:rPr/>
        <w:t> </w:t>
      </w:r>
      <w:r>
        <w:rPr>
          <w:spacing w:val="-2"/>
        </w:rPr>
        <w:t>的账面价值时，该资产出现减值，资产的可回收价值应当根据资产的公允价值减去处置费用后的净额与资产预计未来现金流</w:t>
      </w:r>
      <w:r>
        <w:rPr>
          <w:spacing w:val="-64"/>
        </w:rPr>
        <w:t> </w:t>
      </w:r>
      <w:r>
        <w:rPr>
          <w:spacing w:val="-64"/>
        </w:rPr>
      </w:r>
      <w:r>
        <w:rPr/>
        <w:t>量的现值两者之间较高者确定。</w:t>
      </w:r>
    </w:p>
    <w:p>
      <w:pPr>
        <w:pStyle w:val="BodyText"/>
        <w:spacing w:line="477" w:lineRule="auto" w:before="92"/>
        <w:ind w:right="1131" w:firstLine="360"/>
        <w:jc w:val="both"/>
      </w:pPr>
      <w:r>
        <w:rPr>
          <w:spacing w:val="-2"/>
        </w:rPr>
        <w:t>由于商誉减值测试评估的评估对象及评估范围内资产的特殊性，不存在相关活跃市场并且缺乏相关市场信息，评估对象</w:t>
      </w:r>
      <w:r>
        <w:rPr/>
        <w:t> </w:t>
      </w:r>
      <w:r>
        <w:rPr>
          <w:spacing w:val="-2"/>
        </w:rPr>
        <w:t>的公允价值及处置费用难以合理估测，因此本次商誉减值测试评估以资产预计未来现金流量的现值作为评估值，采用收益法</w:t>
      </w:r>
      <w:r>
        <w:rPr>
          <w:spacing w:val="-64"/>
        </w:rPr>
        <w:t> </w:t>
      </w:r>
      <w:r>
        <w:rPr>
          <w:spacing w:val="-64"/>
        </w:rPr>
      </w:r>
      <w:r>
        <w:rPr/>
        <w:t>进行评估。</w:t>
      </w:r>
    </w:p>
    <w:p>
      <w:pPr>
        <w:pStyle w:val="BodyText"/>
        <w:spacing w:line="240" w:lineRule="auto" w:before="95"/>
        <w:ind w:left="514" w:right="0"/>
        <w:jc w:val="left"/>
      </w:pPr>
      <w:r>
        <w:rPr/>
        <w:t>收益法是指将预期收益资本化或者折现，确定评估对象价值的评估方法。计算式如下：</w:t>
      </w:r>
    </w:p>
    <w:p>
      <w:pPr>
        <w:spacing w:line="240" w:lineRule="auto" w:before="9"/>
        <w:rPr>
          <w:rFonts w:ascii="宋体" w:hAnsi="宋体" w:cs="宋体" w:eastAsia="宋体" w:hint="default"/>
          <w:sz w:val="13"/>
          <w:szCs w:val="13"/>
        </w:rPr>
      </w:pPr>
    </w:p>
    <w:p>
      <w:pPr>
        <w:pStyle w:val="BodyText"/>
        <w:spacing w:line="240" w:lineRule="auto"/>
        <w:ind w:left="514" w:right="0"/>
        <w:jc w:val="left"/>
        <w:rPr>
          <w:rFonts w:ascii="Times New Roman" w:hAnsi="Times New Roman" w:cs="Times New Roman" w:eastAsia="Times New Roman" w:hint="default"/>
        </w:rPr>
      </w:pPr>
      <w:r>
        <w:rPr>
          <w:rFonts w:ascii="Times New Roman"/>
        </w:rPr>
        <w:t>E=P-C</w:t>
      </w:r>
    </w:p>
    <w:p>
      <w:pPr>
        <w:pStyle w:val="BodyText"/>
        <w:spacing w:line="271" w:lineRule="auto" w:before="117"/>
        <w:ind w:left="514" w:right="8292"/>
        <w:jc w:val="left"/>
      </w:pPr>
      <w:r>
        <w:rPr/>
        <w:t>式中： </w:t>
      </w:r>
      <w:r>
        <w:rPr>
          <w:rFonts w:ascii="Times New Roman" w:hAnsi="Times New Roman" w:cs="Times New Roman" w:eastAsia="Times New Roman" w:hint="default"/>
        </w:rPr>
        <w:t>E</w:t>
      </w:r>
      <w:r>
        <w:rPr/>
        <w:t>：资产组可回收价值； </w:t>
      </w:r>
      <w:r>
        <w:rPr>
          <w:rFonts w:ascii="Times New Roman" w:hAnsi="Times New Roman" w:cs="Times New Roman" w:eastAsia="Times New Roman" w:hint="default"/>
        </w:rPr>
        <w:t>C</w:t>
      </w:r>
      <w:r>
        <w:rPr/>
        <w:t>：基准日运营资本净额；</w:t>
      </w:r>
    </w:p>
    <w:p>
      <w:pPr>
        <w:pStyle w:val="BodyText"/>
        <w:spacing w:line="248" w:lineRule="exact"/>
        <w:ind w:left="514" w:right="0"/>
        <w:jc w:val="left"/>
      </w:pPr>
      <w:r>
        <w:rPr>
          <w:rFonts w:ascii="Times New Roman" w:hAnsi="Times New Roman" w:cs="Times New Roman" w:eastAsia="Times New Roman" w:hint="default"/>
          <w:spacing w:val="-1"/>
          <w:w w:val="99"/>
        </w:rPr>
        <w:t>P</w:t>
      </w:r>
      <w:r>
        <w:rPr/>
        <w:t>：评估对象的经营性资产组价值（含运营资本</w:t>
      </w:r>
      <w:r>
        <w:rPr>
          <w:spacing w:val="-90"/>
        </w:rPr>
        <w:t>）</w:t>
      </w:r>
      <w:r>
        <w:rPr/>
        <w:t>；</w:t>
      </w:r>
    </w:p>
    <w:p>
      <w:pPr>
        <w:spacing w:after="0" w:line="248" w:lineRule="exact"/>
        <w:jc w:val="left"/>
        <w:sectPr>
          <w:pgSz w:w="11910" w:h="16840"/>
          <w:pgMar w:header="747" w:footer="979" w:top="1060" w:bottom="1160" w:left="980" w:right="0"/>
        </w:sectPr>
      </w:pPr>
    </w:p>
    <w:p>
      <w:pPr>
        <w:tabs>
          <w:tab w:pos="2020" w:val="left" w:leader="none"/>
        </w:tabs>
        <w:spacing w:line="233" w:lineRule="exact" w:before="108"/>
        <w:ind w:left="199" w:right="0" w:firstLine="0"/>
        <w:jc w:val="left"/>
        <w:rPr>
          <w:rFonts w:ascii="Symbol" w:hAnsi="Symbol" w:cs="Symbol" w:eastAsia="Symbol" w:hint="default"/>
          <w:sz w:val="24"/>
          <w:szCs w:val="24"/>
        </w:rPr>
      </w:pPr>
      <w:r>
        <w:rPr/>
        <w:pict>
          <v:shape style="position:absolute;margin-left:91.720482pt;margin-top:9.352391pt;width:3.95pt;height:7.55pt;mso-position-horizontal-relative:page;mso-position-vertical-relative:paragraph;z-index:-170800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i/>
                      <w:w w:val="105"/>
                      <w:sz w:val="15"/>
                    </w:rPr>
                    <w:t>n</w:t>
                  </w:r>
                  <w:r>
                    <w:rPr>
                      <w:rFonts w:ascii="宋体"/>
                      <w:sz w:val="15"/>
                    </w:rPr>
                  </w:r>
                </w:p>
              </w:txbxContent>
            </v:textbox>
            <w10:wrap type="none"/>
          </v:shape>
        </w:pict>
      </w:r>
      <w:r>
        <w:rPr>
          <w:rFonts w:ascii="宋体" w:hAnsi="宋体" w:cs="宋体" w:eastAsia="宋体" w:hint="default"/>
          <w:i/>
          <w:w w:val="110"/>
          <w:sz w:val="26"/>
          <w:szCs w:val="26"/>
        </w:rPr>
        <w:t>p </w:t>
      </w:r>
      <w:r>
        <w:rPr>
          <w:rFonts w:ascii="Symbol" w:hAnsi="Symbol" w:cs="Symbol" w:eastAsia="Symbol" w:hint="default"/>
          <w:w w:val="110"/>
          <w:sz w:val="24"/>
          <w:szCs w:val="24"/>
        </w:rPr>
        <w:t></w:t>
      </w:r>
      <w:r>
        <w:rPr>
          <w:rFonts w:ascii="Times New Roman" w:hAnsi="Times New Roman" w:cs="Times New Roman" w:eastAsia="Times New Roman" w:hint="default"/>
          <w:w w:val="110"/>
          <w:sz w:val="24"/>
          <w:szCs w:val="24"/>
        </w:rPr>
      </w:r>
      <w:r>
        <w:rPr>
          <w:rFonts w:ascii="Symbol" w:hAnsi="Symbol" w:cs="Symbol" w:eastAsia="Symbol" w:hint="default"/>
          <w:w w:val="110"/>
          <w:position w:val="-5"/>
          <w:sz w:val="36"/>
          <w:szCs w:val="36"/>
        </w:rPr>
        <w:t></w:t>
      </w:r>
      <w:r>
        <w:rPr>
          <w:rFonts w:ascii="Symbol" w:hAnsi="Symbol" w:cs="Symbol" w:eastAsia="Symbol" w:hint="default"/>
          <w:spacing w:val="5"/>
          <w:w w:val="110"/>
          <w:position w:val="-5"/>
          <w:sz w:val="36"/>
          <w:szCs w:val="36"/>
        </w:rPr>
        <w:t></w:t>
      </w:r>
      <w:r>
        <w:rPr>
          <w:rFonts w:ascii="Times New Roman" w:hAnsi="Times New Roman" w:cs="Times New Roman" w:eastAsia="Times New Roman" w:hint="default"/>
          <w:spacing w:val="5"/>
          <w:w w:val="110"/>
          <w:position w:val="-5"/>
          <w:sz w:val="36"/>
          <w:szCs w:val="36"/>
        </w:rPr>
      </w:r>
      <w:r>
        <w:rPr>
          <w:rFonts w:ascii="宋体" w:hAnsi="宋体" w:cs="宋体" w:eastAsia="宋体" w:hint="default"/>
          <w:i/>
          <w:spacing w:val="5"/>
          <w:w w:val="110"/>
          <w:position w:val="15"/>
          <w:sz w:val="26"/>
          <w:szCs w:val="26"/>
        </w:rPr>
      </w:r>
      <w:r>
        <w:rPr>
          <w:rFonts w:ascii="宋体" w:hAnsi="宋体" w:cs="宋体" w:eastAsia="宋体" w:hint="default"/>
          <w:i/>
          <w:spacing w:val="5"/>
          <w:w w:val="110"/>
          <w:position w:val="15"/>
          <w:sz w:val="26"/>
          <w:szCs w:val="26"/>
          <w:u w:val="single" w:color="000000"/>
        </w:rPr>
        <w:t> </w:t>
      </w:r>
      <w:r>
        <w:rPr>
          <w:rFonts w:ascii="宋体" w:hAnsi="宋体" w:cs="宋体" w:eastAsia="宋体" w:hint="default"/>
          <w:i/>
          <w:w w:val="110"/>
          <w:position w:val="15"/>
          <w:sz w:val="26"/>
          <w:szCs w:val="26"/>
          <w:u w:val="single" w:color="000000"/>
        </w:rPr>
        <w:t>F</w:t>
        <w:tab/>
      </w:r>
      <w:r>
        <w:rPr>
          <w:rFonts w:ascii="宋体" w:hAnsi="宋体" w:cs="宋体" w:eastAsia="宋体" w:hint="default"/>
          <w:i/>
          <w:w w:val="110"/>
          <w:position w:val="15"/>
          <w:sz w:val="26"/>
          <w:szCs w:val="26"/>
        </w:rPr>
      </w:r>
      <w:r>
        <w:rPr>
          <w:rFonts w:ascii="Symbol" w:hAnsi="Symbol" w:cs="Symbol" w:eastAsia="Symbol" w:hint="default"/>
          <w:w w:val="110"/>
          <w:sz w:val="24"/>
          <w:szCs w:val="24"/>
        </w:rPr>
        <w:t></w:t>
      </w:r>
      <w:r>
        <w:rPr>
          <w:rFonts w:ascii="Symbol" w:hAnsi="Symbol" w:cs="Symbol" w:eastAsia="Symbol" w:hint="default"/>
          <w:sz w:val="24"/>
          <w:szCs w:val="24"/>
        </w:rPr>
      </w:r>
    </w:p>
    <w:p>
      <w:pPr>
        <w:spacing w:line="303" w:lineRule="exact" w:before="39"/>
        <w:ind w:left="199" w:right="0" w:firstLine="0"/>
        <w:jc w:val="left"/>
        <w:rPr>
          <w:rFonts w:ascii="Symbol" w:hAnsi="Symbol" w:cs="Symbol" w:eastAsia="Symbol" w:hint="default"/>
          <w:sz w:val="37"/>
          <w:szCs w:val="37"/>
        </w:rPr>
      </w:pPr>
      <w:r>
        <w:rPr/>
        <w:br w:type="column"/>
      </w:r>
      <w:r>
        <w:rPr>
          <w:rFonts w:ascii="宋体" w:hAnsi="宋体" w:cs="宋体" w:eastAsia="宋体" w:hint="default"/>
          <w:i/>
          <w:sz w:val="26"/>
          <w:szCs w:val="26"/>
        </w:rPr>
        <w:t>F</w:t>
      </w:r>
      <w:r>
        <w:rPr>
          <w:rFonts w:ascii="宋体" w:hAnsi="宋体" w:cs="宋体" w:eastAsia="宋体" w:hint="default"/>
          <w:i/>
          <w:position w:val="-5"/>
          <w:sz w:val="15"/>
          <w:szCs w:val="15"/>
        </w:rPr>
        <w:t>n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Symbol" w:hAnsi="Symbol" w:cs="Symbol" w:eastAsia="Symbol" w:hint="default"/>
          <w:spacing w:val="-28"/>
          <w:sz w:val="37"/>
          <w:szCs w:val="37"/>
        </w:rPr>
        <w:t></w:t>
      </w:r>
      <w:r>
        <w:rPr>
          <w:rFonts w:ascii="宋体" w:hAnsi="宋体" w:cs="宋体" w:eastAsia="宋体" w:hint="default"/>
          <w:spacing w:val="-28"/>
          <w:sz w:val="24"/>
          <w:szCs w:val="24"/>
        </w:rPr>
        <w:t>1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i/>
          <w:sz w:val="26"/>
          <w:szCs w:val="26"/>
        </w:rPr>
        <w:t>g</w:t>
      </w:r>
      <w:r>
        <w:rPr>
          <w:rFonts w:ascii="宋体" w:hAnsi="宋体" w:cs="宋体" w:eastAsia="宋体" w:hint="default"/>
          <w:i/>
          <w:spacing w:val="-95"/>
          <w:sz w:val="26"/>
          <w:szCs w:val="26"/>
        </w:rPr>
        <w:t> </w:t>
      </w:r>
      <w:r>
        <w:rPr>
          <w:rFonts w:ascii="Symbol" w:hAnsi="Symbol" w:cs="Symbol" w:eastAsia="Symbol" w:hint="default"/>
          <w:sz w:val="37"/>
          <w:szCs w:val="37"/>
        </w:rPr>
        <w:t></w:t>
      </w:r>
    </w:p>
    <w:p>
      <w:pPr>
        <w:spacing w:after="0" w:line="303" w:lineRule="exact"/>
        <w:jc w:val="left"/>
        <w:rPr>
          <w:rFonts w:ascii="Symbol" w:hAnsi="Symbol" w:cs="Symbol" w:eastAsia="Symbol" w:hint="default"/>
          <w:sz w:val="37"/>
          <w:szCs w:val="37"/>
        </w:rPr>
        <w:sectPr>
          <w:type w:val="continuous"/>
          <w:pgSz w:w="11910" w:h="16840"/>
          <w:pgMar w:top="1060" w:bottom="1160" w:left="980" w:right="0"/>
          <w:cols w:num="2" w:equalWidth="0">
            <w:col w:w="2287" w:space="282"/>
            <w:col w:w="8361"/>
          </w:cols>
        </w:sectPr>
      </w:pPr>
    </w:p>
    <w:p>
      <w:pPr>
        <w:spacing w:line="240" w:lineRule="auto" w:before="0"/>
        <w:rPr>
          <w:rFonts w:ascii="Symbol" w:hAnsi="Symbol" w:cs="Symbol" w:eastAsia="Symbol" w:hint="default"/>
          <w:sz w:val="14"/>
          <w:szCs w:val="14"/>
        </w:rPr>
      </w:pPr>
    </w:p>
    <w:p>
      <w:pPr>
        <w:spacing w:before="105"/>
        <w:ind w:left="0" w:right="0" w:firstLine="0"/>
        <w:jc w:val="right"/>
        <w:rPr>
          <w:rFonts w:ascii="宋体" w:hAnsi="宋体" w:cs="宋体" w:eastAsia="宋体" w:hint="default"/>
          <w:sz w:val="14"/>
          <w:szCs w:val="14"/>
        </w:rPr>
      </w:pPr>
      <w:r>
        <w:rPr/>
        <w:pict>
          <v:group style="position:absolute;margin-left:169.037537pt;margin-top:-.577422pt;width:103.05pt;height:.1pt;mso-position-horizontal-relative:page;mso-position-vertical-relative:paragraph;z-index:-1708024" coordorigin="3381,-12" coordsize="2061,2">
            <v:shape style="position:absolute;left:3381;top:-12;width:2061;height:2" coordorigin="3381,-12" coordsize="2061,0" path="m3381,-12l5441,-12e" filled="false" stroked="true" strokeweight=".503833pt" strokecolor="#000000">
              <v:path arrowok="t"/>
            </v:shape>
            <w10:wrap type="none"/>
          </v:group>
        </w:pict>
      </w:r>
      <w:r>
        <w:rPr>
          <w:rFonts w:ascii="宋体" w:hAnsi="宋体" w:cs="宋体" w:eastAsia="宋体" w:hint="default"/>
          <w:i/>
          <w:w w:val="110"/>
          <w:sz w:val="15"/>
          <w:szCs w:val="15"/>
        </w:rPr>
        <w:t>i</w:t>
      </w:r>
      <w:r>
        <w:rPr>
          <w:rFonts w:ascii="宋体" w:hAnsi="宋体" w:cs="宋体" w:eastAsia="宋体" w:hint="default"/>
          <w:i/>
          <w:spacing w:val="-49"/>
          <w:w w:val="110"/>
          <w:sz w:val="15"/>
          <w:szCs w:val="15"/>
        </w:rPr>
        <w:t> </w:t>
      </w:r>
      <w:r>
        <w:rPr>
          <w:rFonts w:ascii="Symbol" w:hAnsi="Symbol" w:cs="Symbol" w:eastAsia="Symbol" w:hint="default"/>
          <w:spacing w:val="2"/>
          <w:w w:val="110"/>
          <w:sz w:val="14"/>
          <w:szCs w:val="14"/>
        </w:rPr>
        <w:t></w:t>
      </w:r>
      <w:r>
        <w:rPr>
          <w:rFonts w:ascii="宋体" w:hAnsi="宋体" w:cs="宋体" w:eastAsia="宋体" w:hint="default"/>
          <w:spacing w:val="2"/>
          <w:w w:val="110"/>
          <w:sz w:val="14"/>
          <w:szCs w:val="14"/>
        </w:rPr>
        <w:t>1</w:t>
      </w:r>
      <w:r>
        <w:rPr>
          <w:rFonts w:ascii="宋体" w:hAnsi="宋体" w:cs="宋体" w:eastAsia="宋体" w:hint="default"/>
          <w:spacing w:val="2"/>
          <w:sz w:val="14"/>
          <w:szCs w:val="14"/>
        </w:rPr>
      </w:r>
    </w:p>
    <w:p>
      <w:pPr>
        <w:spacing w:before="85"/>
        <w:ind w:left="56" w:right="-18" w:firstLine="0"/>
        <w:jc w:val="left"/>
        <w:rPr>
          <w:rFonts w:ascii="Symbol" w:hAnsi="Symbol" w:cs="Symbol" w:eastAsia="Symbol" w:hint="default"/>
          <w:sz w:val="24"/>
          <w:szCs w:val="24"/>
        </w:rPr>
      </w:pPr>
      <w:r>
        <w:rPr>
          <w:spacing w:val="-28"/>
        </w:rPr>
        <w:br w:type="column"/>
      </w:r>
      <w:r>
        <w:rPr>
          <w:rFonts w:ascii="Symbol" w:hAnsi="Symbol" w:cs="Symbol" w:eastAsia="Symbol" w:hint="default"/>
          <w:spacing w:val="-28"/>
          <w:sz w:val="37"/>
          <w:szCs w:val="37"/>
        </w:rPr>
        <w:t></w:t>
      </w:r>
      <w:r>
        <w:rPr>
          <w:rFonts w:ascii="宋体" w:hAnsi="宋体" w:cs="宋体" w:eastAsia="宋体" w:hint="default"/>
          <w:spacing w:val="-28"/>
          <w:sz w:val="24"/>
          <w:szCs w:val="24"/>
        </w:rPr>
        <w:t>1</w:t>
      </w:r>
      <w:r>
        <w:rPr>
          <w:rFonts w:ascii="宋体" w:hAnsi="宋体" w:cs="宋体" w:eastAsia="宋体" w:hint="default"/>
          <w:spacing w:val="-22"/>
          <w:sz w:val="24"/>
          <w:szCs w:val="24"/>
        </w:rPr>
        <w:t> </w:t>
      </w:r>
      <w:r>
        <w:rPr>
          <w:rFonts w:ascii="Symbol" w:hAnsi="Symbol" w:cs="Symbol" w:eastAsia="Symbol" w:hint="default"/>
          <w:sz w:val="24"/>
          <w:szCs w:val="24"/>
        </w:rPr>
        <w:t></w:t>
      </w:r>
    </w:p>
    <w:p>
      <w:pPr>
        <w:spacing w:line="118" w:lineRule="exact" w:before="0"/>
        <w:ind w:left="-20" w:right="-18" w:firstLine="0"/>
        <w:jc w:val="left"/>
        <w:rPr>
          <w:rFonts w:ascii="宋体" w:hAnsi="宋体" w:cs="宋体" w:eastAsia="宋体" w:hint="default"/>
          <w:sz w:val="15"/>
          <w:szCs w:val="15"/>
        </w:rPr>
      </w:pPr>
      <w:r>
        <w:rPr>
          <w:w w:val="105"/>
        </w:rPr>
        <w:br w:type="column"/>
      </w:r>
      <w:r>
        <w:rPr>
          <w:rFonts w:ascii="宋体"/>
          <w:i/>
          <w:w w:val="105"/>
          <w:sz w:val="15"/>
        </w:rPr>
        <w:t>i</w:t>
      </w:r>
      <w:r>
        <w:rPr>
          <w:rFonts w:ascii="宋体"/>
          <w:sz w:val="15"/>
        </w:rPr>
      </w:r>
    </w:p>
    <w:p>
      <w:pPr>
        <w:spacing w:line="421" w:lineRule="exact" w:before="0"/>
        <w:ind w:left="65" w:right="-18" w:firstLine="0"/>
        <w:jc w:val="left"/>
        <w:rPr>
          <w:rFonts w:ascii="宋体" w:hAnsi="宋体" w:cs="宋体" w:eastAsia="宋体" w:hint="default"/>
          <w:sz w:val="15"/>
          <w:szCs w:val="15"/>
        </w:rPr>
      </w:pPr>
      <w:r>
        <w:rPr>
          <w:rFonts w:ascii="宋体" w:hAnsi="宋体" w:cs="宋体" w:eastAsia="宋体" w:hint="default"/>
          <w:i/>
          <w:w w:val="104"/>
          <w:sz w:val="26"/>
          <w:szCs w:val="26"/>
        </w:rPr>
        <w:t>r</w:t>
      </w:r>
      <w:r>
        <w:rPr>
          <w:rFonts w:ascii="宋体" w:hAnsi="宋体" w:cs="宋体" w:eastAsia="宋体" w:hint="default"/>
          <w:i/>
          <w:spacing w:val="-88"/>
          <w:sz w:val="26"/>
          <w:szCs w:val="26"/>
        </w:rPr>
        <w:t> </w:t>
      </w:r>
      <w:r>
        <w:rPr>
          <w:rFonts w:ascii="Symbol" w:hAnsi="Symbol" w:cs="Symbol" w:eastAsia="Symbol" w:hint="default"/>
          <w:spacing w:val="-35"/>
          <w:w w:val="71"/>
          <w:sz w:val="37"/>
          <w:szCs w:val="37"/>
        </w:rPr>
        <w:t></w:t>
      </w:r>
      <w:r>
        <w:rPr>
          <w:rFonts w:ascii="宋体" w:hAnsi="宋体" w:cs="宋体" w:eastAsia="宋体" w:hint="default"/>
          <w:i/>
          <w:w w:val="105"/>
          <w:position w:val="15"/>
          <w:sz w:val="15"/>
          <w:szCs w:val="15"/>
        </w:rPr>
        <w:t>i</w:t>
      </w:r>
      <w:r>
        <w:rPr>
          <w:rFonts w:ascii="宋体" w:hAnsi="宋体" w:cs="宋体" w:eastAsia="宋体" w:hint="default"/>
          <w:sz w:val="15"/>
          <w:szCs w:val="15"/>
        </w:rPr>
      </w:r>
    </w:p>
    <w:p>
      <w:pPr>
        <w:spacing w:before="85"/>
        <w:ind w:left="402" w:right="-17" w:firstLine="0"/>
        <w:jc w:val="left"/>
        <w:rPr>
          <w:rFonts w:ascii="Symbol" w:hAnsi="Symbol" w:cs="Symbol" w:eastAsia="Symbol" w:hint="default"/>
          <w:sz w:val="24"/>
          <w:szCs w:val="24"/>
        </w:rPr>
      </w:pPr>
      <w:r>
        <w:rPr>
          <w:spacing w:val="-14"/>
        </w:rPr>
        <w:br w:type="column"/>
      </w:r>
      <w:r>
        <w:rPr>
          <w:rFonts w:ascii="Symbol" w:hAnsi="Symbol" w:cs="Symbol" w:eastAsia="Symbol" w:hint="default"/>
          <w:spacing w:val="-14"/>
          <w:sz w:val="37"/>
          <w:szCs w:val="37"/>
        </w:rPr>
        <w:t></w:t>
      </w:r>
      <w:r>
        <w:rPr>
          <w:rFonts w:ascii="宋体" w:hAnsi="宋体" w:cs="宋体" w:eastAsia="宋体" w:hint="default"/>
          <w:i/>
          <w:spacing w:val="-14"/>
          <w:sz w:val="26"/>
          <w:szCs w:val="26"/>
        </w:rPr>
        <w:t>r </w:t>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i/>
          <w:sz w:val="26"/>
          <w:szCs w:val="26"/>
        </w:rPr>
        <w:t>g </w:t>
      </w:r>
      <w:r>
        <w:rPr>
          <w:rFonts w:ascii="Symbol" w:hAnsi="Symbol" w:cs="Symbol" w:eastAsia="Symbol" w:hint="default"/>
          <w:sz w:val="37"/>
          <w:szCs w:val="37"/>
        </w:rPr>
        <w:t></w:t>
      </w:r>
      <w:r>
        <w:rPr>
          <w:rFonts w:ascii="Times New Roman" w:hAnsi="Times New Roman" w:cs="Times New Roman" w:eastAsia="Times New Roman" w:hint="default"/>
          <w:sz w:val="37"/>
          <w:szCs w:val="37"/>
        </w:rPr>
      </w: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Symbol" w:hAnsi="Symbol" w:cs="Symbol" w:eastAsia="Symbol" w:hint="default"/>
          <w:spacing w:val="-28"/>
          <w:sz w:val="37"/>
          <w:szCs w:val="37"/>
        </w:rPr>
        <w:t></w:t>
      </w:r>
      <w:r>
        <w:rPr>
          <w:rFonts w:ascii="宋体" w:hAnsi="宋体" w:cs="宋体" w:eastAsia="宋体" w:hint="default"/>
          <w:spacing w:val="-28"/>
          <w:sz w:val="24"/>
          <w:szCs w:val="24"/>
        </w:rPr>
        <w:t>1</w:t>
      </w:r>
      <w:r>
        <w:rPr>
          <w:rFonts w:ascii="宋体" w:hAnsi="宋体" w:cs="宋体" w:eastAsia="宋体" w:hint="default"/>
          <w:spacing w:val="-62"/>
          <w:sz w:val="24"/>
          <w:szCs w:val="24"/>
        </w:rPr>
        <w:t> </w:t>
      </w:r>
      <w:r>
        <w:rPr>
          <w:rFonts w:ascii="Symbol" w:hAnsi="Symbol" w:cs="Symbol" w:eastAsia="Symbol" w:hint="default"/>
          <w:sz w:val="24"/>
          <w:szCs w:val="24"/>
        </w:rPr>
        <w:t></w:t>
      </w:r>
    </w:p>
    <w:p>
      <w:pPr>
        <w:spacing w:before="85"/>
        <w:ind w:left="65" w:right="0" w:firstLine="0"/>
        <w:jc w:val="left"/>
        <w:rPr>
          <w:rFonts w:ascii="宋体" w:hAnsi="宋体" w:cs="宋体" w:eastAsia="宋体" w:hint="default"/>
          <w:sz w:val="15"/>
          <w:szCs w:val="15"/>
        </w:rPr>
      </w:pPr>
      <w:r>
        <w:rPr/>
        <w:br w:type="column"/>
      </w:r>
      <w:r>
        <w:rPr>
          <w:rFonts w:ascii="宋体" w:hAnsi="宋体" w:cs="宋体" w:eastAsia="宋体" w:hint="default"/>
          <w:i/>
          <w:w w:val="104"/>
          <w:sz w:val="26"/>
          <w:szCs w:val="26"/>
        </w:rPr>
        <w:t>r</w:t>
      </w:r>
      <w:r>
        <w:rPr>
          <w:rFonts w:ascii="宋体" w:hAnsi="宋体" w:cs="宋体" w:eastAsia="宋体" w:hint="default"/>
          <w:i/>
          <w:spacing w:val="-87"/>
          <w:sz w:val="26"/>
          <w:szCs w:val="26"/>
        </w:rPr>
        <w:t> </w:t>
      </w:r>
      <w:r>
        <w:rPr>
          <w:rFonts w:ascii="Symbol" w:hAnsi="Symbol" w:cs="Symbol" w:eastAsia="Symbol" w:hint="default"/>
          <w:spacing w:val="-23"/>
          <w:w w:val="71"/>
          <w:sz w:val="37"/>
          <w:szCs w:val="37"/>
        </w:rPr>
        <w:t></w:t>
      </w:r>
      <w:r>
        <w:rPr>
          <w:rFonts w:ascii="宋体" w:hAnsi="宋体" w:cs="宋体" w:eastAsia="宋体" w:hint="default"/>
          <w:i/>
          <w:w w:val="105"/>
          <w:position w:val="15"/>
          <w:sz w:val="15"/>
          <w:szCs w:val="15"/>
        </w:rPr>
        <w:t>n</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60" w:bottom="1160" w:left="980" w:right="0"/>
          <w:cols w:num="5" w:equalWidth="0">
            <w:col w:w="1041" w:space="40"/>
            <w:col w:w="476" w:space="39"/>
            <w:col w:w="378" w:space="40"/>
            <w:col w:w="1972" w:space="40"/>
            <w:col w:w="6904"/>
          </w:cols>
        </w:sectPr>
      </w:pPr>
    </w:p>
    <w:p>
      <w:pPr>
        <w:spacing w:line="240" w:lineRule="auto" w:before="12"/>
        <w:rPr>
          <w:rFonts w:ascii="宋体" w:hAnsi="宋体" w:cs="宋体" w:eastAsia="宋体" w:hint="default"/>
          <w:i/>
          <w:sz w:val="8"/>
          <w:szCs w:val="8"/>
        </w:rPr>
      </w:pPr>
    </w:p>
    <w:p>
      <w:pPr>
        <w:pStyle w:val="BodyText"/>
        <w:spacing w:line="338" w:lineRule="auto" w:before="44"/>
        <w:ind w:left="514" w:right="0"/>
        <w:jc w:val="left"/>
      </w:pPr>
      <w:r>
        <w:rPr/>
        <w:t>（</w:t>
      </w:r>
      <w:r>
        <w:rPr>
          <w:rFonts w:ascii="Times New Roman" w:hAnsi="Times New Roman" w:cs="Times New Roman" w:eastAsia="Times New Roman" w:hint="default"/>
        </w:rPr>
        <w:t>1</w:t>
      </w:r>
      <w:r>
        <w:rPr/>
        <w:t>）各年度现金流量的确定 </w:t>
      </w:r>
      <w:r>
        <w:rPr>
          <w:spacing w:val="-2"/>
        </w:rPr>
        <w:t>根据相关准则，对资产预计未来现金流量的预测应基于特定实体现有管理模式下可能实现的收益，即将评估对象作为企</w:t>
      </w:r>
    </w:p>
    <w:p>
      <w:pPr>
        <w:pStyle w:val="BodyText"/>
        <w:spacing w:line="319" w:lineRule="auto" w:before="2"/>
        <w:ind w:right="0"/>
        <w:jc w:val="left"/>
      </w:pPr>
      <w:r>
        <w:rPr>
          <w:spacing w:val="-2"/>
        </w:rPr>
        <w:t>业组成部分或要素资产，按其正在使用方式和程度及其对所属企业的贡献测算其现金流量。使用资产组的自由现金流量作为</w:t>
      </w:r>
      <w:r>
        <w:rPr>
          <w:spacing w:val="-64"/>
        </w:rPr>
        <w:t> </w:t>
      </w:r>
      <w:r>
        <w:rPr>
          <w:spacing w:val="-64"/>
        </w:rPr>
      </w:r>
      <w:r>
        <w:rPr/>
        <w:t>评估对象的收益指标，计算式如下：</w:t>
      </w:r>
    </w:p>
    <w:p>
      <w:pPr>
        <w:pStyle w:val="BodyText"/>
        <w:spacing w:line="240" w:lineRule="auto" w:before="14"/>
        <w:ind w:left="514" w:right="0"/>
        <w:jc w:val="left"/>
      </w:pPr>
      <w:r>
        <w:rPr>
          <w:rFonts w:ascii="Times New Roman" w:hAnsi="Times New Roman" w:cs="Times New Roman" w:eastAsia="Times New Roman" w:hint="default"/>
        </w:rPr>
        <w:t>F</w:t>
      </w:r>
      <w:r>
        <w:rPr/>
        <w:t>＝息税前利润＋折旧和摊销－资本性支出－营运资本增加</w:t>
      </w:r>
    </w:p>
    <w:p>
      <w:pPr>
        <w:pStyle w:val="BodyText"/>
        <w:spacing w:line="302" w:lineRule="auto" w:before="25"/>
        <w:ind w:left="334" w:right="0" w:firstLine="180"/>
        <w:jc w:val="left"/>
      </w:pPr>
      <w:r>
        <w:rPr/>
        <w:t>（</w:t>
      </w:r>
      <w:r>
        <w:rPr>
          <w:rFonts w:ascii="Times New Roman" w:hAnsi="Times New Roman" w:cs="Times New Roman" w:eastAsia="Times New Roman" w:hint="default"/>
        </w:rPr>
        <w:t>2</w:t>
      </w:r>
      <w:r>
        <w:rPr/>
        <w:t>）折现率的确定 </w:t>
      </w:r>
      <w:r>
        <w:rPr>
          <w:spacing w:val="-2"/>
        </w:rPr>
        <w:t>评估预测的现金流为税前现金流，因此折现率应为税前折现率，本次评估采用税前折现率，税后折现率采用资本资产加权</w:t>
      </w:r>
    </w:p>
    <w:p>
      <w:pPr>
        <w:pStyle w:val="BodyText"/>
        <w:spacing w:line="240" w:lineRule="auto" w:before="31"/>
        <w:ind w:right="0"/>
        <w:jc w:val="left"/>
      </w:pPr>
      <w:r>
        <w:rPr/>
        <w:t>平均成本模型（</w:t>
      </w:r>
      <w:r>
        <w:rPr>
          <w:rFonts w:ascii="Times New Roman" w:hAnsi="Times New Roman" w:cs="Times New Roman" w:eastAsia="Times New Roman" w:hint="default"/>
        </w:rPr>
        <w:t>WACC</w:t>
      </w:r>
      <w:r>
        <w:rPr/>
        <w:t>）确定折现率</w:t>
      </w:r>
      <w:r>
        <w:rPr>
          <w:spacing w:val="-69"/>
        </w:rPr>
        <w:t> </w:t>
      </w:r>
      <w:r>
        <w:rPr>
          <w:rFonts w:ascii="Times New Roman" w:hAnsi="Times New Roman" w:cs="Times New Roman" w:eastAsia="Times New Roman" w:hint="default"/>
        </w:rPr>
        <w:t>R</w:t>
      </w:r>
      <w:r>
        <w:rPr/>
        <w:t>：</w:t>
      </w:r>
    </w:p>
    <w:p>
      <w:pPr>
        <w:spacing w:before="14"/>
        <w:ind w:left="557" w:right="0"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i/>
          <w:w w:val="104"/>
          <w:sz w:val="24"/>
          <w:szCs w:val="24"/>
        </w:rPr>
        <w:t>R</w:t>
      </w:r>
      <w:r>
        <w:rPr>
          <w:rFonts w:ascii="Times New Roman" w:hAnsi="Times New Roman" w:cs="Times New Roman" w:eastAsia="Times New Roman" w:hint="default"/>
          <w:i/>
          <w:sz w:val="24"/>
          <w:szCs w:val="24"/>
        </w:rPr>
        <w:t> </w:t>
      </w:r>
      <w:r>
        <w:rPr>
          <w:rFonts w:ascii="Symbol" w:hAnsi="Symbol" w:cs="Symbol" w:eastAsia="Symbol" w:hint="default"/>
          <w:w w:val="104"/>
          <w:sz w:val="24"/>
          <w:szCs w:val="24"/>
        </w:rPr>
        <w: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pacing w:val="-4"/>
          <w:w w:val="104"/>
          <w:sz w:val="24"/>
          <w:szCs w:val="24"/>
        </w:rPr>
        <w:t>R</w:t>
      </w:r>
      <w:r>
        <w:rPr>
          <w:rFonts w:ascii="Times New Roman" w:hAnsi="Times New Roman" w:cs="Times New Roman" w:eastAsia="Times New Roman" w:hint="default"/>
          <w:i/>
          <w:w w:val="104"/>
          <w:position w:val="-5"/>
          <w:sz w:val="14"/>
          <w:szCs w:val="14"/>
        </w:rPr>
        <w:t>d</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6"/>
          <w:position w:val="-5"/>
          <w:sz w:val="14"/>
          <w:szCs w:val="14"/>
        </w:rPr>
        <w:t> </w:t>
      </w:r>
      <w:r>
        <w:rPr>
          <w:rFonts w:ascii="Symbol" w:hAnsi="Symbol" w:cs="Symbol" w:eastAsia="Symbol" w:hint="default"/>
          <w:w w:val="104"/>
          <w:sz w:val="24"/>
          <w:szCs w:val="24"/>
        </w:rPr>
        <w:t></w:t>
      </w:r>
      <w:r>
        <w:rPr>
          <w:rFonts w:ascii="Times New Roman" w:hAnsi="Times New Roman" w:cs="Times New Roman" w:eastAsia="Times New Roman" w:hint="default"/>
          <w:spacing w:val="-30"/>
          <w:sz w:val="24"/>
          <w:szCs w:val="24"/>
        </w:rPr>
        <w:t> </w:t>
      </w:r>
      <w:r>
        <w:rPr>
          <w:rFonts w:ascii="Symbol" w:hAnsi="Symbol" w:cs="Symbol" w:eastAsia="Symbol" w:hint="default"/>
          <w:spacing w:val="-34"/>
          <w:w w:val="77"/>
          <w:sz w:val="32"/>
          <w:szCs w:val="32"/>
        </w:rPr>
        <w:t></w:t>
      </w:r>
      <w:r>
        <w:rPr>
          <w:rFonts w:ascii="Times New Roman" w:hAnsi="Times New Roman" w:cs="Times New Roman" w:eastAsia="Times New Roman" w:hint="default"/>
          <w:spacing w:val="20"/>
          <w:w w:val="104"/>
          <w:sz w:val="24"/>
          <w:szCs w:val="24"/>
        </w:rPr>
        <w:t>1</w:t>
      </w:r>
      <w:r>
        <w:rPr>
          <w:rFonts w:ascii="Symbol" w:hAnsi="Symbol" w:cs="Symbol" w:eastAsia="Symbol" w:hint="default"/>
          <w:w w:val="104"/>
          <w:sz w:val="24"/>
          <w:szCs w:val="24"/>
        </w:rPr>
        <w: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i/>
          <w:w w:val="104"/>
          <w:sz w:val="24"/>
          <w:szCs w:val="24"/>
        </w:rPr>
        <w:t>T</w:t>
      </w:r>
      <w:r>
        <w:rPr>
          <w:rFonts w:ascii="Times New Roman" w:hAnsi="Times New Roman" w:cs="Times New Roman" w:eastAsia="Times New Roman" w:hint="default"/>
          <w:i/>
          <w:spacing w:val="-28"/>
          <w:sz w:val="24"/>
          <w:szCs w:val="24"/>
        </w:rPr>
        <w:t> </w:t>
      </w:r>
      <w:r>
        <w:rPr>
          <w:rFonts w:ascii="Symbol" w:hAnsi="Symbol" w:cs="Symbol" w:eastAsia="Symbol" w:hint="default"/>
          <w:spacing w:val="10"/>
          <w:w w:val="77"/>
          <w:sz w:val="32"/>
          <w:szCs w:val="32"/>
        </w:rPr>
        <w:t></w:t>
      </w:r>
      <w:r>
        <w:rPr>
          <w:rFonts w:ascii="Symbol" w:hAnsi="Symbol" w:cs="Symbol" w:eastAsia="Symbol" w:hint="default"/>
          <w:spacing w:val="13"/>
          <w:w w:val="104"/>
          <w:sz w:val="24"/>
          <w:szCs w:val="24"/>
        </w:rPr>
        <w:t></w:t>
      </w:r>
      <w:r>
        <w:rPr>
          <w:rFonts w:ascii="Times New Roman" w:hAnsi="Times New Roman" w:cs="Times New Roman" w:eastAsia="Times New Roman" w:hint="default"/>
          <w:i/>
          <w:spacing w:val="-7"/>
          <w:w w:val="104"/>
          <w:sz w:val="24"/>
          <w:szCs w:val="24"/>
        </w:rPr>
        <w:t>W</w:t>
      </w:r>
      <w:r>
        <w:rPr>
          <w:rFonts w:ascii="Times New Roman" w:hAnsi="Times New Roman" w:cs="Times New Roman" w:eastAsia="Times New Roman" w:hint="default"/>
          <w:i/>
          <w:w w:val="104"/>
          <w:position w:val="-5"/>
          <w:sz w:val="14"/>
          <w:szCs w:val="14"/>
        </w:rPr>
        <w:t>d</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14"/>
          <w:position w:val="-5"/>
          <w:sz w:val="14"/>
          <w:szCs w:val="14"/>
        </w:rPr>
        <w:t> </w:t>
      </w:r>
      <w:r>
        <w:rPr>
          <w:rFonts w:ascii="Symbol" w:hAnsi="Symbol" w:cs="Symbol" w:eastAsia="Symbol" w:hint="default"/>
          <w:w w:val="104"/>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pacing w:val="-6"/>
          <w:w w:val="104"/>
          <w:sz w:val="24"/>
          <w:szCs w:val="24"/>
        </w:rPr>
        <w:t>R</w:t>
      </w:r>
      <w:r>
        <w:rPr>
          <w:rFonts w:ascii="Times New Roman" w:hAnsi="Times New Roman" w:cs="Times New Roman" w:eastAsia="Times New Roman" w:hint="default"/>
          <w:i/>
          <w:w w:val="104"/>
          <w:position w:val="-5"/>
          <w:sz w:val="14"/>
          <w:szCs w:val="14"/>
        </w:rPr>
        <w:t>e</w:t>
      </w:r>
      <w:r>
        <w:rPr>
          <w:rFonts w:ascii="Times New Roman" w:hAnsi="Times New Roman" w:cs="Times New Roman" w:eastAsia="Times New Roman" w:hint="default"/>
          <w:i/>
          <w:position w:val="-5"/>
          <w:sz w:val="14"/>
          <w:szCs w:val="14"/>
        </w:rPr>
        <w:t> </w:t>
      </w:r>
      <w:r>
        <w:rPr>
          <w:rFonts w:ascii="Times New Roman" w:hAnsi="Times New Roman" w:cs="Times New Roman" w:eastAsia="Times New Roman" w:hint="default"/>
          <w:i/>
          <w:spacing w:val="-7"/>
          <w:position w:val="-5"/>
          <w:sz w:val="14"/>
          <w:szCs w:val="14"/>
        </w:rPr>
        <w:t> </w:t>
      </w:r>
      <w:r>
        <w:rPr>
          <w:rFonts w:ascii="Symbol" w:hAnsi="Symbol" w:cs="Symbol" w:eastAsia="Symbol" w:hint="default"/>
          <w:spacing w:val="12"/>
          <w:w w:val="104"/>
          <w:sz w:val="24"/>
          <w:szCs w:val="24"/>
        </w:rPr>
        <w:t></w:t>
      </w:r>
      <w:r>
        <w:rPr>
          <w:rFonts w:ascii="Times New Roman" w:hAnsi="Times New Roman" w:cs="Times New Roman" w:eastAsia="Times New Roman" w:hint="default"/>
          <w:i/>
          <w:spacing w:val="-10"/>
          <w:w w:val="104"/>
          <w:sz w:val="24"/>
          <w:szCs w:val="24"/>
        </w:rPr>
        <w:t>W</w:t>
      </w:r>
      <w:r>
        <w:rPr>
          <w:rFonts w:ascii="Times New Roman" w:hAnsi="Times New Roman" w:cs="Times New Roman" w:eastAsia="Times New Roman" w:hint="default"/>
          <w:i/>
          <w:w w:val="104"/>
          <w:position w:val="-5"/>
          <w:sz w:val="14"/>
          <w:szCs w:val="14"/>
        </w:rPr>
        <w:t>e</w:t>
      </w:r>
      <w:r>
        <w:rPr>
          <w:rFonts w:ascii="Times New Roman" w:hAnsi="Times New Roman" w:cs="Times New Roman" w:eastAsia="Times New Roman" w:hint="default"/>
          <w:sz w:val="14"/>
          <w:szCs w:val="14"/>
        </w:rPr>
      </w:r>
    </w:p>
    <w:p>
      <w:pPr>
        <w:spacing w:after="0"/>
        <w:jc w:val="left"/>
        <w:rPr>
          <w:rFonts w:ascii="Times New Roman" w:hAnsi="Times New Roman" w:cs="Times New Roman" w:eastAsia="Times New Roman" w:hint="default"/>
          <w:sz w:val="14"/>
          <w:szCs w:val="14"/>
        </w:rPr>
        <w:sectPr>
          <w:type w:val="continuous"/>
          <w:pgSz w:w="11910" w:h="16840"/>
          <w:pgMar w:top="1060" w:bottom="1160" w:left="980" w:right="0"/>
        </w:sectPr>
      </w:pPr>
    </w:p>
    <w:p>
      <w:pPr>
        <w:spacing w:line="240" w:lineRule="auto" w:before="11"/>
        <w:rPr>
          <w:rFonts w:ascii="Times New Roman" w:hAnsi="Times New Roman" w:cs="Times New Roman" w:eastAsia="Times New Roman" w:hint="default"/>
          <w:i/>
          <w:sz w:val="25"/>
          <w:szCs w:val="25"/>
        </w:rPr>
      </w:pPr>
    </w:p>
    <w:p>
      <w:pPr>
        <w:pStyle w:val="BodyText"/>
        <w:spacing w:line="240" w:lineRule="auto" w:before="44"/>
        <w:ind w:left="514" w:right="0"/>
        <w:jc w:val="left"/>
      </w:pPr>
      <w:r>
        <w:rPr/>
        <w:t>式中：</w:t>
      </w:r>
    </w:p>
    <w:p>
      <w:pPr>
        <w:pStyle w:val="BodyText"/>
        <w:spacing w:line="240" w:lineRule="auto" w:before="92"/>
        <w:ind w:left="528" w:right="0"/>
        <w:jc w:val="left"/>
      </w:pPr>
      <w:r>
        <w:rPr>
          <w:rFonts w:ascii="Times New Roman" w:hAnsi="Times New Roman" w:cs="Times New Roman" w:eastAsia="Times New Roman" w:hint="default"/>
          <w:i/>
          <w:position w:val="12"/>
          <w:sz w:val="24"/>
          <w:szCs w:val="24"/>
        </w:rPr>
        <w:t>W</w:t>
      </w:r>
      <w:r>
        <w:rPr>
          <w:rFonts w:ascii="Times New Roman" w:hAnsi="Times New Roman" w:cs="Times New Roman" w:eastAsia="Times New Roman" w:hint="default"/>
          <w:i/>
          <w:position w:val="6"/>
          <w:sz w:val="14"/>
          <w:szCs w:val="14"/>
        </w:rPr>
        <w:t>d</w:t>
      </w:r>
      <w:r>
        <w:rPr>
          <w:rFonts w:ascii="Times New Roman" w:hAnsi="Times New Roman" w:cs="Times New Roman" w:eastAsia="Times New Roman" w:hint="default"/>
          <w:i/>
          <w:spacing w:val="22"/>
          <w:position w:val="6"/>
          <w:sz w:val="14"/>
          <w:szCs w:val="14"/>
        </w:rPr>
        <w:t> </w:t>
      </w:r>
      <w:r>
        <w:rPr/>
        <w:t>：评估对象的付息债务比率；</w:t>
      </w:r>
    </w:p>
    <w:p>
      <w:pPr>
        <w:spacing w:after="0" w:line="240" w:lineRule="auto"/>
        <w:jc w:val="left"/>
        <w:sectPr>
          <w:pgSz w:w="11910" w:h="16840"/>
          <w:pgMar w:header="747" w:footer="979" w:top="1060" w:bottom="1160" w:left="980" w:right="0"/>
        </w:sectPr>
      </w:pPr>
    </w:p>
    <w:p>
      <w:pPr>
        <w:spacing w:before="205"/>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d  </w:t>
      </w:r>
      <w:r>
        <w:rPr>
          <w:rFonts w:ascii="Times New Roman" w:hAnsi="Times New Roman" w:cs="Times New Roman" w:eastAsia="Times New Roman" w:hint="default"/>
          <w:i/>
          <w:spacing w:val="10"/>
          <w:position w:val="-5"/>
          <w:sz w:val="14"/>
          <w:szCs w:val="14"/>
        </w:rPr>
        <w:t> </w:t>
      </w:r>
      <w:r>
        <w:rPr>
          <w:rFonts w:ascii="Symbol" w:hAnsi="Symbol" w:cs="Symbol" w:eastAsia="Symbol" w:hint="default"/>
          <w:sz w:val="24"/>
          <w:szCs w:val="24"/>
        </w:rPr>
        <w:t></w:t>
      </w:r>
    </w:p>
    <w:p>
      <w:pPr>
        <w:spacing w:before="71"/>
        <w:ind w:left="20" w:right="9020" w:firstLine="0"/>
        <w:jc w:val="center"/>
        <w:rPr>
          <w:rFonts w:ascii="Times New Roman" w:hAnsi="Times New Roman" w:cs="Times New Roman" w:eastAsia="Times New Roman" w:hint="default"/>
          <w:sz w:val="24"/>
          <w:szCs w:val="24"/>
        </w:rPr>
      </w:pPr>
      <w:r>
        <w:rPr/>
        <w:br w:type="column"/>
      </w:r>
      <w:r>
        <w:rPr>
          <w:rFonts w:ascii="Times New Roman"/>
          <w:i/>
          <w:sz w:val="24"/>
        </w:rPr>
        <w:t>D</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4pt;height:.5pt;mso-position-horizontal-relative:char;mso-position-vertical-relative:line" coordorigin="0,0" coordsize="788,10">
            <v:group style="position:absolute;left:5;top:5;width:778;height:2" coordorigin="5,5" coordsize="778,2">
              <v:shape style="position:absolute;left:5;top:5;width:778;height:2" coordorigin="5,5" coordsize="778,0" path="m5,5l783,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20" w:right="9027" w:firstLine="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E </w:t>
      </w:r>
      <w:r>
        <w:rPr>
          <w:rFonts w:ascii="Symbol" w:hAnsi="Symbol" w:cs="Symbol" w:eastAsia="Symbol" w:hint="default"/>
          <w:sz w:val="24"/>
          <w:szCs w:val="24"/>
        </w:rPr>
        <w:t></w:t>
      </w:r>
      <w:r>
        <w:rPr>
          <w:rFonts w:ascii="Symbol" w:hAnsi="Symbol" w:cs="Symbol" w:eastAsia="Symbol" w:hint="default"/>
          <w:spacing w:val="6"/>
          <w:sz w:val="24"/>
          <w:szCs w:val="24"/>
        </w:rPr>
        <w:t></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i/>
          <w:sz w:val="24"/>
          <w:szCs w:val="24"/>
        </w:rPr>
        <w:t>D</w:t>
      </w:r>
      <w:r>
        <w:rPr>
          <w:rFonts w:ascii="Times New Roman" w:hAnsi="Times New Roman" w:cs="Times New Roman" w:eastAsia="Times New Roman" w:hint="default"/>
          <w:sz w:val="24"/>
          <w:szCs w:val="24"/>
        </w:rPr>
        <w:t>)</w:t>
      </w:r>
    </w:p>
    <w:p>
      <w:pPr>
        <w:spacing w:after="0"/>
        <w:jc w:val="center"/>
        <w:rPr>
          <w:rFonts w:ascii="Times New Roman" w:hAnsi="Times New Roman" w:cs="Times New Roman" w:eastAsia="Times New Roman" w:hint="default"/>
          <w:sz w:val="24"/>
          <w:szCs w:val="24"/>
        </w:rPr>
        <w:sectPr>
          <w:type w:val="continuous"/>
          <w:pgSz w:w="11910" w:h="16840"/>
          <w:pgMar w:top="1060" w:bottom="1160" w:left="980" w:right="0"/>
          <w:cols w:num="2" w:equalWidth="0">
            <w:col w:w="1046" w:space="40"/>
            <w:col w:w="9844"/>
          </w:cols>
        </w:sectPr>
      </w:pPr>
    </w:p>
    <w:p>
      <w:pPr>
        <w:pStyle w:val="BodyText"/>
        <w:spacing w:line="240" w:lineRule="auto" w:before="104"/>
        <w:ind w:left="527" w:right="0"/>
        <w:jc w:val="left"/>
      </w:pPr>
      <w:r>
        <w:rPr>
          <w:rFonts w:ascii="Times New Roman" w:hAnsi="Times New Roman" w:cs="Times New Roman" w:eastAsia="Times New Roman" w:hint="default"/>
          <w:i/>
          <w:position w:val="12"/>
          <w:sz w:val="24"/>
          <w:szCs w:val="24"/>
        </w:rPr>
        <w:t>W</w:t>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3"/>
          <w:position w:val="6"/>
          <w:sz w:val="14"/>
          <w:szCs w:val="14"/>
        </w:rPr>
        <w:t> </w:t>
      </w:r>
      <w:r>
        <w:rPr/>
        <w:t>：评估对象的权益资本比率；</w:t>
      </w:r>
    </w:p>
    <w:p>
      <w:pPr>
        <w:spacing w:after="0" w:line="240" w:lineRule="auto"/>
        <w:jc w:val="left"/>
        <w:sectPr>
          <w:type w:val="continuous"/>
          <w:pgSz w:w="11910" w:h="16840"/>
          <w:pgMar w:top="1060" w:bottom="1160" w:left="980" w:right="0"/>
        </w:sectPr>
      </w:pPr>
    </w:p>
    <w:p>
      <w:pPr>
        <w:spacing w:before="205"/>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e </w:t>
      </w:r>
      <w:r>
        <w:rPr>
          <w:rFonts w:ascii="Times New Roman" w:hAnsi="Times New Roman" w:cs="Times New Roman" w:eastAsia="Times New Roman" w:hint="default"/>
          <w:i/>
          <w:spacing w:val="26"/>
          <w:position w:val="-5"/>
          <w:sz w:val="14"/>
          <w:szCs w:val="14"/>
        </w:rPr>
        <w:t> </w:t>
      </w:r>
      <w:r>
        <w:rPr>
          <w:rFonts w:ascii="Symbol" w:hAnsi="Symbol" w:cs="Symbol" w:eastAsia="Symbol" w:hint="default"/>
          <w:sz w:val="24"/>
          <w:szCs w:val="24"/>
        </w:rPr>
        <w:t></w:t>
      </w:r>
    </w:p>
    <w:p>
      <w:pPr>
        <w:spacing w:before="72"/>
        <w:ind w:left="18" w:right="9059" w:firstLine="0"/>
        <w:jc w:val="center"/>
        <w:rPr>
          <w:rFonts w:ascii="Times New Roman" w:hAnsi="Times New Roman" w:cs="Times New Roman" w:eastAsia="Times New Roman" w:hint="default"/>
          <w:sz w:val="24"/>
          <w:szCs w:val="24"/>
        </w:rPr>
      </w:pPr>
      <w:r>
        <w:rPr/>
        <w:br w:type="column"/>
      </w:r>
      <w:r>
        <w:rPr>
          <w:rFonts w:ascii="Times New Roman"/>
          <w:i/>
          <w:sz w:val="24"/>
        </w:rPr>
        <w:t>E</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2pt;height:.5pt;mso-position-horizontal-relative:char;mso-position-vertical-relative:line" coordorigin="0,0" coordsize="784,10">
            <v:group style="position:absolute;left:5;top:5;width:774;height:2" coordorigin="5,5" coordsize="774,2">
              <v:shape style="position:absolute;left:5;top:5;width:774;height:2" coordorigin="5,5" coordsize="774,0" path="m5,5l778,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18" w:right="9059" w:firstLine="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E </w:t>
      </w:r>
      <w:r>
        <w:rPr>
          <w:rFonts w:ascii="Symbol" w:hAnsi="Symbol" w:cs="Symbol" w:eastAsia="Symbol" w:hint="default"/>
          <w:sz w:val="24"/>
          <w:szCs w:val="24"/>
        </w:rPr>
        <w:t></w:t>
      </w:r>
      <w:r>
        <w:rPr>
          <w:rFonts w:ascii="Symbol" w:hAnsi="Symbol" w:cs="Symbol" w:eastAsia="Symbol" w:hint="default"/>
          <w:spacing w:val="2"/>
          <w:sz w:val="24"/>
          <w:szCs w:val="24"/>
        </w:rPr>
        <w:t></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z w:val="24"/>
          <w:szCs w:val="24"/>
        </w:rPr>
        <w:t>D</w:t>
      </w:r>
      <w:r>
        <w:rPr>
          <w:rFonts w:ascii="Times New Roman" w:hAnsi="Times New Roman" w:cs="Times New Roman" w:eastAsia="Times New Roman" w:hint="default"/>
          <w:sz w:val="24"/>
          <w:szCs w:val="24"/>
        </w:rPr>
        <w:t>)</w:t>
      </w:r>
    </w:p>
    <w:p>
      <w:pPr>
        <w:spacing w:after="0"/>
        <w:jc w:val="center"/>
        <w:rPr>
          <w:rFonts w:ascii="Times New Roman" w:hAnsi="Times New Roman" w:cs="Times New Roman" w:eastAsia="Times New Roman" w:hint="default"/>
          <w:sz w:val="24"/>
          <w:szCs w:val="24"/>
        </w:rPr>
        <w:sectPr>
          <w:type w:val="continuous"/>
          <w:pgSz w:w="11910" w:h="16840"/>
          <w:pgMar w:top="1060" w:bottom="1160" w:left="980" w:right="0"/>
          <w:cols w:num="2" w:equalWidth="0">
            <w:col w:w="1020" w:space="40"/>
            <w:col w:w="9870"/>
          </w:cols>
        </w:sectPr>
      </w:pPr>
    </w:p>
    <w:p>
      <w:pPr>
        <w:spacing w:before="81"/>
        <w:ind w:left="539" w:right="0" w:firstLine="0"/>
        <w:jc w:val="left"/>
        <w:rPr>
          <w:rFonts w:ascii="宋体" w:hAnsi="宋体" w:cs="宋体" w:eastAsia="宋体" w:hint="default"/>
          <w:sz w:val="18"/>
          <w:szCs w:val="18"/>
        </w:rPr>
      </w:pPr>
      <w:r>
        <w:rPr>
          <w:rFonts w:ascii="Times New Roman" w:hAnsi="Times New Roman" w:cs="Times New Roman" w:eastAsia="Times New Roman" w:hint="default"/>
          <w:i/>
          <w:w w:val="105"/>
          <w:position w:val="4"/>
          <w:sz w:val="23"/>
          <w:szCs w:val="23"/>
        </w:rPr>
        <w:t>T</w:t>
      </w:r>
      <w:r>
        <w:rPr>
          <w:rFonts w:ascii="Times New Roman" w:hAnsi="Times New Roman" w:cs="Times New Roman" w:eastAsia="Times New Roman" w:hint="default"/>
          <w:i/>
          <w:spacing w:val="-17"/>
          <w:w w:val="105"/>
          <w:position w:val="4"/>
          <w:sz w:val="23"/>
          <w:szCs w:val="23"/>
        </w:rPr>
        <w:t> </w:t>
      </w:r>
      <w:r>
        <w:rPr>
          <w:rFonts w:ascii="宋体" w:hAnsi="宋体" w:cs="宋体" w:eastAsia="宋体" w:hint="default"/>
          <w:w w:val="105"/>
          <w:sz w:val="18"/>
          <w:szCs w:val="18"/>
        </w:rPr>
        <w:t>：所得税率；</w:t>
      </w:r>
    </w:p>
    <w:p>
      <w:pPr>
        <w:spacing w:before="92"/>
        <w:ind w:left="556" w:right="0" w:firstLine="0"/>
        <w:jc w:val="left"/>
        <w:rPr>
          <w:rFonts w:ascii="宋体" w:hAnsi="宋体" w:cs="宋体" w:eastAsia="宋体" w:hint="default"/>
          <w:sz w:val="18"/>
          <w:szCs w:val="18"/>
        </w:rPr>
      </w:pPr>
      <w:r>
        <w:rPr>
          <w:rFonts w:ascii="Times New Roman" w:hAnsi="Times New Roman" w:cs="Times New Roman" w:eastAsia="Times New Roman" w:hint="default"/>
          <w:i/>
          <w:spacing w:val="3"/>
          <w:position w:val="12"/>
          <w:sz w:val="24"/>
          <w:szCs w:val="24"/>
        </w:rPr>
        <w:t>R</w:t>
      </w:r>
      <w:r>
        <w:rPr>
          <w:rFonts w:ascii="Times New Roman" w:hAnsi="Times New Roman" w:cs="Times New Roman" w:eastAsia="Times New Roman" w:hint="default"/>
          <w:i/>
          <w:spacing w:val="3"/>
          <w:position w:val="6"/>
          <w:sz w:val="14"/>
          <w:szCs w:val="14"/>
        </w:rPr>
        <w:t>d</w:t>
      </w:r>
      <w:r>
        <w:rPr>
          <w:rFonts w:ascii="Times New Roman" w:hAnsi="Times New Roman" w:cs="Times New Roman" w:eastAsia="Times New Roman" w:hint="default"/>
          <w:i/>
          <w:spacing w:val="8"/>
          <w:position w:val="6"/>
          <w:sz w:val="14"/>
          <w:szCs w:val="14"/>
        </w:rPr>
        <w:t> </w:t>
      </w:r>
      <w:r>
        <w:rPr>
          <w:rFonts w:ascii="宋体" w:hAnsi="宋体" w:cs="宋体" w:eastAsia="宋体" w:hint="default"/>
          <w:sz w:val="18"/>
          <w:szCs w:val="18"/>
        </w:rPr>
        <w:t>：付息债务利率；</w:t>
      </w:r>
    </w:p>
    <w:p>
      <w:pPr>
        <w:pStyle w:val="BodyText"/>
        <w:spacing w:line="240" w:lineRule="auto" w:before="84"/>
        <w:ind w:left="556" w:right="0"/>
        <w:jc w:val="left"/>
      </w:pPr>
      <w:r>
        <w:rPr>
          <w:rFonts w:ascii="Times New Roman" w:hAnsi="Times New Roman" w:cs="Times New Roman" w:eastAsia="Times New Roman" w:hint="default"/>
          <w:i/>
          <w:position w:val="12"/>
          <w:sz w:val="24"/>
          <w:szCs w:val="24"/>
        </w:rPr>
        <w:t>R</w:t>
      </w:r>
      <w:r>
        <w:rPr>
          <w:rFonts w:ascii="Times New Roman" w:hAnsi="Times New Roman" w:cs="Times New Roman" w:eastAsia="Times New Roman" w:hint="default"/>
          <w:i/>
          <w:position w:val="6"/>
          <w:sz w:val="14"/>
          <w:szCs w:val="14"/>
        </w:rPr>
        <w:t>e </w:t>
      </w:r>
      <w:r>
        <w:rPr/>
        <w:t>：权益资本成本，按资本资产定价模型（</w:t>
      </w:r>
      <w:r>
        <w:rPr>
          <w:rFonts w:ascii="Times New Roman" w:hAnsi="Times New Roman" w:cs="Times New Roman" w:eastAsia="Times New Roman" w:hint="default"/>
        </w:rPr>
        <w:t>CAPM</w:t>
      </w:r>
      <w:r>
        <w:rPr/>
        <w:t>）确定权益资本成本 </w:t>
      </w:r>
      <w:r>
        <w:rPr>
          <w:rFonts w:ascii="Times New Roman" w:hAnsi="Times New Roman" w:cs="Times New Roman" w:eastAsia="Times New Roman" w:hint="default"/>
          <w:i/>
          <w:position w:val="14"/>
          <w:sz w:val="28"/>
          <w:szCs w:val="28"/>
        </w:rPr>
        <w:t>R</w:t>
      </w:r>
      <w:r>
        <w:rPr>
          <w:rFonts w:ascii="Times New Roman" w:hAnsi="Times New Roman" w:cs="Times New Roman" w:eastAsia="Times New Roman" w:hint="default"/>
          <w:i/>
          <w:position w:val="7"/>
          <w:sz w:val="16"/>
          <w:szCs w:val="16"/>
        </w:rPr>
        <w:t>e</w:t>
      </w:r>
      <w:r>
        <w:rPr>
          <w:rFonts w:ascii="Times New Roman" w:hAnsi="Times New Roman" w:cs="Times New Roman" w:eastAsia="Times New Roman" w:hint="default"/>
          <w:i/>
          <w:spacing w:val="-3"/>
          <w:position w:val="7"/>
          <w:sz w:val="16"/>
          <w:szCs w:val="16"/>
        </w:rPr>
        <w:t> </w:t>
      </w:r>
      <w:r>
        <w:rPr/>
        <w:t>；</w:t>
      </w:r>
    </w:p>
    <w:p>
      <w:pPr>
        <w:spacing w:after="0" w:line="240" w:lineRule="auto"/>
        <w:jc w:val="left"/>
        <w:sectPr>
          <w:type w:val="continuous"/>
          <w:pgSz w:w="11910" w:h="16840"/>
          <w:pgMar w:top="1060" w:bottom="1160" w:left="980" w:right="0"/>
        </w:sectPr>
      </w:pPr>
    </w:p>
    <w:p>
      <w:pPr>
        <w:spacing w:before="50"/>
        <w:ind w:left="557" w:right="-16"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i/>
          <w:spacing w:val="-3"/>
          <w:w w:val="105"/>
          <w:sz w:val="24"/>
          <w:szCs w:val="24"/>
        </w:rPr>
        <w:t>R</w:t>
      </w:r>
      <w:r>
        <w:rPr>
          <w:rFonts w:ascii="Times New Roman" w:hAnsi="Times New Roman" w:cs="Times New Roman" w:eastAsia="Times New Roman" w:hint="default"/>
          <w:i/>
          <w:spacing w:val="-3"/>
          <w:w w:val="105"/>
          <w:position w:val="-5"/>
          <w:sz w:val="14"/>
          <w:szCs w:val="14"/>
        </w:rPr>
        <w:t>e   </w:t>
      </w:r>
      <w:r>
        <w:rPr>
          <w:rFonts w:ascii="Symbol" w:hAnsi="Symbol" w:cs="Symbol" w:eastAsia="Symbol" w:hint="default"/>
          <w:w w:val="105"/>
          <w:sz w:val="24"/>
          <w:szCs w:val="24"/>
        </w:rPr>
        <w:t></w:t>
      </w:r>
      <w:r>
        <w:rPr>
          <w:rFonts w:ascii="Symbol" w:hAnsi="Symbol" w:cs="Symbol" w:eastAsia="Symbol" w:hint="default"/>
          <w:spacing w:val="-10"/>
          <w:w w:val="105"/>
          <w:sz w:val="24"/>
          <w:szCs w:val="24"/>
        </w:rPr>
        <w:t></w:t>
      </w:r>
      <w:r>
        <w:rPr>
          <w:rFonts w:ascii="Times New Roman" w:hAnsi="Times New Roman" w:cs="Times New Roman" w:eastAsia="Times New Roman" w:hint="default"/>
          <w:spacing w:val="-10"/>
          <w:w w:val="105"/>
          <w:sz w:val="24"/>
          <w:szCs w:val="24"/>
        </w:rPr>
      </w:r>
      <w:r>
        <w:rPr>
          <w:rFonts w:ascii="Times New Roman" w:hAnsi="Times New Roman" w:cs="Times New Roman" w:eastAsia="Times New Roman" w:hint="default"/>
          <w:i/>
          <w:spacing w:val="10"/>
          <w:w w:val="105"/>
          <w:sz w:val="24"/>
          <w:szCs w:val="24"/>
        </w:rPr>
        <w:t>R</w:t>
      </w:r>
      <w:r>
        <w:rPr>
          <w:rFonts w:ascii="Times New Roman" w:hAnsi="Times New Roman" w:cs="Times New Roman" w:eastAsia="Times New Roman" w:hint="default"/>
          <w:i/>
          <w:spacing w:val="10"/>
          <w:w w:val="105"/>
          <w:position w:val="-5"/>
          <w:sz w:val="14"/>
          <w:szCs w:val="14"/>
        </w:rPr>
        <w:t>f</w:t>
      </w:r>
      <w:r>
        <w:rPr>
          <w:rFonts w:ascii="Times New Roman" w:hAnsi="Times New Roman" w:cs="Times New Roman" w:eastAsia="Times New Roman" w:hint="default"/>
          <w:spacing w:val="10"/>
          <w:sz w:val="14"/>
          <w:szCs w:val="14"/>
        </w:rPr>
      </w:r>
    </w:p>
    <w:p>
      <w:pPr>
        <w:pStyle w:val="BodyText"/>
        <w:spacing w:line="240" w:lineRule="auto" w:before="58"/>
        <w:ind w:left="514" w:right="-16"/>
        <w:jc w:val="left"/>
      </w:pPr>
      <w:r>
        <w:rPr/>
        <w:t>式中：</w:t>
      </w:r>
    </w:p>
    <w:p>
      <w:pPr>
        <w:pStyle w:val="ListParagraph"/>
        <w:numPr>
          <w:ilvl w:val="0"/>
          <w:numId w:val="1"/>
        </w:numPr>
        <w:tabs>
          <w:tab w:pos="260" w:val="left" w:leader="none"/>
        </w:tabs>
        <w:spacing w:line="240" w:lineRule="auto" w:before="40" w:after="0"/>
        <w:ind w:left="259" w:right="0" w:hanging="188"/>
        <w:jc w:val="left"/>
        <w:rPr>
          <w:rFonts w:ascii="Symbol" w:hAnsi="Symbol" w:cs="Symbol" w:eastAsia="Symbol" w:hint="default"/>
          <w:sz w:val="25"/>
          <w:szCs w:val="25"/>
        </w:rPr>
      </w:pPr>
      <w:r>
        <w:rPr>
          <w:rFonts w:ascii="Symbol" w:hAnsi="Symbol" w:cs="Symbol" w:eastAsia="Symbol" w:hint="default"/>
          <w:i/>
          <w:spacing w:val="6"/>
          <w:w w:val="105"/>
          <w:sz w:val="25"/>
          <w:szCs w:val="25"/>
        </w:rPr>
        <w:t></w:t>
      </w:r>
      <w:r>
        <w:rPr>
          <w:rFonts w:ascii="Times New Roman" w:hAnsi="Times New Roman" w:cs="Times New Roman" w:eastAsia="Times New Roman" w:hint="default"/>
          <w:i/>
          <w:spacing w:val="6"/>
          <w:w w:val="105"/>
          <w:position w:val="-5"/>
          <w:sz w:val="14"/>
          <w:szCs w:val="14"/>
        </w:rPr>
        <w:t>e</w:t>
      </w:r>
      <w:r>
        <w:rPr>
          <w:rFonts w:ascii="Times New Roman" w:hAnsi="Times New Roman" w:cs="Times New Roman" w:eastAsia="Times New Roman" w:hint="default"/>
          <w:i/>
          <w:spacing w:val="20"/>
          <w:w w:val="105"/>
          <w:position w:val="-5"/>
          <w:sz w:val="14"/>
          <w:szCs w:val="14"/>
        </w:rPr>
        <w:t> </w:t>
      </w:r>
      <w:r>
        <w:rPr>
          <w:rFonts w:ascii="Symbol" w:hAnsi="Symbol" w:cs="Symbol" w:eastAsia="Symbol" w:hint="default"/>
          <w:w w:val="105"/>
          <w:sz w:val="24"/>
          <w:szCs w:val="24"/>
        </w:rPr>
        <w:t></w:t>
      </w:r>
      <w:r>
        <w:rPr>
          <w:rFonts w:ascii="Symbol" w:hAnsi="Symbol" w:cs="Symbol" w:eastAsia="Symbol" w:hint="default"/>
          <w:spacing w:val="-28"/>
          <w:w w:val="105"/>
          <w:sz w:val="24"/>
          <w:szCs w:val="24"/>
        </w:rPr>
        <w:t></w:t>
      </w:r>
      <w:r>
        <w:rPr>
          <w:rFonts w:ascii="Times New Roman" w:hAnsi="Times New Roman" w:cs="Times New Roman" w:eastAsia="Times New Roman" w:hint="default"/>
          <w:spacing w:val="-28"/>
          <w:w w:val="105"/>
          <w:sz w:val="24"/>
          <w:szCs w:val="24"/>
        </w:rPr>
      </w:r>
      <w:r>
        <w:rPr>
          <w:rFonts w:ascii="Times New Roman" w:hAnsi="Times New Roman" w:cs="Times New Roman" w:eastAsia="Times New Roman" w:hint="default"/>
          <w:i/>
          <w:spacing w:val="-8"/>
          <w:w w:val="105"/>
          <w:sz w:val="24"/>
          <w:szCs w:val="24"/>
        </w:rPr>
        <w:t>MRP</w:t>
      </w:r>
      <w:r>
        <w:rPr>
          <w:rFonts w:ascii="Times New Roman" w:hAnsi="Times New Roman" w:cs="Times New Roman" w:eastAsia="Times New Roman" w:hint="default"/>
          <w:i/>
          <w:spacing w:val="-18"/>
          <w:w w:val="105"/>
          <w:sz w:val="24"/>
          <w:szCs w:val="24"/>
        </w:rPr>
        <w:t> </w:t>
      </w:r>
      <w:r>
        <w:rPr>
          <w:rFonts w:ascii="Symbol" w:hAnsi="Symbol" w:cs="Symbol" w:eastAsia="Symbol" w:hint="default"/>
          <w:w w:val="105"/>
          <w:sz w:val="24"/>
          <w:szCs w:val="24"/>
        </w:rPr>
        <w:t></w:t>
      </w:r>
      <w:r>
        <w:rPr>
          <w:rFonts w:ascii="Symbol" w:hAnsi="Symbol" w:cs="Symbol" w:eastAsia="Symbol" w:hint="default"/>
          <w:spacing w:val="-31"/>
          <w:w w:val="105"/>
          <w:sz w:val="24"/>
          <w:szCs w:val="24"/>
        </w:rPr>
        <w:t></w:t>
      </w:r>
      <w:r>
        <w:rPr>
          <w:rFonts w:ascii="Times New Roman" w:hAnsi="Times New Roman" w:cs="Times New Roman" w:eastAsia="Times New Roman" w:hint="default"/>
          <w:spacing w:val="-31"/>
          <w:w w:val="105"/>
          <w:sz w:val="24"/>
          <w:szCs w:val="24"/>
        </w:rPr>
      </w:r>
      <w:r>
        <w:rPr>
          <w:rFonts w:ascii="Symbol" w:hAnsi="Symbol" w:cs="Symbol" w:eastAsia="Symbol" w:hint="default"/>
          <w:i/>
          <w:w w:val="105"/>
          <w:sz w:val="25"/>
          <w:szCs w:val="25"/>
        </w:rPr>
        <w:t></w:t>
      </w:r>
      <w:r>
        <w:rPr>
          <w:rFonts w:ascii="Symbol" w:hAnsi="Symbol" w:cs="Symbol" w:eastAsia="Symbol" w:hint="default"/>
          <w:w w:val="105"/>
          <w:sz w:val="25"/>
          <w:szCs w:val="25"/>
        </w:rPr>
      </w:r>
    </w:p>
    <w:p>
      <w:pPr>
        <w:spacing w:after="0" w:line="240" w:lineRule="auto"/>
        <w:jc w:val="left"/>
        <w:rPr>
          <w:rFonts w:ascii="Symbol" w:hAnsi="Symbol" w:cs="Symbol" w:eastAsia="Symbol" w:hint="default"/>
          <w:sz w:val="25"/>
          <w:szCs w:val="25"/>
        </w:rPr>
        <w:sectPr>
          <w:type w:val="continuous"/>
          <w:pgSz w:w="11910" w:h="16840"/>
          <w:pgMar w:top="1060" w:bottom="1160" w:left="980" w:right="0"/>
          <w:cols w:num="2" w:equalWidth="0">
            <w:col w:w="1282" w:space="40"/>
            <w:col w:w="9608"/>
          </w:cols>
        </w:sectPr>
      </w:pPr>
    </w:p>
    <w:p>
      <w:pPr>
        <w:spacing w:before="80"/>
        <w:ind w:left="558" w:right="0" w:firstLine="0"/>
        <w:jc w:val="left"/>
        <w:rPr>
          <w:rFonts w:ascii="宋体" w:hAnsi="宋体" w:cs="宋体" w:eastAsia="宋体" w:hint="default"/>
          <w:sz w:val="18"/>
          <w:szCs w:val="18"/>
        </w:rPr>
      </w:pPr>
      <w:r>
        <w:rPr>
          <w:rFonts w:ascii="Times New Roman" w:hAnsi="Times New Roman" w:cs="Times New Roman" w:eastAsia="Times New Roman" w:hint="default"/>
          <w:i/>
          <w:spacing w:val="13"/>
          <w:position w:val="14"/>
          <w:sz w:val="24"/>
          <w:szCs w:val="24"/>
        </w:rPr>
        <w:t>R</w:t>
      </w:r>
      <w:r>
        <w:rPr>
          <w:rFonts w:ascii="Times New Roman" w:hAnsi="Times New Roman" w:cs="Times New Roman" w:eastAsia="Times New Roman" w:hint="default"/>
          <w:i/>
          <w:spacing w:val="13"/>
          <w:position w:val="8"/>
          <w:sz w:val="14"/>
          <w:szCs w:val="14"/>
        </w:rPr>
        <w:t>f</w:t>
      </w:r>
      <w:r>
        <w:rPr>
          <w:rFonts w:ascii="Times New Roman" w:hAnsi="Times New Roman" w:cs="Times New Roman" w:eastAsia="Times New Roman" w:hint="default"/>
          <w:i/>
          <w:spacing w:val="51"/>
          <w:position w:val="8"/>
          <w:sz w:val="14"/>
          <w:szCs w:val="14"/>
        </w:rPr>
        <w:t> </w:t>
      </w:r>
      <w:r>
        <w:rPr>
          <w:rFonts w:ascii="宋体" w:hAnsi="宋体" w:cs="宋体" w:eastAsia="宋体" w:hint="default"/>
          <w:sz w:val="18"/>
          <w:szCs w:val="18"/>
        </w:rPr>
        <w:t>：无风险报酬率；</w:t>
      </w:r>
    </w:p>
    <w:p>
      <w:pPr>
        <w:pStyle w:val="Heading6"/>
        <w:spacing w:line="207" w:lineRule="exact" w:before="81"/>
        <w:ind w:right="0"/>
        <w:jc w:val="left"/>
        <w:rPr>
          <w:i w:val="0"/>
        </w:rPr>
      </w:pPr>
      <w:r>
        <w:rPr>
          <w:i/>
          <w:spacing w:val="-5"/>
        </w:rPr>
        <w:t>MRP</w:t>
      </w:r>
      <w:r>
        <w:rPr>
          <w:i w:val="0"/>
          <w:spacing w:val="-5"/>
        </w:rPr>
      </w:r>
    </w:p>
    <w:p>
      <w:pPr>
        <w:pStyle w:val="BodyText"/>
        <w:spacing w:line="180" w:lineRule="exact"/>
        <w:ind w:left="1114" w:right="0"/>
        <w:jc w:val="left"/>
      </w:pPr>
      <w:r>
        <w:rPr/>
        <w:t>：市场风险溢价；</w:t>
      </w:r>
    </w:p>
    <w:p>
      <w:pPr>
        <w:pStyle w:val="BodyText"/>
        <w:spacing w:line="240" w:lineRule="auto" w:before="38"/>
        <w:ind w:left="514" w:right="0"/>
        <w:jc w:val="left"/>
      </w:pPr>
      <w:r>
        <w:rPr>
          <w:rFonts w:ascii="Arial" w:hAnsi="Arial" w:cs="Arial" w:eastAsia="Arial" w:hint="default"/>
        </w:rPr>
        <w:t>ε</w:t>
      </w:r>
      <w:r>
        <w:rPr>
          <w:rFonts w:ascii="Arial" w:hAnsi="Arial" w:cs="Arial" w:eastAsia="Arial" w:hint="default"/>
          <w:spacing w:val="49"/>
        </w:rPr>
        <w:t> </w:t>
      </w:r>
      <w:r>
        <w:rPr/>
        <w:t>：评估对象的特定风险调整系数；</w:t>
      </w:r>
    </w:p>
    <w:p>
      <w:pPr>
        <w:pStyle w:val="BodyText"/>
        <w:spacing w:line="240" w:lineRule="auto" w:before="52"/>
        <w:ind w:left="553" w:right="0"/>
        <w:jc w:val="left"/>
      </w:pPr>
      <w:r>
        <w:rPr>
          <w:rFonts w:ascii="Symbol" w:hAnsi="Symbol" w:cs="Symbol" w:eastAsia="Symbol" w:hint="default"/>
          <w:i/>
          <w:position w:val="12"/>
          <w:sz w:val="25"/>
          <w:szCs w:val="25"/>
        </w:rPr>
        <w:t></w:t>
      </w:r>
      <w:r>
        <w:rPr>
          <w:rFonts w:ascii="Symbol" w:hAnsi="Symbol" w:cs="Symbol" w:eastAsia="Symbol" w:hint="default"/>
          <w:i/>
          <w:spacing w:val="-47"/>
          <w:position w:val="12"/>
          <w:sz w:val="25"/>
          <w:szCs w:val="25"/>
        </w:rPr>
        <w:t></w:t>
      </w:r>
      <w:r>
        <w:rPr>
          <w:rFonts w:ascii="Times New Roman" w:hAnsi="Times New Roman" w:cs="Times New Roman" w:eastAsia="Times New Roman" w:hint="default"/>
          <w:i/>
          <w:spacing w:val="-47"/>
          <w:position w:val="12"/>
          <w:sz w:val="25"/>
          <w:szCs w:val="25"/>
        </w:rPr>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
          <w:position w:val="6"/>
          <w:sz w:val="14"/>
          <w:szCs w:val="14"/>
        </w:rPr>
        <w:t> </w:t>
      </w:r>
      <w:r>
        <w:rPr/>
        <w:t>：评估对象权益资本的预期市场风险系数；</w:t>
      </w:r>
    </w:p>
    <w:p>
      <w:pPr>
        <w:spacing w:line="366" w:lineRule="exact" w:before="70"/>
        <w:ind w:left="0" w:right="7440" w:firstLine="0"/>
        <w:jc w:val="center"/>
        <w:rPr>
          <w:rFonts w:ascii="Times New Roman" w:hAnsi="Times New Roman" w:cs="Times New Roman" w:eastAsia="Times New Roman" w:hint="default"/>
          <w:sz w:val="24"/>
          <w:szCs w:val="24"/>
        </w:rPr>
      </w:pPr>
      <w:r>
        <w:rPr/>
        <w:pict>
          <v:group style="position:absolute;margin-left:180.179672pt;margin-top:19.217384pt;width:10.65pt;height:.1pt;mso-position-horizontal-relative:page;mso-position-vertical-relative:paragraph;z-index:-1707904" coordorigin="3604,384" coordsize="213,2">
            <v:shape style="position:absolute;left:3604;top:384;width:213;height:2" coordorigin="3604,384" coordsize="213,0" path="m3604,384l3816,384e" filled="false" stroked="true" strokeweight=".494602pt" strokecolor="#000000">
              <v:path arrowok="t"/>
            </v:shape>
            <w10:wrap type="none"/>
          </v:group>
        </w:pict>
      </w:r>
      <w:r>
        <w:rPr>
          <w:rFonts w:ascii="Symbol" w:hAnsi="Symbol" w:cs="Symbol" w:eastAsia="Symbol" w:hint="default"/>
          <w:i/>
          <w:sz w:val="25"/>
          <w:szCs w:val="25"/>
        </w:rPr>
        <w:t></w:t>
      </w:r>
      <w:r>
        <w:rPr>
          <w:rFonts w:ascii="Symbol" w:hAnsi="Symbol" w:cs="Symbol" w:eastAsia="Symbol" w:hint="default"/>
          <w:i/>
          <w:spacing w:val="61"/>
          <w:sz w:val="25"/>
          <w:szCs w:val="25"/>
        </w:rPr>
        <w:t></w:t>
      </w:r>
      <w:r>
        <w:rPr>
          <w:rFonts w:ascii="Times New Roman" w:hAnsi="Times New Roman" w:cs="Times New Roman" w:eastAsia="Times New Roman" w:hint="default"/>
          <w:i/>
          <w:spacing w:val="61"/>
          <w:sz w:val="25"/>
          <w:szCs w:val="25"/>
        </w:rPr>
      </w:r>
      <w:r>
        <w:rPr>
          <w:rFonts w:ascii="Symbol" w:hAnsi="Symbol" w:cs="Symbol" w:eastAsia="Symbol" w:hint="default"/>
          <w:sz w:val="24"/>
          <w:szCs w:val="24"/>
        </w:rPr>
        <w:t></w:t>
      </w:r>
      <w:r>
        <w:rPr>
          <w:rFonts w:ascii="Symbol" w:hAnsi="Symbol" w:cs="Symbol" w:eastAsia="Symbol" w:hint="default"/>
          <w:spacing w:val="8"/>
          <w:sz w:val="24"/>
          <w:szCs w:val="24"/>
        </w:rPr>
        <w:t></w:t>
      </w:r>
      <w:r>
        <w:rPr>
          <w:rFonts w:ascii="Times New Roman" w:hAnsi="Times New Roman" w:cs="Times New Roman" w:eastAsia="Times New Roman" w:hint="default"/>
          <w:spacing w:val="8"/>
          <w:sz w:val="24"/>
          <w:szCs w:val="24"/>
        </w:rPr>
      </w:r>
      <w:r>
        <w:rPr>
          <w:rFonts w:ascii="Symbol" w:hAnsi="Symbol" w:cs="Symbol" w:eastAsia="Symbol" w:hint="default"/>
          <w:i/>
          <w:sz w:val="25"/>
          <w:szCs w:val="25"/>
        </w:rPr>
        <w:t></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13"/>
          <w:sz w:val="24"/>
          <w:szCs w:val="24"/>
        </w:rPr>
        <w:t> </w:t>
      </w:r>
      <w:r>
        <w:rPr>
          <w:rFonts w:ascii="Symbol" w:hAnsi="Symbol" w:cs="Symbol" w:eastAsia="Symbol" w:hint="default"/>
          <w:sz w:val="24"/>
          <w:szCs w:val="24"/>
        </w:rPr>
        <w:t></w:t>
      </w:r>
      <w:r>
        <w:rPr>
          <w:rFonts w:ascii="Symbol" w:hAnsi="Symbol" w:cs="Symbol" w:eastAsia="Symbol" w:hint="default"/>
          <w:spacing w:val="-25"/>
          <w:sz w:val="24"/>
          <w:szCs w:val="24"/>
        </w:rPr>
        <w:t></w:t>
      </w:r>
      <w:r>
        <w:rPr>
          <w:rFonts w:ascii="Times New Roman" w:hAnsi="Times New Roman" w:cs="Times New Roman" w:eastAsia="Times New Roman" w:hint="default"/>
          <w:spacing w:val="-25"/>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12"/>
          <w:sz w:val="24"/>
          <w:szCs w:val="24"/>
        </w:rPr>
        <w:t></w:t>
      </w:r>
      <w:r>
        <w:rPr>
          <w:rFonts w:ascii="Times New Roman" w:hAnsi="Times New Roman" w:cs="Times New Roman" w:eastAsia="Times New Roman" w:hint="default"/>
          <w:spacing w:val="-12"/>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21"/>
          <w:sz w:val="24"/>
          <w:szCs w:val="24"/>
        </w:rPr>
        <w:t></w:t>
      </w:r>
      <w:r>
        <w:rPr>
          <w:rFonts w:ascii="Times New Roman" w:hAnsi="Times New Roman" w:cs="Times New Roman" w:eastAsia="Times New Roman" w:hint="default"/>
          <w:spacing w:val="-21"/>
          <w:sz w:val="24"/>
          <w:szCs w:val="24"/>
        </w:rPr>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8"/>
          <w:sz w:val="24"/>
          <w:szCs w:val="24"/>
        </w:rPr>
        <w:t> </w:t>
      </w:r>
      <w:r>
        <w:rPr>
          <w:rFonts w:ascii="Symbol" w:hAnsi="Symbol" w:cs="Symbol" w:eastAsia="Symbol" w:hint="default"/>
          <w:sz w:val="24"/>
          <w:szCs w:val="24"/>
        </w:rPr>
        <w:t></w:t>
      </w:r>
      <w:r>
        <w:rPr>
          <w:rFonts w:ascii="Symbol" w:hAnsi="Symbol" w:cs="Symbol" w:eastAsia="Symbol" w:hint="default"/>
          <w:spacing w:val="9"/>
          <w:sz w:val="24"/>
          <w:szCs w:val="24"/>
        </w:rPr>
        <w:t></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i/>
          <w:position w:val="15"/>
          <w:sz w:val="24"/>
          <w:szCs w:val="24"/>
        </w:rPr>
        <w:t>D</w:t>
      </w:r>
      <w:r>
        <w:rPr>
          <w:rFonts w:ascii="Times New Roman" w:hAnsi="Times New Roman" w:cs="Times New Roman" w:eastAsia="Times New Roman" w:hint="default"/>
          <w:i/>
          <w:spacing w:val="-37"/>
          <w:position w:val="15"/>
          <w:sz w:val="24"/>
          <w:szCs w:val="24"/>
        </w:rPr>
        <w:t> </w:t>
      </w:r>
      <w:r>
        <w:rPr>
          <w:rFonts w:ascii="Times New Roman" w:hAnsi="Times New Roman" w:cs="Times New Roman" w:eastAsia="Times New Roman" w:hint="default"/>
          <w:sz w:val="24"/>
          <w:szCs w:val="24"/>
        </w:rPr>
        <w:t>)</w:t>
      </w:r>
    </w:p>
    <w:p>
      <w:pPr>
        <w:tabs>
          <w:tab w:pos="1950" w:val="left" w:leader="none"/>
        </w:tabs>
        <w:spacing w:line="250" w:lineRule="exact" w:before="0"/>
        <w:ind w:left="0" w:right="7411" w:firstLine="0"/>
        <w:jc w:val="center"/>
        <w:rPr>
          <w:rFonts w:ascii="Times New Roman" w:hAnsi="Times New Roman" w:cs="Times New Roman" w:eastAsia="Times New Roman" w:hint="default"/>
          <w:sz w:val="24"/>
          <w:szCs w:val="24"/>
        </w:rPr>
      </w:pPr>
      <w:r>
        <w:rPr>
          <w:rFonts w:ascii="Times New Roman"/>
          <w:i/>
          <w:sz w:val="14"/>
        </w:rPr>
        <w:t>e</w:t>
        <w:tab/>
      </w:r>
      <w:r>
        <w:rPr>
          <w:rFonts w:ascii="Times New Roman"/>
          <w:i/>
          <w:position w:val="-12"/>
          <w:sz w:val="24"/>
        </w:rPr>
        <w:t>E</w:t>
      </w:r>
      <w:r>
        <w:rPr>
          <w:rFonts w:ascii="Times New Roman"/>
          <w:sz w:val="24"/>
        </w:rPr>
      </w:r>
    </w:p>
    <w:p>
      <w:pPr>
        <w:pStyle w:val="BodyText"/>
        <w:spacing w:line="264" w:lineRule="auto" w:before="4"/>
        <w:ind w:left="514" w:right="5532"/>
        <w:jc w:val="left"/>
      </w:pPr>
      <w:r>
        <w:rPr/>
        <w:t>式中：</w:t>
      </w:r>
      <w:r>
        <w:rPr>
          <w:spacing w:val="-52"/>
        </w:rPr>
        <w:t> </w:t>
      </w:r>
      <w:r>
        <w:rPr>
          <w:rFonts w:ascii="Symbol" w:hAnsi="Symbol" w:cs="Symbol" w:eastAsia="Symbol" w:hint="default"/>
          <w:i/>
          <w:spacing w:val="3"/>
          <w:position w:val="10"/>
          <w:sz w:val="24"/>
          <w:szCs w:val="24"/>
        </w:rPr>
        <w:t></w:t>
      </w:r>
      <w:r>
        <w:rPr>
          <w:rFonts w:ascii="Times New Roman" w:hAnsi="Times New Roman" w:cs="Times New Roman" w:eastAsia="Times New Roman" w:hint="default"/>
          <w:i/>
          <w:spacing w:val="3"/>
          <w:position w:val="10"/>
          <w:sz w:val="23"/>
          <w:szCs w:val="23"/>
        </w:rPr>
        <w:t>t</w:t>
      </w:r>
      <w:r>
        <w:rPr>
          <w:rFonts w:ascii="Times New Roman" w:hAnsi="Times New Roman" w:cs="Times New Roman" w:eastAsia="Times New Roman" w:hint="default"/>
          <w:i/>
          <w:spacing w:val="-6"/>
          <w:position w:val="10"/>
          <w:sz w:val="23"/>
          <w:szCs w:val="23"/>
        </w:rPr>
        <w:t> </w:t>
      </w:r>
      <w:r>
        <w:rPr/>
        <w:t>为可比公司的预期无杠杆市场风险系数； </w:t>
      </w:r>
      <w:r>
        <w:rPr>
          <w:rFonts w:ascii="Times New Roman" w:hAnsi="Times New Roman" w:cs="Times New Roman" w:eastAsia="Times New Roman" w:hint="default"/>
        </w:rPr>
        <w:t>D</w:t>
      </w:r>
      <w:r>
        <w:rPr/>
        <w:t>、</w:t>
      </w:r>
      <w:r>
        <w:rPr>
          <w:rFonts w:ascii="Times New Roman" w:hAnsi="Times New Roman" w:cs="Times New Roman" w:eastAsia="Times New Roman" w:hint="default"/>
        </w:rPr>
        <w:t>E</w:t>
      </w:r>
      <w:r>
        <w:rPr/>
        <w:t>：分别为可比公司的付息债务与权益资本。 根据上述公式计算出税后折现率，然后再折算为税前折现率。</w:t>
      </w:r>
    </w:p>
    <w:p>
      <w:pPr>
        <w:pStyle w:val="BodyText"/>
        <w:spacing w:line="240" w:lineRule="auto" w:before="20"/>
        <w:ind w:right="1118" w:firstLine="360"/>
        <w:jc w:val="left"/>
      </w:pPr>
      <w:r>
        <w:rPr>
          <w:spacing w:val="-2"/>
        </w:rPr>
        <w:t>委估资产组按公历年度作为会计期间，因而本项评估中所有参数的选取均以年度会计数据为准，以保证所有参数的计算</w:t>
      </w:r>
      <w:r>
        <w:rPr/>
        <w:t> 口径一致。</w:t>
      </w:r>
    </w:p>
    <w:p>
      <w:pPr>
        <w:spacing w:after="0" w:line="240" w:lineRule="auto"/>
        <w:jc w:val="left"/>
        <w:sectPr>
          <w:type w:val="continuous"/>
          <w:pgSz w:w="11910" w:h="16840"/>
          <w:pgMar w:top="1060" w:bottom="1160" w:left="980" w:right="0"/>
        </w:sectPr>
      </w:pPr>
    </w:p>
    <w:p>
      <w:pPr>
        <w:pStyle w:val="Heading3"/>
        <w:spacing w:line="325" w:lineRule="exact" w:before="178"/>
        <w:ind w:right="0"/>
        <w:jc w:val="right"/>
        <w:rPr>
          <w:i w:val="0"/>
        </w:rPr>
      </w:pPr>
      <w:r>
        <w:rPr>
          <w:w w:val="107"/>
        </w:rPr>
        <w:t>r</w:t>
      </w:r>
      <w:r>
        <w:rPr>
          <w:i w:val="0"/>
        </w:rPr>
      </w:r>
    </w:p>
    <w:p>
      <w:pPr>
        <w:pStyle w:val="BodyText"/>
        <w:spacing w:line="234" w:lineRule="exact"/>
        <w:ind w:left="514" w:right="0"/>
        <w:jc w:val="left"/>
      </w:pPr>
      <w:r>
        <w:rPr/>
        <w:t>税前折现率</w:t>
      </w:r>
    </w:p>
    <w:p>
      <w:pPr>
        <w:pStyle w:val="Heading3"/>
        <w:spacing w:line="266" w:lineRule="exact"/>
        <w:ind w:left="411" w:right="0"/>
        <w:jc w:val="left"/>
        <w:rPr>
          <w:i w:val="0"/>
        </w:rPr>
      </w:pPr>
      <w:r>
        <w:rPr>
          <w:i w:val="0"/>
          <w:w w:val="105"/>
        </w:rPr>
        <w:br w:type="column"/>
      </w:r>
      <w:r>
        <w:rPr>
          <w:w w:val="105"/>
        </w:rPr>
        <w:t>wacc</w:t>
      </w:r>
      <w:r>
        <w:rPr>
          <w:i w:val="0"/>
        </w:rPr>
      </w:r>
    </w:p>
    <w:p>
      <w:pPr>
        <w:pStyle w:val="Heading5"/>
        <w:spacing w:line="156" w:lineRule="exact"/>
        <w:ind w:right="0"/>
        <w:jc w:val="left"/>
      </w:pPr>
      <w:r>
        <w:rPr/>
        <w:pict>
          <v:group style="position:absolute;margin-left:150.595627pt;margin-top:5.986217pt;width:29.4pt;height:.1pt;mso-position-horizontal-relative:page;mso-position-vertical-relative:paragraph;z-index:2152" coordorigin="3012,120" coordsize="588,2">
            <v:shape style="position:absolute;left:3012;top:120;width:588;height:2" coordorigin="3012,120" coordsize="588,0" path="m3012,120l3600,120e" filled="false" stroked="true" strokeweight=".500608pt" strokecolor="#000000">
              <v:path arrowok="t"/>
            </v:shape>
            <w10:wrap type="none"/>
          </v:group>
        </w:pict>
      </w:r>
      <w:r>
        <w:rPr>
          <w:w w:val="111"/>
        </w:rPr>
        <w:t></w:t>
      </w:r>
      <w:r>
        <w:rPr/>
      </w:r>
    </w:p>
    <w:p>
      <w:pPr>
        <w:pStyle w:val="Heading5"/>
        <w:spacing w:line="268" w:lineRule="exact"/>
        <w:ind w:left="400" w:right="0"/>
        <w:jc w:val="left"/>
        <w:rPr>
          <w:rFonts w:ascii="宋体" w:hAnsi="宋体" w:cs="宋体" w:eastAsia="宋体" w:hint="default"/>
          <w:sz w:val="25"/>
          <w:szCs w:val="25"/>
        </w:rPr>
      </w:pPr>
      <w:r>
        <w:rPr>
          <w:rFonts w:ascii="宋体" w:hAnsi="宋体" w:cs="宋体" w:eastAsia="宋体" w:hint="default"/>
          <w:w w:val="110"/>
        </w:rPr>
        <w:t>1</w:t>
      </w:r>
      <w:r>
        <w:rPr>
          <w:rFonts w:ascii="宋体" w:hAnsi="宋体" w:cs="宋体" w:eastAsia="宋体" w:hint="default"/>
          <w:spacing w:val="-42"/>
          <w:w w:val="110"/>
        </w:rPr>
        <w:t> </w:t>
      </w:r>
      <w:r>
        <w:rPr>
          <w:w w:val="110"/>
        </w:rPr>
        <w:t></w:t>
      </w:r>
      <w:r>
        <w:rPr>
          <w:spacing w:val="-10"/>
          <w:w w:val="110"/>
        </w:rPr>
        <w:t></w:t>
      </w:r>
      <w:r>
        <w:rPr>
          <w:rFonts w:ascii="Times New Roman" w:hAnsi="Times New Roman" w:cs="Times New Roman" w:eastAsia="Times New Roman" w:hint="default"/>
          <w:spacing w:val="-10"/>
          <w:w w:val="110"/>
        </w:rPr>
      </w:r>
      <w:r>
        <w:rPr>
          <w:rFonts w:ascii="宋体" w:hAnsi="宋体" w:cs="宋体" w:eastAsia="宋体" w:hint="default"/>
          <w:i/>
          <w:w w:val="110"/>
          <w:sz w:val="25"/>
          <w:szCs w:val="25"/>
        </w:rPr>
        <w:t>t</w:t>
      </w:r>
      <w:r>
        <w:rPr>
          <w:rFonts w:ascii="宋体" w:hAnsi="宋体" w:cs="宋体" w:eastAsia="宋体" w:hint="default"/>
          <w:sz w:val="25"/>
          <w:szCs w:val="25"/>
        </w:rPr>
      </w:r>
    </w:p>
    <w:p>
      <w:pPr>
        <w:spacing w:after="0" w:line="268" w:lineRule="exact"/>
        <w:jc w:val="left"/>
        <w:rPr>
          <w:rFonts w:ascii="宋体" w:hAnsi="宋体" w:cs="宋体" w:eastAsia="宋体" w:hint="default"/>
          <w:sz w:val="25"/>
          <w:szCs w:val="25"/>
        </w:rPr>
        <w:sectPr>
          <w:type w:val="continuous"/>
          <w:pgSz w:w="11910" w:h="16840"/>
          <w:pgMar w:top="1060" w:bottom="1160" w:left="980" w:right="0"/>
          <w:cols w:num="2" w:equalWidth="0">
            <w:col w:w="1585" w:space="40"/>
            <w:col w:w="9305"/>
          </w:cols>
        </w:sectPr>
      </w:pPr>
    </w:p>
    <w:p>
      <w:pPr>
        <w:pStyle w:val="BodyText"/>
        <w:spacing w:line="240" w:lineRule="auto" w:before="80"/>
        <w:ind w:left="514" w:right="0"/>
        <w:jc w:val="left"/>
      </w:pPr>
      <w:r>
        <w:rPr/>
        <w:t>①权益资本成本</w:t>
      </w:r>
    </w:p>
    <w:p>
      <w:pPr>
        <w:spacing w:line="240" w:lineRule="auto" w:before="4"/>
        <w:rPr>
          <w:rFonts w:ascii="宋体" w:hAnsi="宋体" w:cs="宋体" w:eastAsia="宋体" w:hint="default"/>
          <w:sz w:val="17"/>
          <w:szCs w:val="17"/>
        </w:rPr>
      </w:pPr>
    </w:p>
    <w:p>
      <w:pPr>
        <w:pStyle w:val="Heading6"/>
        <w:spacing w:line="207" w:lineRule="exact"/>
        <w:ind w:left="4470" w:right="3763"/>
        <w:jc w:val="center"/>
        <w:rPr>
          <w:i w:val="0"/>
        </w:rPr>
      </w:pPr>
      <w:r>
        <w:rPr>
          <w:i/>
          <w:w w:val="95"/>
        </w:rPr>
        <w:t>R</w:t>
      </w:r>
      <w:r>
        <w:rPr>
          <w:i w:val="0"/>
        </w:rPr>
      </w:r>
    </w:p>
    <w:p>
      <w:pPr>
        <w:pStyle w:val="BodyText"/>
        <w:spacing w:line="180" w:lineRule="exact"/>
        <w:ind w:left="514" w:right="0"/>
        <w:jc w:val="left"/>
      </w:pPr>
      <w:r>
        <w:rPr/>
        <w:t>权益资本成本，按资本资产定价模型（</w:t>
      </w:r>
      <w:r>
        <w:rPr>
          <w:rFonts w:ascii="Times New Roman" w:hAnsi="Times New Roman" w:cs="Times New Roman" w:eastAsia="Times New Roman" w:hint="default"/>
        </w:rPr>
        <w:t>CAPM</w:t>
      </w:r>
      <w:r>
        <w:rPr/>
        <w:t>）确定权益资本成本  </w:t>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1"/>
          <w:position w:val="6"/>
          <w:sz w:val="14"/>
          <w:szCs w:val="14"/>
        </w:rPr>
        <w:t> </w:t>
      </w:r>
      <w:r>
        <w:rPr/>
        <w:t>：</w:t>
      </w:r>
    </w:p>
    <w:p>
      <w:pPr>
        <w:spacing w:line="240" w:lineRule="auto" w:before="12"/>
        <w:rPr>
          <w:rFonts w:ascii="宋体" w:hAnsi="宋体" w:cs="宋体" w:eastAsia="宋体" w:hint="default"/>
          <w:sz w:val="15"/>
          <w:szCs w:val="15"/>
        </w:rPr>
      </w:pPr>
    </w:p>
    <w:p>
      <w:pPr>
        <w:spacing w:before="56"/>
        <w:ind w:left="557" w:right="0" w:firstLine="0"/>
        <w:jc w:val="left"/>
        <w:rPr>
          <w:rFonts w:ascii="Symbol" w:hAnsi="Symbol" w:cs="Symbol" w:eastAsia="Symbol" w:hint="default"/>
          <w:sz w:val="25"/>
          <w:szCs w:val="25"/>
        </w:rPr>
      </w:pPr>
      <w:r>
        <w:rPr>
          <w:rFonts w:ascii="Times New Roman" w:hAnsi="Times New Roman" w:cs="Times New Roman" w:eastAsia="Times New Roman" w:hint="default"/>
          <w:i/>
          <w:spacing w:val="-3"/>
          <w:w w:val="105"/>
          <w:sz w:val="24"/>
          <w:szCs w:val="24"/>
        </w:rPr>
        <w:t>R</w:t>
      </w:r>
      <w:r>
        <w:rPr>
          <w:rFonts w:ascii="Times New Roman" w:hAnsi="Times New Roman" w:cs="Times New Roman" w:eastAsia="Times New Roman" w:hint="default"/>
          <w:i/>
          <w:spacing w:val="-3"/>
          <w:w w:val="105"/>
          <w:position w:val="-5"/>
          <w:sz w:val="14"/>
          <w:szCs w:val="14"/>
        </w:rPr>
        <w:t>e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Times New Roman" w:hAnsi="Times New Roman" w:cs="Times New Roman" w:eastAsia="Times New Roman" w:hint="default"/>
          <w:i/>
          <w:spacing w:val="10"/>
          <w:w w:val="105"/>
          <w:sz w:val="24"/>
          <w:szCs w:val="24"/>
        </w:rPr>
        <w:t>R</w:t>
      </w:r>
      <w:r>
        <w:rPr>
          <w:rFonts w:ascii="Times New Roman" w:hAnsi="Times New Roman" w:cs="Times New Roman" w:eastAsia="Times New Roman" w:hint="default"/>
          <w:i/>
          <w:spacing w:val="10"/>
          <w:w w:val="105"/>
          <w:position w:val="-5"/>
          <w:sz w:val="14"/>
          <w:szCs w:val="14"/>
        </w:rPr>
        <w:t>f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Symbol" w:hAnsi="Symbol" w:cs="Symbol" w:eastAsia="Symbol" w:hint="default"/>
          <w:i/>
          <w:spacing w:val="6"/>
          <w:w w:val="105"/>
          <w:sz w:val="25"/>
          <w:szCs w:val="25"/>
        </w:rPr>
        <w:t></w:t>
      </w:r>
      <w:r>
        <w:rPr>
          <w:rFonts w:ascii="Times New Roman" w:hAnsi="Times New Roman" w:cs="Times New Roman" w:eastAsia="Times New Roman" w:hint="default"/>
          <w:i/>
          <w:spacing w:val="6"/>
          <w:w w:val="105"/>
          <w:position w:val="-5"/>
          <w:sz w:val="14"/>
          <w:szCs w:val="14"/>
        </w:rPr>
        <w:t>e </w:t>
      </w:r>
      <w:r>
        <w:rPr>
          <w:rFonts w:ascii="Symbol" w:hAnsi="Symbol" w:cs="Symbol" w:eastAsia="Symbol" w:hint="default"/>
          <w:w w:val="105"/>
          <w:sz w:val="24"/>
          <w:szCs w:val="24"/>
        </w:rPr>
        <w:t></w:t>
      </w:r>
      <w:r>
        <w:rPr>
          <w:rFonts w:ascii="Times New Roman" w:hAnsi="Times New Roman" w:cs="Times New Roman" w:eastAsia="Times New Roman" w:hint="default"/>
          <w:w w:val="105"/>
          <w:sz w:val="24"/>
          <w:szCs w:val="24"/>
        </w:rPr>
      </w:r>
      <w:r>
        <w:rPr>
          <w:rFonts w:ascii="Times New Roman" w:hAnsi="Times New Roman" w:cs="Times New Roman" w:eastAsia="Times New Roman" w:hint="default"/>
          <w:i/>
          <w:spacing w:val="-8"/>
          <w:w w:val="105"/>
          <w:sz w:val="24"/>
          <w:szCs w:val="24"/>
        </w:rPr>
        <w:t>MRP </w:t>
      </w:r>
      <w:r>
        <w:rPr>
          <w:rFonts w:ascii="Symbol" w:hAnsi="Symbol" w:cs="Symbol" w:eastAsia="Symbol" w:hint="default"/>
          <w:w w:val="105"/>
          <w:sz w:val="24"/>
          <w:szCs w:val="24"/>
        </w:rPr>
        <w:t></w:t>
      </w:r>
      <w:r>
        <w:rPr>
          <w:rFonts w:ascii="Symbol" w:hAnsi="Symbol" w:cs="Symbol" w:eastAsia="Symbol" w:hint="default"/>
          <w:spacing w:val="-23"/>
          <w:w w:val="105"/>
          <w:sz w:val="24"/>
          <w:szCs w:val="24"/>
        </w:rPr>
        <w:t></w:t>
      </w:r>
      <w:r>
        <w:rPr>
          <w:rFonts w:ascii="Times New Roman" w:hAnsi="Times New Roman" w:cs="Times New Roman" w:eastAsia="Times New Roman" w:hint="default"/>
          <w:spacing w:val="-23"/>
          <w:w w:val="105"/>
          <w:sz w:val="24"/>
          <w:szCs w:val="24"/>
        </w:rPr>
      </w:r>
      <w:r>
        <w:rPr>
          <w:rFonts w:ascii="Symbol" w:hAnsi="Symbol" w:cs="Symbol" w:eastAsia="Symbol" w:hint="default"/>
          <w:i/>
          <w:w w:val="105"/>
          <w:sz w:val="25"/>
          <w:szCs w:val="25"/>
        </w:rPr>
        <w:t></w:t>
      </w:r>
      <w:r>
        <w:rPr>
          <w:rFonts w:ascii="Symbol" w:hAnsi="Symbol" w:cs="Symbol" w:eastAsia="Symbol" w:hint="default"/>
          <w:w w:val="105"/>
          <w:sz w:val="25"/>
          <w:szCs w:val="25"/>
        </w:rPr>
      </w:r>
    </w:p>
    <w:p>
      <w:pPr>
        <w:spacing w:line="240" w:lineRule="auto" w:before="9"/>
        <w:rPr>
          <w:rFonts w:ascii="Symbol" w:hAnsi="Symbol" w:cs="Symbol" w:eastAsia="Symbol" w:hint="default"/>
          <w:i/>
          <w:sz w:val="14"/>
          <w:szCs w:val="14"/>
        </w:rPr>
      </w:pPr>
    </w:p>
    <w:p>
      <w:pPr>
        <w:pStyle w:val="BodyText"/>
        <w:spacing w:line="240" w:lineRule="auto" w:before="44"/>
        <w:ind w:left="514" w:right="0"/>
        <w:jc w:val="left"/>
      </w:pPr>
      <w:r>
        <w:rPr/>
        <w:t>式中：</w:t>
      </w:r>
    </w:p>
    <w:p>
      <w:pPr>
        <w:spacing w:line="240" w:lineRule="auto" w:before="6"/>
        <w:rPr>
          <w:rFonts w:ascii="宋体" w:hAnsi="宋体" w:cs="宋体" w:eastAsia="宋体" w:hint="default"/>
          <w:sz w:val="16"/>
          <w:szCs w:val="16"/>
        </w:rPr>
      </w:pPr>
    </w:p>
    <w:p>
      <w:pPr>
        <w:spacing w:before="0"/>
        <w:ind w:left="558" w:right="0" w:firstLine="0"/>
        <w:jc w:val="left"/>
        <w:rPr>
          <w:rFonts w:ascii="宋体" w:hAnsi="宋体" w:cs="宋体" w:eastAsia="宋体" w:hint="default"/>
          <w:sz w:val="18"/>
          <w:szCs w:val="18"/>
        </w:rPr>
      </w:pPr>
      <w:r>
        <w:rPr>
          <w:rFonts w:ascii="Times New Roman" w:hAnsi="Times New Roman" w:cs="Times New Roman" w:eastAsia="Times New Roman" w:hint="default"/>
          <w:i/>
          <w:spacing w:val="13"/>
          <w:position w:val="14"/>
          <w:sz w:val="24"/>
          <w:szCs w:val="24"/>
        </w:rPr>
        <w:t>R</w:t>
      </w:r>
      <w:r>
        <w:rPr>
          <w:rFonts w:ascii="Times New Roman" w:hAnsi="Times New Roman" w:cs="Times New Roman" w:eastAsia="Times New Roman" w:hint="default"/>
          <w:i/>
          <w:spacing w:val="13"/>
          <w:position w:val="8"/>
          <w:sz w:val="14"/>
          <w:szCs w:val="14"/>
        </w:rPr>
        <w:t>f</w:t>
      </w:r>
      <w:r>
        <w:rPr>
          <w:rFonts w:ascii="Times New Roman" w:hAnsi="Times New Roman" w:cs="Times New Roman" w:eastAsia="Times New Roman" w:hint="default"/>
          <w:i/>
          <w:spacing w:val="51"/>
          <w:position w:val="8"/>
          <w:sz w:val="14"/>
          <w:szCs w:val="14"/>
        </w:rPr>
        <w:t> </w:t>
      </w:r>
      <w:r>
        <w:rPr>
          <w:rFonts w:ascii="宋体" w:hAnsi="宋体" w:cs="宋体" w:eastAsia="宋体" w:hint="default"/>
          <w:sz w:val="18"/>
          <w:szCs w:val="18"/>
        </w:rPr>
        <w:t>：无风险报酬率；</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160" w:left="980" w:right="0"/>
        </w:sectPr>
      </w:pPr>
    </w:p>
    <w:p>
      <w:pPr>
        <w:pStyle w:val="Heading6"/>
        <w:spacing w:line="240" w:lineRule="auto" w:before="68"/>
        <w:ind w:right="-9"/>
        <w:jc w:val="left"/>
        <w:rPr>
          <w:i w:val="0"/>
        </w:rPr>
      </w:pPr>
      <w:r>
        <w:rPr>
          <w:i/>
          <w:spacing w:val="-5"/>
        </w:rPr>
        <w:t>MRP</w:t>
      </w:r>
      <w:r>
        <w:rPr>
          <w:i w:val="0"/>
          <w:spacing w:val="-5"/>
        </w:rPr>
      </w:r>
    </w:p>
    <w:p>
      <w:pPr>
        <w:spacing w:line="240" w:lineRule="auto" w:before="3"/>
        <w:rPr>
          <w:rFonts w:ascii="Times New Roman" w:hAnsi="Times New Roman" w:cs="Times New Roman" w:eastAsia="Times New Roman" w:hint="default"/>
          <w:i/>
          <w:sz w:val="19"/>
          <w:szCs w:val="19"/>
        </w:rPr>
      </w:pPr>
      <w:r>
        <w:rPr/>
        <w:br w:type="column"/>
      </w:r>
      <w:r>
        <w:rPr>
          <w:rFonts w:ascii="Times New Roman"/>
          <w:i/>
          <w:sz w:val="19"/>
        </w:rPr>
      </w:r>
    </w:p>
    <w:p>
      <w:pPr>
        <w:pStyle w:val="BodyText"/>
        <w:spacing w:line="240" w:lineRule="auto"/>
        <w:ind w:left="30" w:right="0"/>
        <w:jc w:val="left"/>
      </w:pPr>
      <w:r>
        <w:rPr/>
        <w:t>：市场风险溢价；</w:t>
      </w:r>
    </w:p>
    <w:p>
      <w:pPr>
        <w:spacing w:after="0" w:line="240" w:lineRule="auto"/>
        <w:jc w:val="left"/>
        <w:sectPr>
          <w:type w:val="continuous"/>
          <w:pgSz w:w="11910" w:h="16840"/>
          <w:pgMar w:top="1060" w:bottom="1160" w:left="980" w:right="0"/>
          <w:cols w:num="2" w:equalWidth="0">
            <w:col w:w="1044" w:space="40"/>
            <w:col w:w="9846"/>
          </w:cols>
        </w:sectPr>
      </w:pPr>
    </w:p>
    <w:p>
      <w:pPr>
        <w:spacing w:line="240" w:lineRule="auto" w:before="1"/>
        <w:rPr>
          <w:rFonts w:ascii="宋体" w:hAnsi="宋体" w:cs="宋体" w:eastAsia="宋体" w:hint="default"/>
          <w:sz w:val="10"/>
          <w:szCs w:val="10"/>
        </w:rPr>
      </w:pPr>
    </w:p>
    <w:p>
      <w:pPr>
        <w:pStyle w:val="BodyText"/>
        <w:spacing w:line="240" w:lineRule="auto" w:before="44"/>
        <w:ind w:left="514" w:right="0"/>
        <w:jc w:val="left"/>
      </w:pPr>
      <w:r>
        <w:rPr>
          <w:rFonts w:ascii="Arial" w:hAnsi="Arial" w:cs="Arial" w:eastAsia="Arial" w:hint="default"/>
        </w:rPr>
        <w:t>ε</w:t>
      </w:r>
      <w:r>
        <w:rPr>
          <w:rFonts w:ascii="Arial" w:hAnsi="Arial" w:cs="Arial" w:eastAsia="Arial" w:hint="default"/>
          <w:spacing w:val="49"/>
        </w:rPr>
        <w:t> </w:t>
      </w:r>
      <w:r>
        <w:rPr/>
        <w:t>：评估对象的特定风险调整系数；</w:t>
      </w:r>
    </w:p>
    <w:p>
      <w:pPr>
        <w:spacing w:line="240" w:lineRule="auto" w:before="7"/>
        <w:rPr>
          <w:rFonts w:ascii="宋体" w:hAnsi="宋体" w:cs="宋体" w:eastAsia="宋体" w:hint="default"/>
          <w:sz w:val="14"/>
          <w:szCs w:val="14"/>
        </w:rPr>
      </w:pPr>
    </w:p>
    <w:p>
      <w:pPr>
        <w:pStyle w:val="BodyText"/>
        <w:spacing w:line="240" w:lineRule="auto"/>
        <w:ind w:left="553" w:right="0"/>
        <w:jc w:val="left"/>
      </w:pPr>
      <w:r>
        <w:rPr>
          <w:rFonts w:ascii="Symbol" w:hAnsi="Symbol" w:cs="Symbol" w:eastAsia="Symbol" w:hint="default"/>
          <w:i/>
          <w:position w:val="12"/>
          <w:sz w:val="25"/>
          <w:szCs w:val="25"/>
        </w:rPr>
        <w:t></w:t>
      </w:r>
      <w:r>
        <w:rPr>
          <w:rFonts w:ascii="Symbol" w:hAnsi="Symbol" w:cs="Symbol" w:eastAsia="Symbol" w:hint="default"/>
          <w:i/>
          <w:spacing w:val="-47"/>
          <w:position w:val="12"/>
          <w:sz w:val="25"/>
          <w:szCs w:val="25"/>
        </w:rPr>
        <w:t></w:t>
      </w:r>
      <w:r>
        <w:rPr>
          <w:rFonts w:ascii="Times New Roman" w:hAnsi="Times New Roman" w:cs="Times New Roman" w:eastAsia="Times New Roman" w:hint="default"/>
          <w:i/>
          <w:spacing w:val="-47"/>
          <w:position w:val="12"/>
          <w:sz w:val="25"/>
          <w:szCs w:val="25"/>
        </w:rPr>
      </w:r>
      <w:r>
        <w:rPr>
          <w:rFonts w:ascii="Times New Roman" w:hAnsi="Times New Roman" w:cs="Times New Roman" w:eastAsia="Times New Roman" w:hint="default"/>
          <w:i/>
          <w:position w:val="6"/>
          <w:sz w:val="14"/>
          <w:szCs w:val="14"/>
        </w:rPr>
        <w:t>e</w:t>
      </w:r>
      <w:r>
        <w:rPr>
          <w:rFonts w:ascii="Times New Roman" w:hAnsi="Times New Roman" w:cs="Times New Roman" w:eastAsia="Times New Roman" w:hint="default"/>
          <w:i/>
          <w:spacing w:val="-1"/>
          <w:position w:val="6"/>
          <w:sz w:val="14"/>
          <w:szCs w:val="14"/>
        </w:rPr>
        <w:t> </w:t>
      </w:r>
      <w:r>
        <w:rPr/>
        <w:t>：评估对象权益资本的预期市场风险系数；</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3"/>
          <w:szCs w:val="23"/>
        </w:rPr>
      </w:pPr>
    </w:p>
    <w:p>
      <w:pPr>
        <w:spacing w:line="366" w:lineRule="exact" w:before="69"/>
        <w:ind w:left="0" w:right="7439" w:firstLine="0"/>
        <w:jc w:val="center"/>
        <w:rPr>
          <w:rFonts w:ascii="Times New Roman" w:hAnsi="Times New Roman" w:cs="Times New Roman" w:eastAsia="Times New Roman" w:hint="default"/>
          <w:sz w:val="24"/>
          <w:szCs w:val="24"/>
        </w:rPr>
      </w:pPr>
      <w:r>
        <w:rPr/>
        <w:pict>
          <v:group style="position:absolute;margin-left:180.209442pt;margin-top:19.167370pt;width:10.7pt;height:.1pt;mso-position-horizontal-relative:page;mso-position-vertical-relative:paragraph;z-index:-1707880" coordorigin="3604,383" coordsize="214,2">
            <v:shape style="position:absolute;left:3604;top:383;width:214;height:2" coordorigin="3604,383" coordsize="214,0" path="m3604,383l3817,383e" filled="false" stroked="true" strokeweight=".494602pt" strokecolor="#000000">
              <v:path arrowok="t"/>
            </v:shape>
            <w10:wrap type="none"/>
          </v:group>
        </w:pict>
      </w:r>
      <w:r>
        <w:rPr>
          <w:rFonts w:ascii="Symbol" w:hAnsi="Symbol" w:cs="Symbol" w:eastAsia="Symbol" w:hint="default"/>
          <w:i/>
          <w:sz w:val="25"/>
          <w:szCs w:val="25"/>
        </w:rPr>
        <w:t></w:t>
      </w:r>
      <w:r>
        <w:rPr>
          <w:rFonts w:ascii="Symbol" w:hAnsi="Symbol" w:cs="Symbol" w:eastAsia="Symbol" w:hint="default"/>
          <w:i/>
          <w:spacing w:val="61"/>
          <w:sz w:val="25"/>
          <w:szCs w:val="25"/>
        </w:rPr>
        <w:t></w:t>
      </w:r>
      <w:r>
        <w:rPr>
          <w:rFonts w:ascii="Times New Roman" w:hAnsi="Times New Roman" w:cs="Times New Roman" w:eastAsia="Times New Roman" w:hint="default"/>
          <w:i/>
          <w:spacing w:val="61"/>
          <w:sz w:val="25"/>
          <w:szCs w:val="25"/>
        </w:rPr>
      </w:r>
      <w:r>
        <w:rPr>
          <w:rFonts w:ascii="Symbol" w:hAnsi="Symbol" w:cs="Symbol" w:eastAsia="Symbol" w:hint="default"/>
          <w:sz w:val="24"/>
          <w:szCs w:val="24"/>
        </w:rPr>
        <w:t></w:t>
      </w:r>
      <w:r>
        <w:rPr>
          <w:rFonts w:ascii="Symbol" w:hAnsi="Symbol" w:cs="Symbol" w:eastAsia="Symbol" w:hint="default"/>
          <w:spacing w:val="8"/>
          <w:sz w:val="24"/>
          <w:szCs w:val="24"/>
        </w:rPr>
        <w:t></w:t>
      </w:r>
      <w:r>
        <w:rPr>
          <w:rFonts w:ascii="Times New Roman" w:hAnsi="Times New Roman" w:cs="Times New Roman" w:eastAsia="Times New Roman" w:hint="default"/>
          <w:spacing w:val="8"/>
          <w:sz w:val="24"/>
          <w:szCs w:val="24"/>
        </w:rPr>
      </w:r>
      <w:r>
        <w:rPr>
          <w:rFonts w:ascii="Symbol" w:hAnsi="Symbol" w:cs="Symbol" w:eastAsia="Symbol" w:hint="default"/>
          <w:i/>
          <w:sz w:val="25"/>
          <w:szCs w:val="25"/>
        </w:rPr>
        <w:t></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13"/>
          <w:sz w:val="24"/>
          <w:szCs w:val="24"/>
        </w:rPr>
        <w:t> </w:t>
      </w:r>
      <w:r>
        <w:rPr>
          <w:rFonts w:ascii="Symbol" w:hAnsi="Symbol" w:cs="Symbol" w:eastAsia="Symbol" w:hint="default"/>
          <w:sz w:val="24"/>
          <w:szCs w:val="24"/>
        </w:rPr>
        <w:t></w:t>
      </w:r>
      <w:r>
        <w:rPr>
          <w:rFonts w:ascii="Symbol" w:hAnsi="Symbol" w:cs="Symbol" w:eastAsia="Symbol" w:hint="default"/>
          <w:spacing w:val="-24"/>
          <w:sz w:val="24"/>
          <w:szCs w:val="24"/>
        </w:rPr>
        <w:t></w:t>
      </w:r>
      <w:r>
        <w:rPr>
          <w:rFonts w:ascii="Times New Roman" w:hAnsi="Times New Roman" w:cs="Times New Roman" w:eastAsia="Times New Roman" w:hint="default"/>
          <w:spacing w:val="-24"/>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12"/>
          <w:sz w:val="24"/>
          <w:szCs w:val="24"/>
        </w:rPr>
        <w:t></w:t>
      </w:r>
      <w:r>
        <w:rPr>
          <w:rFonts w:ascii="Times New Roman" w:hAnsi="Times New Roman" w:cs="Times New Roman" w:eastAsia="Times New Roman" w:hint="default"/>
          <w:spacing w:val="-12"/>
          <w:sz w:val="24"/>
          <w:szCs w:val="24"/>
        </w:rPr>
      </w:r>
      <w:r>
        <w:rPr>
          <w:rFonts w:ascii="Times New Roman" w:hAnsi="Times New Roman" w:cs="Times New Roman" w:eastAsia="Times New Roman" w:hint="default"/>
          <w:spacing w:val="-11"/>
          <w:sz w:val="24"/>
          <w:szCs w:val="24"/>
        </w:rPr>
        <w:t>(1</w:t>
      </w:r>
      <w:r>
        <w:rPr>
          <w:rFonts w:ascii="Times New Roman" w:hAnsi="Times New Roman" w:cs="Times New Roman" w:eastAsia="Times New Roman" w:hint="default"/>
          <w:spacing w:val="-36"/>
          <w:sz w:val="24"/>
          <w:szCs w:val="24"/>
        </w:rPr>
        <w:t> </w:t>
      </w:r>
      <w:r>
        <w:rPr>
          <w:rFonts w:ascii="Symbol" w:hAnsi="Symbol" w:cs="Symbol" w:eastAsia="Symbol" w:hint="default"/>
          <w:sz w:val="24"/>
          <w:szCs w:val="24"/>
        </w:rPr>
        <w:t></w:t>
      </w:r>
      <w:r>
        <w:rPr>
          <w:rFonts w:ascii="Symbol" w:hAnsi="Symbol" w:cs="Symbol" w:eastAsia="Symbol" w:hint="default"/>
          <w:spacing w:val="-21"/>
          <w:sz w:val="24"/>
          <w:szCs w:val="24"/>
        </w:rPr>
        <w:t></w:t>
      </w:r>
      <w:r>
        <w:rPr>
          <w:rFonts w:ascii="Times New Roman" w:hAnsi="Times New Roman" w:cs="Times New Roman" w:eastAsia="Times New Roman" w:hint="default"/>
          <w:spacing w:val="-21"/>
          <w:sz w:val="24"/>
          <w:szCs w:val="24"/>
        </w:rPr>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8"/>
          <w:sz w:val="24"/>
          <w:szCs w:val="24"/>
        </w:rPr>
        <w:t> </w:t>
      </w:r>
      <w:r>
        <w:rPr>
          <w:rFonts w:ascii="Symbol" w:hAnsi="Symbol" w:cs="Symbol" w:eastAsia="Symbol" w:hint="default"/>
          <w:sz w:val="24"/>
          <w:szCs w:val="24"/>
        </w:rPr>
        <w:t></w:t>
      </w:r>
      <w:r>
        <w:rPr>
          <w:rFonts w:ascii="Symbol" w:hAnsi="Symbol" w:cs="Symbol" w:eastAsia="Symbol" w:hint="default"/>
          <w:spacing w:val="9"/>
          <w:sz w:val="24"/>
          <w:szCs w:val="24"/>
        </w:rPr>
        <w:t></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i/>
          <w:position w:val="15"/>
          <w:sz w:val="24"/>
          <w:szCs w:val="24"/>
        </w:rPr>
        <w:t>D</w:t>
      </w:r>
      <w:r>
        <w:rPr>
          <w:rFonts w:ascii="Times New Roman" w:hAnsi="Times New Roman" w:cs="Times New Roman" w:eastAsia="Times New Roman" w:hint="default"/>
          <w:i/>
          <w:spacing w:val="-37"/>
          <w:position w:val="15"/>
          <w:sz w:val="24"/>
          <w:szCs w:val="24"/>
        </w:rPr>
        <w:t> </w:t>
      </w:r>
      <w:r>
        <w:rPr>
          <w:rFonts w:ascii="Times New Roman" w:hAnsi="Times New Roman" w:cs="Times New Roman" w:eastAsia="Times New Roman" w:hint="default"/>
          <w:sz w:val="24"/>
          <w:szCs w:val="24"/>
        </w:rPr>
        <w:t>)</w:t>
      </w:r>
    </w:p>
    <w:p>
      <w:pPr>
        <w:tabs>
          <w:tab w:pos="1950" w:val="left" w:leader="none"/>
        </w:tabs>
        <w:spacing w:line="250" w:lineRule="exact" w:before="0"/>
        <w:ind w:left="0" w:right="7410" w:firstLine="0"/>
        <w:jc w:val="center"/>
        <w:rPr>
          <w:rFonts w:ascii="Times New Roman" w:hAnsi="Times New Roman" w:cs="Times New Roman" w:eastAsia="Times New Roman" w:hint="default"/>
          <w:sz w:val="24"/>
          <w:szCs w:val="24"/>
        </w:rPr>
      </w:pPr>
      <w:r>
        <w:rPr>
          <w:rFonts w:ascii="Times New Roman"/>
          <w:i/>
          <w:sz w:val="14"/>
        </w:rPr>
        <w:t>e</w:t>
        <w:tab/>
      </w:r>
      <w:r>
        <w:rPr>
          <w:rFonts w:ascii="Times New Roman"/>
          <w:i/>
          <w:position w:val="-12"/>
          <w:sz w:val="24"/>
        </w:rPr>
        <w:t>E</w:t>
      </w:r>
      <w:r>
        <w:rPr>
          <w:rFonts w:ascii="Times New Roman"/>
          <w:sz w:val="24"/>
        </w:rPr>
      </w:r>
    </w:p>
    <w:p>
      <w:pPr>
        <w:pStyle w:val="BodyText"/>
        <w:spacing w:line="357" w:lineRule="auto" w:before="139"/>
        <w:ind w:left="514" w:right="6323"/>
        <w:jc w:val="left"/>
      </w:pPr>
      <w:r>
        <w:rPr/>
        <w:t>式中：</w:t>
      </w:r>
      <w:r>
        <w:rPr>
          <w:spacing w:val="-53"/>
        </w:rPr>
        <w:t> </w:t>
      </w:r>
      <w:r>
        <w:rPr>
          <w:rFonts w:ascii="Symbol" w:hAnsi="Symbol" w:cs="Symbol" w:eastAsia="Symbol" w:hint="default"/>
          <w:i/>
          <w:spacing w:val="3"/>
          <w:position w:val="10"/>
          <w:sz w:val="24"/>
          <w:szCs w:val="24"/>
        </w:rPr>
        <w:t></w:t>
      </w:r>
      <w:r>
        <w:rPr>
          <w:rFonts w:ascii="Times New Roman" w:hAnsi="Times New Roman" w:cs="Times New Roman" w:eastAsia="Times New Roman" w:hint="default"/>
          <w:i/>
          <w:spacing w:val="3"/>
          <w:position w:val="10"/>
          <w:sz w:val="23"/>
          <w:szCs w:val="23"/>
        </w:rPr>
        <w:t>t</w:t>
      </w:r>
      <w:r>
        <w:rPr>
          <w:rFonts w:ascii="Times New Roman" w:hAnsi="Times New Roman" w:cs="Times New Roman" w:eastAsia="Times New Roman" w:hint="default"/>
          <w:i/>
          <w:spacing w:val="-7"/>
          <w:position w:val="10"/>
          <w:sz w:val="23"/>
          <w:szCs w:val="23"/>
        </w:rPr>
        <w:t> </w:t>
      </w:r>
      <w:r>
        <w:rPr/>
        <w:t>为可比公司的预期无杠杆市场风险系数； </w:t>
      </w:r>
      <w:r>
        <w:rPr>
          <w:rFonts w:ascii="Times New Roman" w:hAnsi="Times New Roman" w:cs="Times New Roman" w:eastAsia="Times New Roman" w:hint="default"/>
        </w:rPr>
        <w:t>D</w:t>
      </w:r>
      <w:r>
        <w:rPr/>
        <w:t>、</w:t>
      </w:r>
      <w:r>
        <w:rPr>
          <w:rFonts w:ascii="Times New Roman" w:hAnsi="Times New Roman" w:cs="Times New Roman" w:eastAsia="Times New Roman" w:hint="default"/>
        </w:rPr>
        <w:t>E</w:t>
      </w:r>
      <w:r>
        <w:rPr/>
        <w:t>：分别为付息债务与权益资本。 分析</w:t>
      </w:r>
      <w:r>
        <w:rPr>
          <w:rFonts w:ascii="Times New Roman" w:hAnsi="Times New Roman" w:cs="Times New Roman" w:eastAsia="Times New Roman" w:hint="default"/>
        </w:rPr>
        <w:t>CAPM</w:t>
      </w:r>
      <w:r>
        <w:rPr/>
        <w:t>我们采用以下几步：</w:t>
      </w:r>
    </w:p>
    <w:p>
      <w:pPr>
        <w:pStyle w:val="BodyText"/>
        <w:spacing w:line="240" w:lineRule="auto" w:before="4"/>
        <w:ind w:left="514" w:right="0"/>
        <w:jc w:val="left"/>
      </w:pPr>
      <w:r>
        <w:rPr/>
        <w:t>②无风险报酬率</w:t>
      </w:r>
    </w:p>
    <w:p>
      <w:pPr>
        <w:pStyle w:val="BodyText"/>
        <w:spacing w:line="300" w:lineRule="auto" w:before="116"/>
        <w:ind w:right="1132" w:firstLine="360"/>
        <w:jc w:val="both"/>
      </w:pPr>
      <w:r>
        <w:rPr/>
        <w:t>根据</w:t>
      </w:r>
      <w:r>
        <w:rPr>
          <w:spacing w:val="-47"/>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12"/>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1"/>
        </w:rPr>
        <w:t> </w:t>
      </w:r>
      <w:r>
        <w:rPr/>
        <w:t>的研究，一般会把作为无风险资产的零违约证券的久期，设为现金流的久期。国际上，企业价 值评估中最常选用的年限为</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年期债券利率作为无风险利率。经查中国债券信息网最新</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3"/>
        </w:rPr>
        <w:t>年期的、可以市场交易的国债平</w:t>
      </w:r>
      <w:r>
        <w:rPr/>
        <w:t> 均到期实际收益率为</w:t>
      </w:r>
      <w:r>
        <w:rPr>
          <w:spacing w:val="-46"/>
        </w:rPr>
        <w:t> </w:t>
      </w:r>
      <w:r>
        <w:rPr>
          <w:rFonts w:ascii="Times New Roman" w:hAnsi="Times New Roman" w:cs="Times New Roman" w:eastAsia="Times New Roman" w:hint="default"/>
        </w:rPr>
        <w:t>3.40%</w:t>
      </w:r>
      <w:r>
        <w:rPr/>
        <w:t>。</w:t>
      </w:r>
    </w:p>
    <w:p>
      <w:pPr>
        <w:pStyle w:val="BodyText"/>
        <w:spacing w:line="240" w:lineRule="auto" w:before="52"/>
        <w:ind w:left="514" w:right="0"/>
        <w:jc w:val="left"/>
      </w:pPr>
      <w:r>
        <w:rPr/>
        <w:t>③市场风险溢价</w:t>
      </w:r>
      <w:r>
        <w:rPr>
          <w:spacing w:val="-47"/>
        </w:rPr>
        <w:t> </w:t>
      </w:r>
      <w:r>
        <w:rPr>
          <w:rFonts w:ascii="Times New Roman" w:hAnsi="Times New Roman" w:cs="Times New Roman" w:eastAsia="Times New Roman" w:hint="default"/>
        </w:rPr>
        <w:t>MRP</w:t>
      </w:r>
      <w:r>
        <w:rPr>
          <w:rFonts w:ascii="Times New Roman" w:hAnsi="Times New Roman" w:cs="Times New Roman" w:eastAsia="Times New Roman" w:hint="default"/>
          <w:spacing w:val="-2"/>
        </w:rPr>
        <w:t> </w:t>
      </w:r>
      <w:r>
        <w:rPr/>
        <w:t>的确定</w:t>
      </w:r>
    </w:p>
    <w:p>
      <w:pPr>
        <w:pStyle w:val="BodyText"/>
        <w:spacing w:line="309" w:lineRule="auto" w:before="101"/>
        <w:ind w:right="1131" w:firstLine="360"/>
        <w:jc w:val="both"/>
      </w:pPr>
      <w:r>
        <w:rPr/>
        <w:t>市场风险溢价（</w:t>
      </w:r>
      <w:r>
        <w:rPr>
          <w:rFonts w:ascii="Times New Roman" w:hAnsi="Times New Roman" w:cs="Times New Roman" w:eastAsia="Times New Roman" w:hint="default"/>
        </w:rPr>
        <w:t>Equity Risk</w:t>
      </w:r>
      <w:r>
        <w:rPr>
          <w:rFonts w:ascii="Times New Roman" w:hAnsi="Times New Roman" w:cs="Times New Roman" w:eastAsia="Times New Roman" w:hint="default"/>
          <w:spacing w:val="25"/>
        </w:rPr>
        <w:t> </w:t>
      </w:r>
      <w:r>
        <w:rPr>
          <w:rFonts w:ascii="Times New Roman" w:hAnsi="Times New Roman" w:cs="Times New Roman" w:eastAsia="Times New Roman" w:hint="default"/>
        </w:rPr>
        <w:t>Premiums,ERP</w:t>
      </w:r>
      <w:r>
        <w:rPr/>
        <w:t>）是预期市场证券组合收益率与无风险利率之间的差额。在成熟资本市场， </w:t>
      </w:r>
      <w:r>
        <w:rPr>
          <w:spacing w:val="-2"/>
        </w:rPr>
        <w:t>由于有较长期的历史统计数据，市场总体的市场风险溢价可以直接通过分析历史数据得到，因此国际上新兴市场的风险溢价</w:t>
      </w:r>
      <w:r>
        <w:rPr>
          <w:spacing w:val="-64"/>
        </w:rPr>
        <w:t> </w:t>
      </w:r>
      <w:r>
        <w:rPr>
          <w:spacing w:val="-64"/>
        </w:rPr>
      </w:r>
      <w:r>
        <w:rPr/>
        <w:t>通常也可以采用成熟市场的风险溢价进行调整后确定。</w:t>
      </w:r>
    </w:p>
    <w:p>
      <w:pPr>
        <w:pStyle w:val="BodyText"/>
        <w:spacing w:line="302" w:lineRule="auto" w:before="64"/>
        <w:ind w:right="1130" w:firstLine="360"/>
        <w:jc w:val="both"/>
      </w:pPr>
      <w:r>
        <w:rPr/>
        <w:t>本次评估中采用美国纽约大学斯特恩商学院著名金融学教授、估值专家</w:t>
      </w:r>
      <w:r>
        <w:rPr>
          <w:spacing w:val="-46"/>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13"/>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1"/>
        </w:rPr>
        <w:t> </w:t>
      </w:r>
      <w:r>
        <w:rPr/>
        <w:t>的方法，通过在成熟股票市 场风险溢价的基础上进行信用违约风险息差调整得到市场风险溢价。具体计算过程如下：</w:t>
      </w:r>
    </w:p>
    <w:p>
      <w:pPr>
        <w:pStyle w:val="BodyText"/>
        <w:spacing w:line="338" w:lineRule="auto" w:before="69"/>
        <w:ind w:left="514" w:right="1118"/>
        <w:jc w:val="left"/>
      </w:pPr>
      <w:r>
        <w:rPr/>
        <w:t>市场风险溢价</w:t>
      </w:r>
      <w:r>
        <w:rPr>
          <w:rFonts w:ascii="Times New Roman" w:hAnsi="Times New Roman" w:cs="Times New Roman" w:eastAsia="Times New Roman" w:hint="default"/>
        </w:rPr>
        <w:t>=</w:t>
      </w:r>
      <w:r>
        <w:rPr/>
        <w:t>成熟股票市场的风险溢价</w:t>
      </w:r>
      <w:r>
        <w:rPr>
          <w:rFonts w:ascii="Times New Roman" w:hAnsi="Times New Roman" w:cs="Times New Roman" w:eastAsia="Times New Roman" w:hint="default"/>
        </w:rPr>
        <w:t>+</w:t>
      </w:r>
      <w:r>
        <w:rPr/>
        <w:t>国家风险溢价补偿 成熟股票市场的风险溢价：美国股票市场是世界上成熟股票市场的最典型代表，</w:t>
      </w:r>
      <w:r>
        <w:rPr>
          <w:rFonts w:ascii="Times New Roman" w:hAnsi="Times New Roman" w:cs="Times New Roman" w:eastAsia="Times New Roman" w:hint="default"/>
        </w:rPr>
        <w:t>Aswath</w:t>
      </w:r>
      <w:r>
        <w:rPr>
          <w:rFonts w:ascii="Times New Roman" w:hAnsi="Times New Roman" w:cs="Times New Roman" w:eastAsia="Times New Roman" w:hint="default"/>
          <w:spacing w:val="-9"/>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9"/>
        </w:rPr>
        <w:t> </w:t>
      </w:r>
      <w:r>
        <w:rPr/>
        <w:t>采用</w:t>
      </w:r>
      <w:r>
        <w:rPr>
          <w:spacing w:val="-54"/>
        </w:rPr>
        <w:t> </w:t>
      </w:r>
      <w:r>
        <w:rPr>
          <w:rFonts w:ascii="Times New Roman" w:hAnsi="Times New Roman" w:cs="Times New Roman" w:eastAsia="Times New Roman" w:hint="default"/>
        </w:rPr>
        <w:t>1928</w:t>
      </w:r>
      <w:r>
        <w:rPr>
          <w:rFonts w:ascii="Times New Roman" w:hAnsi="Times New Roman" w:cs="Times New Roman" w:eastAsia="Times New Roman" w:hint="default"/>
          <w:spacing w:val="-9"/>
        </w:rPr>
        <w:t> </w:t>
      </w:r>
      <w:r>
        <w:rPr/>
        <w:t>年至今美</w:t>
      </w:r>
    </w:p>
    <w:p>
      <w:pPr>
        <w:pStyle w:val="BodyText"/>
        <w:spacing w:line="231" w:lineRule="exact"/>
        <w:ind w:right="0"/>
        <w:jc w:val="left"/>
      </w:pPr>
      <w:r>
        <w:rPr/>
        <w:t>国股票市场标准普尔</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指数和国债收益率数据，经计算得到截至目前美国股票与国债的算术平均收益差为</w:t>
      </w:r>
      <w:r>
        <w:rPr>
          <w:spacing w:val="-45"/>
        </w:rPr>
        <w:t> </w:t>
      </w:r>
      <w:r>
        <w:rPr>
          <w:rFonts w:ascii="Times New Roman" w:hAnsi="Times New Roman" w:cs="Times New Roman" w:eastAsia="Times New Roman" w:hint="default"/>
        </w:rPr>
        <w:t>6.37%</w:t>
      </w:r>
      <w:r>
        <w:rPr/>
        <w:t>。</w:t>
      </w:r>
    </w:p>
    <w:p>
      <w:pPr>
        <w:pStyle w:val="BodyText"/>
        <w:spacing w:line="309" w:lineRule="auto" w:before="102"/>
        <w:ind w:right="1130" w:firstLine="360"/>
        <w:jc w:val="both"/>
      </w:pPr>
      <w:r>
        <w:rPr/>
        <w:t>国家风险溢价补偿：</w:t>
      </w:r>
      <w:r>
        <w:rPr>
          <w:spacing w:val="-30"/>
        </w:rPr>
        <w:t> </w:t>
      </w:r>
      <w:r>
        <w:rPr>
          <w:rFonts w:ascii="Times New Roman" w:hAnsi="Times New Roman" w:cs="Times New Roman" w:eastAsia="Times New Roman" w:hint="default"/>
        </w:rPr>
        <w:t>Aswath</w:t>
      </w:r>
      <w:r>
        <w:rPr>
          <w:rFonts w:ascii="Times New Roman" w:hAnsi="Times New Roman" w:cs="Times New Roman" w:eastAsia="Times New Roman" w:hint="default"/>
          <w:spacing w:val="-9"/>
        </w:rPr>
        <w:t> </w:t>
      </w:r>
      <w:r>
        <w:rPr>
          <w:rFonts w:ascii="Times New Roman" w:hAnsi="Times New Roman" w:cs="Times New Roman" w:eastAsia="Times New Roman" w:hint="default"/>
        </w:rPr>
        <w:t>Damodaran</w:t>
      </w:r>
      <w:r>
        <w:rPr>
          <w:rFonts w:ascii="Times New Roman" w:hAnsi="Times New Roman" w:cs="Times New Roman" w:eastAsia="Times New Roman" w:hint="default"/>
          <w:spacing w:val="-9"/>
        </w:rPr>
        <w:t> </w:t>
      </w:r>
      <w:r>
        <w:rPr/>
        <w:t>根据彭博数据库（</w:t>
      </w:r>
      <w:r>
        <w:rPr>
          <w:rFonts w:ascii="Times New Roman" w:hAnsi="Times New Roman" w:cs="Times New Roman" w:eastAsia="Times New Roman" w:hint="default"/>
        </w:rPr>
        <w:t>Bloomberg</w:t>
      </w:r>
      <w:r>
        <w:rPr/>
        <w:t>）发布的最新世界各国</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年期</w:t>
      </w:r>
      <w:r>
        <w:rPr>
          <w:spacing w:val="-54"/>
        </w:rPr>
        <w:t> </w:t>
      </w:r>
      <w:r>
        <w:rPr>
          <w:rFonts w:ascii="Times New Roman" w:hAnsi="Times New Roman" w:cs="Times New Roman" w:eastAsia="Times New Roman" w:hint="default"/>
        </w:rPr>
        <w:t>CDS</w:t>
      </w:r>
      <w:r>
        <w:rPr/>
        <w:t>（信用违约互</w:t>
      </w:r>
      <w:r>
        <w:rPr>
          <w:w w:val="99"/>
        </w:rPr>
        <w:t> </w:t>
      </w:r>
      <w:r>
        <w:rPr>
          <w:spacing w:val="-2"/>
        </w:rPr>
        <w:t>换）利率，计算得到中国相对于美国的信用违约风险息差，并结合中国股票市场相对于债券的收益率标准差，计算得出目前</w:t>
      </w:r>
      <w:r>
        <w:rPr>
          <w:spacing w:val="-67"/>
        </w:rPr>
        <w:t> </w:t>
      </w:r>
      <w:r>
        <w:rPr>
          <w:spacing w:val="-67"/>
        </w:rPr>
      </w:r>
      <w:r>
        <w:rPr/>
        <w:t>中国的国家风险溢价补偿约</w:t>
      </w:r>
      <w:r>
        <w:rPr>
          <w:spacing w:val="-47"/>
        </w:rPr>
        <w:t> </w:t>
      </w:r>
      <w:r>
        <w:rPr>
          <w:rFonts w:ascii="Times New Roman" w:hAnsi="Times New Roman" w:cs="Times New Roman" w:eastAsia="Times New Roman" w:hint="default"/>
        </w:rPr>
        <w:t>0.75%</w:t>
      </w:r>
      <w:r>
        <w:rPr/>
        <w:t>。</w:t>
      </w:r>
    </w:p>
    <w:p>
      <w:pPr>
        <w:pStyle w:val="BodyText"/>
        <w:spacing w:line="240" w:lineRule="auto" w:before="44"/>
        <w:ind w:left="514" w:right="0"/>
        <w:jc w:val="left"/>
        <w:rPr>
          <w:rFonts w:ascii="Times New Roman" w:hAnsi="Times New Roman" w:cs="Times New Roman" w:eastAsia="Times New Roman" w:hint="default"/>
        </w:rPr>
      </w:pPr>
      <w:r>
        <w:rPr/>
        <w:t>则：</w:t>
      </w:r>
      <w:r>
        <w:rPr>
          <w:rFonts w:ascii="Times New Roman" w:hAnsi="Times New Roman" w:cs="Times New Roman" w:eastAsia="Times New Roman" w:hint="default"/>
        </w:rPr>
        <w:t>ERP</w:t>
      </w:r>
      <w:r>
        <w:rPr>
          <w:rFonts w:ascii="Times New Roman" w:hAnsi="Times New Roman" w:cs="Times New Roman" w:eastAsia="Times New Roman" w:hint="default"/>
          <w:spacing w:val="-9"/>
        </w:rPr>
        <w:t> </w:t>
      </w:r>
      <w:r>
        <w:rPr>
          <w:rFonts w:ascii="Times New Roman" w:hAnsi="Times New Roman" w:cs="Times New Roman" w:eastAsia="Times New Roman" w:hint="default"/>
        </w:rPr>
        <w:t>=6.37%+0.75%</w:t>
      </w:r>
    </w:p>
    <w:p>
      <w:pPr>
        <w:pStyle w:val="BodyText"/>
        <w:spacing w:line="240" w:lineRule="auto" w:before="142"/>
        <w:ind w:left="0" w:right="7889"/>
        <w:jc w:val="center"/>
        <w:rPr>
          <w:rFonts w:ascii="Times New Roman" w:hAnsi="Times New Roman" w:cs="Times New Roman" w:eastAsia="Times New Roman" w:hint="default"/>
        </w:rPr>
      </w:pPr>
      <w:r>
        <w:rPr>
          <w:rFonts w:ascii="Times New Roman"/>
        </w:rPr>
        <w:t>=7.12%</w:t>
      </w:r>
    </w:p>
    <w:p>
      <w:pPr>
        <w:pStyle w:val="BodyText"/>
        <w:spacing w:line="240" w:lineRule="auto" w:before="106"/>
        <w:ind w:left="514" w:right="0"/>
        <w:jc w:val="left"/>
      </w:pPr>
      <w:r>
        <w:rPr/>
        <w:t>即目前中国股权市场风险溢价约为</w:t>
      </w:r>
      <w:r>
        <w:rPr>
          <w:spacing w:val="-46"/>
        </w:rPr>
        <w:t> </w:t>
      </w:r>
      <w:r>
        <w:rPr>
          <w:rFonts w:ascii="Times New Roman" w:hAnsi="Times New Roman" w:cs="Times New Roman" w:eastAsia="Times New Roman" w:hint="default"/>
        </w:rPr>
        <w:t>7.12%</w:t>
      </w:r>
      <w:r>
        <w:rPr/>
        <w:t>。</w:t>
      </w:r>
    </w:p>
    <w:p>
      <w:pPr>
        <w:pStyle w:val="BodyText"/>
        <w:spacing w:line="357" w:lineRule="auto" w:before="102"/>
        <w:ind w:left="514" w:right="1118"/>
        <w:jc w:val="left"/>
      </w:pPr>
      <w:r>
        <w:rPr/>
        <w:t>④贝塔值 </w:t>
      </w:r>
      <w:r>
        <w:rPr>
          <w:spacing w:val="-2"/>
        </w:rPr>
        <w:t>该系数是衡量委估企业相对于资本市场整体回报的风险溢价程度，也用来衡量个别股票受包括股市价格变动在内的整个</w:t>
      </w:r>
    </w:p>
    <w:p>
      <w:pPr>
        <w:pStyle w:val="BodyText"/>
        <w:spacing w:line="224" w:lineRule="exact"/>
        <w:ind w:right="0"/>
        <w:jc w:val="left"/>
      </w:pPr>
      <w:r>
        <w:rPr/>
        <w:t>经济环境影响程度的指标。由于委估企业目前为非上市公司，一般情况下难以直接对其测算出该系数指标值，通过选定与委</w:t>
      </w:r>
    </w:p>
    <w:p>
      <w:pPr>
        <w:pStyle w:val="Heading2"/>
        <w:spacing w:line="246" w:lineRule="exact" w:before="152"/>
        <w:ind w:right="2118"/>
        <w:jc w:val="center"/>
        <w:rPr>
          <w:rFonts w:ascii="Symbol" w:hAnsi="Symbol" w:cs="Symbol" w:eastAsia="Symbol" w:hint="default"/>
          <w:i w:val="0"/>
        </w:rPr>
      </w:pPr>
      <w:r>
        <w:rPr>
          <w:rFonts w:ascii="Symbol" w:hAnsi="Symbol" w:cs="Symbol" w:eastAsia="Symbol" w:hint="default"/>
          <w:w w:val="94"/>
        </w:rPr>
        <w:t></w:t>
      </w:r>
      <w:r>
        <w:rPr>
          <w:rFonts w:ascii="Symbol" w:hAnsi="Symbol" w:cs="Symbol" w:eastAsia="Symbol" w:hint="default"/>
          <w:i w:val="0"/>
        </w:rPr>
      </w:r>
    </w:p>
    <w:p>
      <w:pPr>
        <w:pStyle w:val="BodyText"/>
        <w:spacing w:line="176" w:lineRule="exact"/>
        <w:ind w:right="0"/>
        <w:jc w:val="left"/>
      </w:pPr>
      <w:r>
        <w:rPr/>
        <w:t>估企业处于同行业的上市公司于基准日的</w:t>
      </w:r>
      <w:r>
        <w:rPr>
          <w:rFonts w:ascii="Arial" w:hAnsi="Arial" w:cs="Arial" w:eastAsia="Arial" w:hint="default"/>
        </w:rPr>
        <w:t>β  </w:t>
      </w:r>
      <w:r>
        <w:rPr/>
        <w:t>系数（即  </w:t>
      </w:r>
      <w:r>
        <w:rPr>
          <w:rFonts w:ascii="Times New Roman" w:hAnsi="Times New Roman" w:cs="Times New Roman" w:eastAsia="Times New Roman" w:hint="default"/>
          <w:i/>
          <w:position w:val="6"/>
          <w:sz w:val="14"/>
          <w:szCs w:val="14"/>
        </w:rPr>
        <w:t>t</w:t>
      </w:r>
      <w:r>
        <w:rPr>
          <w:rFonts w:ascii="Times New Roman" w:hAnsi="Times New Roman" w:cs="Times New Roman" w:eastAsia="Times New Roman" w:hint="default"/>
          <w:i/>
          <w:spacing w:val="11"/>
          <w:position w:val="6"/>
          <w:sz w:val="14"/>
          <w:szCs w:val="14"/>
        </w:rPr>
        <w:t> </w:t>
      </w:r>
      <w:r>
        <w:rPr/>
        <w:t>）指标平均值作为参照。</w:t>
      </w:r>
    </w:p>
    <w:p>
      <w:pPr>
        <w:pStyle w:val="BodyText"/>
        <w:spacing w:line="240" w:lineRule="auto" w:before="167"/>
        <w:ind w:left="514" w:right="0"/>
        <w:jc w:val="left"/>
      </w:pPr>
      <w:r>
        <w:rPr/>
        <w:t>目前中国国内同花顺资讯公司是一家从事于</w:t>
      </w:r>
      <w:r>
        <w:rPr>
          <w:rFonts w:ascii="Arial" w:hAnsi="Arial" w:cs="Arial" w:eastAsia="Arial" w:hint="default"/>
          <w:w w:val="99"/>
        </w:rPr>
        <w:t>β</w:t>
      </w:r>
      <w:r>
        <w:rPr>
          <w:rFonts w:ascii="Arial" w:hAnsi="Arial" w:cs="Arial" w:eastAsia="Arial" w:hint="default"/>
        </w:rPr>
        <w:t> </w:t>
      </w:r>
      <w:r>
        <w:rPr>
          <w:rFonts w:ascii="Arial" w:hAnsi="Arial" w:cs="Arial" w:eastAsia="Arial" w:hint="default"/>
          <w:spacing w:val="-24"/>
        </w:rPr>
        <w:t> </w:t>
      </w:r>
      <w:r>
        <w:rPr/>
        <w:t>的研究并给出计算</w:t>
      </w:r>
      <w:r>
        <w:rPr>
          <w:rFonts w:ascii="Arial" w:hAnsi="Arial" w:cs="Arial" w:eastAsia="Arial" w:hint="default"/>
          <w:w w:val="99"/>
        </w:rPr>
        <w:t>β</w:t>
      </w:r>
      <w:r>
        <w:rPr>
          <w:rFonts w:ascii="Arial" w:hAnsi="Arial" w:cs="Arial" w:eastAsia="Arial" w:hint="default"/>
        </w:rPr>
        <w:t> </w:t>
      </w:r>
      <w:r>
        <w:rPr>
          <w:rFonts w:ascii="Arial" w:hAnsi="Arial" w:cs="Arial" w:eastAsia="Arial" w:hint="default"/>
          <w:spacing w:val="-24"/>
        </w:rPr>
        <w:t> </w:t>
      </w:r>
      <w:r>
        <w:rPr/>
        <w:t>值的计算公式的公司</w:t>
      </w:r>
      <w:r>
        <w:rPr>
          <w:spacing w:val="-82"/>
        </w:rPr>
        <w:t>。</w:t>
      </w:r>
      <w:r>
        <w:rPr/>
        <w:t>经查经第三方支付行业的可比</w:t>
      </w:r>
    </w:p>
    <w:p>
      <w:pPr>
        <w:pStyle w:val="Heading2"/>
        <w:spacing w:line="247" w:lineRule="exact"/>
        <w:ind w:left="2715" w:right="0"/>
        <w:jc w:val="left"/>
        <w:rPr>
          <w:rFonts w:ascii="Symbol" w:hAnsi="Symbol" w:cs="Symbol" w:eastAsia="Symbol" w:hint="default"/>
          <w:i w:val="0"/>
        </w:rPr>
      </w:pPr>
      <w:r>
        <w:rPr>
          <w:rFonts w:ascii="Symbol" w:hAnsi="Symbol" w:cs="Symbol" w:eastAsia="Symbol" w:hint="default"/>
          <w:w w:val="94"/>
        </w:rPr>
        <w:t></w:t>
      </w:r>
      <w:r>
        <w:rPr>
          <w:rFonts w:ascii="Symbol" w:hAnsi="Symbol" w:cs="Symbol" w:eastAsia="Symbol" w:hint="default"/>
          <w:i w:val="0"/>
        </w:rPr>
      </w:r>
    </w:p>
    <w:p>
      <w:pPr>
        <w:pStyle w:val="BodyText"/>
        <w:spacing w:line="177" w:lineRule="exact"/>
        <w:ind w:right="0"/>
        <w:jc w:val="left"/>
      </w:pPr>
      <w:r>
        <w:rPr/>
        <w:t>公司加权剔除财务杠杆调整平均  </w:t>
      </w:r>
      <w:r>
        <w:rPr>
          <w:rFonts w:ascii="Times New Roman" w:hAnsi="Times New Roman" w:cs="Times New Roman" w:eastAsia="Times New Roman" w:hint="default"/>
          <w:i/>
          <w:position w:val="6"/>
          <w:sz w:val="14"/>
          <w:szCs w:val="14"/>
        </w:rPr>
        <w:t>t  </w:t>
      </w:r>
      <w:r>
        <w:rPr>
          <w:rFonts w:ascii="Times New Roman" w:hAnsi="Times New Roman" w:cs="Times New Roman" w:eastAsia="Times New Roman" w:hint="default"/>
        </w:rPr>
        <w:t>=0.9871</w:t>
      </w:r>
      <w:r>
        <w:rPr/>
        <w:t>。</w:t>
      </w:r>
    </w:p>
    <w:p>
      <w:pPr>
        <w:pStyle w:val="BodyText"/>
        <w:spacing w:line="240" w:lineRule="auto" w:before="166"/>
        <w:ind w:left="514" w:right="0"/>
        <w:jc w:val="left"/>
      </w:pPr>
      <w:r>
        <w:rPr/>
        <w:t>资本结构选取基准日行业的资本结构作为被评估企业目标资本结构比率。</w:t>
      </w:r>
    </w:p>
    <w:p>
      <w:pPr>
        <w:pStyle w:val="BodyText"/>
        <w:spacing w:line="338" w:lineRule="auto" w:before="116"/>
        <w:ind w:left="514" w:right="4064"/>
        <w:jc w:val="left"/>
        <w:rPr>
          <w:rFonts w:ascii="Times New Roman" w:hAnsi="Times New Roman" w:cs="Times New Roman" w:eastAsia="Times New Roman" w:hint="default"/>
        </w:rPr>
      </w:pPr>
      <w:r>
        <w:rPr>
          <w:rFonts w:ascii="Times New Roman" w:hAnsi="Times New Roman" w:cs="Times New Roman" w:eastAsia="Times New Roman" w:hint="default"/>
        </w:rPr>
        <w:t>D </w:t>
      </w:r>
      <w:r>
        <w:rPr/>
        <w:t>根据基准日的有息负债确定，</w:t>
      </w:r>
      <w:r>
        <w:rPr>
          <w:rFonts w:ascii="Times New Roman" w:hAnsi="Times New Roman" w:cs="Times New Roman" w:eastAsia="Times New Roman" w:hint="default"/>
        </w:rPr>
        <w:t>E</w:t>
      </w:r>
      <w:r>
        <w:rPr>
          <w:rFonts w:ascii="Times New Roman" w:hAnsi="Times New Roman" w:cs="Times New Roman" w:eastAsia="Times New Roman" w:hint="default"/>
          <w:spacing w:val="-2"/>
        </w:rPr>
        <w:t> </w:t>
      </w:r>
      <w:r>
        <w:rPr/>
        <w:t>根据基准日的每股收盘价格×股份总额确定</w:t>
      </w:r>
      <w:r>
        <w:rPr>
          <w:rFonts w:ascii="Times New Roman" w:hAnsi="Times New Roman" w:cs="Times New Roman" w:eastAsia="Times New Roman" w:hint="default"/>
        </w:rPr>
        <w:t>)</w:t>
      </w:r>
      <w:r>
        <w:rPr/>
        <w:t>。 经过计算，该行业的</w:t>
      </w:r>
      <w:r>
        <w:rPr>
          <w:spacing w:val="-46"/>
        </w:rPr>
        <w:t> </w:t>
      </w:r>
      <w:r>
        <w:rPr>
          <w:rFonts w:ascii="Times New Roman" w:hAnsi="Times New Roman" w:cs="Times New Roman" w:eastAsia="Times New Roman" w:hint="default"/>
        </w:rPr>
        <w:t>D/E=20.3%</w:t>
      </w:r>
      <w:r>
        <w:rPr/>
        <w:t>。 最后得到评估对象权益资本预期风险系数的估计值</w:t>
      </w:r>
      <w:r>
        <w:rPr>
          <w:rFonts w:ascii="Arial" w:hAnsi="Arial" w:cs="Arial" w:eastAsia="Arial" w:hint="default"/>
        </w:rPr>
        <w:t>β</w:t>
      </w:r>
      <w:r>
        <w:rPr>
          <w:rFonts w:ascii="Arial" w:hAnsi="Arial" w:cs="Arial" w:eastAsia="Arial" w:hint="default"/>
          <w:spacing w:val="25"/>
        </w:rPr>
        <w:t> </w:t>
      </w:r>
      <w:r>
        <w:rPr>
          <w:rFonts w:ascii="Times New Roman" w:hAnsi="Times New Roman" w:cs="Times New Roman" w:eastAsia="Times New Roman" w:hint="default"/>
        </w:rPr>
        <w:t>e=1.158</w:t>
      </w:r>
    </w:p>
    <w:p>
      <w:pPr>
        <w:pStyle w:val="BodyText"/>
        <w:spacing w:line="340" w:lineRule="auto" w:before="20"/>
        <w:ind w:left="514" w:right="0"/>
        <w:jc w:val="left"/>
      </w:pPr>
      <w:r>
        <w:rPr/>
        <w:t>⑤企业特定风险</w:t>
      </w:r>
      <w:r>
        <w:rPr>
          <w:rFonts w:ascii="Arial" w:hAnsi="Arial" w:cs="Arial" w:eastAsia="Arial" w:hint="default"/>
        </w:rPr>
        <w:t>ε</w:t>
      </w:r>
      <w:r>
        <w:rPr>
          <w:rFonts w:ascii="Arial" w:hAnsi="Arial" w:cs="Arial" w:eastAsia="Arial" w:hint="default"/>
          <w:spacing w:val="49"/>
        </w:rPr>
        <w:t> </w:t>
      </w:r>
      <w:r>
        <w:rPr/>
        <w:t>的确定 </w:t>
      </w:r>
      <w:r>
        <w:rPr>
          <w:spacing w:val="-2"/>
        </w:rPr>
        <w:t>经分析，企业特定风险调整系数为待估企业与所选择的可比上市公司在企业规模、经营风险、管理能力、财务风险等方</w:t>
      </w:r>
    </w:p>
    <w:p>
      <w:pPr>
        <w:pStyle w:val="BodyText"/>
        <w:spacing w:line="357" w:lineRule="auto" w:before="2"/>
        <w:ind w:left="514" w:right="0" w:hanging="360"/>
        <w:jc w:val="left"/>
      </w:pPr>
      <w:r>
        <w:rPr/>
        <w:t>面所形成的优劣势方面的差异，各风险说明如下： </w:t>
      </w:r>
      <w:r>
        <w:rPr>
          <w:spacing w:val="-2"/>
        </w:rPr>
        <w:t>企业主要从事移动信息化服务领域，目前是国内领先的移动互联网运营支撑服务商，为移动互联网多种应用提供运营支</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撑平台，主要为中国移动通信集团和多家大型银行等金融机构提供移动信息服务，企业资产规模和营业收入与可比上市公司</w:t>
      </w:r>
      <w:r>
        <w:rPr>
          <w:spacing w:val="-64"/>
        </w:rPr>
        <w:t> </w:t>
      </w:r>
      <w:r>
        <w:rPr>
          <w:spacing w:val="-64"/>
        </w:rPr>
      </w:r>
      <w:r>
        <w:rPr>
          <w:spacing w:val="-2"/>
        </w:rPr>
        <w:t>相比较小。但是，经营业务上销售毛利率、净利润率、净资产收益率等指标已经达到甚至超过可比公司水平；企业经营业务</w:t>
      </w:r>
      <w:r>
        <w:rPr>
          <w:spacing w:val="-66"/>
        </w:rPr>
        <w:t> </w:t>
      </w:r>
      <w:r>
        <w:rPr>
          <w:spacing w:val="-66"/>
        </w:rPr>
      </w:r>
      <w:r>
        <w:rPr>
          <w:spacing w:val="-4"/>
        </w:rPr>
        <w:t>涉及全国。企业内部管理及控制机制尚好，管理人员的从业经验和资历较高。综合以上因素，企业特定风险</w:t>
      </w:r>
      <w:r>
        <w:rPr>
          <w:rFonts w:ascii="Arial" w:hAnsi="Arial" w:cs="Arial" w:eastAsia="Arial" w:hint="default"/>
          <w:spacing w:val="-4"/>
        </w:rPr>
        <w:t>ε  </w:t>
      </w:r>
      <w:r>
        <w:rPr/>
        <w:t>的确定为</w:t>
      </w:r>
      <w:r>
        <w:rPr>
          <w:spacing w:val="-34"/>
        </w:rPr>
        <w:t> </w:t>
      </w:r>
      <w:r>
        <w:rPr>
          <w:rFonts w:ascii="Times New Roman" w:hAnsi="Times New Roman" w:cs="Times New Roman" w:eastAsia="Times New Roman" w:hint="default"/>
        </w:rPr>
        <w:t>2%</w:t>
      </w:r>
      <w:r>
        <w:rPr/>
        <w:t>。</w:t>
      </w:r>
    </w:p>
    <w:p>
      <w:pPr>
        <w:pStyle w:val="BodyText"/>
        <w:spacing w:line="360" w:lineRule="auto" w:before="36"/>
        <w:ind w:left="514" w:right="6579"/>
        <w:jc w:val="left"/>
      </w:pPr>
      <w:r>
        <w:rPr/>
        <w:t>⑥税前权益资本成本的确定 最终得到评估对象的权益资本成本</w:t>
      </w:r>
      <w:r>
        <w:rPr>
          <w:spacing w:val="-47"/>
        </w:rPr>
        <w:t> </w:t>
      </w:r>
      <w:r>
        <w:rPr>
          <w:rFonts w:ascii="Times New Roman" w:hAnsi="Times New Roman" w:cs="Times New Roman" w:eastAsia="Times New Roman" w:hint="default"/>
        </w:rPr>
        <w:t>Re</w:t>
      </w:r>
      <w:r>
        <w:rPr>
          <w:rFonts w:ascii="Times New Roman" w:hAnsi="Times New Roman" w:cs="Times New Roman" w:eastAsia="Times New Roman" w:hint="default"/>
          <w:spacing w:val="-1"/>
        </w:rPr>
        <w:t> </w:t>
      </w:r>
      <w:r>
        <w:rPr>
          <w:rFonts w:ascii="Times New Roman" w:hAnsi="Times New Roman" w:cs="Times New Roman" w:eastAsia="Times New Roman" w:hint="default"/>
        </w:rPr>
        <w:t>e=13.6%</w:t>
      </w:r>
      <w:r>
        <w:rPr/>
        <w:t>。</w:t>
      </w:r>
    </w:p>
    <w:p>
      <w:pPr>
        <w:pStyle w:val="BodyText"/>
        <w:spacing w:line="240" w:lineRule="auto" w:before="2"/>
        <w:ind w:left="514" w:right="0"/>
        <w:jc w:val="left"/>
      </w:pPr>
      <w:r>
        <w:rPr/>
        <w:t>⑦债务资本成本</w:t>
      </w:r>
    </w:p>
    <w:p>
      <w:pPr>
        <w:spacing w:line="240" w:lineRule="auto" w:before="5"/>
        <w:rPr>
          <w:rFonts w:ascii="宋体" w:hAnsi="宋体" w:cs="宋体" w:eastAsia="宋体" w:hint="default"/>
          <w:sz w:val="17"/>
          <w:szCs w:val="17"/>
        </w:rPr>
      </w:pPr>
    </w:p>
    <w:p>
      <w:pPr>
        <w:pStyle w:val="Heading6"/>
        <w:spacing w:line="206" w:lineRule="exact"/>
        <w:ind w:left="1636" w:right="0"/>
        <w:jc w:val="left"/>
        <w:rPr>
          <w:i w:val="0"/>
        </w:rPr>
      </w:pPr>
      <w:r>
        <w:rPr>
          <w:i/>
          <w:w w:val="95"/>
        </w:rPr>
        <w:t>R</w:t>
      </w:r>
      <w:r>
        <w:rPr>
          <w:i w:val="0"/>
        </w:rPr>
      </w:r>
    </w:p>
    <w:p>
      <w:pPr>
        <w:pStyle w:val="BodyText"/>
        <w:spacing w:line="180" w:lineRule="exact"/>
        <w:ind w:left="514" w:right="0"/>
        <w:jc w:val="left"/>
      </w:pPr>
      <w:r>
        <w:rPr/>
        <w:t>债务资本成本  </w:t>
      </w:r>
      <w:r>
        <w:rPr>
          <w:rFonts w:ascii="Times New Roman" w:hAnsi="Times New Roman" w:cs="Times New Roman" w:eastAsia="Times New Roman" w:hint="default"/>
          <w:i/>
          <w:position w:val="6"/>
          <w:sz w:val="14"/>
          <w:szCs w:val="14"/>
        </w:rPr>
        <w:t>d</w:t>
      </w:r>
      <w:r>
        <w:rPr>
          <w:rFonts w:ascii="Times New Roman" w:hAnsi="Times New Roman" w:cs="Times New Roman" w:eastAsia="Times New Roman" w:hint="default"/>
          <w:i/>
          <w:spacing w:val="23"/>
          <w:position w:val="6"/>
          <w:sz w:val="14"/>
          <w:szCs w:val="14"/>
        </w:rPr>
        <w:t> </w:t>
      </w:r>
      <w:r>
        <w:rPr/>
        <w:t>取</w:t>
      </w:r>
      <w:r>
        <w:rPr>
          <w:rFonts w:ascii="Times New Roman" w:hAnsi="Times New Roman" w:cs="Times New Roman" w:eastAsia="Times New Roman" w:hint="default"/>
        </w:rPr>
        <w:t>5</w:t>
      </w:r>
      <w:r>
        <w:rPr/>
        <w:t>年期以上贷款利率</w:t>
      </w:r>
      <w:r>
        <w:rPr>
          <w:rFonts w:ascii="Times New Roman" w:hAnsi="Times New Roman" w:cs="Times New Roman" w:eastAsia="Times New Roman" w:hint="default"/>
        </w:rPr>
        <w:t>4.90%</w:t>
      </w:r>
      <w:r>
        <w:rPr/>
        <w:t>。</w:t>
      </w:r>
    </w:p>
    <w:p>
      <w:pPr>
        <w:pStyle w:val="BodyText"/>
        <w:spacing w:line="357" w:lineRule="auto" w:before="167"/>
        <w:ind w:left="514" w:right="2472"/>
        <w:jc w:val="left"/>
      </w:pPr>
      <w:r>
        <w:rPr/>
        <w:t>⑧资本结构的确定 结合企业未来盈利情况、管理层未来的筹资策略，确定上市公司资本结构为企业目标资本结构比率。</w:t>
      </w:r>
    </w:p>
    <w:p>
      <w:pPr>
        <w:spacing w:after="0" w:line="357" w:lineRule="auto"/>
        <w:jc w:val="left"/>
        <w:sectPr>
          <w:pgSz w:w="11910" w:h="16840"/>
          <w:pgMar w:header="747" w:footer="979" w:top="1060" w:bottom="1160" w:left="980" w:right="0"/>
        </w:sectPr>
      </w:pPr>
    </w:p>
    <w:p>
      <w:pPr>
        <w:spacing w:line="240" w:lineRule="auto" w:before="5"/>
        <w:rPr>
          <w:rFonts w:ascii="宋体" w:hAnsi="宋体" w:cs="宋体" w:eastAsia="宋体" w:hint="default"/>
          <w:sz w:val="20"/>
          <w:szCs w:val="20"/>
        </w:rPr>
      </w:pPr>
    </w:p>
    <w:p>
      <w:pPr>
        <w:spacing w:before="0"/>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d  </w:t>
      </w:r>
      <w:r>
        <w:rPr>
          <w:rFonts w:ascii="Times New Roman" w:hAnsi="Times New Roman" w:cs="Times New Roman" w:eastAsia="Times New Roman" w:hint="default"/>
          <w:i/>
          <w:spacing w:val="10"/>
          <w:position w:val="-5"/>
          <w:sz w:val="14"/>
          <w:szCs w:val="14"/>
        </w:rPr>
        <w:t> </w:t>
      </w:r>
      <w:r>
        <w:rPr>
          <w:rFonts w:ascii="Symbol" w:hAnsi="Symbol" w:cs="Symbol" w:eastAsia="Symbol" w:hint="default"/>
          <w:sz w:val="24"/>
          <w:szCs w:val="24"/>
        </w:rPr>
        <w:t></w:t>
      </w:r>
    </w:p>
    <w:p>
      <w:pPr>
        <w:spacing w:line="240" w:lineRule="auto" w:before="0"/>
        <w:rPr>
          <w:rFonts w:ascii="Symbol" w:hAnsi="Symbol" w:cs="Symbol" w:eastAsia="Symbol" w:hint="default"/>
          <w:sz w:val="28"/>
          <w:szCs w:val="28"/>
        </w:rPr>
      </w:pPr>
    </w:p>
    <w:p>
      <w:pPr>
        <w:spacing w:line="240" w:lineRule="auto" w:before="7"/>
        <w:rPr>
          <w:rFonts w:ascii="Symbol" w:hAnsi="Symbol" w:cs="Symbol" w:eastAsia="Symbol" w:hint="default"/>
          <w:sz w:val="24"/>
          <w:szCs w:val="24"/>
        </w:rPr>
      </w:pPr>
    </w:p>
    <w:p>
      <w:pPr>
        <w:spacing w:before="0"/>
        <w:ind w:left="527" w:right="-18" w:firstLine="0"/>
        <w:jc w:val="left"/>
        <w:rPr>
          <w:rFonts w:ascii="Symbol" w:hAnsi="Symbol" w:cs="Symbol" w:eastAsia="Symbol" w:hint="default"/>
          <w:sz w:val="24"/>
          <w:szCs w:val="24"/>
        </w:rPr>
      </w:pPr>
      <w:r>
        <w:rPr>
          <w:rFonts w:ascii="Times New Roman" w:hAnsi="Times New Roman" w:cs="Times New Roman" w:eastAsia="Times New Roman" w:hint="default"/>
          <w:i/>
          <w:sz w:val="24"/>
          <w:szCs w:val="24"/>
        </w:rPr>
        <w:t>W</w:t>
      </w:r>
      <w:r>
        <w:rPr>
          <w:rFonts w:ascii="Times New Roman" w:hAnsi="Times New Roman" w:cs="Times New Roman" w:eastAsia="Times New Roman" w:hint="default"/>
          <w:i/>
          <w:position w:val="-5"/>
          <w:sz w:val="14"/>
          <w:szCs w:val="14"/>
        </w:rPr>
        <w:t>e </w:t>
      </w:r>
      <w:r>
        <w:rPr>
          <w:rFonts w:ascii="Times New Roman" w:hAnsi="Times New Roman" w:cs="Times New Roman" w:eastAsia="Times New Roman" w:hint="default"/>
          <w:i/>
          <w:spacing w:val="26"/>
          <w:position w:val="-5"/>
          <w:sz w:val="14"/>
          <w:szCs w:val="14"/>
        </w:rPr>
        <w:t> </w:t>
      </w:r>
      <w:r>
        <w:rPr>
          <w:rFonts w:ascii="Symbol" w:hAnsi="Symbol" w:cs="Symbol" w:eastAsia="Symbol" w:hint="default"/>
          <w:sz w:val="24"/>
          <w:szCs w:val="24"/>
        </w:rPr>
        <w:t></w:t>
      </w:r>
    </w:p>
    <w:p>
      <w:pPr>
        <w:spacing w:before="132"/>
        <w:ind w:left="330" w:right="0" w:firstLine="0"/>
        <w:jc w:val="left"/>
        <w:rPr>
          <w:rFonts w:ascii="Times New Roman" w:hAnsi="Times New Roman" w:cs="Times New Roman" w:eastAsia="Times New Roman" w:hint="default"/>
          <w:sz w:val="24"/>
          <w:szCs w:val="24"/>
        </w:rPr>
      </w:pPr>
      <w:r>
        <w:rPr/>
        <w:br w:type="column"/>
      </w:r>
      <w:r>
        <w:rPr>
          <w:rFonts w:ascii="Times New Roman"/>
          <w:i/>
          <w:sz w:val="24"/>
        </w:rPr>
        <w:t>D</w:t>
      </w:r>
      <w:r>
        <w:rPr>
          <w:rFonts w:ascii="Times New Roman"/>
          <w:sz w:val="24"/>
        </w:rPr>
      </w:r>
    </w:p>
    <w:p>
      <w:pPr>
        <w:spacing w:line="240" w:lineRule="auto" w:before="11"/>
        <w:rPr>
          <w:rFonts w:ascii="Times New Roman" w:hAnsi="Times New Roman" w:cs="Times New Roman" w:eastAsia="Times New Roman" w:hint="default"/>
          <w:i/>
          <w:sz w:val="2"/>
          <w:szCs w:val="2"/>
        </w:rPr>
      </w:pPr>
    </w:p>
    <w:p>
      <w:pPr>
        <w:spacing w:line="20" w:lineRule="exact"/>
        <w:ind w:left="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35pt;height:.5pt;mso-position-horizontal-relative:char;mso-position-vertical-relative:line" coordorigin="0,0" coordsize="787,10">
            <v:group style="position:absolute;left:5;top:5;width:777;height:2" coordorigin="5,5" coordsize="777,2">
              <v:shape style="position:absolute;left:5;top:5;width:777;height:2" coordorigin="5,5" coordsize="777,0" path="m5,5l782,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3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position w:val="9"/>
          <w:sz w:val="24"/>
          <w:szCs w:val="24"/>
        </w:rPr>
        <w:t>(</w:t>
      </w:r>
      <w:r>
        <w:rPr>
          <w:rFonts w:ascii="Times New Roman" w:hAnsi="Times New Roman" w:cs="Times New Roman" w:eastAsia="Times New Roman" w:hint="default"/>
          <w:i/>
          <w:spacing w:val="5"/>
          <w:position w:val="9"/>
          <w:sz w:val="24"/>
          <w:szCs w:val="24"/>
        </w:rPr>
        <w:t>E </w:t>
      </w:r>
      <w:r>
        <w:rPr>
          <w:rFonts w:ascii="Symbol" w:hAnsi="Symbol" w:cs="Symbol" w:eastAsia="Symbol" w:hint="default"/>
          <w:position w:val="9"/>
          <w:sz w:val="24"/>
          <w:szCs w:val="24"/>
        </w:rPr>
        <w:t></w:t>
      </w:r>
      <w:r>
        <w:rPr>
          <w:rFonts w:ascii="Times New Roman" w:hAnsi="Times New Roman" w:cs="Times New Roman" w:eastAsia="Times New Roman" w:hint="default"/>
          <w:position w:val="9"/>
          <w:sz w:val="24"/>
          <w:szCs w:val="24"/>
        </w:rPr>
      </w:r>
      <w:r>
        <w:rPr>
          <w:rFonts w:ascii="Times New Roman" w:hAnsi="Times New Roman" w:cs="Times New Roman" w:eastAsia="Times New Roman" w:hint="default"/>
          <w:i/>
          <w:position w:val="9"/>
          <w:sz w:val="24"/>
          <w:szCs w:val="24"/>
        </w:rPr>
        <w:t>D</w:t>
      </w:r>
      <w:r>
        <w:rPr>
          <w:rFonts w:ascii="Times New Roman" w:hAnsi="Times New Roman" w:cs="Times New Roman" w:eastAsia="Times New Roman" w:hint="default"/>
          <w:position w:val="9"/>
          <w:sz w:val="24"/>
          <w:szCs w:val="24"/>
        </w:rPr>
        <w:t>)</w:t>
      </w:r>
      <w:r>
        <w:rPr>
          <w:rFonts w:ascii="Times New Roman" w:hAnsi="Times New Roman" w:cs="Times New Roman" w:eastAsia="Times New Roman" w:hint="default"/>
          <w:spacing w:val="3"/>
          <w:position w:val="9"/>
          <w:sz w:val="24"/>
          <w:szCs w:val="24"/>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16.9%</w:t>
      </w:r>
    </w:p>
    <w:p>
      <w:pPr>
        <w:pStyle w:val="Heading6"/>
        <w:spacing w:line="240" w:lineRule="auto" w:before="281"/>
        <w:ind w:left="310" w:right="0"/>
        <w:jc w:val="left"/>
        <w:rPr>
          <w:i w:val="0"/>
        </w:rPr>
      </w:pPr>
      <w:r>
        <w:rPr>
          <w:i/>
          <w:w w:val="101"/>
        </w:rPr>
        <w:t>E</w:t>
      </w:r>
      <w:r>
        <w:rPr>
          <w:i w:val="0"/>
        </w:rPr>
      </w:r>
    </w:p>
    <w:p>
      <w:pPr>
        <w:spacing w:line="240" w:lineRule="auto" w:before="11"/>
        <w:rPr>
          <w:rFonts w:ascii="Times New Roman" w:hAnsi="Times New Roman" w:cs="Times New Roman" w:eastAsia="Times New Roman" w:hint="default"/>
          <w:i/>
          <w:sz w:val="2"/>
          <w:szCs w:val="2"/>
        </w:rPr>
      </w:pPr>
    </w:p>
    <w:p>
      <w:pPr>
        <w:spacing w:line="20" w:lineRule="exact"/>
        <w:ind w:left="-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2pt;height:.5pt;mso-position-horizontal-relative:char;mso-position-vertical-relative:line" coordorigin="0,0" coordsize="784,10">
            <v:group style="position:absolute;left:5;top:5;width:774;height:2" coordorigin="5,5" coordsize="774,2">
              <v:shape style="position:absolute;left:5;top:5;width:774;height:2" coordorigin="5,5" coordsize="774,0" path="m5,5l778,5e" filled="false" stroked="true" strokeweight=".497958pt" strokecolor="#000000">
                <v:path arrowok="t"/>
              </v:shape>
            </v:group>
          </v:group>
        </w:pict>
      </w:r>
      <w:r>
        <w:rPr>
          <w:rFonts w:ascii="Times New Roman" w:hAnsi="Times New Roman" w:cs="Times New Roman" w:eastAsia="Times New Roman" w:hint="default"/>
          <w:sz w:val="2"/>
          <w:szCs w:val="2"/>
        </w:rPr>
      </w:r>
    </w:p>
    <w:p>
      <w:pPr>
        <w:spacing w:before="0"/>
        <w:ind w:left="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position w:val="9"/>
          <w:sz w:val="24"/>
          <w:szCs w:val="24"/>
        </w:rPr>
        <w:t>(</w:t>
      </w:r>
      <w:r>
        <w:rPr>
          <w:rFonts w:ascii="Times New Roman" w:hAnsi="Times New Roman" w:cs="Times New Roman" w:eastAsia="Times New Roman" w:hint="default"/>
          <w:i/>
          <w:spacing w:val="5"/>
          <w:position w:val="9"/>
          <w:sz w:val="24"/>
          <w:szCs w:val="24"/>
        </w:rPr>
        <w:t>E </w:t>
      </w:r>
      <w:r>
        <w:rPr>
          <w:rFonts w:ascii="Symbol" w:hAnsi="Symbol" w:cs="Symbol" w:eastAsia="Symbol" w:hint="default"/>
          <w:position w:val="9"/>
          <w:sz w:val="24"/>
          <w:szCs w:val="24"/>
        </w:rPr>
        <w:t></w:t>
      </w:r>
      <w:r>
        <w:rPr>
          <w:rFonts w:ascii="Times New Roman" w:hAnsi="Times New Roman" w:cs="Times New Roman" w:eastAsia="Times New Roman" w:hint="default"/>
          <w:position w:val="9"/>
          <w:sz w:val="24"/>
          <w:szCs w:val="24"/>
        </w:rPr>
      </w:r>
      <w:r>
        <w:rPr>
          <w:rFonts w:ascii="Times New Roman" w:hAnsi="Times New Roman" w:cs="Times New Roman" w:eastAsia="Times New Roman" w:hint="default"/>
          <w:i/>
          <w:position w:val="9"/>
          <w:sz w:val="24"/>
          <w:szCs w:val="24"/>
        </w:rPr>
        <w:t>D</w:t>
      </w:r>
      <w:r>
        <w:rPr>
          <w:rFonts w:ascii="Times New Roman" w:hAnsi="Times New Roman" w:cs="Times New Roman" w:eastAsia="Times New Roman" w:hint="default"/>
          <w:position w:val="9"/>
          <w:sz w:val="24"/>
          <w:szCs w:val="24"/>
        </w:rPr>
        <w:t>)</w:t>
      </w:r>
      <w:r>
        <w:rPr>
          <w:rFonts w:ascii="Times New Roman" w:hAnsi="Times New Roman" w:cs="Times New Roman" w:eastAsia="Times New Roman" w:hint="default"/>
          <w:spacing w:val="6"/>
          <w:position w:val="9"/>
          <w:sz w:val="24"/>
          <w:szCs w:val="24"/>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83.1%</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1046" w:space="40"/>
            <w:col w:w="9844"/>
          </w:cols>
        </w:sectPr>
      </w:pPr>
    </w:p>
    <w:p>
      <w:pPr>
        <w:spacing w:line="240" w:lineRule="auto" w:before="5"/>
        <w:rPr>
          <w:rFonts w:ascii="Times New Roman" w:hAnsi="Times New Roman" w:cs="Times New Roman" w:eastAsia="Times New Roman" w:hint="default"/>
          <w:sz w:val="11"/>
          <w:szCs w:val="11"/>
        </w:rPr>
      </w:pPr>
    </w:p>
    <w:p>
      <w:pPr>
        <w:pStyle w:val="BodyText"/>
        <w:spacing w:line="240" w:lineRule="auto" w:before="44"/>
        <w:ind w:left="514" w:right="0"/>
        <w:jc w:val="left"/>
      </w:pPr>
      <w:r>
        <w:rPr/>
        <w:t>⑨税后折现率计算</w:t>
      </w:r>
    </w:p>
    <w:p>
      <w:pPr>
        <w:pStyle w:val="BodyText"/>
        <w:spacing w:line="240" w:lineRule="auto" w:before="116"/>
        <w:ind w:left="514" w:right="0"/>
        <w:jc w:val="left"/>
      </w:pPr>
      <w:r>
        <w:rPr>
          <w:rFonts w:ascii="Times New Roman" w:hAnsi="Times New Roman" w:cs="Times New Roman" w:eastAsia="Times New Roman" w:hint="default"/>
        </w:rPr>
        <w:t>R</w:t>
      </w:r>
      <w:r>
        <w:rPr>
          <w:rFonts w:ascii="Times New Roman" w:hAnsi="Times New Roman" w:cs="Times New Roman" w:eastAsia="Times New Roman" w:hint="default"/>
          <w:spacing w:val="-20"/>
        </w:rPr>
        <w:t> </w:t>
      </w:r>
      <w:r>
        <w:rPr/>
        <w:t>税后</w:t>
      </w:r>
      <w:r>
        <w:rPr>
          <w:rFonts w:ascii="Times New Roman" w:hAnsi="Times New Roman" w:cs="Times New Roman" w:eastAsia="Times New Roman" w:hint="default"/>
        </w:rPr>
        <w:t>=Rd×</w:t>
      </w:r>
      <w:r>
        <w:rPr/>
        <w:t>（</w:t>
      </w:r>
      <w:r>
        <w:rPr>
          <w:rFonts w:ascii="Times New Roman" w:hAnsi="Times New Roman" w:cs="Times New Roman" w:eastAsia="Times New Roman" w:hint="default"/>
        </w:rPr>
        <w:t>1-T</w:t>
      </w:r>
      <w:r>
        <w:rPr/>
        <w:t>）</w:t>
      </w:r>
      <w:r>
        <w:rPr>
          <w:rFonts w:ascii="Times New Roman" w:hAnsi="Times New Roman" w:cs="Times New Roman" w:eastAsia="Times New Roman" w:hint="default"/>
        </w:rPr>
        <w:t>×Wd+Re×We=12.0%</w:t>
      </w:r>
      <w:r>
        <w:rPr/>
        <w:t>。</w:t>
      </w:r>
    </w:p>
    <w:p>
      <w:pPr>
        <w:pStyle w:val="BodyText"/>
        <w:spacing w:line="240" w:lineRule="auto" w:before="103"/>
        <w:ind w:left="514" w:right="0"/>
        <w:jc w:val="left"/>
      </w:pPr>
      <w:r>
        <w:rPr/>
        <w:t>⑩税前折现率计算</w:t>
      </w:r>
    </w:p>
    <w:p>
      <w:pPr>
        <w:pStyle w:val="BodyText"/>
        <w:spacing w:line="240" w:lineRule="auto" w:before="116"/>
        <w:ind w:left="514" w:right="0"/>
        <w:jc w:val="left"/>
      </w:pPr>
      <w:r>
        <w:rPr>
          <w:rFonts w:ascii="Times New Roman" w:hAnsi="Times New Roman" w:cs="Times New Roman" w:eastAsia="Times New Roman" w:hint="default"/>
        </w:rPr>
        <w:t>R </w:t>
      </w:r>
      <w:r>
        <w:rPr/>
        <w:t>税前</w:t>
      </w:r>
      <w:r>
        <w:rPr>
          <w:rFonts w:ascii="Times New Roman" w:hAnsi="Times New Roman" w:cs="Times New Roman" w:eastAsia="Times New Roman" w:hint="default"/>
        </w:rPr>
        <w:t>=R</w:t>
      </w:r>
      <w:r>
        <w:rPr>
          <w:rFonts w:ascii="Times New Roman" w:hAnsi="Times New Roman" w:cs="Times New Roman" w:eastAsia="Times New Roman" w:hint="default"/>
          <w:spacing w:val="-1"/>
        </w:rPr>
        <w:t> </w:t>
      </w:r>
      <w:r>
        <w:rPr/>
        <w:t>税后÷（</w:t>
      </w:r>
      <w:r>
        <w:rPr>
          <w:rFonts w:ascii="Times New Roman" w:hAnsi="Times New Roman" w:cs="Times New Roman" w:eastAsia="Times New Roman" w:hint="default"/>
        </w:rPr>
        <w:t>1-T</w:t>
      </w:r>
      <w:r>
        <w:rPr/>
        <w:t>）</w:t>
      </w:r>
    </w:p>
    <w:p>
      <w:pPr>
        <w:pStyle w:val="BodyText"/>
        <w:spacing w:line="240" w:lineRule="auto" w:before="103"/>
        <w:ind w:left="866" w:right="0"/>
        <w:jc w:val="left"/>
      </w:pPr>
      <w:r>
        <w:rPr>
          <w:rFonts w:ascii="Times New Roman" w:hAnsi="Times New Roman" w:cs="Times New Roman" w:eastAsia="Times New Roman" w:hint="default"/>
        </w:rPr>
        <w:t>=12.0%</w:t>
      </w:r>
      <w:r>
        <w:rPr/>
        <w:t>÷（</w:t>
      </w:r>
      <w:r>
        <w:rPr>
          <w:rFonts w:ascii="Times New Roman" w:hAnsi="Times New Roman" w:cs="Times New Roman" w:eastAsia="Times New Roman" w:hint="default"/>
        </w:rPr>
        <w:t>1-15%</w:t>
      </w:r>
      <w:r>
        <w:rPr/>
        <w:t>）</w:t>
      </w:r>
    </w:p>
    <w:p>
      <w:pPr>
        <w:pStyle w:val="BodyText"/>
        <w:spacing w:line="240" w:lineRule="auto" w:before="143"/>
        <w:ind w:left="0" w:right="8534"/>
        <w:jc w:val="center"/>
        <w:rPr>
          <w:rFonts w:ascii="Times New Roman" w:hAnsi="Times New Roman" w:cs="Times New Roman" w:eastAsia="Times New Roman" w:hint="default"/>
        </w:rPr>
      </w:pPr>
      <w:r>
        <w:rPr>
          <w:rFonts w:ascii="Times New Roman"/>
        </w:rPr>
        <w:t>=14.10%</w:t>
      </w:r>
    </w:p>
    <w:p>
      <w:pPr>
        <w:pStyle w:val="BodyText"/>
        <w:spacing w:line="338" w:lineRule="auto" w:before="105"/>
        <w:ind w:left="514" w:right="0"/>
        <w:jc w:val="left"/>
      </w:pPr>
      <w:r>
        <w:rPr/>
        <w:t>（</w:t>
      </w:r>
      <w:r>
        <w:rPr>
          <w:rFonts w:ascii="Times New Roman" w:hAnsi="Times New Roman" w:cs="Times New Roman" w:eastAsia="Times New Roman" w:hint="default"/>
        </w:rPr>
        <w:t>3</w:t>
      </w:r>
      <w:r>
        <w:rPr/>
        <w:t>）收益期与预测期的确定 </w:t>
      </w:r>
      <w:r>
        <w:rPr>
          <w:spacing w:val="-2"/>
        </w:rPr>
        <w:t>在对企业收入结构、成本结构、资本结构、资本性支出、投资收益和风险水平等综合分析的基础上，结合宏观政策、行</w:t>
      </w:r>
    </w:p>
    <w:p>
      <w:pPr>
        <w:pStyle w:val="BodyText"/>
        <w:spacing w:line="340" w:lineRule="auto" w:before="4"/>
        <w:ind w:left="514" w:right="3194" w:hanging="360"/>
        <w:jc w:val="left"/>
      </w:pPr>
      <w:r>
        <w:rPr/>
        <w:t>业周期及其他影响企业进入稳定期的因素，确定预测期。本次明确的预测期期间</w:t>
      </w:r>
      <w:r>
        <w:rPr>
          <w:spacing w:val="-45"/>
        </w:rPr>
        <w:t> </w:t>
      </w:r>
      <w:r>
        <w:rPr>
          <w:rFonts w:ascii="Times New Roman" w:hAnsi="Times New Roman" w:cs="Times New Roman" w:eastAsia="Times New Roman" w:hint="default"/>
        </w:rPr>
        <w:t>n </w:t>
      </w:r>
      <w:r>
        <w:rPr/>
        <w:t>选择为</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 未来各类型业务收入的预测以企业 </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  </w:t>
      </w:r>
      <w:r>
        <w:rPr/>
        <w:t>年数据为基础，并</w:t>
      </w:r>
    </w:p>
    <w:p>
      <w:pPr>
        <w:pStyle w:val="BodyText"/>
        <w:spacing w:line="240" w:lineRule="auto" w:before="18"/>
        <w:ind w:right="0"/>
        <w:jc w:val="left"/>
      </w:pPr>
      <w:r>
        <w:rPr/>
        <w:t>结合上述对企业市场情况的分析和企业 </w:t>
      </w:r>
      <w:r>
        <w:rPr>
          <w:rFonts w:ascii="Times New Roman" w:hAnsi="Times New Roman" w:cs="Times New Roman" w:eastAsia="Times New Roman" w:hint="default"/>
        </w:rPr>
        <w:t>2019  </w:t>
      </w:r>
      <w:r>
        <w:rPr/>
        <w:t>年的预算情况对未来收入进行预测。</w:t>
      </w:r>
    </w:p>
    <w:p>
      <w:pPr>
        <w:pStyle w:val="BodyText"/>
        <w:spacing w:line="316" w:lineRule="auto" w:before="102"/>
        <w:ind w:left="514" w:right="0"/>
        <w:jc w:val="left"/>
      </w:pPr>
      <w:r>
        <w:rPr/>
        <w:t>②本次预测营业成本时按以下假设条件进行的： </w:t>
      </w:r>
      <w:r>
        <w:rPr>
          <w:spacing w:val="-4"/>
        </w:rPr>
        <w:t>被评估企业目前及未来的管理层合法合规、尽职地履行经营管理职能，不会出现严重影响企业发展或损害股东利益情形，</w:t>
      </w:r>
    </w:p>
    <w:p>
      <w:pPr>
        <w:pStyle w:val="BodyText"/>
        <w:spacing w:line="398" w:lineRule="auto" w:before="57"/>
        <w:ind w:left="514" w:right="1121" w:hanging="360"/>
        <w:jc w:val="left"/>
      </w:pPr>
      <w:r>
        <w:rPr/>
        <w:t>并继续保持现有的经营管理模式。 评估企业各项业务相关经营资质在有效期届满后能顺利通过有关部门的审批并持续有效。 被评估企业于评估基准日后采用的会计政策和编写本评估报告时所采用的会计政策在重要方面保持一致。 被评估企业目前位于北京市海淀区学院南路</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号北师大科技园孵化大厦</w:t>
      </w:r>
      <w:r>
        <w:rPr>
          <w:spacing w:val="-37"/>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层，西城区新街口外大街</w:t>
      </w:r>
      <w:r>
        <w:rPr>
          <w:spacing w:val="-3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号</w:t>
      </w:r>
      <w:r>
        <w:rPr>
          <w:spacing w:val="-37"/>
        </w:rPr>
        <w:t> </w:t>
      </w:r>
      <w:r>
        <w:rPr>
          <w:rFonts w:ascii="Times New Roman" w:hAnsi="Times New Roman" w:cs="Times New Roman" w:eastAsia="Times New Roman" w:hint="default"/>
        </w:rPr>
        <w:t>B</w:t>
      </w:r>
      <w:r>
        <w:rPr>
          <w:rFonts w:ascii="Times New Roman" w:hAnsi="Times New Roman" w:cs="Times New Roman" w:eastAsia="Times New Roman" w:hint="default"/>
          <w:spacing w:val="7"/>
        </w:rPr>
        <w:t> </w:t>
      </w:r>
      <w:r>
        <w:rPr/>
        <w:t>座</w:t>
      </w:r>
    </w:p>
    <w:p>
      <w:pPr>
        <w:pStyle w:val="BodyText"/>
        <w:spacing w:line="219"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510</w:t>
      </w:r>
      <w:r>
        <w:rPr>
          <w:rFonts w:ascii="Times New Roman" w:hAnsi="Times New Roman" w:cs="Times New Roman" w:eastAsia="Times New Roman" w:hint="default"/>
          <w:spacing w:val="9"/>
        </w:rPr>
        <w:t> </w:t>
      </w:r>
      <w:r>
        <w:rPr/>
        <w:t>号的生产经营场所系租赁取得，其中，北京市海淀区学院南路</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号北师大科技园孵化大厦</w:t>
      </w:r>
      <w:r>
        <w:rPr>
          <w:spacing w:val="-36"/>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层</w:t>
      </w:r>
      <w:r>
        <w:rPr>
          <w:spacing w:val="-36"/>
        </w:rPr>
        <w:t> </w:t>
      </w:r>
      <w:r>
        <w:rPr>
          <w:rFonts w:ascii="Times New Roman" w:hAnsi="Times New Roman" w:cs="Times New Roman" w:eastAsia="Times New Roman" w:hint="default"/>
        </w:rPr>
        <w:t>2023</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28</w:t>
      </w:r>
    </w:p>
    <w:p>
      <w:pPr>
        <w:pStyle w:val="BodyText"/>
        <w:spacing w:line="240" w:lineRule="auto" w:before="100"/>
        <w:ind w:right="0"/>
        <w:jc w:val="left"/>
      </w:pPr>
      <w:r>
        <w:rPr/>
        <w:t>日到期；西城区新街口外大街</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号</w:t>
      </w:r>
      <w:r>
        <w:rPr>
          <w:spacing w:val="-40"/>
        </w:rPr>
        <w:t> </w:t>
      </w:r>
      <w:r>
        <w:rPr>
          <w:rFonts w:ascii="Times New Roman" w:hAnsi="Times New Roman" w:cs="Times New Roman" w:eastAsia="Times New Roman" w:hint="default"/>
        </w:rPr>
        <w:t>B</w:t>
      </w:r>
      <w:r>
        <w:rPr>
          <w:rFonts w:ascii="Times New Roman" w:hAnsi="Times New Roman" w:cs="Times New Roman" w:eastAsia="Times New Roman" w:hint="default"/>
          <w:spacing w:val="5"/>
        </w:rPr>
        <w:t> </w:t>
      </w:r>
      <w:r>
        <w:rPr/>
        <w:t>座</w:t>
      </w:r>
      <w:r>
        <w:rPr>
          <w:spacing w:val="-40"/>
        </w:rPr>
        <w:t> </w:t>
      </w:r>
      <w:r>
        <w:rPr>
          <w:rFonts w:ascii="Times New Roman" w:hAnsi="Times New Roman" w:cs="Times New Roman" w:eastAsia="Times New Roman" w:hint="default"/>
        </w:rPr>
        <w:t>510</w:t>
      </w:r>
      <w:r>
        <w:rPr>
          <w:rFonts w:ascii="Times New Roman" w:hAnsi="Times New Roman" w:cs="Times New Roman" w:eastAsia="Times New Roman" w:hint="default"/>
          <w:spacing w:val="5"/>
        </w:rPr>
        <w:t> </w:t>
      </w:r>
      <w:r>
        <w:rPr/>
        <w:t>号</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日到期；联动优势电子商务有限公司山东分公司办公场所</w:t>
      </w:r>
    </w:p>
    <w:p>
      <w:pPr>
        <w:pStyle w:val="BodyText"/>
        <w:spacing w:line="240" w:lineRule="auto" w:before="101"/>
        <w:ind w:right="0"/>
        <w:jc w:val="left"/>
      </w:pPr>
      <w:r>
        <w:rPr/>
        <w:t>为联动优势电子商务有限公司租赁王淼坐落在济南市市中区顺河街 </w:t>
      </w:r>
      <w:r>
        <w:rPr>
          <w:rFonts w:ascii="Times New Roman" w:hAnsi="Times New Roman" w:cs="Times New Roman" w:eastAsia="Times New Roman" w:hint="default"/>
        </w:rPr>
        <w:t>66  </w:t>
      </w:r>
      <w:r>
        <w:rPr/>
        <w:t>号银座晶都国际广场 </w:t>
      </w:r>
      <w:r>
        <w:rPr>
          <w:rFonts w:ascii="Times New Roman" w:hAnsi="Times New Roman" w:cs="Times New Roman" w:eastAsia="Times New Roman" w:hint="default"/>
        </w:rPr>
        <w:t>1-1109</w:t>
      </w:r>
      <w:r>
        <w:rPr>
          <w:rFonts w:ascii="Times New Roman" w:hAnsi="Times New Roman" w:cs="Times New Roman" w:eastAsia="Times New Roman" w:hint="default"/>
          <w:spacing w:val="-6"/>
        </w:rPr>
        <w:t> </w:t>
      </w:r>
      <w:r>
        <w:rPr/>
        <w:t>室的房屋，租赁面积为</w:t>
      </w:r>
    </w:p>
    <w:p>
      <w:pPr>
        <w:pStyle w:val="BodyText"/>
        <w:spacing w:line="338" w:lineRule="auto" w:before="101"/>
        <w:ind w:right="0"/>
        <w:jc w:val="left"/>
      </w:pPr>
      <w:r>
        <w:rPr>
          <w:rFonts w:ascii="Times New Roman" w:hAnsi="Times New Roman" w:cs="Times New Roman" w:eastAsia="Times New Roman" w:hint="default"/>
        </w:rPr>
        <w:t>188.65</w:t>
      </w:r>
      <w:r>
        <w:rPr>
          <w:rFonts w:ascii="Times New Roman" w:hAnsi="Times New Roman" w:cs="Times New Roman" w:eastAsia="Times New Roman" w:hint="default"/>
          <w:spacing w:val="-4"/>
        </w:rPr>
        <w:t> </w:t>
      </w:r>
      <w:r>
        <w:rPr>
          <w:spacing w:val="-1"/>
        </w:rPr>
        <w:t>平方米</w:t>
      </w:r>
      <w:r>
        <w:rPr>
          <w:rFonts w:ascii="Times New Roman" w:hAnsi="Times New Roman" w:cs="Times New Roman" w:eastAsia="Times New Roman" w:hint="default"/>
          <w:spacing w:val="-1"/>
        </w:rPr>
        <w:t>,</w:t>
      </w:r>
      <w:r>
        <w:rPr>
          <w:spacing w:val="-1"/>
        </w:rPr>
        <w:t>租赁期限自</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05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日至</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05</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15"/>
        </w:rPr>
        <w:t>日，年租金为</w:t>
      </w:r>
      <w:r>
        <w:rPr>
          <w:spacing w:val="-50"/>
        </w:rPr>
        <w:t> </w:t>
      </w:r>
      <w:r>
        <w:rPr>
          <w:rFonts w:ascii="Times New Roman" w:hAnsi="Times New Roman" w:cs="Times New Roman" w:eastAsia="Times New Roman" w:hint="default"/>
        </w:rPr>
        <w:t>26.25</w:t>
      </w:r>
      <w:r>
        <w:rPr>
          <w:rFonts w:ascii="Times New Roman" w:hAnsi="Times New Roman" w:cs="Times New Roman" w:eastAsia="Times New Roman" w:hint="default"/>
          <w:spacing w:val="-5"/>
        </w:rPr>
        <w:t> </w:t>
      </w:r>
      <w:r>
        <w:rPr>
          <w:spacing w:val="-6"/>
        </w:rPr>
        <w:t>万元。本次评估假设该租赁合同到期后，</w:t>
      </w:r>
      <w:r>
        <w:rPr/>
        <w:t> 被评估企业能按租赁合同的约定条件获得续签继续使用，或届时能以市场租金价格水平获取类似条件和规模的经营场所。</w:t>
      </w:r>
    </w:p>
    <w:p>
      <w:pPr>
        <w:pStyle w:val="BodyText"/>
        <w:spacing w:line="336" w:lineRule="auto" w:before="119"/>
        <w:ind w:right="1032" w:firstLine="360"/>
        <w:jc w:val="left"/>
      </w:pPr>
      <w:r>
        <w:rPr/>
        <w:t>联动商务《高新技术企业证书》取得日期为</w:t>
      </w:r>
      <w:r>
        <w:rPr>
          <w:spacing w:val="-44"/>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日，有效期为</w:t>
      </w:r>
      <w:r>
        <w:rPr>
          <w:spacing w:val="-45"/>
        </w:rPr>
        <w:t> </w:t>
      </w:r>
      <w:r>
        <w:rPr>
          <w:rFonts w:ascii="Times New Roman" w:hAnsi="Times New Roman" w:cs="Times New Roman" w:eastAsia="Times New Roman" w:hint="default"/>
        </w:rPr>
        <w:t>3 </w:t>
      </w:r>
      <w:r>
        <w:rPr/>
        <w:t>年。假设未来现行高新技术企业认定的相 关法律法规无重大变化，评估师对企业目前的主营业务类型、研发人员构成、未来的研发投入占收入比等指标进行分析后，</w:t>
      </w:r>
    </w:p>
    <w:p>
      <w:pPr>
        <w:spacing w:after="0" w:line="336" w:lineRule="auto"/>
        <w:jc w:val="left"/>
        <w:sectPr>
          <w:type w:val="continuous"/>
          <w:pgSz w:w="11910" w:h="16840"/>
          <w:pgMar w:top="1060" w:bottom="116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基于未来合理的经营假设，认为该公司基本具备持续获得高新技术企业认定的条件，能够持续享受所得税优惠政策。</w:t>
      </w:r>
    </w:p>
    <w:p>
      <w:pPr>
        <w:pStyle w:val="BodyText"/>
        <w:spacing w:line="357" w:lineRule="auto" w:before="153"/>
        <w:ind w:right="1132" w:firstLine="360"/>
        <w:jc w:val="both"/>
      </w:pPr>
      <w:r>
        <w:rPr>
          <w:spacing w:val="-2"/>
        </w:rPr>
        <w:t>③税金及附加的预测主要是根据浙联动科技应缴增值税计算城建税、教育费附加及地方教育费附加，增值税根据销项税</w:t>
      </w:r>
      <w:r>
        <w:rPr/>
        <w:t> 减去可抵扣进项税缴纳，其中增值税税率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6%</w:t>
      </w:r>
      <w:r>
        <w:rPr/>
        <w:t>，城建税税率为 </w:t>
      </w:r>
      <w:r>
        <w:rPr>
          <w:rFonts w:ascii="Times New Roman" w:hAnsi="Times New Roman" w:cs="Times New Roman" w:eastAsia="Times New Roman" w:hint="default"/>
        </w:rPr>
        <w:t>7%</w:t>
      </w:r>
      <w:r>
        <w:rPr/>
        <w:t>，教育费附加税率为 </w:t>
      </w:r>
      <w:r>
        <w:rPr>
          <w:rFonts w:ascii="Times New Roman" w:hAnsi="Times New Roman" w:cs="Times New Roman" w:eastAsia="Times New Roman" w:hint="default"/>
        </w:rPr>
        <w:t>5%</w:t>
      </w:r>
      <w:r>
        <w:rPr/>
        <w:t>。</w:t>
      </w:r>
    </w:p>
    <w:p>
      <w:pPr>
        <w:pStyle w:val="BodyText"/>
        <w:spacing w:line="357" w:lineRule="auto" w:before="42"/>
        <w:ind w:right="1131" w:firstLine="360"/>
        <w:jc w:val="both"/>
      </w:pPr>
      <w:r>
        <w:rPr>
          <w:spacing w:val="-2"/>
        </w:rPr>
        <w:t>④销售费用核算内容主要是销售人员工资及福利费、业务宣传费、差旅费、和办公费等内容。本次估值中对营业费用的</w:t>
      </w:r>
      <w:r>
        <w:rPr/>
        <w:t> </w:t>
      </w:r>
      <w:r>
        <w:rPr>
          <w:spacing w:val="-2"/>
        </w:rPr>
        <w:t>预测首先是根据费用与销售收入的相关性对其进行划分为固定费用和变动费用，而对于固定费用根据企业未来的经营计划及</w:t>
      </w:r>
      <w:r>
        <w:rPr>
          <w:spacing w:val="-64"/>
        </w:rPr>
        <w:t> </w:t>
      </w:r>
      <w:r>
        <w:rPr>
          <w:spacing w:val="-64"/>
        </w:rPr>
      </w:r>
      <w:r>
        <w:rPr/>
        <w:t>费用发生的合理性进行分析后进行预测：对于变动费用，根据该类费用发生与业务量的依存关系进行预测。</w:t>
      </w:r>
    </w:p>
    <w:p>
      <w:pPr>
        <w:pStyle w:val="BodyText"/>
        <w:spacing w:line="357" w:lineRule="auto" w:before="65"/>
        <w:ind w:right="1131" w:firstLine="360"/>
        <w:jc w:val="both"/>
      </w:pPr>
      <w:r>
        <w:rPr>
          <w:spacing w:val="-2"/>
        </w:rPr>
        <w:t>⑤对管理费用的预测首先是根据管理费用与销售收入的相关性对其进行划分为固定费用和变动费用，而对于固定费用根</w:t>
      </w:r>
      <w:r>
        <w:rPr/>
        <w:t> 据企业未来的经营计划及费用发生</w:t>
      </w:r>
    </w:p>
    <w:p>
      <w:pPr>
        <w:pStyle w:val="BodyText"/>
        <w:spacing w:line="240" w:lineRule="auto" w:before="107"/>
        <w:ind w:right="0"/>
        <w:jc w:val="left"/>
      </w:pPr>
      <w:r>
        <w:rPr/>
        <w:t>的合理性进行分析后进行预测。对于变动费用，根据该类费用发生与业务量的依存关系进行预测。</w:t>
      </w:r>
    </w:p>
    <w:p>
      <w:pPr>
        <w:pStyle w:val="BodyText"/>
        <w:spacing w:line="319" w:lineRule="auto" w:before="115"/>
        <w:ind w:right="1129" w:firstLine="360"/>
        <w:jc w:val="both"/>
      </w:pPr>
      <w:r>
        <w:rPr/>
        <w:t>⑥根据资产组中各类机器设备的经济寿命及尚可使用年限，确定预测年度资本性支出为存量资产的更新支出。</w:t>
      </w:r>
      <w:r>
        <w:rPr>
          <w:spacing w:val="9"/>
        </w:rPr>
        <w:t> </w:t>
      </w:r>
      <w:r>
        <w:rPr/>
        <w:t>企业采</w:t>
      </w:r>
      <w:r>
        <w:rPr/>
        <w:t> 用年限直线折旧法计提固定资产折旧，折旧额计算公式如下：</w:t>
      </w:r>
    </w:p>
    <w:p>
      <w:pPr>
        <w:pStyle w:val="BodyText"/>
        <w:spacing w:line="338" w:lineRule="auto" w:before="56"/>
        <w:ind w:left="514" w:right="0"/>
        <w:jc w:val="left"/>
      </w:pPr>
      <w:r>
        <w:rPr/>
        <w:t>未来各年度折旧额</w:t>
      </w:r>
      <w:r>
        <w:rPr>
          <w:rFonts w:ascii="Times New Roman" w:hAnsi="Times New Roman" w:cs="Times New Roman" w:eastAsia="Times New Roman" w:hint="default"/>
        </w:rPr>
        <w:t>=</w:t>
      </w:r>
      <w:r>
        <w:rPr/>
        <w:t>当年固定资产平均原值×折旧率 </w:t>
      </w:r>
      <w:r>
        <w:rPr>
          <w:spacing w:val="-2"/>
        </w:rPr>
        <w:t>折旧的预测：根据当年新增的固定资产和减少的固定资产以及折旧率计算未来年度固定资产计提的折旧，其中新增固定</w:t>
      </w:r>
    </w:p>
    <w:p>
      <w:pPr>
        <w:pStyle w:val="BodyText"/>
        <w:spacing w:line="319" w:lineRule="auto" w:before="2"/>
        <w:ind w:right="0"/>
        <w:jc w:val="left"/>
      </w:pPr>
      <w:r>
        <w:rPr>
          <w:spacing w:val="-2"/>
        </w:rPr>
        <w:t>资产来源于当年的资本性支出。根据企业现有设备原值与设备使用年限，固定资产减少量按设备使用年限计算。根据企业固</w:t>
      </w:r>
      <w:r>
        <w:rPr>
          <w:spacing w:val="-66"/>
        </w:rPr>
        <w:t> </w:t>
      </w:r>
      <w:r>
        <w:rPr>
          <w:spacing w:val="-66"/>
        </w:rPr>
      </w:r>
      <w:r>
        <w:rPr/>
        <w:t>定资产账面值、资本性支出、折旧率等数据，预测未来年度的折旧费。</w:t>
      </w:r>
    </w:p>
    <w:p>
      <w:pPr>
        <w:pStyle w:val="BodyText"/>
        <w:spacing w:line="319" w:lineRule="auto" w:before="55"/>
        <w:ind w:right="1131" w:firstLine="360"/>
        <w:jc w:val="both"/>
      </w:pPr>
      <w:r>
        <w:rPr>
          <w:spacing w:val="-2"/>
        </w:rPr>
        <w:t>⑦无形资产摊销内容主要是长期待摊费用的摊销，根据长期待摊费用取得时间、原始入账价值、账面价值、预计摊销时</w:t>
      </w:r>
      <w:r>
        <w:rPr/>
        <w:t> 间等数据，预测各项资产未来年度的摊销值。</w:t>
      </w:r>
    </w:p>
    <w:p>
      <w:pPr>
        <w:pStyle w:val="BodyText"/>
        <w:spacing w:line="319" w:lineRule="auto" w:before="55"/>
        <w:ind w:right="1133" w:firstLine="360"/>
        <w:jc w:val="both"/>
      </w:pPr>
      <w:r>
        <w:rPr>
          <w:spacing w:val="-2"/>
        </w:rPr>
        <w:t>⑧营运资金增加额：系指企业在不改变当前主营业务条件下，为保持企业持续经营能力所需的新增营运资金。营运资金</w:t>
      </w:r>
      <w:r>
        <w:rPr/>
        <w:t> </w:t>
      </w:r>
      <w:r>
        <w:rPr>
          <w:spacing w:val="-2"/>
        </w:rPr>
        <w:t>的追加是指随着企业经营活动的变化，获取他人的商业信用而占用的现金，正常经营所需保持的现金、存货等；同时，在经</w:t>
      </w:r>
      <w:r>
        <w:rPr>
          <w:spacing w:val="-66"/>
        </w:rPr>
        <w:t> </w:t>
      </w:r>
      <w:r>
        <w:rPr>
          <w:spacing w:val="-66"/>
        </w:rPr>
      </w:r>
      <w:r>
        <w:rPr/>
        <w:t>济活动中，提供商业信用，相应可以减少现金的即时支付。</w:t>
      </w:r>
    </w:p>
    <w:p>
      <w:pPr>
        <w:pStyle w:val="BodyText"/>
        <w:spacing w:line="319" w:lineRule="auto" w:before="57"/>
        <w:ind w:right="1131" w:firstLine="360"/>
        <w:jc w:val="both"/>
      </w:pPr>
      <w:r>
        <w:rPr>
          <w:spacing w:val="-5"/>
        </w:rPr>
        <w:t>资产组营运资本主要包括：正常经营所需保持的安全现金保有量、产品存货购置、代客户垫付购货款（应收、预付账款）</w:t>
      </w:r>
      <w:r>
        <w:rPr/>
        <w:t> </w:t>
      </w:r>
      <w:r>
        <w:rPr>
          <w:spacing w:val="-2"/>
        </w:rPr>
        <w:t>等所需的基本资金以及应付、预收账款等。通常上述科目的金额与收入、成本呈相对稳定的比例关系，其他应收账款和其他</w:t>
      </w:r>
      <w:r>
        <w:rPr>
          <w:spacing w:val="-66"/>
        </w:rPr>
        <w:t> </w:t>
      </w:r>
      <w:r>
        <w:rPr>
          <w:spacing w:val="-66"/>
        </w:rPr>
      </w:r>
      <w:r>
        <w:rPr>
          <w:spacing w:val="-2"/>
        </w:rPr>
        <w:t>应付账款需具体甄别视其与所估算经营业务的相关性确定（其中与主营业务无关或暂时性的往来作为非经营性）；应交税金</w:t>
      </w:r>
      <w:r>
        <w:rPr>
          <w:spacing w:val="-64"/>
        </w:rPr>
        <w:t> </w:t>
      </w:r>
      <w:r>
        <w:rPr>
          <w:spacing w:val="-64"/>
        </w:rPr>
      </w:r>
      <w:r>
        <w:rPr/>
        <w:t>和应付薪酬因周转快，按各年预测数据确定。本报告所定义的营运资本增加额为：</w:t>
      </w:r>
    </w:p>
    <w:p>
      <w:pPr>
        <w:pStyle w:val="BodyText"/>
        <w:spacing w:line="240" w:lineRule="auto" w:before="56"/>
        <w:ind w:left="514" w:right="0"/>
        <w:jc w:val="left"/>
      </w:pPr>
      <w:r>
        <w:rPr/>
        <w:t>营运资本增加额</w:t>
      </w:r>
      <w:r>
        <w:rPr>
          <w:rFonts w:ascii="Times New Roman" w:hAnsi="Times New Roman" w:cs="Times New Roman" w:eastAsia="Times New Roman" w:hint="default"/>
        </w:rPr>
        <w:t>=</w:t>
      </w:r>
      <w:r>
        <w:rPr/>
        <w:t>当期营运资本</w:t>
      </w:r>
      <w:r>
        <w:rPr>
          <w:rFonts w:ascii="Times New Roman" w:hAnsi="Times New Roman" w:cs="Times New Roman" w:eastAsia="Times New Roman" w:hint="default"/>
        </w:rPr>
        <w:t>-</w:t>
      </w:r>
      <w:r>
        <w:rPr/>
        <w:t>上期营运资本</w:t>
      </w:r>
    </w:p>
    <w:p>
      <w:pPr>
        <w:pStyle w:val="BodyText"/>
        <w:spacing w:line="338" w:lineRule="auto" w:before="102"/>
        <w:ind w:left="514" w:right="0"/>
        <w:jc w:val="left"/>
      </w:pPr>
      <w:r>
        <w:rPr/>
        <w:t>其中，营运资本</w:t>
      </w:r>
      <w:r>
        <w:rPr>
          <w:rFonts w:ascii="Times New Roman" w:hAnsi="Times New Roman" w:cs="Times New Roman" w:eastAsia="Times New Roman" w:hint="default"/>
        </w:rPr>
        <w:t>=</w:t>
      </w:r>
      <w:r>
        <w:rPr/>
        <w:t>安全现金保有量</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预付账款</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应付账款－预收账款</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应交税费 </w:t>
      </w:r>
      <w:r>
        <w:rPr>
          <w:spacing w:val="-2"/>
        </w:rPr>
        <w:t>安全现金保有量：企业要维持正常运营，需要一定数量的现金保有量。结合分析企业以前年度营运资金的现金持有量与</w:t>
      </w:r>
    </w:p>
    <w:p>
      <w:pPr>
        <w:pStyle w:val="BodyText"/>
        <w:spacing w:line="345" w:lineRule="auto" w:before="4"/>
        <w:ind w:left="514" w:right="4272" w:hanging="360"/>
        <w:jc w:val="left"/>
      </w:pPr>
      <w:r>
        <w:rPr/>
        <w:t>付现成本情况，确定安全现金保有量的月数，根据该月数计算完全付现成本费用。 月完全付现成本</w:t>
      </w:r>
      <w:r>
        <w:rPr>
          <w:rFonts w:ascii="Times New Roman" w:hAnsi="Times New Roman" w:cs="Times New Roman" w:eastAsia="Times New Roman" w:hint="default"/>
        </w:rPr>
        <w:t>=</w:t>
      </w:r>
      <w:r>
        <w:rPr/>
        <w:t>（销售成本</w:t>
      </w:r>
      <w:r>
        <w:rPr>
          <w:rFonts w:ascii="Times New Roman" w:hAnsi="Times New Roman" w:cs="Times New Roman" w:eastAsia="Times New Roman" w:hint="default"/>
        </w:rPr>
        <w:t>+</w:t>
      </w:r>
      <w:r>
        <w:rPr/>
        <w:t>应交税金</w:t>
      </w:r>
      <w:r>
        <w:rPr>
          <w:rFonts w:ascii="Times New Roman" w:hAnsi="Times New Roman" w:cs="Times New Roman" w:eastAsia="Times New Roman" w:hint="default"/>
        </w:rPr>
        <w:t>+</w:t>
      </w:r>
      <w:r>
        <w:rPr/>
        <w:t>三项费用—折旧与摊销）</w:t>
      </w:r>
      <w:r>
        <w:rPr>
          <w:rFonts w:ascii="Times New Roman" w:hAnsi="Times New Roman" w:cs="Times New Roman" w:eastAsia="Times New Roman" w:hint="default"/>
        </w:rPr>
        <w:t>/12 </w:t>
      </w:r>
      <w:r>
        <w:rPr/>
        <w:t>应收账款＝营业收入总额</w:t>
      </w:r>
      <w:r>
        <w:rPr>
          <w:rFonts w:ascii="Times New Roman" w:hAnsi="Times New Roman" w:cs="Times New Roman" w:eastAsia="Times New Roman" w:hint="default"/>
        </w:rPr>
        <w:t>/</w:t>
      </w:r>
      <w:r>
        <w:rPr/>
        <w:t>应收款项周转率 预付账款＝营业成本总额</w:t>
      </w:r>
      <w:r>
        <w:rPr>
          <w:rFonts w:ascii="Times New Roman" w:hAnsi="Times New Roman" w:cs="Times New Roman" w:eastAsia="Times New Roman" w:hint="default"/>
        </w:rPr>
        <w:t>/</w:t>
      </w:r>
      <w:r>
        <w:rPr/>
        <w:t>预付账款周转率</w:t>
      </w:r>
    </w:p>
    <w:p>
      <w:pPr>
        <w:pStyle w:val="BodyText"/>
        <w:spacing w:line="338" w:lineRule="auto" w:before="14"/>
        <w:ind w:left="514" w:right="6820"/>
        <w:jc w:val="left"/>
      </w:pPr>
      <w:r>
        <w:rPr/>
        <w:t>存货</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存货周转率 应付账款</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应付账款周转率 预收账款＝营业收入总额</w:t>
      </w:r>
      <w:r>
        <w:rPr>
          <w:rFonts w:ascii="Times New Roman" w:hAnsi="Times New Roman" w:cs="Times New Roman" w:eastAsia="Times New Roman" w:hint="default"/>
        </w:rPr>
        <w:t>/</w:t>
      </w:r>
      <w:r>
        <w:rPr/>
        <w:t>预收账款周转率。 应付职工薪酬</w:t>
      </w:r>
      <w:r>
        <w:rPr>
          <w:rFonts w:ascii="Times New Roman" w:hAnsi="Times New Roman" w:cs="Times New Roman" w:eastAsia="Times New Roman" w:hint="default"/>
        </w:rPr>
        <w:t>=</w:t>
      </w:r>
      <w:r>
        <w:rPr/>
        <w:t>营业成本总额</w:t>
      </w:r>
      <w:r>
        <w:rPr>
          <w:rFonts w:ascii="Times New Roman" w:hAnsi="Times New Roman" w:cs="Times New Roman" w:eastAsia="Times New Roman" w:hint="default"/>
        </w:rPr>
        <w:t>/</w:t>
      </w:r>
      <w:r>
        <w:rPr/>
        <w:t>应付职工薪酬率 应交税费</w:t>
      </w:r>
      <w:r>
        <w:rPr>
          <w:rFonts w:ascii="Times New Roman" w:hAnsi="Times New Roman" w:cs="Times New Roman" w:eastAsia="Times New Roman" w:hint="default"/>
        </w:rPr>
        <w:t>=</w:t>
      </w:r>
      <w:r>
        <w:rPr/>
        <w:t>营业收入总额</w:t>
      </w:r>
      <w:r>
        <w:rPr>
          <w:rFonts w:ascii="Times New Roman" w:hAnsi="Times New Roman" w:cs="Times New Roman" w:eastAsia="Times New Roman" w:hint="default"/>
        </w:rPr>
        <w:t>/</w:t>
      </w:r>
      <w:r>
        <w:rPr/>
        <w:t>应交税费周转率。</w:t>
      </w:r>
    </w:p>
    <w:p>
      <w:pPr>
        <w:pStyle w:val="BodyText"/>
        <w:spacing w:line="357" w:lineRule="auto" w:before="22"/>
        <w:ind w:left="514" w:right="2472"/>
        <w:jc w:val="left"/>
      </w:pPr>
      <w:r>
        <w:rPr/>
        <w:t>⑨基准日运营资本净额 根据企业基准日的安全运营现金、经营性应收及应付款项，经计算资产组组合基准日运营资本净额。</w:t>
      </w:r>
    </w:p>
    <w:p>
      <w:pPr>
        <w:pStyle w:val="BodyText"/>
        <w:spacing w:line="340" w:lineRule="auto" w:before="28"/>
        <w:ind w:right="4609" w:firstLine="360"/>
        <w:jc w:val="left"/>
      </w:pPr>
      <w:r>
        <w:rPr/>
        <w:t>⑩资产组净现金流量折现值</w:t>
      </w:r>
      <w:r>
        <w:rPr>
          <w:rFonts w:ascii="Times New Roman" w:hAnsi="Times New Roman" w:cs="Times New Roman" w:eastAsia="Times New Roman" w:hint="default"/>
        </w:rPr>
        <w:t>=</w:t>
      </w:r>
      <w:r>
        <w:rPr/>
        <w:t>预测期资产组自由现金流量折现值</w:t>
      </w:r>
      <w:r>
        <w:rPr>
          <w:rFonts w:ascii="Times New Roman" w:hAnsi="Times New Roman" w:cs="Times New Roman" w:eastAsia="Times New Roman" w:hint="default"/>
        </w:rPr>
        <w:t>+</w:t>
      </w:r>
      <w:r>
        <w:rPr/>
        <w:t>预测期后 资产组自由现金流量</w:t>
      </w:r>
      <w:r>
        <w:rPr>
          <w:rFonts w:ascii="Times New Roman" w:hAnsi="Times New Roman" w:cs="Times New Roman" w:eastAsia="Times New Roman" w:hint="default"/>
        </w:rPr>
        <w:t>(</w:t>
      </w:r>
      <w:r>
        <w:rPr/>
        <w:t>终值</w:t>
      </w:r>
      <w:r>
        <w:rPr>
          <w:rFonts w:ascii="Times New Roman" w:hAnsi="Times New Roman" w:cs="Times New Roman" w:eastAsia="Times New Roman" w:hint="default"/>
        </w:rPr>
        <w:t>)</w:t>
      </w:r>
      <w:r>
        <w:rPr/>
        <w:t>折现值</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4</w:t>
      </w:r>
      <w:r>
        <w:rPr/>
        <w:t>）评估假设</w:t>
      </w:r>
    </w:p>
    <w:p>
      <w:pPr>
        <w:pStyle w:val="BodyText"/>
        <w:spacing w:line="300" w:lineRule="auto" w:before="102"/>
        <w:ind w:left="694" w:right="8862" w:hanging="181"/>
        <w:jc w:val="left"/>
      </w:pPr>
      <w:r>
        <w:rPr>
          <w:rFonts w:ascii="Times New Roman" w:hAnsi="Times New Roman" w:cs="Times New Roman" w:eastAsia="Times New Roman" w:hint="default"/>
        </w:rPr>
        <w:t>A</w:t>
      </w:r>
      <w:r>
        <w:rPr/>
        <w:t>、基本假设 </w:t>
      </w:r>
      <w:r>
        <w:rPr>
          <w:rFonts w:ascii="Times New Roman" w:hAnsi="Times New Roman" w:cs="Times New Roman" w:eastAsia="Times New Roman" w:hint="default"/>
        </w:rPr>
        <w:t>1</w:t>
      </w:r>
      <w:r>
        <w:rPr/>
        <w:t>）公开市场假设</w:t>
      </w:r>
    </w:p>
    <w:p>
      <w:pPr>
        <w:pStyle w:val="BodyText"/>
        <w:spacing w:line="210" w:lineRule="exact"/>
        <w:ind w:right="0" w:firstLine="360"/>
        <w:jc w:val="left"/>
      </w:pPr>
      <w:r>
        <w:rPr/>
        <w:t>公开市场假设是对资产拟进入的市场条件以及资产在这样的市场条件下接受何种影响的一种假定</w:t>
      </w:r>
      <w:r>
        <w:rPr>
          <w:spacing w:val="-82"/>
        </w:rPr>
        <w:t>。</w:t>
      </w:r>
      <w:r>
        <w:rPr/>
        <w:t>公开市场是指充分发</w:t>
      </w:r>
    </w:p>
    <w:p>
      <w:pPr>
        <w:pStyle w:val="BodyText"/>
        <w:spacing w:line="357" w:lineRule="auto" w:before="114"/>
        <w:ind w:right="1131"/>
        <w:jc w:val="both"/>
      </w:pPr>
      <w:r>
        <w:rPr>
          <w:spacing w:val="-2"/>
        </w:rPr>
        <w:t>达与完善的市场条件，是指一个有自愿的买方和卖方的竞争性市场，在这个市场上，买方和卖方的地位平等，都有获取足够</w:t>
      </w:r>
      <w:r>
        <w:rPr>
          <w:spacing w:val="-66"/>
        </w:rPr>
        <w:t> </w:t>
      </w:r>
      <w:r>
        <w:rPr>
          <w:spacing w:val="-66"/>
        </w:rPr>
      </w:r>
      <w:r>
        <w:rPr>
          <w:spacing w:val="-2"/>
        </w:rPr>
        <w:t>市场信息的机会和时间，买卖双方的交易都是在自愿的、理智的、非强制性或不受限制的条件下进行。公开市场假设以资产</w:t>
      </w:r>
      <w:r>
        <w:rPr>
          <w:spacing w:val="-66"/>
        </w:rPr>
        <w:t> </w:t>
      </w:r>
      <w:r>
        <w:rPr>
          <w:spacing w:val="-66"/>
        </w:rPr>
      </w:r>
      <w:r>
        <w:rPr/>
        <w:t>在市场上可以公开买卖为基础。</w:t>
      </w:r>
    </w:p>
    <w:p>
      <w:pPr>
        <w:pStyle w:val="BodyText"/>
        <w:spacing w:line="374" w:lineRule="auto" w:before="66"/>
        <w:ind w:left="514" w:right="0"/>
        <w:jc w:val="left"/>
      </w:pPr>
      <w:r>
        <w:rPr>
          <w:rFonts w:ascii="Times New Roman" w:hAnsi="Times New Roman" w:cs="Times New Roman" w:eastAsia="Times New Roman" w:hint="default"/>
        </w:rPr>
        <w:t>2</w:t>
      </w:r>
      <w:r>
        <w:rPr/>
        <w:t>）资产持续使用假设 </w:t>
      </w:r>
      <w:r>
        <w:rPr>
          <w:spacing w:val="-2"/>
        </w:rPr>
        <w:t>资产持续使用假设是对资产拟进入市场条件以及资产在这样的市场条件下的资产状态的一种假定。首先假定被评估资产</w:t>
      </w:r>
    </w:p>
    <w:p>
      <w:pPr>
        <w:pStyle w:val="BodyText"/>
        <w:spacing w:line="357" w:lineRule="auto" w:before="14"/>
        <w:ind w:right="0"/>
        <w:jc w:val="left"/>
      </w:pPr>
      <w:r>
        <w:rPr>
          <w:spacing w:val="-2"/>
        </w:rPr>
        <w:t>正处于使用状态，其次假定按目前的用途和使用方式还将继续使用下去。在持续使用假设条件下，没有考虑资产用途转换或</w:t>
      </w:r>
      <w:r>
        <w:rPr>
          <w:spacing w:val="-66"/>
        </w:rPr>
        <w:t> </w:t>
      </w:r>
      <w:r>
        <w:rPr>
          <w:spacing w:val="-66"/>
        </w:rPr>
      </w:r>
      <w:r>
        <w:rPr/>
        <w:t>者最佳利用条件，其评估结论的使用范围受到限制。</w:t>
      </w:r>
    </w:p>
    <w:p>
      <w:pPr>
        <w:pStyle w:val="BodyText"/>
        <w:spacing w:line="374" w:lineRule="auto" w:before="66"/>
        <w:ind w:left="514" w:right="0"/>
        <w:jc w:val="left"/>
      </w:pPr>
      <w:r>
        <w:rPr>
          <w:rFonts w:ascii="Times New Roman" w:hAnsi="Times New Roman" w:cs="Times New Roman" w:eastAsia="Times New Roman" w:hint="default"/>
        </w:rPr>
        <w:t>3</w:t>
      </w:r>
      <w:r>
        <w:rPr/>
        <w:t>）企业持续经营假设 </w:t>
      </w:r>
      <w:r>
        <w:rPr>
          <w:spacing w:val="-2"/>
        </w:rPr>
        <w:t>企业持续经营假设是假设被评估企业在现有的资产资源条件下，其生产经营业务可以合法地按其现状持续经营下去，并</w:t>
      </w:r>
    </w:p>
    <w:p>
      <w:pPr>
        <w:pStyle w:val="BodyText"/>
        <w:spacing w:line="240" w:lineRule="auto" w:before="15"/>
        <w:ind w:right="0"/>
        <w:jc w:val="both"/>
      </w:pPr>
      <w:r>
        <w:rPr/>
        <w:t>在可预见的经营期内，其经营状况不发生重大变化。</w:t>
      </w:r>
    </w:p>
    <w:p>
      <w:pPr>
        <w:spacing w:line="240" w:lineRule="auto" w:before="12"/>
        <w:rPr>
          <w:rFonts w:ascii="宋体" w:hAnsi="宋体" w:cs="宋体" w:eastAsia="宋体" w:hint="default"/>
          <w:sz w:val="20"/>
          <w:szCs w:val="20"/>
        </w:rPr>
      </w:pPr>
    </w:p>
    <w:p>
      <w:pPr>
        <w:pStyle w:val="BodyText"/>
        <w:spacing w:line="240" w:lineRule="auto"/>
        <w:ind w:left="514" w:right="0"/>
        <w:jc w:val="left"/>
      </w:pPr>
      <w:r>
        <w:rPr>
          <w:rFonts w:ascii="Times New Roman" w:hAnsi="Times New Roman" w:cs="Times New Roman" w:eastAsia="Times New Roman" w:hint="default"/>
        </w:rPr>
        <w:t>B</w:t>
      </w:r>
      <w:r>
        <w:rPr/>
        <w:t>、一般假设</w:t>
      </w:r>
    </w:p>
    <w:p>
      <w:pPr>
        <w:pStyle w:val="BodyText"/>
        <w:tabs>
          <w:tab w:pos="1054" w:val="left" w:leader="none"/>
        </w:tabs>
        <w:spacing w:line="338" w:lineRule="auto" w:before="138"/>
        <w:ind w:left="1054" w:right="1131" w:hanging="421"/>
        <w:jc w:val="left"/>
      </w:pPr>
      <w:r>
        <w:rPr>
          <w:rFonts w:ascii="Times New Roman" w:hAnsi="Times New Roman" w:cs="Times New Roman" w:eastAsia="Times New Roman" w:hint="default"/>
        </w:rPr>
        <w:t>1)</w:t>
        <w:tab/>
      </w:r>
      <w:r>
        <w:rPr>
          <w:spacing w:val="-2"/>
        </w:rPr>
        <w:t>本次评估假设评估基准日后国家现行有关法律、宏观经济、金融以及产业政策等外部经济环境不会发生不可预见</w:t>
      </w:r>
      <w:r>
        <w:rPr>
          <w:spacing w:val="-75"/>
        </w:rPr>
        <w:t> </w:t>
      </w:r>
      <w:r>
        <w:rPr>
          <w:spacing w:val="-75"/>
        </w:rPr>
      </w:r>
      <w:r>
        <w:rPr/>
        <w:t>的重大不利变化，亦无其他人力不可抗拒及不可预见因素造成的重大影响。</w:t>
      </w:r>
    </w:p>
    <w:p>
      <w:pPr>
        <w:pStyle w:val="BodyText"/>
        <w:spacing w:line="338" w:lineRule="auto" w:before="79"/>
        <w:ind w:right="1131" w:firstLine="424"/>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本次评估没有考虑被评估企业及其资产将来可能承担的抵押、担保事宜，以及特殊的交易方式可能追加付出的价</w:t>
      </w:r>
      <w:r>
        <w:rPr>
          <w:w w:val="99"/>
        </w:rPr>
        <w:t> </w:t>
      </w:r>
      <w:r>
        <w:rPr/>
        <w:t>格等对其评估价值的影响。</w:t>
      </w:r>
    </w:p>
    <w:p>
      <w:pPr>
        <w:pStyle w:val="BodyText"/>
        <w:spacing w:line="338" w:lineRule="auto" w:before="80"/>
        <w:ind w:right="1050" w:firstLine="424"/>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假设被评估单位所在地所处的社会经济环境以及所执行的税赋、税率等财税政策无重大变化，信贷政策、利率、</w:t>
      </w:r>
      <w:r>
        <w:rPr>
          <w:w w:val="99"/>
        </w:rPr>
        <w:t> </w:t>
      </w:r>
      <w:r>
        <w:rPr/>
        <w:t>汇率等金融政策基本稳定。</w:t>
      </w:r>
    </w:p>
    <w:p>
      <w:pPr>
        <w:pStyle w:val="BodyText"/>
        <w:spacing w:line="338" w:lineRule="auto" w:before="79"/>
        <w:ind w:right="1131" w:firstLine="424"/>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本次评估的各项资产均以评估基准日的实际存量为前提，有关资产的现行市价以评估基准日评估对象所在地有效</w:t>
      </w:r>
      <w:r>
        <w:rPr>
          <w:w w:val="99"/>
        </w:rPr>
        <w:t> </w:t>
      </w:r>
      <w:r>
        <w:rPr/>
        <w:t>价格为依据。</w:t>
      </w:r>
    </w:p>
    <w:p>
      <w:pPr>
        <w:pStyle w:val="BodyText"/>
        <w:tabs>
          <w:tab w:pos="994" w:val="left" w:leader="none"/>
        </w:tabs>
        <w:spacing w:line="240" w:lineRule="auto" w:before="80"/>
        <w:ind w:left="578" w:right="0"/>
        <w:jc w:val="left"/>
      </w:pPr>
      <w:r>
        <w:rPr>
          <w:rFonts w:ascii="Times New Roman" w:hAnsi="Times New Roman" w:cs="Times New Roman" w:eastAsia="Times New Roman" w:hint="default"/>
        </w:rPr>
        <w:t>5)</w:t>
        <w:tab/>
      </w:r>
      <w:r>
        <w:rPr/>
        <w:t>被评估单位现在及将来的经营业务合法合规，并且符合其营业执照、公司章程的相关约定。</w:t>
      </w:r>
    </w:p>
    <w:p>
      <w:pPr>
        <w:spacing w:line="240" w:lineRule="auto" w:before="10"/>
        <w:rPr>
          <w:rFonts w:ascii="宋体" w:hAnsi="宋体" w:cs="宋体" w:eastAsia="宋体" w:hint="default"/>
          <w:sz w:val="19"/>
          <w:szCs w:val="19"/>
        </w:rPr>
      </w:pPr>
    </w:p>
    <w:p>
      <w:pPr>
        <w:pStyle w:val="BodyText"/>
        <w:spacing w:line="240" w:lineRule="auto"/>
        <w:ind w:left="514" w:right="0"/>
        <w:jc w:val="left"/>
        <w:rPr>
          <w:rFonts w:ascii="Times New Roman" w:hAnsi="Times New Roman" w:cs="Times New Roman" w:eastAsia="Times New Roman" w:hint="default"/>
        </w:rPr>
      </w:pPr>
      <w:r>
        <w:rPr/>
        <w:t>评估结论：在评估基准日</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日，海联金汇科技股份有限公司因并购联动优势科技有限公司资产组组合</w:t>
      </w:r>
      <w:r>
        <w:rPr>
          <w:spacing w:val="-37"/>
        </w:rPr>
        <w:t> </w:t>
      </w:r>
      <w:r>
        <w:rPr>
          <w:rFonts w:ascii="Times New Roman" w:hAnsi="Times New Roman" w:cs="Times New Roman" w:eastAsia="Times New Roman" w:hint="default"/>
        </w:rPr>
        <w:t>2</w:t>
      </w:r>
    </w:p>
    <w:p>
      <w:pPr>
        <w:spacing w:line="240" w:lineRule="auto" w:before="2"/>
        <w:rPr>
          <w:rFonts w:ascii="Times New Roman" w:hAnsi="Times New Roman" w:cs="Times New Roman" w:eastAsia="Times New Roman" w:hint="default"/>
          <w:sz w:val="19"/>
          <w:szCs w:val="19"/>
        </w:rPr>
      </w:pPr>
    </w:p>
    <w:p>
      <w:pPr>
        <w:pStyle w:val="BodyText"/>
        <w:spacing w:line="240" w:lineRule="auto"/>
        <w:ind w:right="0"/>
        <w:jc w:val="both"/>
      </w:pPr>
      <w:r>
        <w:rPr/>
        <w:t>形成的商誉相关资产组的账面值为</w:t>
      </w:r>
      <w:r>
        <w:rPr>
          <w:spacing w:val="-47"/>
        </w:rPr>
        <w:t> </w:t>
      </w:r>
      <w:r>
        <w:rPr>
          <w:rFonts w:ascii="Times New Roman" w:hAnsi="Times New Roman" w:cs="Times New Roman" w:eastAsia="Times New Roman" w:hint="default"/>
        </w:rPr>
        <w:t>98,869.81</w:t>
      </w:r>
      <w:r>
        <w:rPr>
          <w:rFonts w:ascii="Times New Roman" w:hAnsi="Times New Roman" w:cs="Times New Roman" w:eastAsia="Times New Roman" w:hint="default"/>
          <w:spacing w:val="-2"/>
        </w:rPr>
        <w:t> </w:t>
      </w:r>
      <w:r>
        <w:rPr/>
        <w:t>万元，可回收价值评估结果为</w:t>
      </w:r>
      <w:r>
        <w:rPr>
          <w:spacing w:val="-47"/>
        </w:rPr>
        <w:t> </w:t>
      </w:r>
      <w:r>
        <w:rPr>
          <w:rFonts w:ascii="Times New Roman" w:hAnsi="Times New Roman" w:cs="Times New Roman" w:eastAsia="Times New Roman" w:hint="default"/>
        </w:rPr>
        <w:t>71,800.00</w:t>
      </w:r>
      <w:r>
        <w:rPr>
          <w:rFonts w:ascii="Times New Roman" w:hAnsi="Times New Roman" w:cs="Times New Roman" w:eastAsia="Times New Roman" w:hint="default"/>
          <w:spacing w:val="-2"/>
        </w:rPr>
        <w:t> </w:t>
      </w:r>
      <w:r>
        <w:rPr/>
        <w:t>万元。</w:t>
      </w:r>
    </w:p>
    <w:p>
      <w:pPr>
        <w:spacing w:line="240" w:lineRule="auto" w:before="9"/>
        <w:rPr>
          <w:rFonts w:ascii="宋体" w:hAnsi="宋体" w:cs="宋体" w:eastAsia="宋体" w:hint="default"/>
          <w:sz w:val="13"/>
          <w:szCs w:val="13"/>
        </w:rPr>
      </w:pPr>
    </w:p>
    <w:p>
      <w:pPr>
        <w:pStyle w:val="BodyText"/>
        <w:spacing w:line="240" w:lineRule="auto"/>
        <w:ind w:left="514" w:right="0"/>
        <w:jc w:val="left"/>
        <w:rPr>
          <w:rFonts w:ascii="Times New Roman" w:hAnsi="Times New Roman" w:cs="Times New Roman" w:eastAsia="Times New Roman" w:hint="default"/>
        </w:rPr>
      </w:pPr>
      <w:r>
        <w:rPr>
          <w:spacing w:val="-3"/>
        </w:rPr>
        <w:t>综上，根据上述评估，公司因并购联动优势科技有限公司资产组组合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形成的商誉存在减值情形，减值金额为</w:t>
      </w:r>
      <w:r>
        <w:rPr>
          <w:spacing w:val="-42"/>
        </w:rPr>
        <w:t> </w:t>
      </w:r>
      <w:r>
        <w:rPr>
          <w:rFonts w:ascii="Times New Roman" w:hAnsi="Times New Roman" w:cs="Times New Roman" w:eastAsia="Times New Roman" w:hint="default"/>
        </w:rPr>
        <w:t>27,069.81</w:t>
      </w:r>
    </w:p>
    <w:p>
      <w:pPr>
        <w:pStyle w:val="BodyText"/>
        <w:spacing w:line="240" w:lineRule="auto" w:before="64"/>
        <w:ind w:right="0"/>
        <w:jc w:val="both"/>
      </w:pPr>
      <w:r>
        <w:rPr/>
        <w:t>万元。</w:t>
      </w:r>
    </w:p>
    <w:p>
      <w:pPr>
        <w:pStyle w:val="BodyText"/>
        <w:spacing w:line="240" w:lineRule="auto" w:before="117"/>
        <w:ind w:left="514" w:right="0"/>
        <w:jc w:val="left"/>
      </w:pPr>
      <w:r>
        <w:rPr/>
        <w:t>形成减值的主要原因如下：</w:t>
      </w:r>
    </w:p>
    <w:p>
      <w:pPr>
        <w:pStyle w:val="BodyText"/>
        <w:spacing w:line="309" w:lineRule="auto" w:before="115"/>
        <w:ind w:right="1130" w:firstLine="360"/>
        <w:jc w:val="both"/>
      </w:pPr>
      <w:r>
        <w:rPr/>
        <w:t>（</w:t>
      </w:r>
      <w:r>
        <w:rPr>
          <w:rFonts w:ascii="Times New Roman" w:hAnsi="Times New Roman" w:cs="Times New Roman" w:eastAsia="Times New Roman" w:hint="default"/>
        </w:rPr>
        <w:t>1</w:t>
      </w:r>
      <w:r>
        <w:rPr/>
        <w:t>）首先是市场因素导致的资产组收益状况大幅低于预期。</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年度互联网金融领域爆出众多</w:t>
      </w:r>
      <w:r>
        <w:rPr>
          <w:spacing w:val="-64"/>
        </w:rPr>
        <w:t> </w:t>
      </w:r>
      <w:r>
        <w:rPr>
          <w:rFonts w:ascii="Times New Roman" w:hAnsi="Times New Roman" w:cs="Times New Roman" w:eastAsia="Times New Roman" w:hint="default"/>
        </w:rPr>
        <w:t>P2P</w:t>
      </w:r>
      <w:r>
        <w:rPr>
          <w:rFonts w:ascii="Times New Roman" w:hAnsi="Times New Roman" w:cs="Times New Roman" w:eastAsia="Times New Roman" w:hint="default"/>
          <w:spacing w:val="-19"/>
        </w:rPr>
        <w:t> </w:t>
      </w:r>
      <w:r>
        <w:rPr/>
        <w:t>平台卷款跑路或破 </w:t>
      </w:r>
      <w:r>
        <w:rPr>
          <w:spacing w:val="-2"/>
        </w:rPr>
        <w:t>产的事件，以及国家财政部明令禁止互联网销售彩票行为，使公司失去了互金和互联网彩票这两项收入和毛利最高的线上支</w:t>
      </w:r>
      <w:r>
        <w:rPr>
          <w:spacing w:val="-64"/>
        </w:rPr>
        <w:t> </w:t>
      </w:r>
      <w:r>
        <w:rPr>
          <w:spacing w:val="-64"/>
        </w:rPr>
      </w:r>
      <w:r>
        <w:rPr/>
        <w:t>柱业务。</w:t>
      </w:r>
    </w:p>
    <w:p>
      <w:pPr>
        <w:pStyle w:val="BodyText"/>
        <w:spacing w:line="240" w:lineRule="auto" w:before="64"/>
        <w:ind w:left="514" w:right="0"/>
        <w:jc w:val="left"/>
      </w:pPr>
      <w:r>
        <w:rPr/>
        <w:t>（</w:t>
      </w:r>
      <w:r>
        <w:rPr>
          <w:rFonts w:ascii="Times New Roman" w:hAnsi="Times New Roman" w:cs="Times New Roman" w:eastAsia="Times New Roman" w:hint="default"/>
        </w:rPr>
        <w:t>2</w:t>
      </w:r>
      <w:r>
        <w:rPr/>
        <w:t>）其次是政策因素导致公司收入减少或成本增加。</w:t>
      </w:r>
    </w:p>
    <w:p>
      <w:pPr>
        <w:pStyle w:val="BodyText"/>
        <w:spacing w:line="300" w:lineRule="auto" w:before="102"/>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年国家出台了一系列对第三方支付企业加强监管的政策，一是：中国人民银行支付结算司发布《关于将非银行支 </w:t>
      </w:r>
      <w:r>
        <w:rPr>
          <w:spacing w:val="-3"/>
        </w:rPr>
        <w:t>付机构网络支付业务由直连模式迁移至网联平台处理的通知》（银支付〔</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209</w:t>
      </w:r>
      <w:r>
        <w:rPr>
          <w:rFonts w:ascii="Times New Roman" w:hAnsi="Times New Roman" w:cs="Times New Roman" w:eastAsia="Times New Roman" w:hint="default"/>
          <w:spacing w:val="6"/>
        </w:rPr>
        <w:t> </w:t>
      </w:r>
      <w:r>
        <w:rPr>
          <w:spacing w:val="-6"/>
        </w:rPr>
        <w:t>号文），文件规定了支付机构直连迁移网</w:t>
      </w:r>
      <w:r>
        <w:rPr/>
        <w:t> </w:t>
      </w:r>
      <w:r>
        <w:rPr>
          <w:spacing w:val="-3"/>
        </w:rPr>
        <w:t>联平台的具体时间点，自</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日起，支付机构受理的涉及银行账户的网络支付业务全部通过网联平台处理，各银</w:t>
      </w:r>
    </w:p>
    <w:p>
      <w:pPr>
        <w:pStyle w:val="BodyText"/>
        <w:spacing w:line="240" w:lineRule="auto" w:before="13"/>
        <w:ind w:right="0"/>
        <w:jc w:val="both"/>
      </w:pPr>
      <w:r>
        <w:rPr/>
        <w:t>行和支付机构应于</w:t>
      </w:r>
      <w:r>
        <w:rPr>
          <w:spacing w:val="-3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日前完成接入网联平台和业务迁移相关准备工作。</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年网联清算有限公司</w:t>
      </w:r>
      <w:r>
        <w:rPr>
          <w:rFonts w:ascii="Times New Roman" w:hAnsi="Times New Roman" w:cs="Times New Roman" w:eastAsia="Times New Roman" w:hint="default"/>
        </w:rPr>
        <w:t>(</w:t>
      </w:r>
      <w:r>
        <w:rPr/>
        <w:t>下简称：</w:t>
      </w:r>
    </w:p>
    <w:p>
      <w:pPr>
        <w:pStyle w:val="BodyText"/>
        <w:spacing w:line="240" w:lineRule="auto" w:before="63"/>
        <w:ind w:right="0"/>
        <w:jc w:val="both"/>
      </w:pPr>
      <w:r>
        <w:rPr/>
        <w:t>网联</w:t>
      </w:r>
      <w:r>
        <w:rPr>
          <w:rFonts w:ascii="Times New Roman" w:hAnsi="Times New Roman" w:cs="Times New Roman" w:eastAsia="Times New Roman" w:hint="default"/>
        </w:rPr>
        <w:t>)</w:t>
      </w:r>
      <w:r>
        <w:rPr/>
        <w:t>下发</w:t>
      </w:r>
      <w:r>
        <w:rPr>
          <w:spacing w:val="-45"/>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spacing w:val="-3"/>
        </w:rPr>
        <w:t>号文，督促第三方支付机构接入网联渠道，明确</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30 </w:t>
      </w:r>
      <w:r>
        <w:rPr/>
        <w:t>日前所有第三方支付机构与银行的直连都将被</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切断，之后银行不会再单独直接为第三方支付机构提供代扣通道；二是</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spacing w:val="-3"/>
        </w:rPr>
        <w:t>日，央行官网公布《关于支付机构客</w:t>
      </w:r>
    </w:p>
    <w:p>
      <w:pPr>
        <w:pStyle w:val="BodyText"/>
        <w:spacing w:line="240" w:lineRule="auto" w:before="63"/>
        <w:ind w:right="0"/>
        <w:jc w:val="left"/>
      </w:pPr>
      <w:r>
        <w:rPr/>
        <w:t>户备付金全部集中交存有关事宜的通知</w:t>
      </w:r>
      <w:r>
        <w:rPr>
          <w:spacing w:val="-98"/>
        </w:rPr>
        <w:t>》</w:t>
      </w:r>
      <w:r>
        <w:rPr/>
        <w:t>（以下简</w:t>
      </w:r>
      <w:r>
        <w:rPr>
          <w:spacing w:val="-8"/>
        </w:rPr>
        <w:t>称</w:t>
      </w:r>
      <w:r>
        <w:rPr/>
        <w:t>《通知</w:t>
      </w:r>
      <w:r>
        <w:rPr>
          <w:spacing w:val="-90"/>
        </w:rPr>
        <w:t>》）</w:t>
      </w:r>
      <w:r>
        <w:rPr>
          <w:spacing w:val="-8"/>
        </w:rPr>
        <w:t>，</w:t>
      </w:r>
      <w:r>
        <w:rPr/>
        <w:t>提出</w:t>
      </w:r>
      <w:r>
        <w:rPr>
          <w:spacing w:val="-7"/>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日</w:t>
      </w:r>
      <w:r>
        <w:rPr/>
        <w:t>起</w:t>
      </w:r>
      <w:r>
        <w:rPr>
          <w:spacing w:val="-8"/>
        </w:rPr>
        <w:t>，</w:t>
      </w:r>
      <w:r>
        <w:rPr/>
        <w:t>按月逐步提高支付机构客户备付</w:t>
      </w:r>
    </w:p>
    <w:p>
      <w:pPr>
        <w:pStyle w:val="BodyText"/>
        <w:spacing w:line="338" w:lineRule="auto" w:before="64"/>
        <w:ind w:left="514" w:right="5972" w:hanging="360"/>
        <w:jc w:val="left"/>
      </w:pPr>
      <w:r>
        <w:rPr/>
        <w:t>金集中交存比例，到</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日实现</w:t>
      </w:r>
      <w:r>
        <w:rPr>
          <w:spacing w:val="-45"/>
        </w:rPr>
        <w:t> </w:t>
      </w:r>
      <w:r>
        <w:rPr>
          <w:rFonts w:ascii="Times New Roman" w:hAnsi="Times New Roman" w:cs="Times New Roman" w:eastAsia="Times New Roman" w:hint="default"/>
        </w:rPr>
        <w:t>100%</w:t>
      </w:r>
      <w:r>
        <w:rPr/>
        <w:t>集中交存。 以上政策变化对联动商务经营业绩的主要影响如下：</w:t>
      </w:r>
    </w:p>
    <w:p>
      <w:pPr>
        <w:pStyle w:val="BodyText"/>
        <w:spacing w:line="312" w:lineRule="auto" w:before="42"/>
        <w:ind w:right="1032" w:firstLine="360"/>
        <w:jc w:val="left"/>
      </w:pPr>
      <w:r>
        <w:rPr/>
        <w:t>①通道费成本增加：由于央行要求第三方支付机构必须断开与银行直连</w:t>
      </w:r>
      <w:r>
        <w:rPr>
          <w:rFonts w:ascii="Times New Roman" w:hAnsi="Times New Roman" w:cs="Times New Roman" w:eastAsia="Times New Roman" w:hint="default"/>
        </w:rPr>
        <w:t>(</w:t>
      </w:r>
      <w:r>
        <w:rPr/>
        <w:t>简称“断直连”</w:t>
      </w:r>
      <w:r>
        <w:rPr>
          <w:rFonts w:ascii="Times New Roman" w:hAnsi="Times New Roman" w:cs="Times New Roman" w:eastAsia="Times New Roman" w:hint="default"/>
        </w:rPr>
        <w:t>)</w:t>
      </w:r>
      <w:r>
        <w:rPr/>
        <w:t>，接入合法清算组织，譬如： </w:t>
      </w:r>
      <w:r>
        <w:rPr>
          <w:spacing w:val="-5"/>
        </w:rPr>
        <w:t>网联或银联。以往大型支付机构普遍会绕开清算组织直接与银行接入，从而实现资金跨行清算。这种做法对于支付机构来说，</w:t>
      </w:r>
      <w:r>
        <w:rPr>
          <w:spacing w:val="-79"/>
        </w:rPr>
        <w:t> </w:t>
      </w:r>
      <w:r>
        <w:rPr>
          <w:spacing w:val="-79"/>
        </w:rPr>
      </w:r>
      <w:r>
        <w:rPr/>
        <w:t>不仅自己能够掌握资金流、信息流，还可以节约清算通道费用，与银行直接就费率问题进行谈判，提升利润空间。但这些，</w:t>
      </w:r>
      <w:r>
        <w:rPr>
          <w:spacing w:val="-83"/>
        </w:rPr>
        <w:t> </w:t>
      </w:r>
      <w:r>
        <w:rPr>
          <w:spacing w:val="-83"/>
        </w:rPr>
      </w:r>
      <w:r>
        <w:rPr/>
        <w:t>随着央行的最新规定也成为过去时。</w:t>
      </w:r>
    </w:p>
    <w:p>
      <w:pPr>
        <w:pStyle w:val="BodyText"/>
        <w:spacing w:line="319" w:lineRule="auto" w:before="61"/>
        <w:ind w:right="1133" w:firstLine="360"/>
        <w:jc w:val="both"/>
      </w:pPr>
      <w:r>
        <w:rPr>
          <w:spacing w:val="-2"/>
        </w:rPr>
        <w:t>②利息收入减少：消费者在使用第三方支付平台消费转账过程中，由于存在结算周期的时间差，会在备付金账户内沉淀</w:t>
      </w:r>
      <w:r>
        <w:rPr/>
        <w:t> 出一定规模的资金。这部分资金的利息收入归第三方支付机构所有，集中交存后，利息收入不存在了。</w:t>
      </w:r>
    </w:p>
    <w:p>
      <w:pPr>
        <w:pStyle w:val="BodyText"/>
        <w:spacing w:line="300" w:lineRule="auto" w:before="55"/>
        <w:ind w:right="1132" w:firstLine="360"/>
        <w:jc w:val="both"/>
      </w:pPr>
      <w:r>
        <w:rPr>
          <w:spacing w:val="-2"/>
        </w:rPr>
        <w:t>（</w:t>
      </w:r>
      <w:r>
        <w:rPr>
          <w:rFonts w:ascii="Times New Roman" w:hAnsi="Times New Roman" w:cs="Times New Roman" w:eastAsia="Times New Roman" w:hint="default"/>
          <w:spacing w:val="-2"/>
        </w:rPr>
        <w:t>3</w:t>
      </w:r>
      <w:r>
        <w:rPr>
          <w:spacing w:val="-2"/>
        </w:rPr>
        <w:t>）最后受到消费金融以及互联网理财等领域监管趋严的影响，</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spacing w:val="-2"/>
        </w:rPr>
        <w:t>年第三方支付交易规模增速明显放缓。</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0"/>
        </w:rPr>
        <w:t> </w:t>
      </w:r>
      <w:r>
        <w:rPr/>
        <w:t>年度 随着人民银行对第三方支付机构监管的趋严，罚单在数量和金额上再创新高。仅处罚金额就比</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年增长了近</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倍。包括</w:t>
      </w:r>
    </w:p>
    <w:p>
      <w:pPr>
        <w:pStyle w:val="BodyText"/>
        <w:spacing w:line="302" w:lineRule="auto" w:before="13"/>
        <w:ind w:right="1116"/>
        <w:jc w:val="left"/>
      </w:pPr>
      <w:r>
        <w:rPr/>
        <w:t>联动商务在内的</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2"/>
        </w:rPr>
        <w:t>家支付机构领到过“千万罚单”。联动商务针对违规问题进行整改，关停了潜在风险商户，此次整顿引起</w:t>
      </w:r>
      <w:r>
        <w:rPr/>
        <w:t> 了短期内收入的下降。同时加强商户审核及日常监控工作，导致合规成本上升。</w:t>
      </w:r>
    </w:p>
    <w:p>
      <w:pPr>
        <w:pStyle w:val="BodyText"/>
        <w:spacing w:line="240" w:lineRule="auto" w:before="69"/>
        <w:ind w:left="514" w:right="0"/>
        <w:jc w:val="left"/>
      </w:pPr>
      <w:r>
        <w:rPr/>
        <w:t>上述因素的叠加，导致联动商务</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年度线上业务营业收入下滑，成本费用率增长，经营业绩大幅低于原评估预期。</w:t>
      </w:r>
    </w:p>
    <w:p>
      <w:pPr>
        <w:pStyle w:val="BodyText"/>
        <w:spacing w:line="240" w:lineRule="auto" w:before="63"/>
        <w:ind w:right="0"/>
        <w:jc w:val="left"/>
      </w:pPr>
      <w:r>
        <w:rPr/>
        <w:t>因国家政策调整主要集中在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年下半年度</w:t>
      </w:r>
      <w:r>
        <w:rPr>
          <w:spacing w:val="-21"/>
        </w:rPr>
        <w:t>，</w:t>
      </w:r>
      <w:r>
        <w:rPr/>
        <w:t>预期</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20"/>
        </w:rPr>
        <w:t>年</w:t>
      </w:r>
      <w:r>
        <w:rPr/>
        <w:t>“断直连</w:t>
      </w:r>
      <w:r>
        <w:rPr>
          <w:spacing w:val="-90"/>
        </w:rPr>
        <w:t>”</w:t>
      </w:r>
      <w:r>
        <w:rPr>
          <w:spacing w:val="-111"/>
        </w:rPr>
        <w:t>、</w:t>
      </w:r>
      <w:r>
        <w:rPr/>
        <w:t>“备付金集中交存</w:t>
      </w:r>
      <w:r>
        <w:rPr>
          <w:spacing w:val="-21"/>
        </w:rPr>
        <w:t>”</w:t>
      </w:r>
      <w:r>
        <w:rPr/>
        <w:t>对联动商务经营业绩的影响仍将</w:t>
      </w:r>
    </w:p>
    <w:p>
      <w:pPr>
        <w:pStyle w:val="BodyText"/>
        <w:spacing w:line="302" w:lineRule="auto" w:before="63"/>
        <w:ind w:right="1113"/>
        <w:jc w:val="left"/>
      </w:pPr>
      <w:r>
        <w:rPr/>
        <w:t>持续，企业未来经营业绩存在重大的不确定性。即联动商务</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年度受国家政策影响，经营预期降低，已出现明显减值迹 象。</w:t>
      </w:r>
    </w:p>
    <w:p>
      <w:pPr>
        <w:pStyle w:val="BodyText"/>
        <w:spacing w:line="338" w:lineRule="auto" w:before="69"/>
        <w:ind w:right="8232"/>
        <w:jc w:val="left"/>
      </w:pPr>
      <w:r>
        <w:rPr>
          <w:rFonts w:ascii="Times New Roman" w:hAnsi="Times New Roman" w:cs="Times New Roman" w:eastAsia="Times New Roman" w:hint="default"/>
        </w:rPr>
        <w:t>2</w:t>
      </w:r>
      <w:r>
        <w:rPr/>
        <w:t>、 湖北海立美达汽车有限公司 商誉减值测试方法：</w:t>
      </w:r>
    </w:p>
    <w:p>
      <w:pPr>
        <w:pStyle w:val="BodyText"/>
        <w:spacing w:line="240" w:lineRule="auto" w:before="43"/>
        <w:ind w:right="0"/>
        <w:jc w:val="left"/>
      </w:pPr>
      <w:r>
        <w:rPr/>
        <w:t>（一）价值类型</w:t>
      </w:r>
    </w:p>
    <w:p>
      <w:pPr>
        <w:pStyle w:val="BodyText"/>
        <w:spacing w:line="312" w:lineRule="auto" w:before="115"/>
        <w:ind w:right="1131" w:firstLine="360"/>
        <w:jc w:val="both"/>
      </w:pPr>
      <w:r>
        <w:rPr/>
        <w:t>根据《企业会计准则第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3"/>
        </w:rPr>
        <w:t>号一资产减值》，资产存在减值迹象的，应当估计其可收回金额。因此，选择的价值类型为可</w:t>
      </w:r>
      <w:r>
        <w:rPr/>
        <w:t> </w:t>
      </w:r>
      <w:r>
        <w:rPr>
          <w:spacing w:val="-2"/>
        </w:rPr>
        <w:t>收回价值。资产组可收回价值为资产组的寿命期内可以预计的未来经营净现金流量的现值和资产组市场价值（公允价值）减</w:t>
      </w:r>
      <w:r>
        <w:rPr>
          <w:spacing w:val="-66"/>
        </w:rPr>
        <w:t> </w:t>
      </w:r>
      <w:r>
        <w:rPr>
          <w:spacing w:val="-66"/>
        </w:rPr>
      </w:r>
      <w:r>
        <w:rPr>
          <w:spacing w:val="-2"/>
        </w:rPr>
        <w:t>去处置费用和相关税费后净额的孰高者。因资产组市场价值（公允价值）减去处置费用和相关税费后净额低于资产组的寿命</w:t>
      </w:r>
      <w:r>
        <w:rPr>
          <w:spacing w:val="-66"/>
        </w:rPr>
        <w:t> </w:t>
      </w:r>
      <w:r>
        <w:rPr>
          <w:spacing w:val="-66"/>
        </w:rPr>
      </w:r>
      <w:r>
        <w:rPr/>
        <w:t>期内可以预计的未来经营净现金流量的现值，本次可收回价值即为资产组预计未来现金流量的现值。</w:t>
      </w:r>
    </w:p>
    <w:p>
      <w:pPr>
        <w:pStyle w:val="BodyText"/>
        <w:spacing w:line="360" w:lineRule="auto" w:before="62"/>
        <w:ind w:right="8592"/>
        <w:jc w:val="left"/>
      </w:pPr>
      <w:r>
        <w:rPr/>
        <w:t>（二）商誉减值测试方法： 采用收益法测试 收益法模型及说明</w:t>
      </w:r>
    </w:p>
    <w:p>
      <w:pPr>
        <w:pStyle w:val="BodyText"/>
        <w:spacing w:line="319" w:lineRule="auto" w:before="25"/>
        <w:ind w:right="1130" w:firstLine="360"/>
        <w:jc w:val="both"/>
      </w:pPr>
      <w:r>
        <w:rPr>
          <w:spacing w:val="-2"/>
        </w:rPr>
        <w:t>通过预测湖北海立美达汽车有限公司在本次基准日后预计收益年限内的年度净现金流量（分段预测），再选用适当的折</w:t>
      </w:r>
      <w:r>
        <w:rPr/>
        <w:t> </w:t>
      </w:r>
      <w:r>
        <w:rPr>
          <w:spacing w:val="-2"/>
        </w:rPr>
        <w:t>现率逐年折现加和，加上该公司目前的非经营性资产（负债）及溢余资产（负债）的价值、减去付息债务确定资产组组合可</w:t>
      </w:r>
      <w:r>
        <w:rPr>
          <w:spacing w:val="-67"/>
        </w:rPr>
        <w:t> </w:t>
      </w:r>
      <w:r>
        <w:rPr>
          <w:spacing w:val="-67"/>
        </w:rPr>
      </w:r>
      <w:r>
        <w:rPr/>
        <w:t>收回价值。其基本计算公式为：</w:t>
      </w:r>
    </w:p>
    <w:p>
      <w:pPr>
        <w:pStyle w:val="BodyText"/>
        <w:spacing w:line="338" w:lineRule="auto" w:before="58"/>
        <w:ind w:right="7092"/>
        <w:jc w:val="left"/>
      </w:pPr>
      <w:r>
        <w:rPr>
          <w:rFonts w:ascii="Times New Roman" w:hAnsi="Times New Roman" w:cs="Times New Roman" w:eastAsia="Times New Roman" w:hint="default"/>
        </w:rPr>
        <w:t>V</w:t>
      </w:r>
      <w:r>
        <w:rPr/>
        <w:t>＝（</w:t>
      </w:r>
      <w:r>
        <w:rPr>
          <w:rFonts w:ascii="Times New Roman" w:hAnsi="Times New Roman" w:cs="Times New Roman" w:eastAsia="Times New Roman" w:hint="default"/>
        </w:rPr>
        <w:t>V1</w:t>
      </w:r>
      <w:r>
        <w:rPr/>
        <w:t>＋</w:t>
      </w:r>
      <w:r>
        <w:rPr>
          <w:rFonts w:ascii="Times New Roman" w:hAnsi="Times New Roman" w:cs="Times New Roman" w:eastAsia="Times New Roman" w:hint="default"/>
        </w:rPr>
        <w:t>V2</w:t>
      </w:r>
      <w:r>
        <w:rPr/>
        <w:t>－</w:t>
      </w:r>
      <w:r>
        <w:rPr>
          <w:rFonts w:ascii="Times New Roman" w:hAnsi="Times New Roman" w:cs="Times New Roman" w:eastAsia="Times New Roman" w:hint="default"/>
        </w:rPr>
        <w:t>V3</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S</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K)</w:t>
      </w:r>
      <w:r>
        <w:rPr>
          <w:rFonts w:ascii="Times New Roman" w:hAnsi="Times New Roman" w:cs="Times New Roman" w:eastAsia="Times New Roman" w:hint="default"/>
          <w:spacing w:val="-1"/>
          <w:w w:val="99"/>
        </w:rPr>
        <w:t> </w:t>
      </w:r>
      <w:r>
        <w:rPr/>
        <w:t>式中，</w:t>
      </w:r>
      <w:r>
        <w:rPr>
          <w:rFonts w:ascii="Times New Roman" w:hAnsi="Times New Roman" w:cs="Times New Roman" w:eastAsia="Times New Roman" w:hint="default"/>
        </w:rPr>
        <w:t>V</w:t>
      </w:r>
      <w:r>
        <w:rPr/>
        <w:t>：资产组组合可收回价值 </w:t>
      </w:r>
      <w:r>
        <w:rPr>
          <w:rFonts w:ascii="Times New Roman" w:hAnsi="Times New Roman" w:cs="Times New Roman" w:eastAsia="Times New Roman" w:hint="default"/>
        </w:rPr>
        <w:t>V1</w:t>
      </w:r>
      <w:r>
        <w:rPr/>
        <w:t>：企业营业价值 </w:t>
      </w:r>
      <w:r>
        <w:rPr>
          <w:rFonts w:ascii="Times New Roman" w:hAnsi="Times New Roman" w:cs="Times New Roman" w:eastAsia="Times New Roman" w:hint="default"/>
        </w:rPr>
        <w:t>V2</w:t>
      </w:r>
      <w:r>
        <w:rPr/>
        <w:t>：非经营性资产（负债）及溢余资产价值 </w:t>
      </w:r>
      <w:r>
        <w:rPr>
          <w:rFonts w:ascii="Times New Roman" w:hAnsi="Times New Roman" w:cs="Times New Roman" w:eastAsia="Times New Roman" w:hint="default"/>
        </w:rPr>
        <w:t>V3</w:t>
      </w:r>
      <w:r>
        <w:rPr/>
        <w:t>：长期付息债务的价值</w:t>
      </w:r>
    </w:p>
    <w:p>
      <w:pPr>
        <w:pStyle w:val="BodyText"/>
        <w:spacing w:line="350" w:lineRule="auto" w:before="20"/>
        <w:ind w:right="8102"/>
        <w:jc w:val="left"/>
      </w:pPr>
      <w:r>
        <w:rPr/>
        <w:t>§：流通性折扣系数 </w:t>
      </w:r>
      <w:r>
        <w:rPr>
          <w:rFonts w:ascii="Times New Roman" w:hAnsi="Times New Roman" w:cs="Times New Roman" w:eastAsia="Times New Roman" w:hint="default"/>
        </w:rPr>
        <w:t>S</w:t>
      </w:r>
      <w:r>
        <w:rPr/>
        <w:t>：委估股权比例 </w:t>
      </w:r>
      <w:r>
        <w:rPr>
          <w:rFonts w:ascii="Times New Roman" w:hAnsi="Times New Roman" w:cs="Times New Roman" w:eastAsia="Times New Roman" w:hint="default"/>
        </w:rPr>
        <w:t>K</w:t>
      </w:r>
      <w:r>
        <w:rPr/>
        <w:t>：控制权溢价（折价）调整系数</w:t>
      </w:r>
    </w:p>
    <w:p>
      <w:pPr>
        <w:spacing w:line="240" w:lineRule="auto" w:before="9"/>
        <w:rPr>
          <w:rFonts w:ascii="宋体" w:hAnsi="宋体" w:cs="宋体" w:eastAsia="宋体" w:hint="default"/>
          <w:sz w:val="4"/>
          <w:szCs w:val="4"/>
        </w:rPr>
      </w:pPr>
    </w:p>
    <w:p>
      <w:pPr>
        <w:spacing w:line="795" w:lineRule="exact"/>
        <w:ind w:left="154" w:right="0" w:firstLine="0"/>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3199765" cy="5048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3" cstate="print"/>
                    <a:stretch>
                      <a:fillRect/>
                    </a:stretch>
                  </pic:blipFill>
                  <pic:spPr>
                    <a:xfrm>
                      <a:off x="0" y="0"/>
                      <a:ext cx="3199765" cy="504825"/>
                    </a:xfrm>
                    <a:prstGeom prst="rect">
                      <a:avLst/>
                    </a:prstGeom>
                  </pic:spPr>
                </pic:pic>
              </a:graphicData>
            </a:graphic>
          </wp:inline>
        </w:drawing>
      </w:r>
      <w:r>
        <w:rPr>
          <w:rFonts w:ascii="宋体" w:hAnsi="宋体" w:cs="宋体" w:eastAsia="宋体" w:hint="default"/>
          <w:position w:val="-15"/>
          <w:sz w:val="20"/>
          <w:szCs w:val="20"/>
        </w:rPr>
      </w:r>
    </w:p>
    <w:p>
      <w:pPr>
        <w:spacing w:after="0" w:line="79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7047"/>
        <w:jc w:val="left"/>
      </w:pPr>
      <w:r>
        <w:rPr/>
        <w:t>其中，</w:t>
      </w:r>
      <w:r>
        <w:rPr>
          <w:rFonts w:ascii="Times New Roman" w:hAnsi="Times New Roman" w:cs="Times New Roman" w:eastAsia="Times New Roman" w:hint="default"/>
        </w:rPr>
        <w:t>V1</w:t>
      </w:r>
      <w:r>
        <w:rPr/>
        <w:t>——经营性资产反映的企业营业价值 </w:t>
      </w:r>
      <w:r>
        <w:rPr>
          <w:rFonts w:ascii="Times New Roman" w:hAnsi="Times New Roman" w:cs="Times New Roman" w:eastAsia="Times New Roman" w:hint="default"/>
        </w:rPr>
        <w:t>Ri</w:t>
      </w:r>
      <w:r>
        <w:rPr/>
        <w:t>——企业未来第</w:t>
      </w:r>
      <w:r>
        <w:rPr>
          <w:spacing w:val="-46"/>
        </w:rPr>
        <w:t> </w:t>
      </w:r>
      <w:r>
        <w:rPr>
          <w:rFonts w:ascii="Times New Roman" w:hAnsi="Times New Roman" w:cs="Times New Roman" w:eastAsia="Times New Roman" w:hint="default"/>
        </w:rPr>
        <w:t>i</w:t>
      </w:r>
      <w:r>
        <w:rPr>
          <w:rFonts w:ascii="Times New Roman" w:hAnsi="Times New Roman" w:cs="Times New Roman" w:eastAsia="Times New Roman" w:hint="default"/>
          <w:spacing w:val="-1"/>
        </w:rPr>
        <w:t> </w:t>
      </w:r>
      <w:r>
        <w:rPr/>
        <w:t>年预期企业自由净现金流 </w:t>
      </w:r>
      <w:r>
        <w:rPr>
          <w:rFonts w:ascii="Times New Roman" w:hAnsi="Times New Roman" w:cs="Times New Roman" w:eastAsia="Times New Roman" w:hint="default"/>
        </w:rPr>
        <w:t>r</w:t>
      </w:r>
      <w:r>
        <w:rPr/>
        <w:t>——折现率</w:t>
      </w:r>
      <w:r>
        <w:rPr>
          <w:rFonts w:ascii="Times New Roman" w:hAnsi="Times New Roman" w:cs="Times New Roman" w:eastAsia="Times New Roman" w:hint="default"/>
        </w:rPr>
        <w:t>,</w:t>
      </w:r>
      <w:r>
        <w:rPr/>
        <w:t>由加权平均资本成本估价模型确定 </w:t>
      </w:r>
      <w:r>
        <w:rPr>
          <w:rFonts w:ascii="Times New Roman" w:hAnsi="Times New Roman" w:cs="Times New Roman" w:eastAsia="Times New Roman" w:hint="default"/>
        </w:rPr>
        <w:t>i</w:t>
      </w:r>
      <w:r>
        <w:rPr/>
        <w:t>——收益计算年期</w:t>
      </w:r>
    </w:p>
    <w:p>
      <w:pPr>
        <w:pStyle w:val="BodyText"/>
        <w:spacing w:line="340" w:lineRule="auto" w:before="21"/>
        <w:ind w:right="9222"/>
        <w:jc w:val="left"/>
      </w:pPr>
      <w:r>
        <w:rPr>
          <w:rFonts w:ascii="Times New Roman" w:hAnsi="Times New Roman" w:cs="Times New Roman" w:eastAsia="Times New Roman" w:hint="default"/>
        </w:rPr>
        <w:t>n</w:t>
      </w:r>
      <w:r>
        <w:rPr/>
        <w:t>——详细预测年期 </w:t>
      </w:r>
      <w:r>
        <w:rPr>
          <w:rFonts w:ascii="Times New Roman" w:hAnsi="Times New Roman" w:cs="Times New Roman" w:eastAsia="Times New Roman" w:hint="default"/>
        </w:rPr>
        <w:t>1</w:t>
      </w:r>
      <w:r>
        <w:rPr/>
        <w:t>、</w:t>
      </w:r>
      <w:r>
        <w:rPr>
          <w:spacing w:val="60"/>
        </w:rPr>
        <w:t> </w:t>
      </w:r>
      <w:r>
        <w:rPr/>
        <w:t>收益期的确定</w:t>
      </w:r>
    </w:p>
    <w:p>
      <w:pPr>
        <w:pStyle w:val="BodyText"/>
        <w:spacing w:line="309" w:lineRule="auto" w:before="17"/>
        <w:ind w:right="1132" w:firstLine="360"/>
        <w:jc w:val="both"/>
      </w:pPr>
      <w:r>
        <w:rPr>
          <w:spacing w:val="-2"/>
        </w:rPr>
        <w:t>具体收益预测分为两个部分：一为详细预测期，考虑到企业的主要产品所处的发展阶段及企业的具体情况，企业经营达</w:t>
      </w:r>
      <w:r>
        <w:rPr/>
        <w:t> 到相对稳定的时间约为</w:t>
      </w:r>
      <w:r>
        <w:rPr>
          <w:spacing w:val="-44"/>
        </w:rPr>
        <w:t> </w:t>
      </w:r>
      <w:r>
        <w:rPr>
          <w:rFonts w:ascii="Times New Roman" w:hAnsi="Times New Roman" w:cs="Times New Roman" w:eastAsia="Times New Roman" w:hint="default"/>
        </w:rPr>
        <w:t>5 </w:t>
      </w:r>
      <w:r>
        <w:rPr/>
        <w:t>年，因此详细预测期设定为</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年；二为永续期，即</w:t>
      </w:r>
      <w:r>
        <w:rPr>
          <w:spacing w:val="-45"/>
        </w:rPr>
        <w:t> </w:t>
      </w:r>
      <w:r>
        <w:rPr>
          <w:rFonts w:ascii="Times New Roman" w:hAnsi="Times New Roman" w:cs="Times New Roman" w:eastAsia="Times New Roman" w:hint="default"/>
        </w:rPr>
        <w:t>2023 </w:t>
      </w:r>
      <w:r>
        <w:rPr/>
        <w:t>年以后为稳定预测期阶段，其盈利指标将 处于稳定状态。</w:t>
      </w:r>
    </w:p>
    <w:p>
      <w:pPr>
        <w:pStyle w:val="BodyText"/>
        <w:spacing w:line="348" w:lineRule="auto" w:before="64"/>
        <w:ind w:right="3389"/>
        <w:jc w:val="left"/>
      </w:pPr>
      <w:r>
        <w:rPr>
          <w:rFonts w:ascii="Times New Roman" w:hAnsi="Times New Roman" w:cs="Times New Roman" w:eastAsia="Times New Roman" w:hint="default"/>
        </w:rPr>
        <w:t>2</w:t>
      </w:r>
      <w:r>
        <w:rPr/>
        <w:t>、</w:t>
      </w:r>
      <w:r>
        <w:rPr>
          <w:spacing w:val="60"/>
        </w:rPr>
        <w:t> </w:t>
      </w:r>
      <w:r>
        <w:rPr/>
        <w:t>收益类型的确定</w:t>
      </w:r>
      <w:r>
        <w:rPr/>
        <w:t> 采用企业经营性资产组组合全投资口径自由现金流量，全投资自由现金流量的计算公式如下： 企业自由现金流＝税前利润</w:t>
      </w:r>
      <w:r>
        <w:rPr>
          <w:rFonts w:ascii="Times New Roman" w:hAnsi="Times New Roman" w:cs="Times New Roman" w:eastAsia="Times New Roman" w:hint="default"/>
        </w:rPr>
        <w:t>+</w:t>
      </w:r>
      <w:r>
        <w:rPr/>
        <w:t>折旧及摊销</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资本性支出</w:t>
      </w:r>
      <w:r>
        <w:rPr>
          <w:rFonts w:ascii="Times New Roman" w:hAnsi="Times New Roman" w:cs="Times New Roman" w:eastAsia="Times New Roman" w:hint="default"/>
        </w:rPr>
        <w:t>-</w:t>
      </w:r>
      <w:r>
        <w:rPr/>
        <w:t>营运资金追加额</w:t>
      </w:r>
    </w:p>
    <w:p>
      <w:pPr>
        <w:pStyle w:val="BodyText"/>
        <w:spacing w:line="348" w:lineRule="auto" w:before="12"/>
        <w:ind w:right="2832"/>
        <w:jc w:val="left"/>
      </w:pPr>
      <w:r>
        <w:rPr>
          <w:rFonts w:ascii="Times New Roman" w:hAnsi="Times New Roman" w:cs="Times New Roman" w:eastAsia="Times New Roman" w:hint="default"/>
        </w:rPr>
        <w:t>3</w:t>
      </w:r>
      <w:r>
        <w:rPr/>
        <w:t>、</w:t>
      </w:r>
      <w:r>
        <w:rPr>
          <w:spacing w:val="60"/>
        </w:rPr>
        <w:t> </w:t>
      </w:r>
      <w:r>
        <w:rPr/>
        <w:t>年中折现的考虑</w:t>
      </w:r>
      <w:r>
        <w:rPr/>
        <w:t> 考虑到现金流量全年都在发生，而不是只在年终发生，因此自由现金流折现时间均按年中折现考虑。 三、参数选取：</w:t>
      </w:r>
    </w:p>
    <w:p>
      <w:pPr>
        <w:pStyle w:val="BodyText"/>
        <w:spacing w:line="357" w:lineRule="auto" w:before="35"/>
        <w:ind w:left="514" w:right="1118" w:hanging="360"/>
        <w:jc w:val="left"/>
      </w:pPr>
      <w:r>
        <w:rPr/>
        <w:t>（一）收入预测 </w:t>
      </w:r>
      <w:r>
        <w:rPr>
          <w:spacing w:val="-2"/>
        </w:rPr>
        <w:t>本次预测基准是以湖北海立美达的历史经营业绩为基础，根据国家宏观政策，研究了行业的现状与前景，分析了湖北海</w:t>
      </w:r>
    </w:p>
    <w:p>
      <w:pPr>
        <w:pStyle w:val="BodyText"/>
        <w:spacing w:line="237" w:lineRule="exact"/>
        <w:ind w:right="0"/>
        <w:jc w:val="left"/>
      </w:pPr>
      <w:r>
        <w:rPr/>
        <w:t>立美达当前的产能及经营状况与存在的风险，并根据湖北海立美达提供的相关财务资料、</w:t>
      </w:r>
      <w:r>
        <w:rPr>
          <w:rFonts w:ascii="Times New Roman" w:hAnsi="Times New Roman" w:cs="Times New Roman" w:eastAsia="Times New Roman" w:hint="default"/>
        </w:rPr>
        <w:t>2018 </w:t>
      </w:r>
      <w:r>
        <w:rPr/>
        <w:t>年已签未交货合同，</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p>
    <w:p>
      <w:pPr>
        <w:pStyle w:val="BodyText"/>
        <w:spacing w:line="240" w:lineRule="auto" w:before="63"/>
        <w:ind w:right="0"/>
        <w:jc w:val="left"/>
      </w:pPr>
      <w:r>
        <w:rPr/>
        <w:t>预计签订合同及</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年预计合同完成收入确定</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4"/>
        </w:rPr>
        <w:t>年收入，根据一三五规划、产品市场占有率，以及公司未来</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年发展规</w:t>
      </w:r>
    </w:p>
    <w:p>
      <w:pPr>
        <w:pStyle w:val="BodyText"/>
        <w:spacing w:line="240" w:lineRule="auto" w:before="64"/>
        <w:ind w:right="0"/>
        <w:jc w:val="left"/>
      </w:pPr>
      <w:r>
        <w:rPr/>
        <w:t>划和财务预算，预测</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至</w:t>
      </w:r>
      <w:r>
        <w:rPr>
          <w:spacing w:val="-45"/>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年主营业务收入。</w:t>
      </w:r>
    </w:p>
    <w:p>
      <w:pPr>
        <w:pStyle w:val="BodyText"/>
        <w:tabs>
          <w:tab w:pos="994" w:val="left" w:leader="none"/>
        </w:tabs>
        <w:spacing w:line="357" w:lineRule="auto" w:before="103"/>
        <w:ind w:right="1230"/>
        <w:jc w:val="left"/>
      </w:pPr>
      <w:r>
        <w:rPr/>
        <w:t>（二）</w:t>
        <w:tab/>
        <w:t>营业成本预测 通过分析产品历史生产成本资料中的料、工、费单位成本及各成本项目在未来年度内的变化趋势确定未来年度营业成本。</w:t>
      </w:r>
    </w:p>
    <w:p>
      <w:pPr>
        <w:pStyle w:val="BodyText"/>
        <w:spacing w:line="357" w:lineRule="auto" w:before="29"/>
        <w:ind w:right="5172"/>
        <w:jc w:val="left"/>
      </w:pPr>
      <w:r>
        <w:rPr/>
        <w:t>（三）期间费用的预测 依据历史各年度经修正后数据以及各项费用未来的发展趋势进行预测。</w:t>
      </w:r>
    </w:p>
    <w:p>
      <w:pPr>
        <w:pStyle w:val="BodyText"/>
        <w:spacing w:line="360" w:lineRule="auto" w:before="28"/>
        <w:ind w:right="8052"/>
        <w:jc w:val="left"/>
      </w:pPr>
      <w:r>
        <w:rPr/>
        <w:t>（四）财务费用 按借款余额及合同约定利率计算。</w:t>
      </w:r>
    </w:p>
    <w:p>
      <w:pPr>
        <w:pStyle w:val="BodyText"/>
        <w:tabs>
          <w:tab w:pos="994" w:val="left" w:leader="none"/>
        </w:tabs>
        <w:spacing w:line="357" w:lineRule="auto" w:before="26"/>
        <w:ind w:left="514" w:right="1133" w:hanging="360"/>
        <w:jc w:val="left"/>
      </w:pPr>
      <w:r>
        <w:rPr/>
        <w:t>（五）</w:t>
        <w:tab/>
        <w:t>折旧和摊销 </w:t>
      </w:r>
      <w:r>
        <w:rPr>
          <w:spacing w:val="-2"/>
        </w:rPr>
        <w:t>固定资产折旧包括现有固定资产折旧、更新固定资产折旧和新增固定资产折旧三部分，根据目前的固定资产规模、固定</w:t>
      </w:r>
    </w:p>
    <w:p>
      <w:pPr>
        <w:pStyle w:val="BodyText"/>
        <w:spacing w:line="360" w:lineRule="auto"/>
        <w:ind w:right="5352"/>
        <w:jc w:val="left"/>
      </w:pPr>
      <w:r>
        <w:rPr/>
        <w:t>资产状况、以及企业执行的折旧政策，预测未来年度固定资产折旧。 湖北海立美达的账面无形资产根据确定的年限摊销。</w:t>
      </w:r>
    </w:p>
    <w:p>
      <w:pPr>
        <w:pStyle w:val="BodyText"/>
        <w:tabs>
          <w:tab w:pos="994" w:val="left" w:leader="none"/>
        </w:tabs>
        <w:spacing w:line="357" w:lineRule="auto" w:before="26"/>
        <w:ind w:left="514" w:right="1133" w:hanging="360"/>
        <w:jc w:val="left"/>
      </w:pPr>
      <w:r>
        <w:rPr/>
        <w:t>（六）</w:t>
        <w:tab/>
        <w:t>资本性支出 </w:t>
      </w:r>
      <w:r>
        <w:rPr>
          <w:spacing w:val="-2"/>
        </w:rPr>
        <w:t>根据企业现有固定资产的启用时间、经济寿命年限、重置价值、残值率等的判断来确定企业未来各年度的资本性支出数</w:t>
      </w:r>
    </w:p>
    <w:p>
      <w:pPr>
        <w:pStyle w:val="BodyText"/>
        <w:spacing w:line="237" w:lineRule="exact"/>
        <w:ind w:right="0"/>
        <w:jc w:val="left"/>
      </w:pPr>
      <w:r>
        <w:rPr/>
        <w:t>额。其中对</w:t>
      </w:r>
      <w:r>
        <w:rPr>
          <w:spacing w:val="-41"/>
        </w:rPr>
        <w:t> </w:t>
      </w:r>
      <w:r>
        <w:rPr>
          <w:rFonts w:ascii="Times New Roman" w:hAnsi="Times New Roman" w:cs="Times New Roman" w:eastAsia="Times New Roman" w:hint="default"/>
        </w:rPr>
        <w:t>2023</w:t>
      </w:r>
      <w:r>
        <w:rPr>
          <w:rFonts w:ascii="Times New Roman" w:hAnsi="Times New Roman" w:cs="Times New Roman" w:eastAsia="Times New Roman" w:hint="default"/>
          <w:spacing w:val="4"/>
        </w:rPr>
        <w:t> </w:t>
      </w:r>
      <w:r>
        <w:rPr/>
        <w:t>年以后年度的资本性支出，为方便计算，按未来一定年限内的每年资本性支出数据折现加总后再予以年金</w:t>
      </w:r>
    </w:p>
    <w:p>
      <w:pPr>
        <w:pStyle w:val="BodyText"/>
        <w:spacing w:line="240" w:lineRule="auto" w:before="64"/>
        <w:ind w:right="0"/>
        <w:jc w:val="left"/>
      </w:pPr>
      <w:r>
        <w:rPr/>
        <w:t>化的方法确定。</w:t>
      </w:r>
    </w:p>
    <w:p>
      <w:pPr>
        <w:pStyle w:val="BodyText"/>
        <w:tabs>
          <w:tab w:pos="994" w:val="left" w:leader="none"/>
        </w:tabs>
        <w:spacing w:line="348" w:lineRule="auto" w:before="117"/>
        <w:ind w:right="6468"/>
        <w:jc w:val="left"/>
      </w:pPr>
      <w:r>
        <w:rPr/>
        <w:t>（七）</w:t>
        <w:tab/>
        <w:t>营运资金增加额的确定 营运资金增加额</w:t>
      </w:r>
      <w:r>
        <w:rPr>
          <w:rFonts w:ascii="Times New Roman" w:hAnsi="Times New Roman" w:cs="Times New Roman" w:eastAsia="Times New Roman" w:hint="default"/>
        </w:rPr>
        <w:t>=</w:t>
      </w:r>
      <w:r>
        <w:rPr/>
        <w:t>当期所需营运资金</w:t>
      </w:r>
      <w:r>
        <w:rPr>
          <w:rFonts w:ascii="Times New Roman" w:hAnsi="Times New Roman" w:cs="Times New Roman" w:eastAsia="Times New Roman" w:hint="default"/>
        </w:rPr>
        <w:t>-</w:t>
      </w:r>
      <w:r>
        <w:rPr/>
        <w:t>上期所需营运资金 </w:t>
      </w:r>
      <w:r>
        <w:rPr>
          <w:rFonts w:ascii="Times New Roman" w:hAnsi="Times New Roman" w:cs="Times New Roman" w:eastAsia="Times New Roman" w:hint="default"/>
        </w:rPr>
        <w:t>1</w:t>
      </w:r>
      <w:r>
        <w:rPr/>
        <w:t>、</w:t>
      </w:r>
      <w:r>
        <w:rPr>
          <w:spacing w:val="60"/>
        </w:rPr>
        <w:t> </w:t>
      </w:r>
      <w:r>
        <w:rPr/>
        <w:t>现金营运资金增加额</w:t>
      </w:r>
    </w:p>
    <w:p>
      <w:pPr>
        <w:pStyle w:val="BodyText"/>
        <w:spacing w:line="240" w:lineRule="auto" w:before="14"/>
        <w:ind w:right="0"/>
        <w:jc w:val="left"/>
      </w:pPr>
      <w:r>
        <w:rPr/>
        <w:t>现金营运资金增加额通过企业预测年度内的付现成本分析及现金周转情况分析计算确定。</w:t>
      </w:r>
    </w:p>
    <w:p>
      <w:pPr>
        <w:pStyle w:val="BodyText"/>
        <w:spacing w:line="240" w:lineRule="auto" w:before="116"/>
        <w:ind w:right="0"/>
        <w:jc w:val="left"/>
      </w:pPr>
      <w:r>
        <w:rPr>
          <w:rFonts w:ascii="Times New Roman" w:hAnsi="Times New Roman" w:cs="Times New Roman" w:eastAsia="Times New Roman" w:hint="default"/>
        </w:rPr>
        <w:t>2</w:t>
      </w:r>
      <w:r>
        <w:rPr/>
        <w:t>、</w:t>
      </w:r>
      <w:r>
        <w:rPr>
          <w:spacing w:val="60"/>
        </w:rPr>
        <w:t> </w:t>
      </w:r>
      <w:r>
        <w:rPr/>
        <w:t>非现金营运资金增加额</w:t>
      </w:r>
    </w:p>
    <w:p>
      <w:pPr>
        <w:pStyle w:val="BodyText"/>
        <w:spacing w:line="240" w:lineRule="auto" w:before="101"/>
        <w:ind w:left="514" w:right="0"/>
        <w:jc w:val="left"/>
      </w:pPr>
      <w:r>
        <w:rPr/>
        <w:t>以</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年营运资金占营业收入的比例，预测预测期内各年度非现金营运资金额；以公司各年度的非现金营运资金期末</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余额减去期初余额作为当年的非现金营运资金的增加额。</w:t>
      </w:r>
    </w:p>
    <w:p>
      <w:pPr>
        <w:pStyle w:val="BodyText"/>
        <w:spacing w:line="348" w:lineRule="auto" w:before="116"/>
        <w:ind w:right="6979"/>
        <w:jc w:val="left"/>
        <w:rPr>
          <w:rFonts w:ascii="Times New Roman" w:hAnsi="Times New Roman" w:cs="Times New Roman" w:eastAsia="Times New Roman" w:hint="default"/>
        </w:rPr>
      </w:pPr>
      <w:r>
        <w:rPr/>
        <w:t>（八）折现率等重要参数的获取来源和形成过程 </w:t>
      </w:r>
      <w:r>
        <w:rPr>
          <w:rFonts w:ascii="Times New Roman" w:hAnsi="Times New Roman" w:cs="Times New Roman" w:eastAsia="Times New Roman" w:hint="default"/>
        </w:rPr>
        <w:t>1</w:t>
      </w:r>
      <w:r>
        <w:rPr/>
        <w:t>、运用</w:t>
      </w:r>
      <w:r>
        <w:rPr>
          <w:spacing w:val="-46"/>
        </w:rPr>
        <w:t> </w:t>
      </w:r>
      <w:r>
        <w:rPr>
          <w:rFonts w:ascii="Times New Roman" w:hAnsi="Times New Roman" w:cs="Times New Roman" w:eastAsia="Times New Roman" w:hint="default"/>
        </w:rPr>
        <w:t>CAPM</w:t>
      </w:r>
      <w:r>
        <w:rPr>
          <w:rFonts w:ascii="Times New Roman" w:hAnsi="Times New Roman" w:cs="Times New Roman" w:eastAsia="Times New Roman" w:hint="default"/>
          <w:spacing w:val="-1"/>
        </w:rPr>
        <w:t> </w:t>
      </w:r>
      <w:r>
        <w:rPr/>
        <w:t>模型计算权益资本成本 </w:t>
      </w:r>
      <w:r>
        <w:rPr>
          <w:rFonts w:ascii="Times New Roman" w:hAnsi="Times New Roman" w:cs="Times New Roman" w:eastAsia="Times New Roman" w:hint="default"/>
        </w:rPr>
        <w:t>Re</w:t>
      </w:r>
      <w:r>
        <w:rPr/>
        <w:t>＝</w:t>
      </w:r>
      <w:r>
        <w:rPr>
          <w:rFonts w:ascii="Times New Roman" w:hAnsi="Times New Roman" w:cs="Times New Roman" w:eastAsia="Times New Roman" w:hint="default"/>
        </w:rPr>
        <w:t>Rf+</w:t>
      </w:r>
      <w:r>
        <w:rPr>
          <w:rFonts w:ascii="Arial" w:hAnsi="Arial" w:cs="Arial" w:eastAsia="Arial" w:hint="default"/>
        </w:rPr>
        <w:t>β</w:t>
      </w:r>
      <w:r>
        <w:rPr>
          <w:rFonts w:ascii="Arial" w:hAnsi="Arial" w:cs="Arial" w:eastAsia="Arial" w:hint="default"/>
          <w:spacing w:val="19"/>
        </w:rPr>
        <w:t> </w:t>
      </w:r>
      <w:r>
        <w:rPr/>
        <w:t>×（</w:t>
      </w:r>
      <w:r>
        <w:rPr>
          <w:rFonts w:ascii="Times New Roman" w:hAnsi="Times New Roman" w:cs="Times New Roman" w:eastAsia="Times New Roman" w:hint="default"/>
        </w:rPr>
        <w:t>Rm-Rf</w:t>
      </w:r>
      <w:r>
        <w:rPr/>
        <w:t>）</w:t>
      </w:r>
      <w:r>
        <w:rPr>
          <w:rFonts w:ascii="Times New Roman" w:hAnsi="Times New Roman" w:cs="Times New Roman" w:eastAsia="Times New Roman" w:hint="default"/>
        </w:rPr>
        <w:t>+Rc</w:t>
      </w:r>
    </w:p>
    <w:p>
      <w:pPr>
        <w:pStyle w:val="BodyText"/>
        <w:spacing w:line="240" w:lineRule="auto" w:before="12"/>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）无风险报酬率</w:t>
      </w:r>
      <w:r>
        <w:rPr>
          <w:spacing w:val="-48"/>
        </w:rPr>
        <w:t> </w:t>
      </w:r>
      <w:r>
        <w:rPr>
          <w:rFonts w:ascii="Times New Roman" w:hAnsi="Times New Roman" w:cs="Times New Roman" w:eastAsia="Times New Roman" w:hint="default"/>
        </w:rPr>
        <w:t>Rf</w:t>
      </w:r>
    </w:p>
    <w:p>
      <w:pPr>
        <w:pStyle w:val="BodyText"/>
        <w:spacing w:line="240" w:lineRule="auto" w:before="103"/>
        <w:ind w:right="0"/>
        <w:jc w:val="left"/>
        <w:rPr>
          <w:rFonts w:ascii="Times New Roman" w:hAnsi="Times New Roman" w:cs="Times New Roman" w:eastAsia="Times New Roman" w:hint="default"/>
        </w:rPr>
      </w:pPr>
      <w:r>
        <w:rPr/>
        <w:t>无风险报酬率选取国债到期收益率</w:t>
      </w:r>
      <w:r>
        <w:rPr>
          <w:spacing w:val="-46"/>
        </w:rPr>
        <w:t> </w:t>
      </w:r>
      <w:r>
        <w:rPr>
          <w:rFonts w:ascii="Times New Roman" w:hAnsi="Times New Roman" w:cs="Times New Roman" w:eastAsia="Times New Roman" w:hint="default"/>
        </w:rPr>
        <w:t>4.01%</w:t>
      </w:r>
    </w:p>
    <w:p>
      <w:pPr>
        <w:pStyle w:val="BodyText"/>
        <w:spacing w:line="240" w:lineRule="auto" w:before="102"/>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）完全分散的投资组合的期望收益率</w:t>
      </w:r>
      <w:r>
        <w:rPr>
          <w:spacing w:val="-48"/>
        </w:rPr>
        <w:t> </w:t>
      </w:r>
      <w:r>
        <w:rPr>
          <w:rFonts w:ascii="Times New Roman" w:hAnsi="Times New Roman" w:cs="Times New Roman" w:eastAsia="Times New Roman" w:hint="default"/>
        </w:rPr>
        <w:t>Rm</w:t>
      </w:r>
    </w:p>
    <w:p>
      <w:pPr>
        <w:pStyle w:val="BodyText"/>
        <w:spacing w:line="302" w:lineRule="auto" w:before="101"/>
        <w:ind w:right="1121" w:firstLine="360"/>
        <w:jc w:val="left"/>
      </w:pPr>
      <w:r>
        <w:rPr/>
        <w:t>取国内沪深</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指数自</w:t>
      </w:r>
      <w:r>
        <w:rPr>
          <w:spacing w:val="-46"/>
        </w:rPr>
        <w:t> </w:t>
      </w: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7"/>
        </w:rPr>
        <w:t>年每年年末的收盘价，计算</w:t>
      </w:r>
      <w:r>
        <w:rPr>
          <w:spacing w:val="-46"/>
        </w:rPr>
        <w:t> </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年每年年末的收盘价相对于</w:t>
      </w:r>
      <w:r>
        <w:rPr>
          <w:spacing w:val="-46"/>
        </w:rPr>
        <w:t> </w:t>
      </w:r>
      <w:r>
        <w:rPr>
          <w:rFonts w:ascii="Times New Roman" w:hAnsi="Times New Roman" w:cs="Times New Roman" w:eastAsia="Times New Roman" w:hint="default"/>
        </w:rPr>
        <w:t>2002 </w:t>
      </w:r>
      <w:r>
        <w:rPr>
          <w:spacing w:val="1"/>
        </w:rPr>
        <w:t>年年 </w:t>
      </w:r>
      <w:r>
        <w:rPr/>
        <w:t>末收盘价的几何平均收益率，再取其算术平均值作为完全分散的投资组合的期望收益率</w:t>
      </w:r>
      <w:r>
        <w:rPr>
          <w:spacing w:val="-45"/>
        </w:rPr>
        <w:t> </w:t>
      </w:r>
      <w:r>
        <w:rPr>
          <w:rFonts w:ascii="Times New Roman" w:hAnsi="Times New Roman" w:cs="Times New Roman" w:eastAsia="Times New Roman" w:hint="default"/>
        </w:rPr>
        <w:t>6.01%</w:t>
      </w:r>
      <w:r>
        <w:rPr/>
        <w:t>。</w:t>
      </w:r>
    </w:p>
    <w:p>
      <w:pPr>
        <w:pStyle w:val="BodyText"/>
        <w:spacing w:line="338" w:lineRule="auto" w:before="52"/>
        <w:ind w:left="514" w:right="1115" w:hanging="360"/>
        <w:jc w:val="left"/>
      </w:pPr>
      <w:r>
        <w:rPr/>
        <w:t>（</w:t>
      </w:r>
      <w:r>
        <w:rPr>
          <w:rFonts w:ascii="Times New Roman" w:hAnsi="Times New Roman" w:cs="Times New Roman" w:eastAsia="Times New Roman" w:hint="default"/>
        </w:rPr>
        <w:t>3</w:t>
      </w:r>
      <w:r>
        <w:rPr/>
        <w:t>）确定可比公司相对于股票市场风险系数</w:t>
      </w:r>
      <w:r>
        <w:rPr>
          <w:rFonts w:ascii="Arial" w:hAnsi="Arial" w:cs="Arial" w:eastAsia="Arial" w:hint="default"/>
        </w:rPr>
        <w:t>β</w:t>
      </w:r>
      <w:r>
        <w:rPr>
          <w:rFonts w:ascii="Arial" w:hAnsi="Arial" w:cs="Arial" w:eastAsia="Arial" w:hint="default"/>
          <w:w w:val="99"/>
        </w:rPr>
        <w:t> </w:t>
      </w:r>
      <w:r>
        <w:rPr>
          <w:spacing w:val="-2"/>
        </w:rPr>
        <w:t>我们首先收集了多家同行业上市公司的资料，经过筛选选取在资产规模、收益状况等方面与被评估单位相近的</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家上市</w:t>
      </w:r>
    </w:p>
    <w:p>
      <w:pPr>
        <w:pStyle w:val="BodyText"/>
        <w:spacing w:line="218" w:lineRule="exact"/>
        <w:ind w:right="0"/>
        <w:jc w:val="left"/>
      </w:pPr>
      <w:r>
        <w:rPr/>
        <w:t>公司作为可比公司。</w:t>
      </w:r>
    </w:p>
    <w:p>
      <w:pPr>
        <w:pStyle w:val="BodyText"/>
        <w:spacing w:line="240" w:lineRule="auto" w:before="116"/>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）企业特定风险调整系数</w:t>
      </w:r>
      <w:r>
        <w:rPr>
          <w:spacing w:val="-48"/>
        </w:rPr>
        <w:t> </w:t>
      </w:r>
      <w:r>
        <w:rPr>
          <w:rFonts w:ascii="Times New Roman" w:hAnsi="Times New Roman" w:cs="Times New Roman" w:eastAsia="Times New Roman" w:hint="default"/>
        </w:rPr>
        <w:t>Rc</w:t>
      </w:r>
    </w:p>
    <w:p>
      <w:pPr>
        <w:pStyle w:val="BodyText"/>
        <w:spacing w:line="338" w:lineRule="auto" w:before="103"/>
        <w:ind w:right="0"/>
        <w:jc w:val="left"/>
      </w:pPr>
      <w:r>
        <w:rPr/>
        <w:t>我们考虑了以下调整因素： </w:t>
      </w:r>
      <w:r>
        <w:rPr>
          <w:spacing w:val="-2"/>
        </w:rPr>
        <w:t>规模风险报酬率的确定：通过与可比上市公司比较，企业的规模低于可比上市公司，因此我们认为有必要做适当的规模报酬</w:t>
      </w:r>
      <w:r>
        <w:rPr>
          <w:spacing w:val="-66"/>
        </w:rPr>
        <w:t> </w:t>
      </w:r>
      <w:r>
        <w:rPr>
          <w:spacing w:val="-66"/>
        </w:rPr>
      </w:r>
      <w:r>
        <w:rPr/>
        <w:t>调整。根据我们的比较和判断结果，追加</w:t>
      </w:r>
      <w:r>
        <w:rPr>
          <w:spacing w:val="-46"/>
        </w:rPr>
        <w:t> </w:t>
      </w:r>
      <w:r>
        <w:rPr>
          <w:rFonts w:ascii="Times New Roman" w:hAnsi="Times New Roman" w:cs="Times New Roman" w:eastAsia="Times New Roman" w:hint="default"/>
        </w:rPr>
        <w:t>2%</w:t>
      </w:r>
      <w:r>
        <w:rPr/>
        <w:t>的规模风险报酬率。 个别风险报酬率的确定：主要包括企业风险和财务风险。个别风险报酬率确定为</w:t>
      </w:r>
      <w:r>
        <w:rPr>
          <w:spacing w:val="-45"/>
        </w:rPr>
        <w:t> </w:t>
      </w:r>
      <w:r>
        <w:rPr>
          <w:rFonts w:ascii="Times New Roman" w:hAnsi="Times New Roman" w:cs="Times New Roman" w:eastAsia="Times New Roman" w:hint="default"/>
        </w:rPr>
        <w:t>2.5%</w:t>
      </w:r>
      <w:r>
        <w:rPr/>
        <w:t>。</w:t>
      </w:r>
    </w:p>
    <w:p>
      <w:pPr>
        <w:pStyle w:val="BodyText"/>
        <w:spacing w:line="240" w:lineRule="auto" w:before="22"/>
        <w:ind w:right="0"/>
        <w:jc w:val="left"/>
      </w:pPr>
      <w:r>
        <w:rPr>
          <w:rFonts w:ascii="Times New Roman" w:hAnsi="Times New Roman" w:cs="Times New Roman" w:eastAsia="Times New Roman" w:hint="default"/>
        </w:rPr>
        <w:t>2</w:t>
      </w:r>
      <w:r>
        <w:rPr/>
        <w:t>、运用</w:t>
      </w:r>
      <w:r>
        <w:rPr>
          <w:spacing w:val="-46"/>
        </w:rPr>
        <w:t> </w:t>
      </w:r>
      <w:r>
        <w:rPr>
          <w:rFonts w:ascii="Times New Roman" w:hAnsi="Times New Roman" w:cs="Times New Roman" w:eastAsia="Times New Roman" w:hint="default"/>
          <w:spacing w:val="-5"/>
        </w:rPr>
        <w:t>WACC</w:t>
      </w:r>
      <w:r>
        <w:rPr>
          <w:rFonts w:ascii="Times New Roman" w:hAnsi="Times New Roman" w:cs="Times New Roman" w:eastAsia="Times New Roman" w:hint="default"/>
          <w:spacing w:val="-1"/>
        </w:rPr>
        <w:t> </w:t>
      </w:r>
      <w:r>
        <w:rPr/>
        <w:t>模型计算加权平均资本成本</w:t>
      </w:r>
    </w:p>
    <w:p>
      <w:pPr>
        <w:pStyle w:val="BodyText"/>
        <w:spacing w:line="240" w:lineRule="auto" w:before="102"/>
        <w:ind w:right="0"/>
        <w:jc w:val="left"/>
      </w:pPr>
      <w:r>
        <w:rPr>
          <w:rFonts w:ascii="Times New Roman" w:hAnsi="Times New Roman" w:cs="Times New Roman" w:eastAsia="Times New Roman" w:hint="default"/>
          <w:spacing w:val="-6"/>
        </w:rPr>
        <w:t>WACC </w:t>
      </w:r>
      <w:r>
        <w:rPr/>
        <w:t>模型是国际上普遍应用的估算投资资本成本的办法。</w:t>
      </w:r>
      <w:r>
        <w:rPr>
          <w:rFonts w:ascii="Times New Roman" w:hAnsi="Times New Roman" w:cs="Times New Roman" w:eastAsia="Times New Roman" w:hint="default"/>
        </w:rPr>
        <w:t>WACC</w:t>
      </w:r>
      <w:r>
        <w:rPr>
          <w:rFonts w:ascii="Times New Roman" w:hAnsi="Times New Roman" w:cs="Times New Roman" w:eastAsia="Times New Roman" w:hint="default"/>
          <w:spacing w:val="-15"/>
        </w:rPr>
        <w:t> </w:t>
      </w:r>
      <w:r>
        <w:rPr/>
        <w:t>模型可用下列公式表示：</w:t>
      </w:r>
    </w:p>
    <w:p>
      <w:pPr>
        <w:pStyle w:val="BodyText"/>
        <w:spacing w:line="240" w:lineRule="auto" w:before="142"/>
        <w:ind w:right="0"/>
        <w:jc w:val="left"/>
        <w:rPr>
          <w:rFonts w:ascii="Times New Roman" w:hAnsi="Times New Roman" w:cs="Times New Roman" w:eastAsia="Times New Roman" w:hint="default"/>
        </w:rPr>
      </w:pPr>
      <w:r>
        <w:rPr>
          <w:rFonts w:ascii="Times New Roman" w:hAnsi="Times New Roman" w:cs="Times New Roman" w:eastAsia="Times New Roman" w:hint="default"/>
        </w:rPr>
        <w:t>WACC=Re×[E÷(D+E)]+Kd×(1-t)×[D÷(D+E)]</w:t>
      </w:r>
    </w:p>
    <w:p>
      <w:pPr>
        <w:pStyle w:val="BodyText"/>
        <w:tabs>
          <w:tab w:pos="8315" w:val="left" w:leader="none"/>
        </w:tabs>
        <w:spacing w:line="240" w:lineRule="auto" w:before="106"/>
        <w:ind w:right="0"/>
        <w:jc w:val="left"/>
      </w:pPr>
      <w:r>
        <w:rPr>
          <w:rFonts w:ascii="Times New Roman" w:hAnsi="Times New Roman" w:cs="Times New Roman" w:eastAsia="Times New Roman" w:hint="default"/>
        </w:rPr>
        <w:t>3</w:t>
      </w:r>
      <w:r>
        <w:rPr/>
        <w:t>、折现率确定为</w:t>
      </w:r>
      <w:r>
        <w:rPr>
          <w:spacing w:val="-46"/>
        </w:rPr>
        <w:t> </w:t>
      </w:r>
      <w:r>
        <w:rPr>
          <w:rFonts w:ascii="Times New Roman" w:hAnsi="Times New Roman" w:cs="Times New Roman" w:eastAsia="Times New Roman" w:hint="default"/>
        </w:rPr>
        <w:t>15.16%</w:t>
        <w:tab/>
      </w:r>
      <w:r>
        <w:rPr/>
        <w:t>单位：万元</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752"/>
        <w:gridCol w:w="1552"/>
        <w:gridCol w:w="1550"/>
        <w:gridCol w:w="2111"/>
        <w:gridCol w:w="1553"/>
      </w:tblGrid>
      <w:tr>
        <w:trPr>
          <w:trHeight w:val="476"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0" w:right="0"/>
              <w:jc w:val="left"/>
              <w:rPr>
                <w:rFonts w:ascii="宋体" w:hAnsi="宋体" w:cs="宋体" w:eastAsia="宋体" w:hint="default"/>
                <w:sz w:val="18"/>
                <w:szCs w:val="18"/>
              </w:rPr>
            </w:pPr>
            <w:r>
              <w:rPr>
                <w:rFonts w:ascii="宋体" w:hAnsi="宋体" w:cs="宋体" w:eastAsia="宋体" w:hint="default"/>
                <w:sz w:val="18"/>
                <w:szCs w:val="18"/>
              </w:rPr>
              <w:t>对比公司名称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sz w:val="18"/>
                <w:szCs w:val="18"/>
              </w:rPr>
              <w:t>广东鸿图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9" w:right="0"/>
              <w:jc w:val="left"/>
              <w:rPr>
                <w:rFonts w:ascii="宋体" w:hAnsi="宋体" w:cs="宋体" w:eastAsia="宋体" w:hint="default"/>
                <w:sz w:val="18"/>
                <w:szCs w:val="18"/>
              </w:rPr>
            </w:pPr>
            <w:r>
              <w:rPr>
                <w:rFonts w:ascii="宋体" w:hAnsi="宋体" w:cs="宋体" w:eastAsia="宋体" w:hint="default"/>
                <w:sz w:val="18"/>
                <w:szCs w:val="18"/>
              </w:rPr>
              <w:t>中国重汽</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89" w:right="0"/>
              <w:jc w:val="left"/>
              <w:rPr>
                <w:rFonts w:ascii="宋体" w:hAnsi="宋体" w:cs="宋体" w:eastAsia="宋体" w:hint="default"/>
                <w:sz w:val="18"/>
                <w:szCs w:val="18"/>
              </w:rPr>
            </w:pPr>
            <w:r>
              <w:rPr>
                <w:rFonts w:ascii="宋体" w:hAnsi="宋体" w:cs="宋体" w:eastAsia="宋体" w:hint="default"/>
                <w:sz w:val="18"/>
                <w:szCs w:val="18"/>
              </w:rPr>
              <w:t>曙光股份</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0" w:right="0"/>
              <w:jc w:val="left"/>
              <w:rPr>
                <w:rFonts w:ascii="宋体" w:hAnsi="宋体" w:cs="宋体" w:eastAsia="宋体" w:hint="default"/>
                <w:sz w:val="18"/>
                <w:szCs w:val="18"/>
              </w:rPr>
            </w:pPr>
            <w:r>
              <w:rPr>
                <w:rFonts w:ascii="宋体" w:hAnsi="宋体" w:cs="宋体" w:eastAsia="宋体" w:hint="default"/>
                <w:sz w:val="18"/>
                <w:szCs w:val="18"/>
              </w:rPr>
              <w:t>行业平均</w:t>
            </w:r>
          </w:p>
        </w:tc>
      </w:tr>
      <w:tr>
        <w:trPr>
          <w:trHeight w:val="32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002101.SZ</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000951.SZ</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600303.SH</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付息债务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136,416.15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675,000.00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153,392.64</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债权比例</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47%</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37%</w:t>
            </w:r>
            <w:r>
              <w:rPr>
                <w:rFonts w:ascii="Times New Roman"/>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36%</w:t>
            </w:r>
          </w:p>
        </w:tc>
      </w:tr>
      <w:tr>
        <w:trPr>
          <w:trHeight w:val="506"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3" w:right="0"/>
              <w:jc w:val="left"/>
              <w:rPr>
                <w:rFonts w:ascii="宋体" w:hAnsi="宋体" w:cs="宋体" w:eastAsia="宋体" w:hint="default"/>
                <w:sz w:val="18"/>
                <w:szCs w:val="18"/>
              </w:rPr>
            </w:pPr>
            <w:r>
              <w:rPr>
                <w:rFonts w:ascii="宋体" w:hAnsi="宋体" w:cs="宋体" w:eastAsia="宋体" w:hint="default"/>
                <w:sz w:val="18"/>
                <w:szCs w:val="18"/>
              </w:rPr>
              <w:t>可流通股股数（</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42,561.90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67,090.24</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62,032.43</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3" w:right="0"/>
              <w:jc w:val="left"/>
              <w:rPr>
                <w:rFonts w:ascii="宋体" w:hAnsi="宋体" w:cs="宋体" w:eastAsia="宋体" w:hint="default"/>
                <w:sz w:val="18"/>
                <w:szCs w:val="18"/>
              </w:rPr>
            </w:pPr>
            <w:r>
              <w:rPr>
                <w:rFonts w:ascii="宋体" w:hAnsi="宋体" w:cs="宋体" w:eastAsia="宋体" w:hint="default"/>
                <w:sz w:val="18"/>
                <w:szCs w:val="18"/>
              </w:rPr>
              <w:t>股价（元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8.09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11.14</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3.91</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不可流通股股数</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10,681.94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17.84</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5,527.99</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18"/>
                <w:szCs w:val="18"/>
              </w:rPr>
            </w:pPr>
            <w:r>
              <w:rPr>
                <w:rFonts w:ascii="宋体" w:hAnsi="宋体" w:cs="宋体" w:eastAsia="宋体" w:hint="default"/>
                <w:sz w:val="18"/>
                <w:szCs w:val="18"/>
              </w:rPr>
              <w:t>总股本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53,243.84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67,108.08</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67,560.42</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账面净资产</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459,031.86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639,360.56</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326,763.88</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流通性折扣</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0.85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0.85</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0.85</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3" w:right="0"/>
              <w:jc w:val="left"/>
              <w:rPr>
                <w:rFonts w:ascii="宋体" w:hAnsi="宋体" w:cs="宋体" w:eastAsia="宋体" w:hint="default"/>
                <w:sz w:val="18"/>
                <w:szCs w:val="18"/>
              </w:rPr>
            </w:pPr>
            <w:r>
              <w:rPr>
                <w:rFonts w:ascii="宋体" w:hAnsi="宋体" w:cs="宋体" w:eastAsia="宋体" w:hint="default"/>
                <w:sz w:val="18"/>
                <w:szCs w:val="18"/>
              </w:rPr>
              <w:t>限售股股价（元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6.87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9.46</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3.32</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 w:right="0"/>
              <w:jc w:val="left"/>
              <w:rPr>
                <w:rFonts w:ascii="宋体" w:hAnsi="宋体" w:cs="宋体" w:eastAsia="宋体" w:hint="default"/>
                <w:sz w:val="18"/>
                <w:szCs w:val="18"/>
              </w:rPr>
            </w:pPr>
            <w:r>
              <w:rPr>
                <w:rFonts w:ascii="宋体" w:hAnsi="宋体" w:cs="宋体" w:eastAsia="宋体" w:hint="default"/>
                <w:sz w:val="18"/>
                <w:szCs w:val="18"/>
              </w:rPr>
              <w:t>股权公平市场价值</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417,733.56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747,554.09</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260,907.44</w:t>
            </w: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股权价值比例</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75.38%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52.55%</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62.98%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63.64%</w:t>
            </w:r>
          </w:p>
        </w:tc>
      </w:tr>
      <w:tr>
        <w:trPr>
          <w:trHeight w:val="508"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经杠杆调整后的 </w:t>
            </w:r>
            <w:r>
              <w:rPr>
                <w:rFonts w:ascii="Times New Roman" w:hAnsi="Times New Roman" w:cs="Times New Roman" w:eastAsia="Times New Roman" w:hint="default"/>
                <w:sz w:val="18"/>
                <w:szCs w:val="18"/>
              </w:rPr>
              <w:t>β</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1.1849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1.3196</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1.2761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1.2602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752"/>
        <w:gridCol w:w="1552"/>
        <w:gridCol w:w="1550"/>
        <w:gridCol w:w="2111"/>
        <w:gridCol w:w="1553"/>
      </w:tblGrid>
      <w:tr>
        <w:trPr>
          <w:trHeight w:val="502" w:hRule="exact"/>
        </w:trPr>
        <w:tc>
          <w:tcPr>
            <w:tcW w:w="27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3"/>
              <w:ind w:left="1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取消杠杆调整的 </w:t>
            </w:r>
            <w:r>
              <w:rPr>
                <w:rFonts w:ascii="Times New Roman" w:hAnsi="Times New Roman" w:cs="Times New Roman" w:eastAsia="Times New Roman" w:hint="default"/>
                <w:sz w:val="18"/>
                <w:szCs w:val="18"/>
              </w:rPr>
              <w:t>β</w:t>
            </w: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left="944" w:right="0"/>
              <w:jc w:val="left"/>
              <w:rPr>
                <w:rFonts w:ascii="Times New Roman" w:hAnsi="Times New Roman" w:cs="Times New Roman" w:eastAsia="Times New Roman" w:hint="default"/>
                <w:sz w:val="18"/>
                <w:szCs w:val="18"/>
              </w:rPr>
            </w:pPr>
            <w:r>
              <w:rPr>
                <w:rFonts w:ascii="Times New Roman"/>
                <w:sz w:val="18"/>
              </w:rPr>
              <w:t>0.9274</w:t>
            </w:r>
          </w:p>
        </w:tc>
        <w:tc>
          <w:tcPr>
            <w:tcW w:w="15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0.7868</w:t>
            </w:r>
          </w:p>
        </w:tc>
        <w:tc>
          <w:tcPr>
            <w:tcW w:w="21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0.8856</w:t>
            </w: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z w:val="18"/>
              </w:rPr>
              <w:t>0.8666</w:t>
            </w:r>
          </w:p>
        </w:tc>
      </w:tr>
      <w:tr>
        <w:trPr>
          <w:trHeight w:val="322"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6" w:right="0"/>
              <w:jc w:val="left"/>
              <w:rPr>
                <w:rFonts w:ascii="宋体" w:hAnsi="宋体" w:cs="宋体" w:eastAsia="宋体" w:hint="default"/>
                <w:sz w:val="18"/>
                <w:szCs w:val="18"/>
              </w:rPr>
            </w:pPr>
            <w:r>
              <w:rPr>
                <w:rFonts w:ascii="宋体" w:hAnsi="宋体" w:cs="宋体" w:eastAsia="宋体" w:hint="default"/>
                <w:sz w:val="18"/>
                <w:szCs w:val="18"/>
              </w:rPr>
              <w:t>适用委估企业付息债务比例</w:t>
            </w:r>
          </w:p>
        </w:tc>
        <w:tc>
          <w:tcPr>
            <w:tcW w:w="52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36.36%</w:t>
            </w:r>
          </w:p>
        </w:tc>
      </w:tr>
      <w:tr>
        <w:trPr>
          <w:trHeight w:val="323"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6" w:right="0"/>
              <w:jc w:val="left"/>
              <w:rPr>
                <w:rFonts w:ascii="宋体" w:hAnsi="宋体" w:cs="宋体" w:eastAsia="宋体" w:hint="default"/>
                <w:sz w:val="18"/>
                <w:szCs w:val="18"/>
              </w:rPr>
            </w:pPr>
            <w:r>
              <w:rPr>
                <w:rFonts w:ascii="宋体" w:hAnsi="宋体" w:cs="宋体" w:eastAsia="宋体" w:hint="default"/>
                <w:sz w:val="18"/>
                <w:szCs w:val="18"/>
              </w:rPr>
              <w:t>适用委估企业净资产比例</w:t>
            </w:r>
          </w:p>
        </w:tc>
        <w:tc>
          <w:tcPr>
            <w:tcW w:w="52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63.64%</w:t>
            </w:r>
          </w:p>
        </w:tc>
      </w:tr>
      <w:tr>
        <w:trPr>
          <w:trHeight w:val="322"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适用于委估企业的 </w:t>
            </w:r>
            <w:r>
              <w:rPr>
                <w:rFonts w:ascii="Times New Roman" w:hAnsi="Times New Roman" w:cs="Times New Roman" w:eastAsia="Times New Roman" w:hint="default"/>
                <w:sz w:val="18"/>
                <w:szCs w:val="18"/>
              </w:rPr>
              <w:t>β</w:t>
            </w:r>
          </w:p>
        </w:tc>
        <w:tc>
          <w:tcPr>
            <w:tcW w:w="52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1.2379</w:t>
            </w:r>
          </w:p>
        </w:tc>
      </w:tr>
      <w:tr>
        <w:trPr>
          <w:trHeight w:val="476"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无风险收益率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4.01%</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委估企业所得税率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25.00%</w:t>
            </w:r>
          </w:p>
        </w:tc>
      </w:tr>
      <w:tr>
        <w:trPr>
          <w:trHeight w:val="322"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6" w:right="0"/>
              <w:jc w:val="left"/>
              <w:rPr>
                <w:rFonts w:ascii="宋体" w:hAnsi="宋体" w:cs="宋体" w:eastAsia="宋体" w:hint="default"/>
                <w:sz w:val="18"/>
                <w:szCs w:val="18"/>
              </w:rPr>
            </w:pPr>
            <w:r>
              <w:rPr>
                <w:rFonts w:ascii="宋体" w:hAnsi="宋体" w:cs="宋体" w:eastAsia="宋体" w:hint="default"/>
                <w:sz w:val="18"/>
                <w:szCs w:val="18"/>
              </w:rPr>
              <w:t>股权市场超额风险收益率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6.01%</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股权收益率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15.90%</w:t>
            </w:r>
          </w:p>
        </w:tc>
      </w:tr>
      <w:tr>
        <w:trPr>
          <w:trHeight w:val="322"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规模风险报酬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债权收益率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4.60%</w:t>
            </w:r>
          </w:p>
        </w:tc>
      </w:tr>
      <w:tr>
        <w:trPr>
          <w:trHeight w:val="323" w:hRule="exact"/>
        </w:trPr>
        <w:tc>
          <w:tcPr>
            <w:tcW w:w="43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个别风险报酬</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11.37%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w:t>
      </w:r>
      <w:r>
        <w:rPr>
          <w:spacing w:val="-72"/>
        </w:rPr>
        <w:t> </w:t>
      </w:r>
      <w:r>
        <w:rPr>
          <w:spacing w:val="14"/>
        </w:rPr>
        <w:t>根据以上分析计算，</w:t>
      </w:r>
      <w:r>
        <w:rPr>
          <w:spacing w:val="-74"/>
        </w:rPr>
        <w:t> </w:t>
      </w:r>
      <w:r>
        <w:rPr>
          <w:spacing w:val="16"/>
        </w:rPr>
        <w:t>我们确定用于本次评估的折现率即加权平均资本成本为</w:t>
      </w:r>
      <w:r>
        <w:rPr>
          <w:spacing w:val="29"/>
        </w:rPr>
        <w:t> </w:t>
      </w:r>
      <w:r>
        <w:rPr>
          <w:rFonts w:ascii="Times New Roman" w:hAnsi="Times New Roman" w:cs="Times New Roman" w:eastAsia="Times New Roman" w:hint="default"/>
        </w:rPr>
        <w:t>11.37%</w:t>
      </w:r>
      <w:r>
        <w:rPr/>
        <w:t>。</w:t>
      </w:r>
      <w:r>
        <w:rPr>
          <w:spacing w:val="-72"/>
        </w:rPr>
        <w:t> </w:t>
      </w:r>
      <w:r>
        <w:rPr>
          <w:spacing w:val="8"/>
        </w:rPr>
        <w:t>税前</w:t>
      </w:r>
      <w:r>
        <w:rPr>
          <w:spacing w:val="20"/>
        </w:rPr>
        <w:t> </w:t>
      </w:r>
      <w:r>
        <w:rPr>
          <w:rFonts w:ascii="Times New Roman" w:hAnsi="Times New Roman" w:cs="Times New Roman" w:eastAsia="Times New Roman" w:hint="default"/>
          <w:spacing w:val="-6"/>
        </w:rPr>
        <w:t>WACC </w:t>
      </w:r>
      <w:r>
        <w:rPr>
          <w:rFonts w:ascii="Times New Roman" w:hAnsi="Times New Roman" w:cs="Times New Roman" w:eastAsia="Times New Roman" w:hint="default"/>
          <w:spacing w:val="27"/>
        </w:rPr>
        <w:t> </w:t>
      </w:r>
      <w:r>
        <w:rPr/>
        <w:t>为</w:t>
      </w:r>
      <w:r>
        <w:rPr>
          <w:spacing w:val="22"/>
        </w:rPr>
        <w:t> </w:t>
      </w:r>
      <w:r>
        <w:rPr>
          <w:rFonts w:ascii="Times New Roman" w:hAnsi="Times New Roman" w:cs="Times New Roman" w:eastAsia="Times New Roman" w:hint="default"/>
        </w:rPr>
        <w:t>15.16%</w:t>
      </w:r>
    </w:p>
    <w:p>
      <w:pPr>
        <w:spacing w:line="240" w:lineRule="auto" w:before="10"/>
        <w:rPr>
          <w:rFonts w:ascii="Times New Roman" w:hAnsi="Times New Roman" w:cs="Times New Roman" w:eastAsia="Times New Roman" w:hint="default"/>
          <w:sz w:val="21"/>
          <w:szCs w:val="21"/>
        </w:rPr>
      </w:pPr>
    </w:p>
    <w:p>
      <w:pPr>
        <w:pStyle w:val="BodyText"/>
        <w:spacing w:line="240" w:lineRule="auto"/>
        <w:ind w:right="0"/>
        <w:jc w:val="left"/>
      </w:pP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1.37%/(</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spacing w:val="-90"/>
        </w:rPr>
        <w:t>）。</w:t>
      </w:r>
      <w:r>
        <w:rPr/>
      </w:r>
    </w:p>
    <w:p>
      <w:pPr>
        <w:pStyle w:val="BodyText"/>
        <w:spacing w:line="240" w:lineRule="auto" w:before="111"/>
        <w:ind w:left="514" w:right="0"/>
        <w:jc w:val="left"/>
      </w:pPr>
      <w:r>
        <w:rPr/>
        <w:t>评估结论：在评估基准日</w:t>
      </w:r>
      <w:r>
        <w:rPr>
          <w:spacing w:val="-1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日，海联金汇科技股份有限公司因并购湖北海立美达汽车有限公司资产组形</w:t>
      </w:r>
    </w:p>
    <w:p>
      <w:pPr>
        <w:pStyle w:val="BodyText"/>
        <w:spacing w:line="338" w:lineRule="auto" w:before="64"/>
        <w:ind w:left="514" w:right="0" w:hanging="360"/>
        <w:jc w:val="left"/>
      </w:pPr>
      <w:r>
        <w:rPr/>
        <w:t>成的商誉相关资产组的账面值为</w:t>
      </w:r>
      <w:r>
        <w:rPr>
          <w:spacing w:val="-46"/>
        </w:rPr>
        <w:t> </w:t>
      </w:r>
      <w:r>
        <w:rPr>
          <w:rFonts w:ascii="Times New Roman" w:hAnsi="Times New Roman" w:cs="Times New Roman" w:eastAsia="Times New Roman" w:hint="default"/>
        </w:rPr>
        <w:t>20,306.60</w:t>
      </w:r>
      <w:r>
        <w:rPr>
          <w:rFonts w:ascii="Times New Roman" w:hAnsi="Times New Roman" w:cs="Times New Roman" w:eastAsia="Times New Roman" w:hint="default"/>
          <w:spacing w:val="-1"/>
        </w:rPr>
        <w:t> </w:t>
      </w:r>
      <w:r>
        <w:rPr/>
        <w:t>万元，可回收价值评估结果为</w:t>
      </w:r>
      <w:r>
        <w:rPr>
          <w:spacing w:val="-46"/>
        </w:rPr>
        <w:t> </w:t>
      </w:r>
      <w:r>
        <w:rPr>
          <w:rFonts w:ascii="Times New Roman" w:hAnsi="Times New Roman" w:cs="Times New Roman" w:eastAsia="Times New Roman" w:hint="default"/>
        </w:rPr>
        <w:t>18,062.21</w:t>
      </w:r>
      <w:r>
        <w:rPr>
          <w:rFonts w:ascii="Times New Roman" w:hAnsi="Times New Roman" w:cs="Times New Roman" w:eastAsia="Times New Roman" w:hint="default"/>
          <w:spacing w:val="-1"/>
        </w:rPr>
        <w:t> </w:t>
      </w:r>
      <w:r>
        <w:rPr/>
        <w:t>万元。 </w:t>
      </w:r>
      <w:r>
        <w:rPr>
          <w:spacing w:val="-2"/>
        </w:rPr>
        <w:t>综上，根据上述评估，公司因并购湖北海立美达汽车有限公司资产组形成的商誉存在减值情形，资产组减值归属于母公</w:t>
      </w:r>
    </w:p>
    <w:p>
      <w:pPr>
        <w:pStyle w:val="BodyText"/>
        <w:spacing w:line="240" w:lineRule="auto" w:before="2"/>
        <w:ind w:right="0"/>
        <w:jc w:val="left"/>
      </w:pPr>
      <w:r>
        <w:rPr>
          <w:spacing w:val="4"/>
        </w:rPr>
        <w:t>司的金额为 </w:t>
      </w:r>
      <w:r>
        <w:rPr>
          <w:rFonts w:ascii="Times New Roman" w:hAnsi="Times New Roman" w:cs="Times New Roman" w:eastAsia="Times New Roman" w:hint="default"/>
        </w:rPr>
        <w:t>2,071.25  </w:t>
      </w:r>
      <w:r>
        <w:rPr>
          <w:spacing w:val="5"/>
        </w:rPr>
        <w:t>万元，其中归属于母公司的商誉 </w:t>
      </w:r>
      <w:r>
        <w:rPr>
          <w:rFonts w:ascii="Times New Roman" w:hAnsi="Times New Roman" w:cs="Times New Roman" w:eastAsia="Times New Roman" w:hint="default"/>
        </w:rPr>
        <w:t>1,925.49 </w:t>
      </w:r>
      <w:r>
        <w:rPr>
          <w:rFonts w:ascii="Times New Roman" w:hAnsi="Times New Roman" w:cs="Times New Roman" w:eastAsia="Times New Roman" w:hint="default"/>
          <w:spacing w:val="31"/>
        </w:rPr>
        <w:t> </w:t>
      </w:r>
      <w:r>
        <w:rPr>
          <w:spacing w:val="5"/>
        </w:rPr>
        <w:t>万元应全额计提减值。湖北海立美达资产法评估结果为</w:t>
      </w:r>
    </w:p>
    <w:p>
      <w:pPr>
        <w:pStyle w:val="BodyText"/>
        <w:spacing w:line="302" w:lineRule="auto" w:before="63"/>
        <w:ind w:right="1118"/>
        <w:jc w:val="left"/>
      </w:pPr>
      <w:r>
        <w:rPr>
          <w:rFonts w:ascii="Times New Roman" w:hAnsi="Times New Roman" w:cs="Times New Roman" w:eastAsia="Times New Roman" w:hint="default"/>
        </w:rPr>
        <w:t>18,346.41</w:t>
      </w:r>
      <w:r>
        <w:rPr>
          <w:rFonts w:ascii="Times New Roman" w:hAnsi="Times New Roman" w:cs="Times New Roman" w:eastAsia="Times New Roman" w:hint="default"/>
          <w:spacing w:val="4"/>
        </w:rPr>
        <w:t> </w:t>
      </w:r>
      <w:r>
        <w:rPr/>
        <w:t>万元，高于不包含商誉的资产组账面价值，不包含商誉的资产组未发生减值，故未对不包含商誉的资产组计提减 值准备。</w:t>
      </w:r>
    </w:p>
    <w:p>
      <w:pPr>
        <w:pStyle w:val="BodyText"/>
        <w:spacing w:line="240" w:lineRule="auto" w:before="69"/>
        <w:ind w:right="0"/>
        <w:jc w:val="left"/>
      </w:pPr>
      <w:r>
        <w:rPr/>
        <w:t>商誉减值测试的影响</w:t>
      </w:r>
    </w:p>
    <w:p>
      <w:pPr>
        <w:pStyle w:val="BodyText"/>
        <w:spacing w:line="340" w:lineRule="auto" w:before="116"/>
        <w:ind w:left="514" w:right="3372"/>
        <w:jc w:val="left"/>
      </w:pPr>
      <w:r>
        <w:rPr>
          <w:rFonts w:ascii="Times New Roman" w:hAnsi="Times New Roman" w:cs="Times New Roman" w:eastAsia="Times New Roman" w:hint="default"/>
        </w:rPr>
        <w:t>1</w:t>
      </w:r>
      <w:r>
        <w:rPr/>
        <w:t>、业绩承诺完成情况 经审计，联动优势与上市公司（不含联动优势及其控制的主体）业绩承诺完成情况如下：</w:t>
      </w:r>
    </w:p>
    <w:p>
      <w:pPr>
        <w:pStyle w:val="BodyText"/>
        <w:spacing w:line="240" w:lineRule="auto" w:before="40"/>
        <w:ind w:left="514" w:right="0"/>
        <w:jc w:val="left"/>
      </w:pPr>
      <w:r>
        <w:rPr/>
        <w:t>（</w:t>
      </w:r>
      <w:r>
        <w:rPr>
          <w:rFonts w:ascii="Times New Roman" w:hAnsi="Times New Roman" w:cs="Times New Roman" w:eastAsia="Times New Roman" w:hint="default"/>
        </w:rPr>
        <w:t>1</w:t>
      </w:r>
      <w:r>
        <w:rPr/>
        <w:t>）联动优势业绩完成情况</w:t>
      </w:r>
    </w:p>
    <w:p>
      <w:pPr>
        <w:pStyle w:val="BodyText"/>
        <w:spacing w:line="302" w:lineRule="auto" w:before="101"/>
        <w:ind w:right="1127" w:firstLine="360"/>
        <w:jc w:val="left"/>
      </w:pPr>
      <w:r>
        <w:rPr/>
        <w:t>截至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4"/>
        </w:rPr>
        <w:t>日，联动优势</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2"/>
        </w:rPr>
        <w:t>年度、</w:t>
      </w:r>
      <w:r>
        <w:rPr>
          <w:rFonts w:ascii="Times New Roman" w:hAnsi="Times New Roman" w:cs="Times New Roman" w:eastAsia="Times New Roman" w:hint="default"/>
          <w:spacing w:val="-12"/>
        </w:rPr>
        <w:t>2017</w:t>
      </w:r>
      <w:r>
        <w:rPr>
          <w:rFonts w:ascii="Times New Roman" w:hAnsi="Times New Roman" w:cs="Times New Roman" w:eastAsia="Times New Roman" w:hint="default"/>
          <w:spacing w:val="1"/>
        </w:rPr>
        <w:t> </w:t>
      </w:r>
      <w:r>
        <w:rPr>
          <w:spacing w:val="-12"/>
        </w:rPr>
        <w:t>年度、</w:t>
      </w:r>
      <w:r>
        <w:rPr>
          <w:rFonts w:ascii="Times New Roman" w:hAnsi="Times New Roman" w:cs="Times New Roman" w:eastAsia="Times New Roman" w:hint="default"/>
          <w:spacing w:val="-12"/>
        </w:rPr>
        <w:t>2018</w:t>
      </w:r>
      <w:r>
        <w:rPr>
          <w:rFonts w:ascii="Times New Roman" w:hAnsi="Times New Roman" w:cs="Times New Roman" w:eastAsia="Times New Roman" w:hint="default"/>
          <w:spacing w:val="1"/>
        </w:rPr>
        <w:t> </w:t>
      </w:r>
      <w:r>
        <w:rPr/>
        <w:t>年度累计完成业绩</w:t>
      </w:r>
      <w:r>
        <w:rPr>
          <w:spacing w:val="-44"/>
        </w:rPr>
        <w:t> </w:t>
      </w:r>
      <w:r>
        <w:rPr>
          <w:rFonts w:ascii="Times New Roman" w:hAnsi="Times New Roman" w:cs="Times New Roman" w:eastAsia="Times New Roman" w:hint="default"/>
          <w:spacing w:val="-1"/>
        </w:rPr>
        <w:t>76,472.95</w:t>
      </w:r>
      <w:r>
        <w:rPr>
          <w:rFonts w:ascii="Times New Roman" w:hAnsi="Times New Roman" w:cs="Times New Roman" w:eastAsia="Times New Roman" w:hint="default"/>
          <w:spacing w:val="2"/>
        </w:rPr>
        <w:t> </w:t>
      </w:r>
      <w:r>
        <w:rPr>
          <w:spacing w:val="-11"/>
        </w:rPr>
        <w:t>万元，完成比例为</w:t>
      </w:r>
      <w:r>
        <w:rPr>
          <w:spacing w:val="-44"/>
        </w:rPr>
        <w:t> </w:t>
      </w:r>
      <w:r>
        <w:rPr>
          <w:rFonts w:ascii="Times New Roman" w:hAnsi="Times New Roman" w:cs="Times New Roman" w:eastAsia="Times New Roman" w:hint="default"/>
        </w:rPr>
        <w:t>94.88%</w:t>
      </w:r>
      <w:r>
        <w:rPr/>
        <w:t>， 联动优势未能完成业绩承诺。</w:t>
      </w:r>
    </w:p>
    <w:p>
      <w:pPr>
        <w:pStyle w:val="BodyText"/>
        <w:spacing w:line="240" w:lineRule="auto" w:before="70"/>
        <w:ind w:left="514" w:right="0"/>
        <w:jc w:val="left"/>
      </w:pPr>
      <w:r>
        <w:rPr/>
        <w:t>（</w:t>
      </w:r>
      <w:r>
        <w:rPr>
          <w:rFonts w:ascii="Times New Roman" w:hAnsi="Times New Roman" w:cs="Times New Roman" w:eastAsia="Times New Roman" w:hint="default"/>
        </w:rPr>
        <w:t>2</w:t>
      </w:r>
      <w:r>
        <w:rPr/>
        <w:t>）上市公司（不含联动优势及其控制的主体）业绩完成情况</w:t>
      </w:r>
    </w:p>
    <w:p>
      <w:pPr>
        <w:pStyle w:val="BodyText"/>
        <w:spacing w:line="240" w:lineRule="auto" w:before="101"/>
        <w:ind w:left="514"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日，上市公司（不含联动优势及其控制的主体）</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 </w:t>
      </w:r>
      <w:r>
        <w:rPr/>
        <w:t>年度累计完成业绩</w:t>
      </w:r>
    </w:p>
    <w:p>
      <w:pPr>
        <w:pStyle w:val="BodyText"/>
        <w:spacing w:line="240" w:lineRule="auto" w:before="64"/>
        <w:ind w:right="0"/>
        <w:jc w:val="left"/>
      </w:pPr>
      <w:r>
        <w:rPr>
          <w:rFonts w:ascii="Times New Roman" w:hAnsi="Times New Roman" w:cs="Times New Roman" w:eastAsia="Times New Roman" w:hint="default"/>
        </w:rPr>
        <w:t>40,631.02</w:t>
      </w:r>
      <w:r>
        <w:rPr>
          <w:rFonts w:ascii="Times New Roman" w:hAnsi="Times New Roman" w:cs="Times New Roman" w:eastAsia="Times New Roman" w:hint="default"/>
          <w:spacing w:val="-1"/>
        </w:rPr>
        <w:t> </w:t>
      </w:r>
      <w:r>
        <w:rPr/>
        <w:t>万元，完成比例为</w:t>
      </w:r>
      <w:r>
        <w:rPr>
          <w:spacing w:val="-47"/>
        </w:rPr>
        <w:t> </w:t>
      </w:r>
      <w:r>
        <w:rPr>
          <w:rFonts w:ascii="Times New Roman" w:hAnsi="Times New Roman" w:cs="Times New Roman" w:eastAsia="Times New Roman" w:hint="default"/>
        </w:rPr>
        <w:t>101.58%</w:t>
      </w:r>
      <w:r>
        <w:rPr/>
        <w:t>，已实现关于本次重大重组</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年度累计业绩的承诺。</w:t>
      </w:r>
    </w:p>
    <w:p>
      <w:pPr>
        <w:pStyle w:val="BodyText"/>
        <w:spacing w:line="338" w:lineRule="auto" w:before="102"/>
        <w:ind w:left="514" w:right="0"/>
        <w:jc w:val="left"/>
      </w:pPr>
      <w:r>
        <w:rPr>
          <w:rFonts w:ascii="Times New Roman" w:hAnsi="Times New Roman" w:cs="Times New Roman" w:eastAsia="Times New Roman" w:hint="default"/>
        </w:rPr>
        <w:t>2</w:t>
      </w:r>
      <w:r>
        <w:rPr/>
        <w:t>、业绩承诺实现情况对商誉减值测试的影响 </w:t>
      </w:r>
      <w:r>
        <w:rPr>
          <w:spacing w:val="-2"/>
        </w:rPr>
        <w:t>报告期内，联动商务资产组未实现业绩预期，导致联动优势整体业绩承诺未完成，对公司收购联动优势股权形成的商誉</w:t>
      </w:r>
    </w:p>
    <w:p>
      <w:pPr>
        <w:pStyle w:val="BodyText"/>
        <w:spacing w:line="338" w:lineRule="auto" w:before="4"/>
        <w:ind w:left="514" w:right="0" w:hanging="360"/>
        <w:jc w:val="left"/>
      </w:pPr>
      <w:r>
        <w:rPr/>
        <w:t>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日的评估价值产生一定影响，公司收购联动优势股权形成的商誉存在减值迹象。 </w:t>
      </w:r>
      <w:r>
        <w:rPr>
          <w:spacing w:val="-2"/>
        </w:rPr>
        <w:t>公司聘请上海东洲资产评估有限公司对收购联动优势科技有限公司股权形成的商誉进行商誉减值测试，依据上海东洲资</w:t>
      </w:r>
    </w:p>
    <w:p>
      <w:pPr>
        <w:pStyle w:val="BodyText"/>
        <w:spacing w:line="240" w:lineRule="auto" w:before="2"/>
        <w:ind w:right="0"/>
        <w:jc w:val="left"/>
      </w:pPr>
      <w:r>
        <w:rPr/>
        <w:t>产评估有限公司于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3"/>
        </w:rPr>
        <w:t>日出具的《联动优势科技有限公司以财务报告为目的涉及的联动优势科技有限公司、联动</w:t>
      </w:r>
    </w:p>
    <w:p>
      <w:pPr>
        <w:pStyle w:val="BodyText"/>
        <w:spacing w:line="240" w:lineRule="auto" w:before="63"/>
        <w:ind w:right="0"/>
        <w:jc w:val="left"/>
      </w:pPr>
      <w:r>
        <w:rPr/>
        <w:t>优势电子商务有限公司相关资产组组合可回收价值评估报告》东洲评报字【</w:t>
      </w:r>
      <w:r>
        <w:rPr>
          <w:rFonts w:ascii="Times New Roman" w:hAnsi="Times New Roman" w:cs="Times New Roman" w:eastAsia="Times New Roman" w:hint="default"/>
        </w:rPr>
        <w:t>2019</w:t>
      </w:r>
      <w:r>
        <w:rPr/>
        <w:t>】第</w:t>
      </w:r>
      <w:r>
        <w:rPr>
          <w:spacing w:val="-42"/>
        </w:rPr>
        <w:t> </w:t>
      </w:r>
      <w:r>
        <w:rPr>
          <w:rFonts w:ascii="Times New Roman" w:hAnsi="Times New Roman" w:cs="Times New Roman" w:eastAsia="Times New Roman" w:hint="default"/>
        </w:rPr>
        <w:t>0461</w:t>
      </w:r>
      <w:r>
        <w:rPr>
          <w:rFonts w:ascii="Times New Roman" w:hAnsi="Times New Roman" w:cs="Times New Roman" w:eastAsia="Times New Roman" w:hint="default"/>
          <w:spacing w:val="3"/>
        </w:rPr>
        <w:t> </w:t>
      </w:r>
      <w:r>
        <w:rPr/>
        <w:t>号显示，并购联动优势形成的商</w:t>
      </w:r>
    </w:p>
    <w:p>
      <w:pPr>
        <w:pStyle w:val="BodyText"/>
        <w:spacing w:line="240" w:lineRule="auto" w:before="64"/>
        <w:ind w:right="0"/>
        <w:jc w:val="left"/>
      </w:pPr>
      <w:r>
        <w:rPr/>
        <w:t>誉减值金额为</w:t>
      </w:r>
      <w:r>
        <w:rPr>
          <w:spacing w:val="-46"/>
        </w:rPr>
        <w:t> </w:t>
      </w:r>
      <w:r>
        <w:rPr>
          <w:rFonts w:ascii="Times New Roman" w:hAnsi="Times New Roman" w:cs="Times New Roman" w:eastAsia="Times New Roman" w:hint="default"/>
        </w:rPr>
        <w:t>27,069.81</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3、长期待摊费用" w:id="285"/>
      <w:bookmarkEnd w:id="28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软件服务费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0" w:right="0"/>
              <w:jc w:val="left"/>
              <w:rPr>
                <w:rFonts w:ascii="Times New Roman" w:hAnsi="Times New Roman" w:cs="Times New Roman" w:eastAsia="Times New Roman" w:hint="default"/>
                <w:sz w:val="18"/>
                <w:szCs w:val="18"/>
              </w:rPr>
            </w:pPr>
            <w:r>
              <w:rPr>
                <w:rFonts w:ascii="Times New Roman"/>
                <w:sz w:val="18"/>
              </w:rPr>
              <w:t>117,610.07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441,485.02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241,708.83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317,386.26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2,122,641.46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1,179,245.26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工装器具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4,195,068.41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33,071,582.31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9,235,560.52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28,031,090.20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14,396,410.28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4,909,219.66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174,484.49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19,131,145.45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2,134,205.02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5,830,856.50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1,350,103.44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6,614,958.08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安全费用摊销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812,990.63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337,434.70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475,555.93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20,843,293.78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47,188,775.58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12,282,688.18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55,749,381.18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4、递延所得税资产/递延所得税负债" w:id="286"/>
      <w:bookmarkEnd w:id="28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未经抵销的递延所得税资产" w:id="287"/>
      <w:bookmarkEnd w:id="28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103,786,292.70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18,188,458.06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71,581,292.86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14,003,519.26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5,039,249.91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999,410.92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10,704,129.05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2,676,032.26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71,344,447.17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17,433,284.34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40,478,400.06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10,049,373.03</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合并日评估增值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685,902.36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831,643.88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207,910.97</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固定资产账面价值与计 税基础差异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1,880,433.48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470,108.37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2,999,197.12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749,799.28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1,017,843.74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229,580.31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183,754,169.36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37,492,317.59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126,594,662.97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27,686,634.80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未经抵销的递延所得税负债" w:id="288"/>
      <w:bookmarkEnd w:id="28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188,459,311.46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35,146,995.15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165,289,957.12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32,364,980.55</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非同一控制下企业合 并，合并成本与被购买 方可辨认净资产公允价 值份额的差额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1,596,744.79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1,596,744.79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399,186.20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190,056,056.25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35,546,181.35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166,886,701.91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32,764,166.75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3）以抵销后净额列示的递延所得税资产或负债" w:id="289"/>
      <w:bookmarkEnd w:id="28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37,492,317.59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27,686,634.80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35,546,181.35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32,764,166.75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未确认递延所得税资产明细" w:id="290"/>
      <w:bookmarkEnd w:id="29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236,073.36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170,966.20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5,394,932.25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16,249,853.42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5,631,005.61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16,420,819.62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未确认递延所得税资产的可抵扣亏损将于以下年度到期" w:id="291"/>
      <w:bookmarkEnd w:id="29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0"/>
        <w:gridCol w:w="2396"/>
        <w:gridCol w:w="2392"/>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2,130,018.92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968,551.80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407,577.37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12,743,705.33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5,394,932.25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5,394,932.25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16,249,853.42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5、其他非流动资产" w:id="292"/>
      <w:bookmarkEnd w:id="29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08"/>
        <w:gridCol w:w="3273"/>
        <w:gridCol w:w="3190"/>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273" w:type="dxa"/>
            <w:tcBorders>
              <w:top w:val="single" w:sz="4" w:space="0" w:color="000000"/>
              <w:left w:val="single" w:sz="13" w:space="0" w:color="D9D9D9"/>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190,198,600.00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27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13,604,792.11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21,295,005.39</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273" w:type="dxa"/>
            <w:tcBorders>
              <w:top w:val="single" w:sz="4" w:space="0" w:color="000000"/>
              <w:left w:val="single" w:sz="13" w:space="0" w:color="D9D9D9"/>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27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3,079,889.73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1,984,528.15</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预付山东移动推广款</w:t>
            </w:r>
          </w:p>
        </w:tc>
        <w:tc>
          <w:tcPr>
            <w:tcW w:w="327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4,675,345.91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6,283,836.48</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27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预付模具款</w:t>
            </w:r>
          </w:p>
        </w:tc>
        <w:tc>
          <w:tcPr>
            <w:tcW w:w="327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9,191,687.81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08"/>
        <w:gridCol w:w="3273"/>
        <w:gridCol w:w="3192"/>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68,149,715.56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219,817,970.02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6、短期借款" w:id="293"/>
      <w:bookmarkEnd w:id="29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短期借款分类" w:id="294"/>
      <w:bookmarkEnd w:id="29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155,454,500.00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91,052,200.00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270,502,200.00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208,954,500.00</w:t>
            </w:r>
          </w:p>
        </w:tc>
      </w:tr>
    </w:tbl>
    <w:p>
      <w:pPr>
        <w:pStyle w:val="BodyText"/>
        <w:spacing w:line="561" w:lineRule="auto" w:before="51"/>
        <w:ind w:right="7152"/>
        <w:jc w:val="left"/>
      </w:pPr>
      <w:r>
        <w:rPr/>
        <w:t>短期借款分类的说明： 注：抵押借款相关受限资产见本附注六、</w:t>
      </w:r>
      <w:r>
        <w:rPr>
          <w:rFonts w:ascii="Times New Roman" w:hAnsi="Times New Roman" w:cs="Times New Roman" w:eastAsia="Times New Roman" w:hint="default"/>
        </w:rPr>
        <w:t>14</w:t>
      </w:r>
      <w:r>
        <w:rPr/>
        <w:t>。</w:t>
      </w:r>
    </w:p>
    <w:p>
      <w:pPr>
        <w:pStyle w:val="Heading7"/>
        <w:spacing w:line="240" w:lineRule="auto" w:before="70"/>
        <w:ind w:right="0"/>
        <w:jc w:val="left"/>
        <w:rPr>
          <w:b w:val="0"/>
          <w:bCs w:val="0"/>
        </w:rPr>
      </w:pPr>
      <w:bookmarkStart w:name="（2）已逾期未偿还的短期借款情况" w:id="295"/>
      <w:bookmarkEnd w:id="29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7、以公允价值计量且其变动计入当期损益的金融负债" w:id="296"/>
      <w:bookmarkEnd w:id="29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8、衍生金融负债" w:id="297"/>
      <w:bookmarkEnd w:id="29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9、应付票据及应付账款" w:id="298"/>
      <w:bookmarkEnd w:id="29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506,491,412.49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399,700,703.71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576,938,684.41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324,680,649.65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1,083,430,096.90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724,381,353.36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应付票据分类列示" w:id="299"/>
      <w:bookmarkEnd w:id="29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12,598,026.19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493,893,386.30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399,700,703.71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506,491,412.49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399,700,703.71</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bookmarkStart w:name="（2）应付账款列示" w:id="300"/>
      <w:bookmarkEnd w:id="30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536,071,292.31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303,246,646.31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40,867,392.10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21,434,003.34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576,938,684.41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324,680,649.65</w:t>
            </w:r>
          </w:p>
        </w:tc>
      </w:tr>
    </w:tbl>
    <w:p>
      <w:pPr>
        <w:spacing w:line="240" w:lineRule="auto" w:before="2"/>
        <w:rPr>
          <w:rFonts w:ascii="宋体" w:hAnsi="宋体" w:cs="宋体" w:eastAsia="宋体" w:hint="default"/>
          <w:sz w:val="19"/>
          <w:szCs w:val="19"/>
        </w:rPr>
      </w:pPr>
    </w:p>
    <w:p>
      <w:pPr>
        <w:spacing w:line="547" w:lineRule="auto" w:before="35"/>
        <w:ind w:left="154" w:right="7422" w:firstLine="0"/>
        <w:jc w:val="left"/>
        <w:rPr>
          <w:rFonts w:ascii="宋体" w:hAnsi="宋体" w:cs="宋体" w:eastAsia="宋体" w:hint="default"/>
          <w:sz w:val="21"/>
          <w:szCs w:val="21"/>
        </w:rPr>
      </w:pPr>
      <w:bookmarkStart w:name="（3）账龄超过1年的重要应付账款"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18"/>
          <w:szCs w:val="18"/>
        </w:rPr>
        <w:t>注：年末无账龄超过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年的重要预收款项。 </w:t>
      </w:r>
      <w:bookmarkStart w:name="30、预收款项" w:id="302"/>
      <w:bookmarkEnd w:id="302"/>
      <w:r>
        <w:rPr>
          <w:rFonts w:ascii="宋体" w:hAnsi="宋体" w:cs="宋体" w:eastAsia="宋体" w:hint="default"/>
          <w:sz w:val="18"/>
          <w:szCs w:val="18"/>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7"/>
        <w:spacing w:line="240" w:lineRule="auto" w:before="26"/>
        <w:ind w:right="0"/>
        <w:jc w:val="left"/>
        <w:rPr>
          <w:b w:val="0"/>
          <w:bCs w:val="0"/>
        </w:rPr>
      </w:pPr>
      <w:bookmarkStart w:name="（1）预收款项列示" w:id="303"/>
      <w:bookmarkEnd w:id="3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115,681,538.43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39,747,853.56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4,452,587.29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2,476,348.96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120,134,125.72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42,224,202.52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账龄超过1年的重要预收款项"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305"/>
      <w:bookmarkEnd w:id="305"/>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期末建造合同形成的已结算未完工项目情况" w:id="306"/>
      <w:bookmarkEnd w:id="30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1、应付职工薪酬" w:id="307"/>
      <w:bookmarkEnd w:id="307"/>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应付职工薪酬列示" w:id="308"/>
      <w:bookmarkEnd w:id="30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76,894,544.92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479,483,222.68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533,643,000.58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22,734,767.02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1,890,628.19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46,098,931.92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45,188,776.23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2,800,783.88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345,672.19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345,672.19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78,785,173.11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525,927,826.79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579,177,449.00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25,535,550.90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短期薪酬列示" w:id="309"/>
      <w:bookmarkEnd w:id="30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64,415,846.69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402,477,391.44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460,379,918.26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6,513,319.87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19,639,831.70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19,101,894.14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547,685.17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1,193,914.58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26,680,106.63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26,271,605.18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1,602,416.03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1,036,013.20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22,994,209.92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22,577,561.96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1,452,661.16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76,733.36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1,269,222.52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1,309,772.17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36,183.71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81,168.02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2,159,261.67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2,126,858.53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113,571.16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其他保险费</w:t>
            </w:r>
          </w:p>
        </w:tc>
        <w:tc>
          <w:tcPr>
            <w:tcW w:w="1928" w:type="dxa"/>
            <w:tcBorders>
              <w:top w:val="single" w:sz="4" w:space="0" w:color="000000"/>
              <w:left w:val="single" w:sz="13" w:space="0" w:color="D9D9D9"/>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257,412.52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257,412.52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900,152.34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18,366,350.08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18,652,510.44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613,991.98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10,374,883.70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12,319,542.83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9,237,072.56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13,457,353.97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76,894,544.92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479,483,222.68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533,643,000.58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22,734,767.02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设定提存计划列示" w:id="310"/>
      <w:bookmarkEnd w:id="31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1,815,414.79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44,445,150.57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43,567,152.52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2,693,412.84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75,213.40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1,653,781.35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1,621,623.71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107,371.04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1,890,628.19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46,098,931.92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45,188,776.23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2,800,783.88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2、应交税费" w:id="311"/>
      <w:bookmarkEnd w:id="311"/>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7,795,479.13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2,412,793.07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31,284,243.59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38,440,070.45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1,633,814.54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1,951,498.65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706,934.77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184,090.10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1,400,818.60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1,161,125.41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1,525,528.23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335,880.19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81,104.88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234,448.92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250,345.01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83,114.64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45,315,134.78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46,073,774.35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3、其他应付款" w:id="312"/>
      <w:bookmarkEnd w:id="312"/>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1,697,440.50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1,561,295.49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142,386,040.81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100,206,245.32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5"/>
              <w:jc w:val="righ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144,083,481.31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101,767,540.81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应付利息" w:id="313"/>
      <w:bookmarkEnd w:id="31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150,871.88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167,635.42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1,546,568.62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1,393,660.07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1,697,440.50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1,561,295.49</w:t>
            </w:r>
          </w:p>
        </w:tc>
      </w:tr>
    </w:tbl>
    <w:p>
      <w:pPr>
        <w:pStyle w:val="BodyText"/>
        <w:spacing w:line="357" w:lineRule="auto" w:before="51"/>
        <w:ind w:right="8052"/>
        <w:jc w:val="left"/>
      </w:pPr>
      <w:r>
        <w:rPr/>
        <w:t>重要的已逾期未支付的利息情况：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bookmarkStart w:name="（2）应付股利" w:id="314"/>
      <w:bookmarkEnd w:id="31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bookmarkStart w:name="无。" w:id="315"/>
      <w:bookmarkEnd w:id="315"/>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其他应付款" w:id="316"/>
      <w:bookmarkEnd w:id="31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质保金、押金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74,041,580.26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44,961,418.42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15,725,055.69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1,926,834.63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2,483,888.17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430,631.22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1,994,261.30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18,391,994.70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35,041,621.74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142,386,040.81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100,206,245.32</w:t>
            </w:r>
          </w:p>
        </w:tc>
      </w:tr>
    </w:tbl>
    <w:p>
      <w:pPr>
        <w:pStyle w:val="BodyText"/>
        <w:spacing w:line="338" w:lineRule="auto" w:before="51"/>
        <w:ind w:right="808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bookmarkStart w:name="34、持有待售负债" w:id="317"/>
      <w:bookmarkEnd w:id="317"/>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5、一年内到期的非流动负债" w:id="318"/>
      <w:bookmarkEnd w:id="31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6、其他流动负债" w:id="319"/>
      <w:bookmarkEnd w:id="31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868,425,438.62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10,340,208,503.09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清结算业务代付款项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3,958,072.63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176,500,968.22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移动运营商计费结算服务代付款项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48,264,971.25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62,987,891.76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惠商</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业务代付款项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26,558,957.09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8,344,954.78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1,903,711.48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7,058,890.51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期末已背书且在资产负债表日尚未到期 的商业承兑汇票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21,933,974.72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971,045,125.79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10,595,101,208.36</w:t>
            </w:r>
          </w:p>
        </w:tc>
      </w:tr>
    </w:tbl>
    <w:p>
      <w:pPr>
        <w:pStyle w:val="BodyText"/>
        <w:spacing w:line="357" w:lineRule="auto" w:before="51"/>
        <w:ind w:right="8592"/>
        <w:jc w:val="left"/>
      </w:pPr>
      <w:r>
        <w:rPr/>
        <w:t>短期应付债券的增减变动：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bookmarkStart w:name="37、长期借款" w:id="320"/>
      <w:bookmarkEnd w:id="32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长期借款分类" w:id="321"/>
      <w:bookmarkEnd w:id="32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bl>
    <w:p>
      <w:pPr>
        <w:pStyle w:val="BodyText"/>
        <w:spacing w:line="240" w:lineRule="auto" w:before="51"/>
        <w:ind w:right="0"/>
        <w:jc w:val="left"/>
      </w:pPr>
      <w:r>
        <w:rPr/>
        <w:t>长期借款分类的说明：</w:t>
      </w:r>
    </w:p>
    <w:p>
      <w:pPr>
        <w:spacing w:line="240" w:lineRule="auto" w:before="3"/>
        <w:rPr>
          <w:rFonts w:ascii="宋体" w:hAnsi="宋体" w:cs="宋体" w:eastAsia="宋体" w:hint="default"/>
          <w:sz w:val="24"/>
          <w:szCs w:val="24"/>
        </w:rPr>
      </w:pPr>
    </w:p>
    <w:p>
      <w:pPr>
        <w:pStyle w:val="BodyText"/>
        <w:spacing w:line="300" w:lineRule="auto"/>
        <w:ind w:right="1131" w:firstLine="360"/>
        <w:jc w:val="both"/>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日，本公司与中国工商银行股份有限公司即墨支行、招商银行股份有限公司青岛分行签订《并购贷款 </w:t>
      </w:r>
      <w:r>
        <w:rPr>
          <w:spacing w:val="-4"/>
        </w:rPr>
        <w:t>银团贷款合同》，用于收购上海和达汽车配件有限公司</w:t>
      </w:r>
      <w:r>
        <w:rPr>
          <w:rFonts w:ascii="Times New Roman" w:hAnsi="Times New Roman" w:cs="Times New Roman" w:eastAsia="Times New Roman" w:hint="default"/>
          <w:spacing w:val="-4"/>
        </w:rPr>
        <w:t>75%</w:t>
      </w:r>
      <w:r>
        <w:rPr>
          <w:spacing w:val="-4"/>
        </w:rPr>
        <w:t>股权，合同贷款金额</w:t>
      </w:r>
      <w:r>
        <w:rPr>
          <w:rFonts w:ascii="Times New Roman" w:hAnsi="Times New Roman" w:cs="Times New Roman" w:eastAsia="Times New Roman" w:hint="default"/>
          <w:spacing w:val="-4"/>
        </w:rPr>
        <w:t>1.1</w:t>
      </w:r>
      <w:r>
        <w:rPr>
          <w:spacing w:val="-4"/>
        </w:rPr>
        <w:t>亿元，借款期限</w:t>
      </w:r>
      <w:r>
        <w:rPr>
          <w:rFonts w:ascii="Times New Roman" w:hAnsi="Times New Roman" w:cs="Times New Roman" w:eastAsia="Times New Roman" w:hint="default"/>
          <w:spacing w:val="-4"/>
        </w:rPr>
        <w:t>60</w:t>
      </w:r>
      <w:r>
        <w:rPr>
          <w:spacing w:val="-4"/>
        </w:rPr>
        <w:t>个月，贷款利率</w:t>
      </w:r>
      <w:r>
        <w:rPr>
          <w:rFonts w:ascii="Times New Roman" w:hAnsi="Times New Roman" w:cs="Times New Roman" w:eastAsia="Times New Roman" w:hint="default"/>
          <w:spacing w:val="-4"/>
        </w:rPr>
        <w:t>4.99%</w:t>
      </w:r>
      <w:r>
        <w:rPr>
          <w:spacing w:val="-4"/>
        </w:rPr>
        <w:t>。</w:t>
      </w:r>
      <w:r>
        <w:rPr>
          <w:spacing w:val="-51"/>
        </w:rPr>
        <w:t> </w:t>
      </w:r>
      <w:r>
        <w:rPr/>
        <w:t>完成股权转让手续且符合质押条件后及时以持有的上海和达汽车配件有限公司</w:t>
      </w:r>
      <w:r>
        <w:rPr>
          <w:rFonts w:ascii="Times New Roman" w:hAnsi="Times New Roman" w:cs="Times New Roman" w:eastAsia="Times New Roman" w:hint="default"/>
        </w:rPr>
        <w:t>75%</w:t>
      </w:r>
      <w:r>
        <w:rPr/>
        <w:t>股权为本银团贷款提供质押担保。</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38、应付债券" w:id="322"/>
      <w:bookmarkEnd w:id="32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39、长期应付款" w:id="323"/>
      <w:bookmarkEnd w:id="32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0、长期应付职工薪酬" w:id="324"/>
      <w:bookmarkEnd w:id="324"/>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1、预计负债" w:id="325"/>
      <w:bookmarkEnd w:id="325"/>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2、递延收益" w:id="326"/>
      <w:bookmarkEnd w:id="326"/>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财政局骨干企业扶 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146,792.00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重点企业技术改造 扶持资金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222,155.85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38,635.80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183,520.05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青岛市财政局拨付 的进口设备贴息款</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宁波市工业投资（技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术改造）项目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4,164,096.00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1,096,578.00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4,257,518.00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10"/>
                <w:sz w:val="18"/>
                <w:szCs w:val="18"/>
              </w:rPr>
              <w:t>宁波市工业投资（技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术改造）项目补助资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年度工业技术 改造项目补助资金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156,187.50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53,855.19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102,332.31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年度工业技术 改造项目补助资金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金融风控大数据应 用服务平台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9,433,962.26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8,589,025.63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844,936.63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促进大数据发展重 大工程</w:t>
            </w:r>
          </w:p>
        </w:tc>
      </w:tr>
      <w:tr>
        <w:trPr>
          <w:trHeight w:val="986"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工程实验室认定奖 励资金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6,122,641.51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5,568,957.29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553,684.22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下一代电子支付安 全技术北京市工程 实验室创新能力建</w:t>
            </w:r>
          </w:p>
        </w:tc>
      </w:tr>
    </w:tbl>
    <w:p>
      <w:pPr>
        <w:spacing w:after="0" w:line="316" w:lineRule="auto"/>
        <w:jc w:val="both"/>
        <w:rPr>
          <w:rFonts w:ascii="宋体" w:hAnsi="宋体" w:cs="宋体" w:eastAsia="宋体" w:hint="default"/>
          <w:sz w:val="18"/>
          <w:szCs w:val="18"/>
        </w:rPr>
        <w:sectPr>
          <w:footerReference w:type="default" r:id="rId24"/>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设项目补助资金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互联网工业试点改 造扶持资金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8,093,300.00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7,405,369.50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互联网工业试点改 造扶持资金</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重点技术改造项目 补贴</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1,211,326.84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1,348,673.16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重点技术改造项目 补贴</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中小企业技术改造 项目政府补助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503,398.33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中小企业技术改造 项目政府补助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9" w:right="0"/>
              <w:jc w:val="left"/>
              <w:rPr>
                <w:rFonts w:ascii="Times New Roman" w:hAnsi="Times New Roman" w:cs="Times New Roman" w:eastAsia="Times New Roman" w:hint="default"/>
                <w:sz w:val="18"/>
                <w:szCs w:val="18"/>
              </w:rPr>
            </w:pPr>
            <w:r>
              <w:rPr>
                <w:rFonts w:ascii="Times New Roman"/>
                <w:sz w:val="18"/>
              </w:rPr>
              <w:t>17,264,947.12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15,454,452.00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17,373,174.92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15,346,224.20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064"/>
        <w:gridCol w:w="1171"/>
        <w:gridCol w:w="1134"/>
        <w:gridCol w:w="886"/>
        <w:gridCol w:w="1242"/>
        <w:gridCol w:w="991"/>
        <w:gridCol w:w="851"/>
        <w:gridCol w:w="1169"/>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6"/>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财政局骨干 企业扶持资 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37,056.00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30,264.00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222,155.85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38,635.80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183,520.05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宁波市工业 </w:t>
            </w:r>
            <w:r>
              <w:rPr>
                <w:rFonts w:ascii="宋体" w:hAnsi="宋体" w:cs="宋体" w:eastAsia="宋体" w:hint="default"/>
                <w:spacing w:val="-13"/>
                <w:sz w:val="18"/>
                <w:szCs w:val="18"/>
              </w:rPr>
              <w:t>投资（技术改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4,164,096.00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1,096,578.00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4,257,518.00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1"/>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业技术改造 项目补助资 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156,187.50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53,855.19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102,332.31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金融风控大 数据应用服 务平台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9,433,962.26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8,589,025.63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844,936.63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工程实验室 认定奖励资 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6,122,641.51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5,568,957.29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553,684.22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互联网工业 试点改造扶 持资金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8,093,300.00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687,930.50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7,405,369.50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重点技术改 造项目补贴</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1,211,326.84</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1,348,673.16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中小企业技 术改造项目 政府补助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96,601.67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503,398.33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footerReference w:type="default" r:id="rId25"/>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064"/>
        <w:gridCol w:w="1171"/>
        <w:gridCol w:w="1134"/>
        <w:gridCol w:w="886"/>
        <w:gridCol w:w="1242"/>
        <w:gridCol w:w="991"/>
        <w:gridCol w:w="851"/>
        <w:gridCol w:w="1169"/>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17,264,947.12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15,454,452.00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17,373,174.92</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15,346,224.20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3、其他非流动负债" w:id="327"/>
      <w:bookmarkEnd w:id="327"/>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4、股本" w:id="328"/>
      <w:bookmarkEnd w:id="328"/>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95" w:type="dxa"/>
        <w:tblLayout w:type="fixed"/>
        <w:tblCellMar>
          <w:top w:w="0" w:type="dxa"/>
          <w:left w:w="0" w:type="dxa"/>
          <w:bottom w:w="0" w:type="dxa"/>
          <w:right w:w="0" w:type="dxa"/>
        </w:tblCellMar>
        <w:tblLook w:val="01E0"/>
      </w:tblPr>
      <w:tblGrid>
        <w:gridCol w:w="1184"/>
        <w:gridCol w:w="1198"/>
        <w:gridCol w:w="1195"/>
        <w:gridCol w:w="1197"/>
        <w:gridCol w:w="1196"/>
        <w:gridCol w:w="1196"/>
        <w:gridCol w:w="1196"/>
        <w:gridCol w:w="1196"/>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1,251,350,095.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-4,014,856.00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-4,014,856.00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1,247,335,239.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032" w:firstLine="360"/>
        <w:jc w:val="left"/>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日召开的公司第三届董事会第三十三次（临时）会议及公司第三届监事会第三十二次（临时）会议、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日召开的</w:t>
      </w:r>
      <w:r>
        <w:rPr>
          <w:rFonts w:ascii="Times New Roman" w:hAnsi="Times New Roman" w:cs="Times New Roman" w:eastAsia="Times New Roman" w:hint="default"/>
          <w:spacing w:val="-2"/>
        </w:rPr>
        <w:t>2018</w:t>
      </w:r>
      <w:r>
        <w:rPr>
          <w:spacing w:val="-2"/>
        </w:rPr>
        <w:t>年第三次临时股东大会审议通过了《关于变更部分回购股份用途的议案》，结合公司发展战略和</w:t>
      </w:r>
      <w:r>
        <w:rPr>
          <w:spacing w:val="-54"/>
        </w:rPr>
        <w:t> </w:t>
      </w:r>
      <w:r>
        <w:rPr>
          <w:spacing w:val="-54"/>
        </w:rPr>
      </w:r>
      <w:r>
        <w:rPr/>
        <w:t>股权激励计划，董事会同意将公司已回购的</w:t>
      </w:r>
      <w:r>
        <w:rPr>
          <w:rFonts w:ascii="Times New Roman" w:hAnsi="Times New Roman" w:cs="Times New Roman" w:eastAsia="Times New Roman" w:hint="default"/>
        </w:rPr>
        <w:t>13,614,856</w:t>
      </w:r>
      <w:r>
        <w:rPr/>
        <w:t>股中的</w:t>
      </w:r>
      <w:r>
        <w:rPr>
          <w:rFonts w:ascii="Times New Roman" w:hAnsi="Times New Roman" w:cs="Times New Roman" w:eastAsia="Times New Roman" w:hint="default"/>
        </w:rPr>
        <w:t>4,014,856</w:t>
      </w:r>
      <w:r>
        <w:rPr/>
        <w:t>股变更用于注销以减少注册资本，本次变更后公司总</w:t>
      </w:r>
      <w:r>
        <w:rPr>
          <w:spacing w:val="-87"/>
        </w:rPr>
        <w:t> </w:t>
      </w:r>
      <w:r>
        <w:rPr>
          <w:spacing w:val="-87"/>
        </w:rPr>
      </w:r>
      <w:r>
        <w:rPr/>
        <w:t>股本由</w:t>
      </w:r>
      <w:r>
        <w:rPr>
          <w:rFonts w:ascii="Times New Roman" w:hAnsi="Times New Roman" w:cs="Times New Roman" w:eastAsia="Times New Roman" w:hint="default"/>
        </w:rPr>
        <w:t>1,251,350,095</w:t>
      </w:r>
      <w:r>
        <w:rPr/>
        <w:t>股变更为</w:t>
      </w:r>
      <w:r>
        <w:rPr>
          <w:rFonts w:ascii="Times New Roman" w:hAnsi="Times New Roman" w:cs="Times New Roman" w:eastAsia="Times New Roman" w:hint="default"/>
        </w:rPr>
        <w:t>1,247,335,239</w:t>
      </w:r>
      <w:r>
        <w:rPr/>
        <w:t>股。</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45、其他权益工具" w:id="329"/>
      <w:bookmarkEnd w:id="329"/>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46、资本公积" w:id="330"/>
      <w:bookmarkEnd w:id="33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4,704,727,916.87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34,534,673.27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4,670,193,243.60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1,023,229.16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3,400,208.89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4,707,104,896.60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1,023,229.16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34,534,673.27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4,673,593,452.49</w:t>
            </w:r>
          </w:p>
        </w:tc>
      </w:tr>
    </w:tbl>
    <w:p>
      <w:pPr>
        <w:pStyle w:val="BodyText"/>
        <w:spacing w:line="240" w:lineRule="auto" w:before="51"/>
        <w:ind w:right="0"/>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0" w:lineRule="auto"/>
        <w:ind w:right="1131" w:firstLine="360"/>
        <w:jc w:val="both"/>
      </w:pPr>
      <w:r>
        <w:rPr>
          <w:spacing w:val="-4"/>
        </w:rPr>
        <w:t>注</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11</w:t>
      </w:r>
      <w:r>
        <w:rPr>
          <w:spacing w:val="-4"/>
        </w:rPr>
        <w:t>日召开的公司第三届董事会第三十三次（临时）会议及公司第三届监事会第三十二次（临时）会议、</w:t>
      </w:r>
      <w:r>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日召开的</w:t>
      </w:r>
      <w:r>
        <w:rPr>
          <w:rFonts w:ascii="Times New Roman" w:hAnsi="Times New Roman" w:cs="Times New Roman" w:eastAsia="Times New Roman" w:hint="default"/>
          <w:spacing w:val="-2"/>
        </w:rPr>
        <w:t>2018</w:t>
      </w:r>
      <w:r>
        <w:rPr>
          <w:spacing w:val="-2"/>
        </w:rPr>
        <w:t>年第三次临时股东大会审议通过了《关于变更部分回购股份用途的议案》，结合公司发展战略和</w:t>
      </w:r>
      <w:r>
        <w:rPr>
          <w:spacing w:val="-54"/>
        </w:rPr>
        <w:t> </w:t>
      </w:r>
      <w:r>
        <w:rPr>
          <w:spacing w:val="-54"/>
        </w:rPr>
      </w:r>
      <w:r>
        <w:rPr/>
        <w:t>股权激励计划，董事会同意将公司已回购的</w:t>
      </w:r>
      <w:r>
        <w:rPr>
          <w:rFonts w:ascii="Times New Roman" w:hAnsi="Times New Roman" w:cs="Times New Roman" w:eastAsia="Times New Roman" w:hint="default"/>
        </w:rPr>
        <w:t>13,614,856</w:t>
      </w:r>
      <w:r>
        <w:rPr/>
        <w:t>股中的</w:t>
      </w:r>
      <w:r>
        <w:rPr>
          <w:rFonts w:ascii="Times New Roman" w:hAnsi="Times New Roman" w:cs="Times New Roman" w:eastAsia="Times New Roman" w:hint="default"/>
        </w:rPr>
        <w:t>4,014,856</w:t>
      </w:r>
      <w:r>
        <w:rPr/>
        <w:t>股变更用于注销以减少注册资本，本次变更后，公司</w:t>
      </w:r>
      <w:r>
        <w:rPr>
          <w:spacing w:val="-87"/>
        </w:rPr>
        <w:t> </w:t>
      </w:r>
      <w:r>
        <w:rPr>
          <w:spacing w:val="-87"/>
        </w:rPr>
      </w:r>
      <w:r>
        <w:rPr/>
        <w:t>资本公积</w:t>
      </w:r>
      <w:r>
        <w:rPr>
          <w:rFonts w:ascii="Times New Roman" w:hAnsi="Times New Roman" w:cs="Times New Roman" w:eastAsia="Times New Roman" w:hint="default"/>
        </w:rPr>
        <w:t>-</w:t>
      </w:r>
      <w:r>
        <w:rPr/>
        <w:t>股本溢价减少</w:t>
      </w:r>
      <w:r>
        <w:rPr>
          <w:rFonts w:ascii="Times New Roman" w:hAnsi="Times New Roman" w:cs="Times New Roman" w:eastAsia="Times New Roman" w:hint="default"/>
        </w:rPr>
        <w:t>34,534,673.27</w:t>
      </w:r>
      <w:r>
        <w:rPr/>
        <w:t>元。</w:t>
      </w:r>
    </w:p>
    <w:p>
      <w:pPr>
        <w:spacing w:line="240" w:lineRule="auto" w:before="5"/>
        <w:rPr>
          <w:rFonts w:ascii="宋体" w:hAnsi="宋体" w:cs="宋体" w:eastAsia="宋体" w:hint="default"/>
          <w:sz w:val="19"/>
          <w:szCs w:val="19"/>
        </w:rPr>
      </w:pPr>
    </w:p>
    <w:p>
      <w:pPr>
        <w:pStyle w:val="BodyText"/>
        <w:spacing w:line="307" w:lineRule="auto"/>
        <w:ind w:right="1130" w:firstLine="360"/>
        <w:jc w:val="both"/>
      </w:pPr>
      <w:r>
        <w:rPr/>
        <w:t>注</w:t>
      </w:r>
      <w:r>
        <w:rPr>
          <w:rFonts w:ascii="Times New Roman" w:hAnsi="Times New Roman" w:cs="Times New Roman" w:eastAsia="Times New Roman" w:hint="default"/>
        </w:rPr>
        <w:t>2</w:t>
      </w:r>
      <w:r>
        <w:rPr/>
        <w:t>：依据《海联金汇科技股份有限公司</w:t>
      </w:r>
      <w:r>
        <w:rPr>
          <w:rFonts w:ascii="Times New Roman" w:hAnsi="Times New Roman" w:cs="Times New Roman" w:eastAsia="Times New Roman" w:hint="default"/>
        </w:rPr>
        <w:t>2018</w:t>
      </w:r>
      <w:r>
        <w:rPr/>
        <w:t>年限制性股票激励计划（草案）》（以下简称股权激励计划）中解锁条件 </w:t>
      </w:r>
      <w:r>
        <w:rPr>
          <w:spacing w:val="-2"/>
        </w:rPr>
        <w:t>的相关规定，因预定解锁条件未能实现，在</w:t>
      </w:r>
      <w:r>
        <w:rPr>
          <w:rFonts w:ascii="Times New Roman" w:hAnsi="Times New Roman" w:cs="Times New Roman" w:eastAsia="Times New Roman" w:hint="default"/>
          <w:spacing w:val="-2"/>
        </w:rPr>
        <w:t>2018</w:t>
      </w:r>
      <w:r>
        <w:rPr>
          <w:spacing w:val="-2"/>
        </w:rPr>
        <w:t>年度第一个解锁期内可申请解锁的限制性股票将不得解锁并由本公司回购注</w:t>
      </w:r>
      <w:r>
        <w:rPr>
          <w:spacing w:val="-60"/>
        </w:rPr>
        <w:t> </w:t>
      </w:r>
      <w:r>
        <w:rPr>
          <w:spacing w:val="-2"/>
        </w:rPr>
        <w:t>销。根据企业会计准则的相关规定，上述拟回购部分不再确认授予股权激励所对应的费用，仅确认其余有效的限制性股票所</w:t>
      </w:r>
      <w:r>
        <w:rPr>
          <w:spacing w:val="-66"/>
        </w:rPr>
        <w:t> </w:t>
      </w:r>
      <w:r>
        <w:rPr>
          <w:spacing w:val="-66"/>
        </w:rPr>
      </w:r>
      <w:r>
        <w:rPr/>
        <w:t>对应的费用记入管理费用</w:t>
      </w:r>
      <w:r>
        <w:rPr>
          <w:rFonts w:ascii="Times New Roman" w:hAnsi="Times New Roman" w:cs="Times New Roman" w:eastAsia="Times New Roman" w:hint="default"/>
        </w:rPr>
        <w:t>1,023,229.16</w:t>
      </w:r>
      <w:r>
        <w:rPr/>
        <w:t>元，同时增加资本公积</w:t>
      </w:r>
      <w:r>
        <w:rPr>
          <w:rFonts w:ascii="Times New Roman" w:hAnsi="Times New Roman" w:cs="Times New Roman" w:eastAsia="Times New Roman" w:hint="default"/>
        </w:rPr>
        <w:t>1,023,229.16</w:t>
      </w:r>
      <w:r>
        <w:rPr/>
        <w:t>元。</w:t>
      </w:r>
    </w:p>
    <w:p>
      <w:pPr>
        <w:spacing w:after="0" w:line="30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47、库存股" w:id="331"/>
      <w:bookmarkEnd w:id="33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限制性股票义务回购相 关的库存股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110,463,765.40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110,463,765.40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514,410,942.48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149,013,294.67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365,397,647.81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624,874,707.88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149,013,294.67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475,861,413.21</w:t>
            </w:r>
          </w:p>
        </w:tc>
      </w:tr>
    </w:tbl>
    <w:p>
      <w:pPr>
        <w:pStyle w:val="BodyText"/>
        <w:spacing w:line="240" w:lineRule="auto" w:before="51"/>
        <w:ind w:right="0"/>
        <w:jc w:val="left"/>
      </w:pPr>
      <w:r>
        <w:rPr/>
        <w:t>其他说明，包括本期增减变动情况、变动原因说明：</w:t>
      </w:r>
    </w:p>
    <w:p>
      <w:pPr>
        <w:spacing w:line="240" w:lineRule="auto" w:before="1"/>
        <w:rPr>
          <w:rFonts w:ascii="宋体" w:hAnsi="宋体" w:cs="宋体" w:eastAsia="宋体" w:hint="default"/>
          <w:sz w:val="24"/>
          <w:szCs w:val="24"/>
        </w:rPr>
      </w:pPr>
    </w:p>
    <w:p>
      <w:pPr>
        <w:pStyle w:val="BodyText"/>
        <w:spacing w:line="307" w:lineRule="auto"/>
        <w:ind w:right="1129" w:firstLine="360"/>
        <w:jc w:val="both"/>
      </w:pPr>
      <w:r>
        <w:rPr>
          <w:spacing w:val="-2"/>
        </w:rPr>
        <w:t>注</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日召开了第三届董事会第二十七次（临时）会议、</w:t>
      </w:r>
      <w:r>
        <w:rPr>
          <w:rFonts w:ascii="Times New Roman" w:hAnsi="Times New Roman" w:cs="Times New Roman" w:eastAsia="Times New Roman" w:hint="default"/>
          <w:spacing w:val="-2"/>
        </w:rPr>
        <w:t>2018</w:t>
      </w:r>
      <w:r>
        <w:rPr>
          <w:spacing w:val="-2"/>
        </w:rPr>
        <w:t>年第一次临时股东大会，审议通</w:t>
      </w:r>
      <w:r>
        <w:rPr/>
        <w:t> </w:t>
      </w:r>
      <w:r>
        <w:rPr>
          <w:spacing w:val="-2"/>
        </w:rPr>
        <w:t>过了《关于回购公司股份以实施股权激励相关事宜的议案》、《关于提请股东大会授权公司董事会全权办理回购股份以实施</w:t>
      </w:r>
      <w:r>
        <w:rPr>
          <w:spacing w:val="-65"/>
        </w:rPr>
        <w:t> </w:t>
      </w:r>
      <w:r>
        <w:rPr>
          <w:spacing w:val="-65"/>
        </w:rPr>
      </w:r>
      <w:r>
        <w:rPr/>
        <w:t>股权激励相关事宜的议案》，公司根据上述议案进行股票回购，截至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日，公司累计回购股份</w:t>
      </w:r>
      <w:r>
        <w:rPr>
          <w:rFonts w:ascii="Times New Roman" w:hAnsi="Times New Roman" w:cs="Times New Roman" w:eastAsia="Times New Roman" w:hint="default"/>
        </w:rPr>
        <w:t>13,614,856</w:t>
      </w:r>
      <w:r>
        <w:rPr/>
        <w:t>股，支付</w:t>
      </w:r>
      <w:r>
        <w:rPr>
          <w:spacing w:val="-84"/>
        </w:rPr>
        <w:t> </w:t>
      </w:r>
      <w:r>
        <w:rPr/>
        <w:t>价款总金额</w:t>
      </w:r>
      <w:r>
        <w:rPr>
          <w:rFonts w:ascii="Times New Roman" w:hAnsi="Times New Roman" w:cs="Times New Roman" w:eastAsia="Times New Roman" w:hint="default"/>
        </w:rPr>
        <w:t>149,966,501.17</w:t>
      </w:r>
      <w:r>
        <w:rPr/>
        <w:t>元，公司本次股份回购计划已全部实施完毕。</w:t>
      </w:r>
    </w:p>
    <w:p>
      <w:pPr>
        <w:spacing w:line="240" w:lineRule="auto" w:before="11"/>
        <w:rPr>
          <w:rFonts w:ascii="宋体" w:hAnsi="宋体" w:cs="宋体" w:eastAsia="宋体" w:hint="default"/>
          <w:sz w:val="18"/>
          <w:szCs w:val="18"/>
        </w:rPr>
      </w:pPr>
    </w:p>
    <w:p>
      <w:pPr>
        <w:pStyle w:val="BodyText"/>
        <w:spacing w:line="307" w:lineRule="auto"/>
        <w:ind w:right="1129" w:firstLine="360"/>
        <w:jc w:val="both"/>
      </w:pPr>
      <w:r>
        <w:rPr>
          <w:spacing w:val="-2"/>
        </w:rPr>
        <w:t>注</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日召开了第三届董事会第三十一次（临时）会议、</w:t>
      </w:r>
      <w:r>
        <w:rPr>
          <w:rFonts w:ascii="Times New Roman" w:hAnsi="Times New Roman" w:cs="Times New Roman" w:eastAsia="Times New Roman" w:hint="default"/>
          <w:spacing w:val="-2"/>
        </w:rPr>
        <w:t>2018</w:t>
      </w:r>
      <w:r>
        <w:rPr>
          <w:spacing w:val="-2"/>
        </w:rPr>
        <w:t>年第二次临时股东大会，审议通</w:t>
      </w:r>
      <w:r>
        <w:rPr/>
        <w:t> </w:t>
      </w:r>
      <w:r>
        <w:rPr>
          <w:spacing w:val="-2"/>
        </w:rPr>
        <w:t>过了《关于采用集中竞价方式回购公司股份的议案》、《关于提请股东大会授权公司董事会全权办理回购股份相关事宜的议</w:t>
      </w:r>
      <w:r>
        <w:rPr>
          <w:spacing w:val="-65"/>
        </w:rPr>
        <w:t> </w:t>
      </w:r>
      <w:r>
        <w:rPr>
          <w:spacing w:val="-65"/>
        </w:rPr>
      </w:r>
      <w:r>
        <w:rPr/>
        <w:t>案》，公司根据上市议案进行股票回购，截至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日，公司本次回购累计回购股份</w:t>
      </w:r>
      <w:r>
        <w:rPr>
          <w:rFonts w:ascii="Times New Roman" w:hAnsi="Times New Roman" w:cs="Times New Roman" w:eastAsia="Times New Roman" w:hint="default"/>
        </w:rPr>
        <w:t>35,109,994</w:t>
      </w:r>
      <w:r>
        <w:rPr/>
        <w:t>股，支付价款总金额</w:t>
      </w:r>
      <w:r>
        <w:rPr>
          <w:spacing w:val="-85"/>
        </w:rPr>
        <w:t> </w:t>
      </w:r>
      <w:r>
        <w:rPr>
          <w:rFonts w:ascii="Times New Roman" w:hAnsi="Times New Roman" w:cs="Times New Roman" w:eastAsia="Times New Roman" w:hint="default"/>
        </w:rPr>
        <w:t>364,317,880.31</w:t>
      </w:r>
      <w:r>
        <w:rPr/>
        <w:t>元。</w:t>
      </w:r>
    </w:p>
    <w:p>
      <w:pPr>
        <w:spacing w:line="240" w:lineRule="auto" w:before="11"/>
        <w:rPr>
          <w:rFonts w:ascii="宋体" w:hAnsi="宋体" w:cs="宋体" w:eastAsia="宋体" w:hint="default"/>
          <w:sz w:val="18"/>
          <w:szCs w:val="18"/>
        </w:rPr>
      </w:pPr>
    </w:p>
    <w:p>
      <w:pPr>
        <w:pStyle w:val="BodyText"/>
        <w:spacing w:line="300" w:lineRule="auto"/>
        <w:ind w:right="1130" w:firstLine="360"/>
        <w:jc w:val="both"/>
      </w:pPr>
      <w:r>
        <w:rPr/>
        <w:t>注</w:t>
      </w:r>
      <w:r>
        <w:rPr>
          <w:rFonts w:ascii="Times New Roman" w:hAnsi="Times New Roman" w:cs="Times New Roman" w:eastAsia="Times New Roman" w:hint="default"/>
        </w:rPr>
        <w:t>3</w:t>
      </w:r>
      <w:r>
        <w:rPr/>
        <w:t>：</w:t>
      </w:r>
      <w:r>
        <w:rPr>
          <w:spacing w:val="-24"/>
        </w:rPr>
        <w:t>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29</w:t>
      </w:r>
      <w:r>
        <w:rPr>
          <w:spacing w:val="-3"/>
        </w:rPr>
        <w:t>日，公司召开的</w:t>
      </w:r>
      <w:r>
        <w:rPr>
          <w:rFonts w:ascii="Times New Roman" w:hAnsi="Times New Roman" w:cs="Times New Roman" w:eastAsia="Times New Roman" w:hint="default"/>
          <w:spacing w:val="-3"/>
        </w:rPr>
        <w:t>2018</w:t>
      </w:r>
      <w:r>
        <w:rPr>
          <w:spacing w:val="-3"/>
        </w:rPr>
        <w:t>年第三次临时股东大会审议通过了《关于公司</w:t>
      </w:r>
      <w:r>
        <w:rPr>
          <w:rFonts w:ascii="Times New Roman" w:hAnsi="Times New Roman" w:cs="Times New Roman" w:eastAsia="Times New Roman" w:hint="default"/>
          <w:spacing w:val="-3"/>
        </w:rPr>
        <w:t>&lt;2018</w:t>
      </w:r>
      <w:r>
        <w:rPr>
          <w:spacing w:val="-3"/>
        </w:rPr>
        <w:t>年限制性股票激励计划（草</w:t>
      </w:r>
      <w:r>
        <w:rPr/>
        <w:t> </w:t>
      </w:r>
      <w:r>
        <w:rPr>
          <w:spacing w:val="-1"/>
        </w:rPr>
        <w:t>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&lt;2018</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的议案》以及《关于提请公司股东大</w:t>
      </w:r>
      <w:r>
        <w:rPr>
          <w:spacing w:val="-62"/>
        </w:rPr>
        <w:t> </w:t>
      </w:r>
      <w:r>
        <w:rPr>
          <w:spacing w:val="-62"/>
        </w:rPr>
      </w:r>
      <w:r>
        <w:rPr>
          <w:spacing w:val="-4"/>
        </w:rPr>
        <w:t>会授权董事会办理限制性股票激励计划相关事宜的议案》，公司根据上述议案进行限制性股票激励，授予限制性股票数量</w:t>
      </w:r>
      <w:r>
        <w:rPr>
          <w:rFonts w:ascii="Times New Roman" w:hAnsi="Times New Roman" w:cs="Times New Roman" w:eastAsia="Times New Roman" w:hint="default"/>
          <w:spacing w:val="-4"/>
        </w:rPr>
        <w:t>950</w:t>
      </w:r>
      <w:r>
        <w:rPr>
          <w:rFonts w:ascii="Times New Roman" w:hAnsi="Times New Roman" w:cs="Times New Roman" w:eastAsia="Times New Roman" w:hint="default"/>
          <w:spacing w:val="6"/>
        </w:rPr>
        <w:t> </w:t>
      </w:r>
      <w:r>
        <w:rPr/>
        <w:t>万股，对应库存股价值</w:t>
      </w:r>
      <w:r>
        <w:rPr>
          <w:rFonts w:ascii="Times New Roman" w:hAnsi="Times New Roman" w:cs="Times New Roman" w:eastAsia="Times New Roman" w:hint="default"/>
        </w:rPr>
        <w:t>110,463,765.40</w:t>
      </w:r>
      <w:r>
        <w:rPr/>
        <w:t>元。</w:t>
      </w:r>
    </w:p>
    <w:p>
      <w:pPr>
        <w:spacing w:line="240" w:lineRule="auto" w:before="4"/>
        <w:rPr>
          <w:rFonts w:ascii="宋体" w:hAnsi="宋体" w:cs="宋体" w:eastAsia="宋体" w:hint="default"/>
          <w:sz w:val="19"/>
          <w:szCs w:val="19"/>
        </w:rPr>
      </w:pPr>
    </w:p>
    <w:p>
      <w:pPr>
        <w:pStyle w:val="BodyText"/>
        <w:spacing w:line="300" w:lineRule="auto"/>
        <w:ind w:right="1131" w:firstLine="360"/>
        <w:jc w:val="both"/>
      </w:pPr>
      <w:r>
        <w:rPr>
          <w:spacing w:val="-4"/>
        </w:rPr>
        <w:t>注</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11</w:t>
      </w:r>
      <w:r>
        <w:rPr>
          <w:spacing w:val="-4"/>
        </w:rPr>
        <w:t>日召开的公司第三届董事会第三十三次（临时）会议及公司第三届监事会第三十二次（临时）会议、</w:t>
      </w:r>
      <w:r>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日召开的</w:t>
      </w:r>
      <w:r>
        <w:rPr>
          <w:rFonts w:ascii="Times New Roman" w:hAnsi="Times New Roman" w:cs="Times New Roman" w:eastAsia="Times New Roman" w:hint="default"/>
          <w:spacing w:val="-2"/>
        </w:rPr>
        <w:t>2018</w:t>
      </w:r>
      <w:r>
        <w:rPr>
          <w:spacing w:val="-2"/>
        </w:rPr>
        <w:t>年第三次临时股东大会审议通过了《关于变更部分回购股份用途的议案》，结合公司发展战略和</w:t>
      </w:r>
      <w:r>
        <w:rPr>
          <w:spacing w:val="-54"/>
        </w:rPr>
        <w:t> </w:t>
      </w:r>
      <w:r>
        <w:rPr>
          <w:spacing w:val="-54"/>
        </w:rPr>
      </w:r>
      <w:r>
        <w:rPr>
          <w:spacing w:val="-2"/>
        </w:rPr>
        <w:t>股权激励计划，同意将公司已回购的</w:t>
      </w:r>
      <w:r>
        <w:rPr>
          <w:rFonts w:ascii="Times New Roman" w:hAnsi="Times New Roman" w:cs="Times New Roman" w:eastAsia="Times New Roman" w:hint="default"/>
          <w:spacing w:val="-2"/>
        </w:rPr>
        <w:t>13,614,856</w:t>
      </w:r>
      <w:r>
        <w:rPr>
          <w:rFonts w:ascii="Times New Roman" w:hAnsi="Times New Roman" w:cs="Times New Roman" w:eastAsia="Times New Roman" w:hint="default"/>
        </w:rPr>
        <w:t> </w:t>
      </w:r>
      <w:r>
        <w:rPr>
          <w:spacing w:val="-1"/>
        </w:rPr>
        <w:t>股中的</w:t>
      </w:r>
      <w:r>
        <w:rPr>
          <w:rFonts w:ascii="Times New Roman" w:hAnsi="Times New Roman" w:cs="Times New Roman" w:eastAsia="Times New Roman" w:hint="default"/>
          <w:spacing w:val="-1"/>
        </w:rPr>
        <w:t>4,014,856</w:t>
      </w:r>
      <w:r>
        <w:rPr>
          <w:spacing w:val="-1"/>
        </w:rPr>
        <w:t>股变更用于注销以减少注册资本，本次减资减少的库存股价</w:t>
      </w:r>
      <w:r>
        <w:rPr>
          <w:spacing w:val="-89"/>
        </w:rPr>
        <w:t> </w:t>
      </w:r>
      <w:r>
        <w:rPr>
          <w:spacing w:val="-89"/>
        </w:rPr>
      </w:r>
      <w:r>
        <w:rPr/>
        <w:t>值为</w:t>
      </w:r>
      <w:r>
        <w:rPr>
          <w:rFonts w:ascii="Times New Roman" w:hAnsi="Times New Roman" w:cs="Times New Roman" w:eastAsia="Times New Roman" w:hint="default"/>
        </w:rPr>
        <w:t>38,549,529.27</w:t>
      </w:r>
      <w:r>
        <w:rPr/>
        <w:t>元。</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48、其他综合收益" w:id="332"/>
      <w:bookmarkEnd w:id="33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2648"/>
        <w:gridCol w:w="1134"/>
        <w:gridCol w:w="1021"/>
        <w:gridCol w:w="1152"/>
        <w:gridCol w:w="803"/>
        <w:gridCol w:w="1068"/>
        <w:gridCol w:w="775"/>
        <w:gridCol w:w="956"/>
      </w:tblGrid>
      <w:tr>
        <w:trPr>
          <w:trHeight w:val="397" w:hRule="exact"/>
        </w:trPr>
        <w:tc>
          <w:tcPr>
            <w:tcW w:w="2648"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5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64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11" w:right="113"/>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95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6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7"/>
              <w:ind w:left="145" w:right="54"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26" w:right="35"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58" w:right="78" w:hanging="181"/>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75" w:type="dxa"/>
            <w:vMerge/>
            <w:tcBorders>
              <w:left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648"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64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5"/>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-1,596,209.06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2,380,814.63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2,380,814.63</w:t>
            </w:r>
          </w:p>
        </w:tc>
        <w:tc>
          <w:tcPr>
            <w:tcW w:w="77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784,605.57</w:t>
            </w:r>
          </w:p>
        </w:tc>
      </w:tr>
      <w:tr>
        <w:trPr>
          <w:trHeight w:val="402"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-1,596,209.06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2,380,814.63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2,380,814.63</w:t>
            </w:r>
          </w:p>
        </w:tc>
        <w:tc>
          <w:tcPr>
            <w:tcW w:w="77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784,605.57</w:t>
            </w: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-1,596,209.06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2,380,814.63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2,380,814.63</w:t>
            </w:r>
          </w:p>
        </w:tc>
        <w:tc>
          <w:tcPr>
            <w:tcW w:w="77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784,605.57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49、专项储备" w:id="333"/>
      <w:bookmarkEnd w:id="33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50、盈余公积" w:id="334"/>
      <w:bookmarkEnd w:id="33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7"/>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47,424,431.35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52,012,753.57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99,437,184.92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7"/>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47,424,431.35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52,012,753.57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99,437,184.92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1、未分配利润" w:id="335"/>
      <w:bookmarkEnd w:id="33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3703"/>
        <w:gridCol w:w="2936"/>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963,196,408.72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584,638,791.22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963,196,408.72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584,638,791.22</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133,239,222.45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413,945,815.86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52,012,753.57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6,948,423.46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62,358,435.44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28,439,774.90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982,064,442.16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963,196,408.72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2、营业收入和营业成本" w:id="336"/>
      <w:bookmarkEnd w:id="33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4,854,385,322.10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3,811,648,874.37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3,892,537,596.43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2,746,517,476.01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156,853,762.44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117,583,360.74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103,509,553.37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99,024,477.96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5,011,239,084.54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3,929,232,235.11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3,996,047,149.80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2,845,541,953.97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3、税金及附加" w:id="337"/>
      <w:bookmarkEnd w:id="33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3164"/>
        <w:gridCol w:w="3205"/>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7,758,991.33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6,660,879.01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3,504,527.86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2,897,308.60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3,764,736.63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3,199,120.32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8"/>
        <w:gridCol w:w="3194"/>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6,377,201.26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5,132,926.73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36,313.18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26,576.64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1,819,035.27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2,447,395.30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2,286,450.30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1,898,359.86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268,458.26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159,996.66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35,424.15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45,214.56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25,896,352.80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22,456,607.88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4、销售费用" w:id="338"/>
      <w:bookmarkEnd w:id="33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51,327,376.79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55,975,721.72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498,642.54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690,816.10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47,644,634.11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48,637,783.32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2,028,768.04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1,830,461.40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729,966.07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789,689.25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5,868,476.85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4,171,097.15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7,393,039.00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4,847,258.50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仓储、租赁费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1,384,782.57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1,535,382.45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18,235,796.13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15,684,943.89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4,529,653.13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4,252,633.03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6,951,098.56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2,440,250.90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146,592,233.79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140,856,037.71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5、管理费用" w:id="339"/>
      <w:bookmarkEnd w:id="33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154,703,453.52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208,805,571.93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认证、检测、代理费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12,960,624.72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12,779,913.75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34,676,974.23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25,592,742.71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32,960,961.01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26,260,560.71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审计、咨询、评估费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27,676,756.77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13,653,716.62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22,985,287.73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25,862,377.34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190,840.59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560,893.35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9,718,855.42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7,616,577.19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9,293,063.49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10,490,952.06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23,787,600.79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28,131,390.15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1,621,643.47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1,277,156.52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董事及董事会费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221,666.66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217,392.30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1,785,864.41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376,714.86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1,023,229.16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386,305.64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626,331.95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333,993,127.61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362,252,291.44</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6、研发费用" w:id="340"/>
      <w:bookmarkEnd w:id="34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8"/>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125,677,713.42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106,404,040.98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22,113,456.07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21,439,609.87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12,849,413.73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7,186,711.48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1,168,338.16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615,502.13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983,256.79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525,848.37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44,521.06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49,106.80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1,177,328.83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184,929.11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1,433,071.89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938,975.00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927,872.02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28,553.53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8,715,696.93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4,378,828.14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459,592.73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494,240.57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8"/>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175,568,891.63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142,286,185.98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7、财务费用" w:id="341"/>
      <w:bookmarkEnd w:id="34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13,740,419.63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14,740,352.01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50,053,899.90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56,723,485.19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-11,048,964.27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-3,963,850.46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8,076,351.89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1,676,698.02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-39,286,092.65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-44,270,285.62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8、资产减值损失" w:id="342"/>
      <w:bookmarkEnd w:id="34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4,212,159.59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25,980,254.97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6,434,241.98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5,477,448.42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845,430.34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289,952,938.10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450,499.72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23,940,311.76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324,539,651.43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32,753,633.45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9、其他收益" w:id="343"/>
      <w:bookmarkEnd w:id="34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7,431.34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中小企业技术改造项目政府补助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专精特新</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企业扶持资金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安全生产奖励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财政局骨干企业扶持资金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26,642.00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38,635.80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产学研合作发展项目扶持资金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87,583.00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中小企业技术改造项目政府补助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96,601.67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实体经济扩大规模奖励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稳增促调专项资金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工业企业技术改造税收增量奖补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外贸回稳向好及跨境电商专项资金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软件信息服务业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扶持项目专项资金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284,290.00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贯标认证企业奖励资金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传统产业改造专项资金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工程实验室认定奖励资金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互联网工业试点改造扶持资金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687,930.50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工业企业技术改造转型升级奖励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工业投资技改补贴资金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1,150,433.19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重点技术改造项目补贴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1,211,326.84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永磁同步电机补助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基于高强认证的新型移动交易综合服务 平台</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293,084.91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企业稳岗补贴</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襄阳市政府高新奖励</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枣阳市政府高新奖励</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枣阳市商务局外贸外资奖励</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38,635.80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中小企业技术改造项目政府补助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29,750.01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财政局骨干企业扶持资金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年度第一批宁波市工业投资（技术 改造）区级项目新开工补助资金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工业发展专项资金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6,177.51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出口贴息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年度工业技术改造项目补助资金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1,312.50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0、投资收益" w:id="344"/>
      <w:bookmarkEnd w:id="34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-580,339.80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9D9D9"/>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-886,180.42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9D9D9"/>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48,436.15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67,336,617.11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2,099,496.02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68,855,773.33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-837,744.27</w:t>
            </w:r>
            <w:r>
              <w:rPr>
                <w:rFonts w:ascii="Times New Roman"/>
                <w:sz w:val="18"/>
              </w:rPr>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1、公允价值变动收益" w:id="345"/>
      <w:bookmarkEnd w:id="34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62、资产处置收益" w:id="346"/>
      <w:bookmarkEnd w:id="34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1,318,960.30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657,838.22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其中：资产处置利得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1,627,568.14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1,093,737.74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资产处置损失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308,607.84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435,899.52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1,318,960.30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657,838.22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3、营业外收入" w:id="347"/>
      <w:bookmarkEnd w:id="34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3,646,515.07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34,871,043.58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3,646,515.07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1,755,534.40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1,755,534.40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4,423,935.04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7,158,780.73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4,423,935.04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9,825,984.51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42,029,824.31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9,825,984.51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枣阳市财政 局扶持资金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京市高新技 术成果转化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4.65pt;mso-position-horizontal-relative:char;mso-position-vertical-relative:line" coordorigin="0,0" coordsize="1054,293">
                  <v:group style="position:absolute;left:0;top:0;width:1054;height:293" coordorigin="0,0" coordsize="1054,293">
                    <v:shape style="position:absolute;left:0;top:0;width:1054;height:293" coordorigin="0,0" coordsize="1054,293" path="m0,293l1054,293,1054,0,0,0,0,293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5" w:right="0"/>
              <w:jc w:val="left"/>
              <w:rPr>
                <w:rFonts w:ascii="Times New Roman" w:hAnsi="Times New Roman" w:cs="Times New Roman" w:eastAsia="Times New Roman" w:hint="default"/>
                <w:sz w:val="18"/>
                <w:szCs w:val="18"/>
              </w:rPr>
            </w:pPr>
            <w:r>
              <w:rPr>
                <w:rFonts w:ascii="Times New Roman"/>
                <w:sz w:val="18"/>
              </w:rPr>
              <w:t>1,037,735.85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项目认定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仓区战略性 新兴产业发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 改造项目补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业研发投入 支持补贴款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471,698.12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北京市总部 </w:t>
            </w:r>
            <w:r>
              <w:rPr>
                <w:rFonts w:ascii="宋体" w:hAnsi="宋体" w:cs="宋体" w:eastAsia="宋体" w:hint="default"/>
                <w:spacing w:val="-12"/>
                <w:sz w:val="18"/>
                <w:szCs w:val="18"/>
              </w:rPr>
              <w:t>企业、中介机</w:t>
            </w:r>
            <w:r>
              <w:rPr>
                <w:rFonts w:ascii="宋体" w:hAnsi="宋体" w:cs="宋体" w:eastAsia="宋体" w:hint="default"/>
                <w:sz w:val="18"/>
                <w:szCs w:val="18"/>
              </w:rPr>
              <w:t> 构奖励补助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348,867.92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青岛市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年高新技术 企业认定奖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即墨市科技 和工业信息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技术改造补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扶持企业发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仑区稳增促 调专项资金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107,761.00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五莲县金融 工作办公室 企业规范化 公司制改制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补助现汇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 级稳增促调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91,019.37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即墨市人力 资源见习补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 新技术企业 获奖奖励补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75,471.70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年高成 长科技型中 小企业奖励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 识产权补贴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29,245.28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7"/>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业中介服务 费用补贴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企业中介服 务资金补贴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中关村及西 城区孵化服 务体系建设 项目支持基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7,547.17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即墨市科技 局发明专利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即墨市科技 和工业信息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度专利资助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青岛知识产 业局专利创 造资助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知识产业局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年度特 种设备作业 人员培训费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青岛市即墨 区科技和工 业信息化局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困难人员保 险岗位补贴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青岛市即墨 区通济劳动 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38,736.00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75" w:right="74"/>
              <w:jc w:val="center"/>
              <w:rPr>
                <w:rFonts w:ascii="宋体" w:hAnsi="宋体" w:cs="宋体" w:eastAsia="宋体" w:hint="default"/>
                <w:sz w:val="18"/>
                <w:szCs w:val="18"/>
              </w:rPr>
            </w:pPr>
            <w:r>
              <w:rPr>
                <w:rFonts w:ascii="宋体" w:hAnsi="宋体" w:cs="宋体" w:eastAsia="宋体" w:hint="default"/>
                <w:sz w:val="18"/>
                <w:szCs w:val="18"/>
              </w:rPr>
              <w:t>即墨市高校 毕业生就业 见习工作办 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111,035.00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职业教育生 产性公共实 训政府补贴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0" w:hanging="2"/>
              <w:jc w:val="center"/>
              <w:rPr>
                <w:rFonts w:ascii="宋体" w:hAnsi="宋体" w:cs="宋体" w:eastAsia="宋体" w:hint="default"/>
                <w:sz w:val="18"/>
                <w:szCs w:val="18"/>
              </w:rPr>
            </w:pPr>
            <w:r>
              <w:rPr>
                <w:rFonts w:ascii="宋体" w:hAnsi="宋体" w:cs="宋体" w:eastAsia="宋体" w:hint="default"/>
                <w:sz w:val="18"/>
                <w:szCs w:val="18"/>
              </w:rPr>
              <w:t>青岛市教育 </w:t>
            </w:r>
            <w:r>
              <w:rPr>
                <w:rFonts w:ascii="宋体" w:hAnsi="宋体" w:cs="宋体" w:eastAsia="宋体" w:hint="default"/>
                <w:spacing w:val="-13"/>
                <w:sz w:val="18"/>
                <w:szCs w:val="18"/>
              </w:rPr>
              <w:t>局、青岛市财</w:t>
            </w:r>
            <w:r>
              <w:rPr>
                <w:rFonts w:ascii="宋体" w:hAnsi="宋体" w:cs="宋体" w:eastAsia="宋体" w:hint="default"/>
                <w:sz w:val="18"/>
                <w:szCs w:val="18"/>
              </w:rPr>
              <w:t> </w:t>
            </w:r>
            <w:r>
              <w:rPr>
                <w:rFonts w:ascii="宋体" w:hAnsi="宋体" w:cs="宋体" w:eastAsia="宋体" w:hint="default"/>
                <w:spacing w:val="-13"/>
                <w:sz w:val="18"/>
                <w:szCs w:val="18"/>
              </w:rPr>
              <w:t>政局、青岛市</w:t>
            </w:r>
            <w:r>
              <w:rPr>
                <w:rFonts w:ascii="宋体" w:hAnsi="宋体" w:cs="宋体" w:eastAsia="宋体" w:hint="default"/>
                <w:sz w:val="18"/>
                <w:szCs w:val="18"/>
              </w:rPr>
              <w:t> 经信委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519,243.00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年即墨 市工业设计 中心补助款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青岛市即墨 区科技和工 业信息化局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业新认定补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青岛市即墨 区科技和工 业信息化局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业认定奖励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5" w:right="74"/>
              <w:jc w:val="both"/>
              <w:rPr>
                <w:rFonts w:ascii="宋体" w:hAnsi="宋体" w:cs="宋体" w:eastAsia="宋体" w:hint="default"/>
                <w:sz w:val="18"/>
                <w:szCs w:val="18"/>
              </w:rPr>
            </w:pPr>
            <w:r>
              <w:rPr>
                <w:rFonts w:ascii="宋体" w:hAnsi="宋体" w:cs="宋体" w:eastAsia="宋体" w:hint="default"/>
                <w:sz w:val="18"/>
                <w:szCs w:val="18"/>
              </w:rPr>
              <w:t>青岛市即墨 区科技和工 业信息化局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扶持企业发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75" w:right="74"/>
              <w:jc w:val="center"/>
              <w:rPr>
                <w:rFonts w:ascii="宋体" w:hAnsi="宋体" w:cs="宋体" w:eastAsia="宋体" w:hint="default"/>
                <w:sz w:val="18"/>
                <w:szCs w:val="18"/>
              </w:rPr>
            </w:pPr>
            <w:r>
              <w:rPr>
                <w:rFonts w:ascii="宋体" w:hAnsi="宋体" w:cs="宋体" w:eastAsia="宋体" w:hint="default"/>
                <w:sz w:val="18"/>
                <w:szCs w:val="18"/>
              </w:rPr>
              <w:t>烟台开发区 财政局税政 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专户补贴款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上海市宝山 区杨行镇人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5" w:right="0"/>
              <w:jc w:val="left"/>
              <w:rPr>
                <w:rFonts w:ascii="宋体" w:hAnsi="宋体" w:cs="宋体" w:eastAsia="宋体" w:hint="default"/>
                <w:sz w:val="18"/>
                <w:szCs w:val="18"/>
              </w:rPr>
            </w:pPr>
            <w:r>
              <w:rPr>
                <w:rFonts w:ascii="宋体" w:hAnsi="宋体" w:cs="宋体" w:eastAsia="宋体" w:hint="default"/>
                <w:sz w:val="18"/>
                <w:szCs w:val="18"/>
              </w:rPr>
              <w:t>民政府</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年度特 种设备作业 人员培训费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75" w:right="74"/>
              <w:jc w:val="center"/>
              <w:rPr>
                <w:rFonts w:ascii="宋体" w:hAnsi="宋体" w:cs="宋体" w:eastAsia="宋体" w:hint="default"/>
                <w:sz w:val="18"/>
                <w:szCs w:val="18"/>
              </w:rPr>
            </w:pPr>
            <w:r>
              <w:rPr>
                <w:rFonts w:ascii="宋体" w:hAnsi="宋体" w:cs="宋体" w:eastAsia="宋体" w:hint="default"/>
                <w:sz w:val="18"/>
                <w:szCs w:val="18"/>
              </w:rPr>
              <w:t>宁波质量技 术监督局杭 州湾新区分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稳增促调专 项资金补助 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宁波杭州湾 新区经济发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143,386.20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宝鸡市规模 以上企业培 育项目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宝鸡市工业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55" w:right="74" w:hanging="180"/>
              <w:jc w:val="left"/>
              <w:rPr>
                <w:rFonts w:ascii="宋体" w:hAnsi="宋体" w:cs="宋体" w:eastAsia="宋体" w:hint="default"/>
                <w:sz w:val="18"/>
                <w:szCs w:val="18"/>
              </w:rPr>
            </w:pPr>
            <w:r>
              <w:rPr>
                <w:rFonts w:ascii="宋体" w:hAnsi="宋体" w:cs="宋体" w:eastAsia="宋体" w:hint="default"/>
                <w:sz w:val="18"/>
                <w:szCs w:val="18"/>
              </w:rPr>
              <w:t>襄阳市科学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青浦区知识 产权资助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超比例安排 残疾人就业 单位奖励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75" w:right="74"/>
              <w:jc w:val="center"/>
              <w:rPr>
                <w:rFonts w:ascii="宋体" w:hAnsi="宋体" w:cs="宋体" w:eastAsia="宋体" w:hint="default"/>
                <w:sz w:val="18"/>
                <w:szCs w:val="18"/>
              </w:rPr>
            </w:pPr>
            <w:r>
              <w:rPr>
                <w:rFonts w:ascii="宋体" w:hAnsi="宋体" w:cs="宋体" w:eastAsia="宋体" w:hint="default"/>
                <w:sz w:val="18"/>
                <w:szCs w:val="18"/>
              </w:rPr>
              <w:t>青岛市即墨 区通济劳动 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12,770.60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上海市专利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10,345.50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年中关 村国际创新 资源支持资 </w:t>
            </w:r>
            <w:r>
              <w:rPr>
                <w:rFonts w:ascii="宋体" w:hAnsi="宋体" w:cs="宋体" w:eastAsia="宋体" w:hint="default"/>
                <w:spacing w:val="-12"/>
                <w:sz w:val="18"/>
                <w:szCs w:val="18"/>
              </w:rPr>
              <w:t>金补贴款（第</w:t>
            </w:r>
            <w:r>
              <w:rPr>
                <w:rFonts w:ascii="宋体" w:hAnsi="宋体" w:cs="宋体" w:eastAsia="宋体" w:hint="default"/>
                <w:sz w:val="18"/>
                <w:szCs w:val="18"/>
              </w:rPr>
              <w:t> 一批）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87,297.64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 区产业政策 落实资金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393,396.23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普天双创杯 </w:t>
            </w:r>
            <w:r>
              <w:rPr>
                <w:rFonts w:ascii="Times New Roman" w:hAnsi="Times New Roman" w:cs="Times New Roman" w:eastAsia="Times New Roman" w:hint="default"/>
                <w:sz w:val="18"/>
                <w:szCs w:val="18"/>
              </w:rPr>
              <w:t>"</w:t>
            </w:r>
            <w:r>
              <w:rPr>
                <w:rFonts w:ascii="宋体" w:hAnsi="宋体" w:cs="宋体" w:eastAsia="宋体" w:hint="default"/>
                <w:sz w:val="18"/>
                <w:szCs w:val="18"/>
              </w:rPr>
              <w:t>首届创新创 业大赛优秀 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9,433.96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 政府补助政 策落实资金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5" w:right="74"/>
              <w:jc w:val="both"/>
              <w:rPr>
                <w:rFonts w:ascii="宋体" w:hAnsi="宋体" w:cs="宋体" w:eastAsia="宋体" w:hint="default"/>
                <w:sz w:val="18"/>
                <w:szCs w:val="18"/>
              </w:rPr>
            </w:pPr>
            <w:r>
              <w:rPr>
                <w:rFonts w:ascii="宋体" w:hAnsi="宋体" w:cs="宋体" w:eastAsia="宋体" w:hint="default"/>
                <w:sz w:val="18"/>
                <w:szCs w:val="18"/>
              </w:rPr>
              <w:t>中关村科技 园区西城园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314,150.94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64、营业外支出" w:id="348"/>
      <w:bookmarkEnd w:id="34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233,304.00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80,106.98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80,106.98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80,106.98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80,106.98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29,047,289.17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2,648,389.89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709,664.40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3,400,454.95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709,664.40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29,937,060.55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3,637,974.89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3,538,161.27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5、所得税费用" w:id="349"/>
      <w:bookmarkEnd w:id="34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所得税费用表" w:id="350"/>
      <w:bookmarkEnd w:id="35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63,105,363.62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98,076,826.86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-12,862,676.35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-9,399,763.41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50,242,687.27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88,677,063.45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会计利润与所得税费用调整过程" w:id="351"/>
      <w:bookmarkEnd w:id="35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188,995,165.88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47,248,791.47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-43,630,149.00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-16,633,377.81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78,121,794.30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-14,957,436.67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93,064.98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50,242,687.27</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66、其他综合收益" w:id="352"/>
      <w:bookmarkEnd w:id="352"/>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32</w:t>
      </w:r>
      <w:r>
        <w:rPr>
          <w:rFonts w:ascii="宋体" w:hAnsi="宋体" w:cs="宋体" w:eastAsia="宋体" w:hint="default"/>
          <w:sz w:val="18"/>
          <w:szCs w:val="18"/>
        </w:rPr>
        <w:t>。 </w:t>
      </w:r>
      <w:bookmarkStart w:name="67、现金流量表项目" w:id="353"/>
      <w:bookmarkEnd w:id="353"/>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7"/>
        <w:spacing w:line="240" w:lineRule="auto" w:before="28"/>
        <w:ind w:right="0"/>
        <w:jc w:val="left"/>
        <w:rPr>
          <w:b w:val="0"/>
          <w:bCs w:val="0"/>
        </w:rPr>
      </w:pPr>
      <w:bookmarkStart w:name="（1）收到的其他与经营活动有关的现金" w:id="354"/>
      <w:bookmarkEnd w:id="35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6,609,230.87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3,395,616.88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50,053,899.90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56,723,485.19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40,021,971.20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51,609,189.58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收到解冻资金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168,143,217.54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178,642,423.12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139,351,863.63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254,662,743.92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所得税退税款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18,074,071.17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15,603,084.05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风险准备金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7,520,365.36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364,151.24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995,804.65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422,618,405.55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569,152,712.75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支付的其他与经营活动有关的现金" w:id="355"/>
      <w:bookmarkEnd w:id="35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管理及研发费用</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114,509,980.76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116,942,258.31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64,135,148.18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48,542,344.35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银行手续费等财务费用</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1,571,505.21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1,947,404.15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9,189,190.12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3,688,133.86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不能随时支取的保证金、冻结资金</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187,628,962.39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94,992,075.03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276,271,433.73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327,161,479.04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发放贷款</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1,707,019.14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284,569.83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855,013,239.53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593,558,264.57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收到的其他与投资活动有关的现金" w:id="356"/>
      <w:bookmarkEnd w:id="35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收回结构性存款</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3,217,673,977.99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 重分类</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81,714,223.71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3,299,388,201.70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7"/>
        <w:spacing w:line="240" w:lineRule="auto" w:before="35"/>
        <w:ind w:right="0"/>
        <w:jc w:val="left"/>
        <w:rPr>
          <w:b w:val="0"/>
          <w:bCs w:val="0"/>
        </w:rPr>
      </w:pPr>
      <w:bookmarkStart w:name="（4）支付的其他与投资活动有关的现金" w:id="357"/>
      <w:bookmarkEnd w:id="35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3,217,673,977.99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3,217,673,977.99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收到的其他与筹资活动有关的现金" w:id="358"/>
      <w:bookmarkEnd w:id="35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股权激励认购款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47,595,000.00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8,357,600.00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支付的其他与筹资活动有关的现金" w:id="359"/>
      <w:bookmarkEnd w:id="35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520,002,036.96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525,987,036.96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8、现金流量表补充资料" w:id="360"/>
      <w:bookmarkEnd w:id="36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现金流量表补充资料" w:id="361"/>
      <w:bookmarkEnd w:id="36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138,752,478.61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444,521,550.64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324,539,651.43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32,753,633.45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133,636,301.05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90,610,466.23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33,134,960.53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26,283,558.93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12,282,688.18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3,327,318.92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-1,318,960.30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-657,838.22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80,106.98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4,215.94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13,021,448.04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9,522,279.15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-68,855,773.33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837,744.27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71.909981pt;width:151.25pt;height:40.9pt;mso-position-horizontal-relative:page;mso-position-vertical-relative:page;z-index:-1707424" coordorigin="4467,1438" coordsize="3025,818">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90;top:1852;width:3002;height:393" coordorigin="4490,1852" coordsize="3002,393">
              <v:shape style="position:absolute;left:4490;top:1852;width:3002;height:393" coordorigin="4490,1852" coordsize="3002,393" path="m4490,2244l7491,2244,7491,1852,4490,1852,4490,224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-8,040,768.33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-5,340,945.55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-4,976,677.59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-4,269,518.74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-22,910,909.11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-192,676,732.31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293,085,345.88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-658,286,582.22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-615,578,163.34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95,540,913.73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1,168,315.03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-106,875.82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228,020,043.73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-157,936,811.60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1,701,369,630.24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2,102,040,062.52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2,309,451,375.00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-400,670,432.28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-207,411,312.48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现金和现金等价物的构成" w:id="362"/>
      <w:bookmarkEnd w:id="36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1,701,369,630.24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87,437.24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65,859.15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1,698,786,879.61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2,086,447,372.29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2,495,313.39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15,526,831.08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1,701,369,630.24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2,102,040,062.52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69、所有者权益变动表项目注释" w:id="363"/>
      <w:bookmarkEnd w:id="363"/>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bookmarkStart w:name="70、所有权或使用权受到限制的资产" w:id="364"/>
      <w:bookmarkEnd w:id="364"/>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48,195,663.67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票据、贷款保证金、通道交易保证金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93,155,430.00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11,307,601.14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15,182,699.02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920,918,712.08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受央行监管的客户备付金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1,088,760,105.91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71、外币货币性项目" w:id="365"/>
      <w:bookmarkEnd w:id="36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外币货币性项目" w:id="366"/>
      <w:bookmarkEnd w:id="36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9"/>
        <w:gridCol w:w="2310"/>
        <w:gridCol w:w="2391"/>
        <w:gridCol w:w="2389"/>
      </w:tblGrid>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46"/>
              <w:jc w:val="right"/>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54,801,288.65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7,651,192.88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52,511,666.90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46,500.59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364,904.05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19,995.86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17,520.37</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64.13</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358,504.83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1,806,183.18</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132,306.10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0.7614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100,737.86</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04"/>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159.42</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16,301,145.81</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2,352,670.22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16,146,846.23</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19,662.76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154,299.58</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0"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3,613,988.07</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516,045.83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3,541,725.74</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72,262.33</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10"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43,713.23</w:t>
            </w:r>
          </w:p>
        </w:tc>
      </w:tr>
      <w:tr>
        <w:trPr>
          <w:trHeight w:val="402" w:hRule="exact"/>
        </w:trPr>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39,092.79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4,620.44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968,836.70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822,937.76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27,239.00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17,417.16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312.61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132,306.10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0.7614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100,737.86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47.75</w:t>
            </w:r>
          </w:p>
        </w:tc>
      </w:tr>
    </w:tbl>
    <w:p>
      <w:pPr>
        <w:spacing w:line="240" w:lineRule="auto" w:before="2"/>
        <w:rPr>
          <w:rFonts w:ascii="宋体" w:hAnsi="宋体" w:cs="宋体" w:eastAsia="宋体" w:hint="default"/>
          <w:sz w:val="19"/>
          <w:szCs w:val="19"/>
        </w:rPr>
      </w:pPr>
    </w:p>
    <w:p>
      <w:pPr>
        <w:pStyle w:val="Heading7"/>
        <w:spacing w:line="259" w:lineRule="auto" w:before="35"/>
        <w:ind w:right="0"/>
        <w:jc w:val="left"/>
        <w:rPr>
          <w:b w:val="0"/>
          <w:bCs w:val="0"/>
        </w:rPr>
      </w:pPr>
      <w:bookmarkStart w:name="（2）境外经营实体说明，包括对于重要的境外经营实体，应披露其境外主要经营地、记账" w:id="367"/>
      <w:bookmarkEnd w:id="36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72、套期" w:id="368"/>
      <w:bookmarkEnd w:id="368"/>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32"/>
        <w:jc w:val="left"/>
      </w:pPr>
      <w:r>
        <w:rPr/>
        <w:t>按照套期类别披露套期项目及相关套期工具、被套期风险的定性和定量信息： 无。</w:t>
      </w:r>
    </w:p>
    <w:p>
      <w:pPr>
        <w:spacing w:line="240" w:lineRule="auto" w:before="3"/>
        <w:rPr>
          <w:rFonts w:ascii="宋体" w:hAnsi="宋体" w:cs="宋体" w:eastAsia="宋体" w:hint="default"/>
          <w:sz w:val="20"/>
          <w:szCs w:val="20"/>
        </w:rPr>
      </w:pPr>
    </w:p>
    <w:p>
      <w:pPr>
        <w:pStyle w:val="Heading7"/>
        <w:spacing w:line="240" w:lineRule="auto"/>
        <w:ind w:right="0"/>
        <w:jc w:val="left"/>
        <w:rPr>
          <w:b w:val="0"/>
          <w:bCs w:val="0"/>
        </w:rPr>
      </w:pPr>
      <w:bookmarkStart w:name="73、政府补助" w:id="369"/>
      <w:bookmarkEnd w:id="36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政府补助基本情况" w:id="370"/>
      <w:bookmarkEnd w:id="37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资金专户补贴款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重点技术改造项目补贴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1,211,326.84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中小企业技术改造项目政府 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96,601.67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中关村国际创新资源支持资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87,297.64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87,297.64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知识产权资助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园区产业政策落实资金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707,547.17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707,547.17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永磁同步电机补助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研发费用投入奖励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284,290.00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稳增促调专项资金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189,808.13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189,808.13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外贸回稳向好及跨境电商专 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特种设备作业人员培训费补 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实训补助经费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519,243.00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519,243.00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实体经济扩大规模奖励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10,345.50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企业稳增促调专项资金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143,386.20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143,386.20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宁波市工业投资（技术改造）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4,164,096.00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1,096,578.00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科技发展专项基金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见习、社保岗位补贴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149,771.00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互联网工业试点改造专项扶 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687,930.50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规模以上企业培育项目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贯标认证企业奖励资金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工业设计中心补助款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工业企业技术改造转型升级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工业企业技术改造税收增量 奖补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工程实验室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7,431.34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扶持企业发展专项资金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创新创业大赛获奖项目支持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传统产业改造专项资金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超比例安排残疾人就业单位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产学研合作发展项目扶持资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安全生产奖励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专精特新</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软件信息服务业</w:t>
            </w:r>
            <w:r>
              <w:rPr>
                <w:rFonts w:ascii="Times New Roman" w:hAnsi="Times New Roman" w:cs="Times New Roman" w:eastAsia="Times New Roman" w:hint="default"/>
                <w:sz w:val="18"/>
                <w:szCs w:val="18"/>
              </w:rPr>
              <w:t>"</w:t>
            </w:r>
            <w:r>
              <w:rPr>
                <w:rFonts w:ascii="宋体" w:hAnsi="宋体" w:cs="宋体" w:eastAsia="宋体" w:hint="default"/>
                <w:sz w:val="18"/>
                <w:szCs w:val="18"/>
              </w:rPr>
              <w:t>扶持项目专 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40,077,542.54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27,752,583.55</w:t>
            </w:r>
          </w:p>
        </w:tc>
      </w:tr>
    </w:tbl>
    <w:p>
      <w:pPr>
        <w:spacing w:line="240" w:lineRule="auto" w:before="10"/>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bookmarkStart w:name="（2）政府补助退回情况" w:id="371"/>
      <w:bookmarkEnd w:id="37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74、其他" w:id="372"/>
      <w:bookmarkEnd w:id="372"/>
      <w:r>
        <w:rPr>
          <w:b w:val="0"/>
          <w:bCs w:val="0"/>
        </w:rPr>
      </w: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bookmarkStart w:name="八、合并范围的变更" w:id="373"/>
      <w:bookmarkEnd w:id="37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非同一控制下企业合并" w:id="374"/>
      <w:bookmarkEnd w:id="37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本期发生的非同一控制下企业合并" w:id="375"/>
      <w:bookmarkEnd w:id="37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274"/>
        <w:gridCol w:w="854"/>
        <w:gridCol w:w="990"/>
        <w:gridCol w:w="851"/>
        <w:gridCol w:w="850"/>
        <w:gridCol w:w="1419"/>
        <w:gridCol w:w="1205"/>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255" w:right="256"/>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256" w:right="257"/>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362" w:right="360"/>
              <w:jc w:val="left"/>
              <w:rPr>
                <w:rFonts w:ascii="宋体" w:hAnsi="宋体" w:cs="宋体" w:eastAsia="宋体" w:hint="default"/>
                <w:sz w:val="18"/>
                <w:szCs w:val="18"/>
              </w:rPr>
            </w:pPr>
            <w:r>
              <w:rPr>
                <w:rFonts w:ascii="宋体" w:hAnsi="宋体" w:cs="宋体" w:eastAsia="宋体" w:hint="default"/>
                <w:sz w:val="18"/>
                <w:szCs w:val="18"/>
              </w:rPr>
              <w:t>股权取 得成本</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151" w:right="150"/>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57" w:lineRule="auto"/>
              <w:ind w:left="219" w:right="218"/>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4" w:right="72" w:hanging="90"/>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56"/>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上海和达汽 车配件有限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190,198,600.00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9"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644,790,513.18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29,093,277.58</w:t>
            </w: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0" w:firstLine="360"/>
        <w:jc w:val="left"/>
      </w:pPr>
      <w:r>
        <w:rPr>
          <w:spacing w:val="-2"/>
        </w:rPr>
        <w:t>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月，公司向山东产权交易中心提交了《产权购买申请书》及相关材料，以人民币</w:t>
      </w:r>
      <w:r>
        <w:rPr>
          <w:rFonts w:ascii="Times New Roman" w:hAnsi="Times New Roman" w:cs="Times New Roman" w:eastAsia="Times New Roman" w:hint="default"/>
          <w:spacing w:val="-2"/>
        </w:rPr>
        <w:t>19,019.86</w:t>
      </w:r>
      <w:r>
        <w:rPr>
          <w:spacing w:val="-2"/>
        </w:rPr>
        <w:t>万元摘牌收购潍</w:t>
      </w:r>
      <w:r>
        <w:rPr/>
        <w:t> 柴动力股份有限公司持有的上海和达汽车配件有限公司</w:t>
      </w:r>
      <w:r>
        <w:rPr>
          <w:rFonts w:ascii="Times New Roman" w:hAnsi="Times New Roman" w:cs="Times New Roman" w:eastAsia="Times New Roman" w:hint="default"/>
        </w:rPr>
        <w:t>75%</w:t>
      </w:r>
      <w:r>
        <w:rPr/>
        <w:t>股权。</w:t>
      </w:r>
    </w:p>
    <w:p>
      <w:pPr>
        <w:spacing w:line="240" w:lineRule="auto" w:before="4"/>
        <w:rPr>
          <w:rFonts w:ascii="宋体" w:hAnsi="宋体" w:cs="宋体" w:eastAsia="宋体" w:hint="default"/>
          <w:sz w:val="19"/>
          <w:szCs w:val="19"/>
        </w:rPr>
      </w:pPr>
    </w:p>
    <w:p>
      <w:pPr>
        <w:pStyle w:val="BodyText"/>
        <w:spacing w:line="532" w:lineRule="auto"/>
        <w:ind w:left="514" w:right="220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月，公司支付上述股权价款，上海和达汽车配件有限公司于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日完成工商变更登记。 鉴于上述情况，我们将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日定为购并日。</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7"/>
        <w:spacing w:line="240" w:lineRule="auto"/>
        <w:ind w:right="0"/>
        <w:jc w:val="left"/>
        <w:rPr>
          <w:b w:val="0"/>
          <w:bCs w:val="0"/>
        </w:rPr>
      </w:pPr>
      <w:bookmarkStart w:name="（2）合并成本及商誉" w:id="376"/>
      <w:bookmarkEnd w:id="37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07"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190,198,600.00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190,198,600.00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191,954,134.40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-1,755,534.40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3）被购买方于购买日可辨认资产、负债" w:id="377"/>
      <w:bookmarkEnd w:id="37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2094" w:right="0"/>
              <w:jc w:val="left"/>
              <w:rPr>
                <w:rFonts w:ascii="宋体" w:hAnsi="宋体" w:cs="宋体" w:eastAsia="宋体" w:hint="default"/>
                <w:sz w:val="18"/>
                <w:szCs w:val="18"/>
              </w:rPr>
            </w:pPr>
            <w:r>
              <w:rPr>
                <w:rFonts w:ascii="宋体" w:hAnsi="宋体" w:cs="宋体" w:eastAsia="宋体" w:hint="default"/>
                <w:sz w:val="18"/>
                <w:szCs w:val="18"/>
              </w:rPr>
              <w:t>上海和达汽车配件有限公司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81,714,223.71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81,714,223.71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131,077,449.18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131,077,449.18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69,085,156.14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69,032,838.62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137,241,684.00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121,682,273.65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36,643,358.00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434,983.26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1,927,003.09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1,927,003.09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735,814.25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735,814.25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4,569,124.36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4,569,124.36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1,422,699.01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1,406,320.68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19,593,486.40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19,593,486.40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1,764,914.46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1,764,914.46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13,539,385.57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13,539,385.57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212,087,329.30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212,087,329.30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7,758,692.19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11,828,539.94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11,828,539.94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583,020.18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583,020.18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10,541,315.18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10,541,315.18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539,499.51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539,499.51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255,938,845.87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211,651,073.12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63,984,711.47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52,912,768.28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191,954,134.40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158,738,304.84</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4）购买日之前持有的股权按照公允价值重新计量产生的利得或损失" w:id="378"/>
      <w:bookmarkEnd w:id="37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5）购买日或合并当期期末无法合理确定合并对价或被购买方可辨认资产、负债公允价值" w:id="379"/>
      <w:bookmarkEnd w:id="37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6）其他说明" w:id="380"/>
      <w:bookmarkEnd w:id="38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2、同一控制下企业合并" w:id="381"/>
      <w:bookmarkEnd w:id="38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反向购买" w:id="382"/>
      <w:bookmarkEnd w:id="38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处置子公司" w:id="383"/>
      <w:bookmarkEnd w:id="38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bookmarkStart w:name="5、其他原因的合并范围变动" w:id="384"/>
      <w:bookmarkEnd w:id="38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5"/>
          <w:szCs w:val="15"/>
        </w:rPr>
      </w:pPr>
    </w:p>
    <w:p>
      <w:pPr>
        <w:pStyle w:val="BodyText"/>
        <w:spacing w:line="300" w:lineRule="auto"/>
        <w:ind w:right="1128"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月，本公司及公司全资子公司青岛海立达冲压件有限公司、青岛甲乙丙丁信息技术企业（有限合伙）、方</w:t>
      </w:r>
      <w:r>
        <w:rPr/>
        <w:t> </w:t>
      </w:r>
      <w:r>
        <w:rPr>
          <w:spacing w:val="-2"/>
        </w:rPr>
        <w:t>亚南、丁华波共同出资设立青岛海立美达科技有限公司，公司注册资本</w:t>
      </w:r>
      <w:r>
        <w:rPr>
          <w:rFonts w:ascii="Times New Roman" w:hAnsi="Times New Roman" w:cs="Times New Roman" w:eastAsia="Times New Roman" w:hint="default"/>
          <w:spacing w:val="-2"/>
        </w:rPr>
        <w:t>500</w:t>
      </w:r>
      <w:r>
        <w:rPr>
          <w:spacing w:val="-2"/>
        </w:rPr>
        <w:t>万元人民币，其中：本公司认缴出资</w:t>
      </w:r>
      <w:r>
        <w:rPr>
          <w:rFonts w:ascii="Times New Roman" w:hAnsi="Times New Roman" w:cs="Times New Roman" w:eastAsia="Times New Roman" w:hint="default"/>
          <w:spacing w:val="-2"/>
        </w:rPr>
        <w:t>130</w:t>
      </w:r>
      <w:r>
        <w:rPr>
          <w:spacing w:val="-2"/>
        </w:rPr>
        <w:t>万元，持</w:t>
      </w:r>
      <w:r>
        <w:rPr>
          <w:spacing w:val="-60"/>
        </w:rPr>
        <w:t> </w:t>
      </w:r>
      <w:r>
        <w:rPr>
          <w:spacing w:val="-60"/>
        </w:rPr>
      </w:r>
      <w:r>
        <w:rPr/>
        <w:t>股比例</w:t>
      </w:r>
      <w:r>
        <w:rPr>
          <w:rFonts w:ascii="Times New Roman" w:hAnsi="Times New Roman" w:cs="Times New Roman" w:eastAsia="Times New Roman" w:hint="default"/>
        </w:rPr>
        <w:t>26%</w:t>
      </w:r>
      <w:r>
        <w:rPr/>
        <w:t>；青岛海立达冲压件有限公司认缴出资</w:t>
      </w:r>
      <w:r>
        <w:rPr>
          <w:rFonts w:ascii="Times New Roman" w:hAnsi="Times New Roman" w:cs="Times New Roman" w:eastAsia="Times New Roman" w:hint="default"/>
        </w:rPr>
        <w:t>125</w:t>
      </w:r>
      <w:r>
        <w:rPr/>
        <w:t>万元，持股比例</w:t>
      </w:r>
      <w:r>
        <w:rPr>
          <w:rFonts w:ascii="Times New Roman" w:hAnsi="Times New Roman" w:cs="Times New Roman" w:eastAsia="Times New Roman" w:hint="default"/>
        </w:rPr>
        <w:t>25%</w:t>
      </w:r>
      <w:r>
        <w:rPr/>
        <w:t>。</w:t>
      </w:r>
    </w:p>
    <w:p>
      <w:pPr>
        <w:spacing w:line="240" w:lineRule="auto" w:before="4"/>
        <w:rPr>
          <w:rFonts w:ascii="宋体" w:hAnsi="宋体" w:cs="宋体" w:eastAsia="宋体" w:hint="default"/>
          <w:sz w:val="19"/>
          <w:szCs w:val="19"/>
        </w:rPr>
      </w:pPr>
    </w:p>
    <w:p>
      <w:pPr>
        <w:pStyle w:val="BodyText"/>
        <w:spacing w:line="300" w:lineRule="auto"/>
        <w:ind w:right="112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月，子公司联动优势科技有限公司出资成立宁波康拓企业管理有限公司，注册资本</w:t>
      </w:r>
      <w:r>
        <w:rPr>
          <w:rFonts w:ascii="Times New Roman" w:hAnsi="Times New Roman" w:cs="Times New Roman" w:eastAsia="Times New Roman" w:hint="default"/>
        </w:rPr>
        <w:t>100</w:t>
      </w:r>
      <w:r>
        <w:rPr/>
        <w:t>万元人民币，公司 间接持有宁波康拓企业管理有限公司</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1129"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月，子公司联动优势电子商务有限公司出资成立北京玖联金通科技有限责任公司，注册资本</w:t>
      </w:r>
      <w:r>
        <w:rPr>
          <w:rFonts w:ascii="Times New Roman" w:hAnsi="Times New Roman" w:cs="Times New Roman" w:eastAsia="Times New Roman" w:hint="default"/>
        </w:rPr>
        <w:t>200</w:t>
      </w:r>
      <w:r>
        <w:rPr/>
        <w:t>万元人民 币，公司间接持有北京玖联金通科技有限责任公司</w:t>
      </w:r>
      <w:r>
        <w:rPr>
          <w:rFonts w:ascii="Times New Roman" w:hAnsi="Times New Roman" w:cs="Times New Roman" w:eastAsia="Times New Roman" w:hint="default"/>
        </w:rPr>
        <w:t>45%</w:t>
      </w:r>
      <w:r>
        <w:rPr/>
        <w:t>股权。</w:t>
      </w:r>
    </w:p>
    <w:p>
      <w:pPr>
        <w:spacing w:line="240" w:lineRule="auto" w:before="4"/>
        <w:rPr>
          <w:rFonts w:ascii="宋体" w:hAnsi="宋体" w:cs="宋体" w:eastAsia="宋体" w:hint="default"/>
          <w:sz w:val="19"/>
          <w:szCs w:val="19"/>
        </w:rPr>
      </w:pPr>
    </w:p>
    <w:p>
      <w:pPr>
        <w:pStyle w:val="BodyText"/>
        <w:spacing w:line="300" w:lineRule="auto"/>
        <w:ind w:right="1130" w:firstLine="360"/>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月，子公司青岛海立美达模具有限公司出资成立枣庄海立美达模具有限公司，注册资本</w:t>
      </w:r>
      <w:r>
        <w:rPr>
          <w:rFonts w:ascii="Times New Roman" w:hAnsi="Times New Roman" w:cs="Times New Roman" w:eastAsia="Times New Roman" w:hint="default"/>
          <w:spacing w:val="-3"/>
        </w:rPr>
        <w:t>1,000</w:t>
      </w:r>
      <w:r>
        <w:rPr>
          <w:spacing w:val="-3"/>
        </w:rPr>
        <w:t>万元人民币，</w:t>
      </w:r>
      <w:r>
        <w:rPr/>
        <w:t> 公司间接持有枣庄海立美达模具有限公司</w:t>
      </w:r>
      <w:r>
        <w:rPr>
          <w:rFonts w:ascii="Times New Roman" w:hAnsi="Times New Roman" w:cs="Times New Roman" w:eastAsia="Times New Roman" w:hint="default"/>
        </w:rPr>
        <w:t>100%</w:t>
      </w:r>
      <w:r>
        <w:rPr/>
        <w:t>股权。</w:t>
      </w:r>
    </w:p>
    <w:p>
      <w:pPr>
        <w:spacing w:line="240" w:lineRule="auto" w:before="5"/>
        <w:rPr>
          <w:rFonts w:ascii="宋体" w:hAnsi="宋体" w:cs="宋体" w:eastAsia="宋体" w:hint="default"/>
          <w:sz w:val="19"/>
          <w:szCs w:val="19"/>
        </w:rPr>
      </w:pPr>
    </w:p>
    <w:p>
      <w:pPr>
        <w:pStyle w:val="BodyText"/>
        <w:spacing w:line="300" w:lineRule="auto"/>
        <w:ind w:right="1132"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月，子公司联动优势科技有限公司出资成立蜜小蜂智慧（北京）科技有限公司，注册资本</w:t>
      </w:r>
      <w:r>
        <w:rPr>
          <w:rFonts w:ascii="Times New Roman" w:hAnsi="Times New Roman" w:cs="Times New Roman" w:eastAsia="Times New Roman" w:hint="default"/>
        </w:rPr>
        <w:t>3,500</w:t>
      </w:r>
      <w:r>
        <w:rPr/>
        <w:t>万元人民 币，公司间接持有蜜小蜂智慧（北京）科技有限公司</w:t>
      </w:r>
      <w:r>
        <w:rPr>
          <w:rFonts w:ascii="Times New Roman" w:hAnsi="Times New Roman" w:cs="Times New Roman" w:eastAsia="Times New Roman" w:hint="default"/>
        </w:rPr>
        <w:t>70%</w:t>
      </w:r>
      <w:r>
        <w:rPr/>
        <w:t>股权。</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月，子公司联动优势科技有限公司成立联保汇通（汕头）保险代理有限公司，注册资本</w:t>
      </w:r>
      <w:r>
        <w:rPr>
          <w:rFonts w:ascii="Times New Roman" w:hAnsi="Times New Roman" w:cs="Times New Roman" w:eastAsia="Times New Roman" w:hint="default"/>
          <w:spacing w:val="-3"/>
        </w:rPr>
        <w:t>5,000</w:t>
      </w:r>
      <w:r>
        <w:rPr>
          <w:spacing w:val="-3"/>
        </w:rPr>
        <w:t>万元人民币，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公司间接持有联保汇通（汕头）保险代理有限公司</w:t>
      </w:r>
      <w:r>
        <w:rPr>
          <w:rFonts w:ascii="Times New Roman" w:hAnsi="Times New Roman" w:cs="Times New Roman" w:eastAsia="Times New Roman" w:hint="default"/>
        </w:rPr>
        <w:t>100%</w:t>
      </w:r>
      <w:r>
        <w:rPr/>
        <w:t>股权。</w:t>
      </w:r>
    </w:p>
    <w:p>
      <w:pPr>
        <w:spacing w:line="240" w:lineRule="auto" w:before="2"/>
        <w:rPr>
          <w:rFonts w:ascii="宋体" w:hAnsi="宋体" w:cs="宋体" w:eastAsia="宋体" w:hint="default"/>
          <w:sz w:val="23"/>
          <w:szCs w:val="23"/>
        </w:rPr>
      </w:pPr>
    </w:p>
    <w:p>
      <w:pPr>
        <w:pStyle w:val="BodyText"/>
        <w:spacing w:line="300" w:lineRule="auto"/>
        <w:ind w:right="1122" w:firstLine="36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月，公司注销子公司湖北海立美达电动车有限公司。截至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日，湖北海立美达电动车有限公司 注销手续已办理完毕。</w:t>
      </w:r>
    </w:p>
    <w:p>
      <w:pPr>
        <w:spacing w:line="240" w:lineRule="auto" w:before="10"/>
        <w:rPr>
          <w:rFonts w:ascii="宋体" w:hAnsi="宋体" w:cs="宋体" w:eastAsia="宋体" w:hint="default"/>
          <w:sz w:val="20"/>
          <w:szCs w:val="20"/>
        </w:rPr>
      </w:pPr>
    </w:p>
    <w:p>
      <w:pPr>
        <w:pStyle w:val="BodyText"/>
        <w:spacing w:line="300" w:lineRule="auto"/>
        <w:ind w:right="1122" w:firstLine="36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月，公司注销子公司上海墨哈汽车销售有限公司。截至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日，上海墨哈汽车销售有限公司注销 手续已办理完毕。</w:t>
      </w:r>
    </w:p>
    <w:p>
      <w:pPr>
        <w:spacing w:line="240" w:lineRule="auto" w:before="10"/>
        <w:rPr>
          <w:rFonts w:ascii="宋体" w:hAnsi="宋体" w:cs="宋体" w:eastAsia="宋体" w:hint="default"/>
          <w:sz w:val="20"/>
          <w:szCs w:val="20"/>
        </w:rPr>
      </w:pPr>
    </w:p>
    <w:p>
      <w:pPr>
        <w:pStyle w:val="BodyText"/>
        <w:spacing w:line="300" w:lineRule="auto"/>
        <w:ind w:right="1122" w:firstLine="360"/>
        <w:jc w:val="left"/>
      </w:pPr>
      <w:r>
        <w:rPr/>
        <w:t>（</w:t>
      </w:r>
      <w:r>
        <w:rPr>
          <w:rFonts w:ascii="Times New Roman" w:hAnsi="Times New Roman" w:cs="Times New Roman" w:eastAsia="Times New Roman" w:hint="default"/>
        </w:rPr>
        <w:t>9</w:t>
      </w:r>
      <w:r>
        <w:rPr/>
        <w:t>）</w:t>
      </w:r>
      <w:r>
        <w:rPr>
          <w:spacing w:val="16"/>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月，子公司宁波泰鸿机电有限公司成立宁波海立美达汽车部件有限公司，注册资本</w:t>
      </w:r>
      <w:r>
        <w:rPr>
          <w:rFonts w:ascii="Times New Roman" w:hAnsi="Times New Roman" w:cs="Times New Roman" w:eastAsia="Times New Roman" w:hint="default"/>
          <w:spacing w:val="-2"/>
        </w:rPr>
        <w:t>300</w:t>
      </w:r>
      <w:r>
        <w:rPr>
          <w:spacing w:val="-2"/>
        </w:rPr>
        <w:t>万元人民币，公司</w:t>
      </w:r>
      <w:r>
        <w:rPr/>
        <w:t> 间接持有宁波海立美达汽车部件有限公司</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月，子公司联动优势科技有限公司收购天津奥美林生物科技有限公司，注册资本</w:t>
      </w:r>
      <w:r>
        <w:rPr>
          <w:rFonts w:ascii="Times New Roman" w:hAnsi="Times New Roman" w:cs="Times New Roman" w:eastAsia="Times New Roman" w:hint="default"/>
          <w:spacing w:val="-2"/>
        </w:rPr>
        <w:t>100</w:t>
      </w:r>
      <w:r>
        <w:rPr>
          <w:spacing w:val="-2"/>
        </w:rPr>
        <w:t>万元人民币，公司间</w:t>
      </w:r>
      <w:r>
        <w:rPr/>
        <w:t> 接持有天津奥美林生物科技有限公司</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1031" w:firstLine="360"/>
        <w:jc w:val="left"/>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月，子公司安派国际控股有限公司收购</w:t>
      </w:r>
      <w:r>
        <w:rPr>
          <w:rFonts w:ascii="Times New Roman" w:hAnsi="Times New Roman" w:cs="Times New Roman" w:eastAsia="Times New Roman" w:hint="default"/>
        </w:rPr>
        <w:t>Zhongheng Construction Group</w:t>
      </w:r>
      <w:r>
        <w:rPr>
          <w:rFonts w:ascii="Times New Roman" w:hAnsi="Times New Roman" w:cs="Times New Roman" w:eastAsia="Times New Roman" w:hint="default"/>
          <w:spacing w:val="26"/>
        </w:rPr>
        <w:t> </w:t>
      </w:r>
      <w:r>
        <w:rPr>
          <w:rFonts w:ascii="Times New Roman" w:hAnsi="Times New Roman" w:cs="Times New Roman" w:eastAsia="Times New Roman" w:hint="default"/>
        </w:rPr>
        <w:t>Co.,Limited</w:t>
      </w:r>
      <w:r>
        <w:rPr/>
        <w:t>，注册资本</w:t>
      </w:r>
      <w:r>
        <w:rPr>
          <w:rFonts w:ascii="Times New Roman" w:hAnsi="Times New Roman" w:cs="Times New Roman" w:eastAsia="Times New Roman" w:hint="default"/>
        </w:rPr>
        <w:t>1</w:t>
      </w:r>
      <w:r>
        <w:rPr/>
        <w:t>万元港币， 公司间接持有</w:t>
      </w:r>
      <w:r>
        <w:rPr>
          <w:rFonts w:ascii="Times New Roman" w:hAnsi="Times New Roman" w:cs="Times New Roman" w:eastAsia="Times New Roman" w:hint="default"/>
        </w:rPr>
        <w:t>Zhongheng Construction Group Co.,Limited</w:t>
      </w:r>
      <w:r>
        <w:rPr>
          <w:rFonts w:ascii="Times New Roman" w:hAnsi="Times New Roman" w:cs="Times New Roman" w:eastAsia="Times New Roman" w:hint="default"/>
          <w:spacing w:val="-6"/>
        </w:rPr>
        <w:t> </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月，子公司联动优势科技有限公司收购九州环球国际融资租赁（天津）有限公司，注册资本</w:t>
      </w:r>
      <w:r>
        <w:rPr>
          <w:rFonts w:ascii="Times New Roman" w:hAnsi="Times New Roman" w:cs="Times New Roman" w:eastAsia="Times New Roman" w:hint="default"/>
        </w:rPr>
        <w:t>10,000</w:t>
      </w:r>
      <w:r>
        <w:rPr/>
        <w:t>万美</w:t>
      </w:r>
      <w:r>
        <w:rPr>
          <w:spacing w:val="2"/>
        </w:rPr>
        <w:t> </w:t>
      </w:r>
      <w:r>
        <w:rPr/>
        <w:t>元，公司间接持有九州环球国际融资租赁（天津）有限公司</w:t>
      </w:r>
      <w:r>
        <w:rPr>
          <w:rFonts w:ascii="Times New Roman" w:hAnsi="Times New Roman" w:cs="Times New Roman" w:eastAsia="Times New Roman" w:hint="default"/>
        </w:rPr>
        <w:t>100%</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月，子公司联动优势科技有限公司出资成立海联金汇</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金融科技有限公司，注册资本</w:t>
      </w:r>
      <w:r>
        <w:rPr>
          <w:rFonts w:ascii="Times New Roman" w:hAnsi="Times New Roman" w:cs="Times New Roman" w:eastAsia="Times New Roman" w:hint="default"/>
          <w:spacing w:val="-2"/>
        </w:rPr>
        <w:t>14,286</w:t>
      </w:r>
      <w:r>
        <w:rPr>
          <w:spacing w:val="-2"/>
        </w:rPr>
        <w:t>万元人民</w:t>
      </w:r>
      <w:r>
        <w:rPr/>
        <w:t> 币，公司间接持有海联金汇</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金融科技有限公司</w:t>
      </w:r>
      <w:r>
        <w:rPr>
          <w:rFonts w:ascii="Times New Roman" w:hAnsi="Times New Roman" w:cs="Times New Roman" w:eastAsia="Times New Roman" w:hint="default"/>
        </w:rPr>
        <w:t>70%</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4"/>
        </w:rPr>
        <w:t>（</w:t>
      </w: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月，子公司上海和达汽车配件有限公司出资成立宁德和达汽车配件有限公司，注册资本</w:t>
      </w:r>
      <w:r>
        <w:rPr>
          <w:rFonts w:ascii="Times New Roman" w:hAnsi="Times New Roman" w:cs="Times New Roman" w:eastAsia="Times New Roman" w:hint="default"/>
          <w:spacing w:val="-4"/>
        </w:rPr>
        <w:t>1,500</w:t>
      </w:r>
      <w:r>
        <w:rPr>
          <w:spacing w:val="-4"/>
        </w:rPr>
        <w:t>万元人民币，</w:t>
      </w:r>
      <w:r>
        <w:rPr/>
        <w:t> 公司间接持有宁德和达汽车配件有限公司</w:t>
      </w:r>
      <w:r>
        <w:rPr>
          <w:rFonts w:ascii="Times New Roman" w:hAnsi="Times New Roman" w:cs="Times New Roman" w:eastAsia="Times New Roman" w:hint="default"/>
        </w:rPr>
        <w:t>75%</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4"/>
        </w:rPr>
        <w:t>（</w:t>
      </w: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月，子公司上海和达汽车配件有限公司出资成立天津和达汽车配件有限公司，注册资本</w:t>
      </w:r>
      <w:r>
        <w:rPr>
          <w:rFonts w:ascii="Times New Roman" w:hAnsi="Times New Roman" w:cs="Times New Roman" w:eastAsia="Times New Roman" w:hint="default"/>
          <w:spacing w:val="-4"/>
        </w:rPr>
        <w:t>1,000</w:t>
      </w:r>
      <w:r>
        <w:rPr>
          <w:spacing w:val="-4"/>
        </w:rPr>
        <w:t>万元人民币，</w:t>
      </w:r>
      <w:r>
        <w:rPr/>
        <w:t> 公司间接持有天津和达汽车配件有限公司</w:t>
      </w:r>
      <w:r>
        <w:rPr>
          <w:rFonts w:ascii="Times New Roman" w:hAnsi="Times New Roman" w:cs="Times New Roman" w:eastAsia="Times New Roman" w:hint="default"/>
        </w:rPr>
        <w:t>75%</w:t>
      </w:r>
      <w:r>
        <w:rPr/>
        <w:t>股权。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月，子公司上海和达汽车配件有限公司出资成立梅州和达汽车配件有限公司，注册资本</w:t>
      </w:r>
      <w:r>
        <w:rPr>
          <w:rFonts w:ascii="Times New Roman" w:hAnsi="Times New Roman" w:cs="Times New Roman" w:eastAsia="Times New Roman" w:hint="default"/>
        </w:rPr>
        <w:t>1,200</w:t>
      </w:r>
      <w:r>
        <w:rPr/>
        <w:t>万元人民 币，公司间接持有梅州和达汽车配件有限公司</w:t>
      </w:r>
      <w:r>
        <w:rPr>
          <w:rFonts w:ascii="Times New Roman" w:hAnsi="Times New Roman" w:cs="Times New Roman" w:eastAsia="Times New Roman" w:hint="default"/>
        </w:rPr>
        <w:t>75%</w:t>
      </w:r>
      <w:r>
        <w:rPr/>
        <w:t>股权。</w:t>
      </w:r>
    </w:p>
    <w:p>
      <w:pPr>
        <w:spacing w:line="240" w:lineRule="auto" w:before="1"/>
        <w:rPr>
          <w:rFonts w:ascii="宋体" w:hAnsi="宋体" w:cs="宋体" w:eastAsia="宋体" w:hint="default"/>
          <w:sz w:val="22"/>
          <w:szCs w:val="22"/>
        </w:rPr>
      </w:pPr>
    </w:p>
    <w:p>
      <w:pPr>
        <w:pStyle w:val="Heading7"/>
        <w:spacing w:line="240" w:lineRule="auto"/>
        <w:ind w:right="0"/>
        <w:jc w:val="left"/>
        <w:rPr>
          <w:b w:val="0"/>
          <w:bCs w:val="0"/>
        </w:rPr>
      </w:pPr>
      <w:bookmarkStart w:name="6、其他" w:id="385"/>
      <w:bookmarkEnd w:id="385"/>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bookmarkStart w:name="九、在其他主体中的权益" w:id="386"/>
      <w:bookmarkEnd w:id="38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在子公司中的权益" w:id="387"/>
      <w:bookmarkEnd w:id="38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企业集团的构成" w:id="388"/>
      <w:bookmarkEnd w:id="38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青岛海立达冲压 件有限公司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青岛海立美达电 机有限公司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青岛海立美达模 具有限公司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宁波泰鸿机电有 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湖北海立田汽车 部件有限公司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上海和达汽车配 件有限公司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宁波泰鸿冲压件 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联动优势电子商 务有限公司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天津奥美林生物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安派国际控股有 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安派国际美国有 限责任公司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396"/>
              <w:jc w:val="left"/>
              <w:rPr>
                <w:rFonts w:ascii="Times New Roman" w:hAnsi="Times New Roman" w:cs="Times New Roman" w:eastAsia="Times New Roman" w:hint="default"/>
                <w:sz w:val="18"/>
                <w:szCs w:val="18"/>
              </w:rPr>
            </w:pPr>
            <w:r>
              <w:rPr>
                <w:rFonts w:ascii="Times New Roman"/>
                <w:sz w:val="18"/>
              </w:rPr>
              <w:t>Zhongheng Construction Group Co.,Limited</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九州环球国际融 资租赁（天津） 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哈尔滨迪达能化 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青岛海立美达精 密机械制造有限 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湖南海立美达钢 板加工配送有限 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湘潭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湘潭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1"/>
        <w:gridCol w:w="1367"/>
        <w:gridCol w:w="1367"/>
        <w:gridCol w:w="1367"/>
        <w:gridCol w:w="1367"/>
        <w:gridCol w:w="1367"/>
        <w:gridCol w:w="1366"/>
      </w:tblGrid>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烟台海立美达精 密钢制品有限公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海立美达香港有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上海海众实业发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青岛海立美达科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青岛万金通达经 济信息服务有限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宝鸡泰鸿机电有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舟山陆泰石油化 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枣阳市海美房地 产开发有限公司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枣庄海立美达模 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枣庄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宁波海立美达汽 车部件有限公司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宁波康拓企业管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联保汇通</w:t>
            </w:r>
            <w:r>
              <w:rPr>
                <w:rFonts w:ascii="Times New Roman" w:hAnsi="Times New Roman" w:cs="Times New Roman" w:eastAsia="Times New Roman" w:hint="default"/>
                <w:sz w:val="18"/>
                <w:szCs w:val="18"/>
              </w:rPr>
              <w:t>(</w:t>
            </w:r>
            <w:r>
              <w:rPr>
                <w:rFonts w:ascii="宋体" w:hAnsi="宋体" w:cs="宋体" w:eastAsia="宋体" w:hint="default"/>
                <w:sz w:val="18"/>
                <w:szCs w:val="18"/>
              </w:rPr>
              <w:t>汕头</w:t>
            </w:r>
            <w:r>
              <w:rPr>
                <w:rFonts w:ascii="Times New Roman" w:hAnsi="Times New Roman" w:cs="Times New Roman" w:eastAsia="Times New Roman" w:hint="default"/>
                <w:sz w:val="18"/>
                <w:szCs w:val="18"/>
              </w:rPr>
              <w:t>) </w:t>
            </w:r>
            <w:r>
              <w:rPr>
                <w:rFonts w:ascii="宋体" w:hAnsi="宋体" w:cs="宋体" w:eastAsia="宋体" w:hint="default"/>
                <w:sz w:val="18"/>
                <w:szCs w:val="18"/>
              </w:rPr>
              <w:t>保险代理有限公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金融科技有限公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96"/>
              <w:jc w:val="both"/>
              <w:rPr>
                <w:rFonts w:ascii="宋体" w:hAnsi="宋体" w:cs="宋体" w:eastAsia="宋体" w:hint="default"/>
                <w:sz w:val="18"/>
                <w:szCs w:val="18"/>
              </w:rPr>
            </w:pPr>
            <w:r>
              <w:rPr>
                <w:rFonts w:ascii="宋体" w:hAnsi="宋体" w:cs="宋体" w:eastAsia="宋体" w:hint="default"/>
                <w:sz w:val="18"/>
                <w:szCs w:val="18"/>
              </w:rPr>
              <w:t>蜜小蜂智慧</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w:t>
            </w:r>
          </w:p>
          <w:p>
            <w:pPr>
              <w:pStyle w:val="TableParagraph"/>
              <w:spacing w:line="319" w:lineRule="auto" w:before="76"/>
              <w:ind w:left="22" w:right="78"/>
              <w:jc w:val="left"/>
              <w:rPr>
                <w:rFonts w:ascii="宋体" w:hAnsi="宋体" w:cs="宋体" w:eastAsia="宋体" w:hint="default"/>
                <w:sz w:val="18"/>
                <w:szCs w:val="18"/>
              </w:rPr>
            </w:pPr>
            <w:r>
              <w:rPr>
                <w:rFonts w:ascii="宋体" w:hAnsi="宋体" w:cs="宋体" w:eastAsia="宋体" w:hint="default"/>
                <w:sz w:val="18"/>
                <w:szCs w:val="18"/>
              </w:rPr>
              <w:t>（加拿大）有限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温哥华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温哥华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国际信息服务业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北京玖联金通科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宁德和达汽车配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362"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7"/>
                <w:sz w:val="18"/>
                <w:szCs w:val="18"/>
              </w:rPr>
              <w:t>天津和达汽车配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7"/>
                <w:sz w:val="18"/>
                <w:szCs w:val="18"/>
              </w:rPr>
              <w:t>梅州和达汽车配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w:t>
      </w:r>
    </w:p>
    <w:p>
      <w:pPr>
        <w:pStyle w:val="BodyText"/>
        <w:spacing w:line="316" w:lineRule="auto" w:before="25"/>
        <w:ind w:right="0" w:firstLine="360"/>
        <w:jc w:val="left"/>
      </w:pPr>
      <w:r>
        <w:rPr>
          <w:spacing w:val="-2"/>
        </w:rPr>
        <w:t>根据北京玖联金通公司章程，北京玖联金通不设董事会，设执行董事一人，由股东会选举联动商务彭飞担任，同时公司</w:t>
      </w:r>
      <w:r>
        <w:rPr/>
        <w:t> 总经理为联动商务武志军。综上，联动商务持股</w:t>
      </w:r>
      <w:r>
        <w:rPr>
          <w:rFonts w:ascii="Times New Roman" w:hAnsi="Times New Roman" w:cs="Times New Roman" w:eastAsia="Times New Roman" w:hint="default"/>
        </w:rPr>
        <w:t>45%</w:t>
      </w:r>
      <w:r>
        <w:rPr/>
        <w:t>但仍控制北京玖联金通。</w:t>
      </w:r>
    </w:p>
    <w:p>
      <w:pPr>
        <w:spacing w:line="240" w:lineRule="auto" w:before="13"/>
        <w:rPr>
          <w:rFonts w:ascii="宋体" w:hAnsi="宋体" w:cs="宋体" w:eastAsia="宋体" w:hint="default"/>
          <w:sz w:val="20"/>
          <w:szCs w:val="20"/>
        </w:rPr>
      </w:pPr>
    </w:p>
    <w:p>
      <w:pPr>
        <w:pStyle w:val="Heading7"/>
        <w:spacing w:line="240" w:lineRule="auto"/>
        <w:ind w:right="0"/>
        <w:jc w:val="left"/>
        <w:rPr>
          <w:b w:val="0"/>
          <w:bCs w:val="0"/>
        </w:rPr>
      </w:pPr>
      <w:bookmarkStart w:name="（2）重要的非全资子公司" w:id="389"/>
      <w:bookmarkEnd w:id="38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7,327,071.57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61,311,783.04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湖北海立美达汽车有限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-2,189,023.01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18,212,068.82</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3）重要非全资子公司的主要财务信息" w:id="390"/>
      <w:bookmarkEnd w:id="39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上海和 达汽车 配件有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268,524,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417.96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229,481,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131.40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498,005,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549.36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244,924,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715.34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8,048,71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252,973,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425.91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湖北海 立美达 汽车有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205,410,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456,771,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031.12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662,181,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174.42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463,729,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623.34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16,031,4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479,761,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058.53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150,092,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895.97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432,825,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608.15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582,918,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504.12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360,897,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874.37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17,710,2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83.81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378,608,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158.18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12" w:space="0" w:color="D9D9D9"/>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1"/>
              <w:ind w:left="22" w:right="126"/>
              <w:jc w:val="left"/>
              <w:rPr>
                <w:rFonts w:ascii="宋体" w:hAnsi="宋体" w:cs="宋体" w:eastAsia="宋体" w:hint="default"/>
                <w:sz w:val="18"/>
                <w:szCs w:val="18"/>
              </w:rPr>
            </w:pPr>
            <w:r>
              <w:rPr>
                <w:rFonts w:ascii="宋体" w:hAnsi="宋体" w:cs="宋体" w:eastAsia="宋体" w:hint="default"/>
                <w:sz w:val="18"/>
                <w:szCs w:val="18"/>
              </w:rPr>
              <w:t>上海和达汽 车配件有限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644,790,513.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29,093,277.5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29,093,277.5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40,465,779.9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湖北海立美 达汽车有限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356,353,018.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-21,890,230.0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-21,890,230.0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30,587,277.3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91,345,655.0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31,824,528.9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31,824,528.9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128,290,461.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使用企业集团资产和清偿企业集团债务的重大限制" w:id="391"/>
      <w:bookmarkEnd w:id="39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向纳入合并财务报表范围的结构化主体提供的财务支持或其他支持" w:id="392"/>
      <w:bookmarkEnd w:id="39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在子公司的所有者权益份额发生变化且仍控制子公司的交易" w:id="393"/>
      <w:bookmarkEnd w:id="39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在合营安排或联营企业中的权益" w:id="394"/>
      <w:bookmarkEnd w:id="39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419,660.20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-580,339.80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-580,339.80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4、重要的共同经营" w:id="395"/>
      <w:bookmarkEnd w:id="39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5、在未纳入合并财务报表范围的结构化主体中的权益" w:id="396"/>
      <w:bookmarkEnd w:id="39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6、其他" w:id="397"/>
      <w:bookmarkEnd w:id="397"/>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25"/>
          <w:szCs w:val="25"/>
        </w:rPr>
      </w:pPr>
    </w:p>
    <w:p>
      <w:pPr>
        <w:pStyle w:val="Heading4"/>
        <w:spacing w:line="240" w:lineRule="auto"/>
        <w:ind w:right="0"/>
        <w:jc w:val="left"/>
        <w:rPr>
          <w:b w:val="0"/>
          <w:bCs w:val="0"/>
        </w:rPr>
      </w:pPr>
      <w:bookmarkStart w:name="十、与金融工具相关的风险" w:id="398"/>
      <w:bookmarkEnd w:id="398"/>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本集团的主要金融工具包括借款、应收款项、应付款项等，各项金融工具的详细情况说明见</w:t>
      </w:r>
      <w:r>
        <w:rPr>
          <w:rFonts w:ascii="Times New Roman" w:hAnsi="Times New Roman" w:cs="Times New Roman" w:eastAsia="Times New Roman" w:hint="default"/>
        </w:rPr>
        <w:t>“</w:t>
      </w:r>
      <w:r>
        <w:rPr/>
        <w:t>本附注六</w:t>
      </w:r>
      <w:r>
        <w:rPr>
          <w:rFonts w:ascii="Times New Roman" w:hAnsi="Times New Roman" w:cs="Times New Roman" w:eastAsia="Times New Roman" w:hint="default"/>
        </w:rPr>
        <w:t>”</w:t>
      </w:r>
      <w:r>
        <w:rPr/>
        <w:t>。与这些金融工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具有关的风险，以及本集团为降低这些风险所采取的风险管控政策如下所述。本集团管理层对这些风险敞口进行管理和监控</w:t>
      </w:r>
      <w:r>
        <w:rPr>
          <w:spacing w:val="-64"/>
        </w:rPr>
        <w:t> </w:t>
      </w:r>
      <w:r>
        <w:rPr>
          <w:spacing w:val="-64"/>
        </w:rPr>
      </w:r>
      <w:r>
        <w:rPr/>
        <w:t>以确保将上述风险控制在限定的范围之内。</w:t>
      </w:r>
    </w:p>
    <w:p>
      <w:pPr>
        <w:spacing w:line="240" w:lineRule="auto" w:before="10"/>
        <w:rPr>
          <w:rFonts w:ascii="宋体" w:hAnsi="宋体" w:cs="宋体" w:eastAsia="宋体" w:hint="default"/>
          <w:sz w:val="19"/>
          <w:szCs w:val="19"/>
        </w:rPr>
      </w:pPr>
    </w:p>
    <w:p>
      <w:pPr>
        <w:pStyle w:val="BodyText"/>
        <w:spacing w:line="319" w:lineRule="auto"/>
        <w:ind w:right="1032" w:firstLine="360"/>
        <w:jc w:val="left"/>
      </w:pPr>
      <w:r>
        <w:rPr/>
        <w:t>本集团从事风险管控的目标是在风险和收益之间取得适当的平衡，将风险对本集团经营业绩的负面影响降到最低水平， </w:t>
      </w:r>
      <w:r>
        <w:rPr>
          <w:spacing w:val="-2"/>
        </w:rPr>
        <w:t>保证股东及其他权益投资者的利益最大化。基于该风险管理目标，本集团风险管理的基本策略是确定和分析本集团所面临的</w:t>
      </w:r>
      <w:r>
        <w:rPr>
          <w:spacing w:val="-64"/>
        </w:rPr>
        <w:t> </w:t>
      </w:r>
      <w:r>
        <w:rPr>
          <w:spacing w:val="-64"/>
        </w:rPr>
      </w:r>
      <w:r>
        <w:rPr/>
        <w:t>各种风险，建立适当的风险承受底线并进行风险管理，及时可靠地对各种风险进行监督，将风险控制在限定的范围之内。</w:t>
      </w:r>
    </w:p>
    <w:p>
      <w:pPr>
        <w:spacing w:line="240" w:lineRule="auto" w:before="8"/>
        <w:rPr>
          <w:rFonts w:ascii="宋体" w:hAnsi="宋体" w:cs="宋体" w:eastAsia="宋体" w:hint="default"/>
          <w:sz w:val="19"/>
          <w:szCs w:val="19"/>
        </w:rPr>
      </w:pPr>
    </w:p>
    <w:p>
      <w:pPr>
        <w:pStyle w:val="BodyText"/>
        <w:spacing w:line="532" w:lineRule="auto"/>
        <w:ind w:left="514" w:right="93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市场风险</w:t>
      </w:r>
      <w:r>
        <w:rPr>
          <w:w w:val="99"/>
        </w:rPr>
        <w:t> </w:t>
      </w:r>
      <w:r>
        <w:rPr>
          <w:rFonts w:ascii="宋体" w:hAnsi="宋体" w:cs="宋体" w:eastAsia="宋体" w:hint="default"/>
        </w:rPr>
        <w:t>1.</w:t>
      </w:r>
      <w:r>
        <w:rPr/>
        <w:t>汇率风险</w:t>
      </w:r>
    </w:p>
    <w:p>
      <w:pPr>
        <w:pStyle w:val="BodyText"/>
        <w:spacing w:line="309" w:lineRule="auto" w:before="97"/>
        <w:ind w:right="1131" w:firstLine="360"/>
        <w:jc w:val="both"/>
      </w:pPr>
      <w:r>
        <w:rPr>
          <w:spacing w:val="-2"/>
        </w:rPr>
        <w:t>本集团承受汇率风险主要与美元有关，除本集团的几个下属子公司以美元进行采购和销售外，本集团的其它主要业务活</w:t>
      </w:r>
      <w:r>
        <w:rPr/>
        <w:t> </w:t>
      </w:r>
      <w:r>
        <w:rPr>
          <w:spacing w:val="-2"/>
        </w:rPr>
        <w:t>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日，除下表所述资产及负债的外币余额外，本集团的资产及负债均为人民币余额。该</w:t>
      </w:r>
      <w:r>
        <w:rPr>
          <w:spacing w:val="-58"/>
        </w:rPr>
        <w:t> </w:t>
      </w:r>
      <w:r>
        <w:rPr>
          <w:spacing w:val="-58"/>
        </w:rPr>
      </w:r>
      <w:r>
        <w:rPr/>
        <w:t>等外币余额的资产和负债产生的汇率风险可能对本集团的经营业绩产生影响。</w:t>
      </w:r>
    </w:p>
    <w:p>
      <w:pPr>
        <w:spacing w:line="240" w:lineRule="auto" w:before="7"/>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49"/>
              <w:jc w:val="right"/>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54,801,288.65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7,651,192.88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52,511,666.90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46,500.59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364,904.05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19,995.86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17,520.37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358,504.83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1,806,183.18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132,306.10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0.7614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100,737.86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1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159.42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16,301,145.81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2,352,670.22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16,146,846.23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19,662.76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154,299.58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3,613,988.07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516,045.83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3,541,725.74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72,262.33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43,713.23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39,092.79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4,620.44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968,836.70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822,937.76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3,471.13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27,239.00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17,417.16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312.61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132,306.10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0.7614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100,737.86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47.75</w:t>
            </w:r>
          </w:p>
        </w:tc>
      </w:tr>
    </w:tbl>
    <w:p>
      <w:pPr>
        <w:spacing w:line="240" w:lineRule="auto" w:before="10"/>
        <w:rPr>
          <w:rFonts w:ascii="宋体" w:hAnsi="宋体" w:cs="宋体" w:eastAsia="宋体" w:hint="default"/>
          <w:sz w:val="15"/>
          <w:szCs w:val="15"/>
        </w:rPr>
      </w:pPr>
    </w:p>
    <w:p>
      <w:pPr>
        <w:pStyle w:val="BodyText"/>
        <w:spacing w:line="561" w:lineRule="auto" w:before="44"/>
        <w:ind w:left="514" w:right="6972"/>
        <w:jc w:val="left"/>
      </w:pPr>
      <w:r>
        <w:rPr/>
        <w:t>本集团密切关注汇率变动对本集团的影响。 </w:t>
      </w:r>
      <w:r>
        <w:rPr>
          <w:rFonts w:ascii="宋体" w:hAnsi="宋体" w:cs="宋体" w:eastAsia="宋体" w:hint="default"/>
        </w:rPr>
        <w:t>2.</w:t>
      </w:r>
      <w:r>
        <w:rPr/>
        <w:t>利率风险</w:t>
      </w:r>
    </w:p>
    <w:p>
      <w:pPr>
        <w:pStyle w:val="BodyText"/>
        <w:spacing w:line="316" w:lineRule="auto" w:before="75"/>
        <w:ind w:right="0" w:firstLine="360"/>
        <w:jc w:val="left"/>
      </w:pPr>
      <w:r>
        <w:rPr>
          <w:spacing w:val="-2"/>
        </w:rPr>
        <w:t>本集团的利率风险产生于银行借款等有息债务。浮动利率的金融负债使本集团面临现金流量利率风险，固定利率的金融</w:t>
      </w:r>
      <w:r>
        <w:rPr/>
        <w:t> 负债使本集团面临公允价值利率风险。本集团根据当时的市场环境来决定固定利率及浮动利率合同的相对比例。</w:t>
      </w:r>
    </w:p>
    <w:p>
      <w:pPr>
        <w:spacing w:line="240" w:lineRule="auto" w:before="10"/>
        <w:rPr>
          <w:rFonts w:ascii="宋体" w:hAnsi="宋体" w:cs="宋体" w:eastAsia="宋体" w:hint="default"/>
          <w:sz w:val="19"/>
          <w:szCs w:val="19"/>
        </w:rPr>
      </w:pPr>
    </w:p>
    <w:p>
      <w:pPr>
        <w:pStyle w:val="BodyText"/>
        <w:spacing w:line="319" w:lineRule="auto"/>
        <w:ind w:right="0" w:firstLine="360"/>
        <w:jc w:val="left"/>
      </w:pPr>
      <w:r>
        <w:rPr>
          <w:spacing w:val="-2"/>
        </w:rPr>
        <w:t>本集团因利率变动引起金融工具公允价值变动的风险主要与固定利率银行借款有关。对于固定利率借款，本集团的目标</w:t>
      </w:r>
      <w:r>
        <w:rPr/>
        <w:t> 是保持其浮动利率。</w:t>
      </w:r>
    </w:p>
    <w:p>
      <w:pPr>
        <w:spacing w:line="240" w:lineRule="auto" w:before="8"/>
        <w:rPr>
          <w:rFonts w:ascii="宋体" w:hAnsi="宋体" w:cs="宋体" w:eastAsia="宋体" w:hint="default"/>
          <w:sz w:val="19"/>
          <w:szCs w:val="19"/>
        </w:rPr>
      </w:pPr>
    </w:p>
    <w:p>
      <w:pPr>
        <w:pStyle w:val="BodyText"/>
        <w:spacing w:line="316" w:lineRule="auto"/>
        <w:ind w:right="0" w:firstLine="360"/>
        <w:jc w:val="left"/>
      </w:pPr>
      <w:r>
        <w:rPr>
          <w:spacing w:val="-2"/>
        </w:rPr>
        <w:t>本集团因利率变动引起金融工具现金流量变动的风险主要与浮动利率银行借款有关。本集团的政策是保持这些借款的浮</w:t>
      </w:r>
      <w:r>
        <w:rPr/>
        <w:t> 动利率，以消除利率变动的公允价值风险。</w:t>
      </w:r>
    </w:p>
    <w:p>
      <w:pPr>
        <w:pStyle w:val="BodyText"/>
        <w:spacing w:line="552" w:lineRule="exact" w:before="27"/>
        <w:ind w:left="514" w:right="1118"/>
        <w:jc w:val="left"/>
      </w:pPr>
      <w:r>
        <w:rPr>
          <w:rFonts w:ascii="宋体" w:hAnsi="宋体" w:cs="宋体" w:eastAsia="宋体" w:hint="default"/>
        </w:rPr>
        <w:t>3.</w:t>
      </w:r>
      <w:r>
        <w:rPr/>
        <w:t>价格风险 </w:t>
      </w:r>
      <w:r>
        <w:rPr>
          <w:spacing w:val="-2"/>
        </w:rPr>
        <w:t>本集团（联动优势科技有限公司外）以市场价格销售汽车及配件类产品、家电配件类产品、电机及配件类产品、模具类</w:t>
      </w:r>
    </w:p>
    <w:p>
      <w:pPr>
        <w:pStyle w:val="BodyText"/>
        <w:spacing w:line="227" w:lineRule="exact"/>
        <w:ind w:right="0"/>
        <w:jc w:val="left"/>
      </w:pPr>
      <w:r>
        <w:rPr/>
        <w:t>产品和其他产品；联动优势科技有限公司以市场价格提供移动运营商计费结算服务、移动信息服务业务、第三方支付业务、</w:t>
      </w:r>
    </w:p>
    <w:p>
      <w:pPr>
        <w:pStyle w:val="BodyText"/>
        <w:spacing w:line="532" w:lineRule="auto" w:before="76"/>
        <w:ind w:left="514" w:right="4741" w:hanging="360"/>
        <w:jc w:val="left"/>
      </w:pPr>
      <w:r>
        <w:rPr>
          <w:rFonts w:ascii="Times New Roman" w:hAnsi="Times New Roman" w:cs="Times New Roman" w:eastAsia="Times New Roman" w:hint="default"/>
        </w:rPr>
        <w:t>“</w:t>
      </w:r>
      <w:r>
        <w:rPr/>
        <w:t>惠商</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O2O</w:t>
      </w:r>
      <w:r>
        <w:rPr/>
        <w:t>业务、大数据业务及其他服务。因此受到此等价格波动的影响。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信用风险</w:t>
      </w:r>
    </w:p>
    <w:p>
      <w:pPr>
        <w:pStyle w:val="BodyText"/>
        <w:spacing w:line="300" w:lineRule="auto" w:before="59"/>
        <w:ind w:right="0" w:firstLine="360"/>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日，可能引起本集团财务损失的最大信用风险敞口主要来自于各类购销合同及对外发放贷款，如合同另</w:t>
      </w:r>
      <w:r>
        <w:rPr/>
        <w:t> 一方未能履行义务而导致本集团金融资产受到损失，以及本集团承担的财务担保也会产生信用风险，具体包括：</w:t>
      </w:r>
    </w:p>
    <w:p>
      <w:pPr>
        <w:spacing w:line="240" w:lineRule="auto" w:before="10"/>
        <w:rPr>
          <w:rFonts w:ascii="宋体" w:hAnsi="宋体" w:cs="宋体" w:eastAsia="宋体" w:hint="default"/>
          <w:sz w:val="20"/>
          <w:szCs w:val="20"/>
        </w:rPr>
      </w:pPr>
    </w:p>
    <w:p>
      <w:pPr>
        <w:pStyle w:val="BodyText"/>
        <w:spacing w:line="316" w:lineRule="auto"/>
        <w:ind w:right="0" w:firstLine="360"/>
        <w:jc w:val="left"/>
      </w:pPr>
      <w:r>
        <w:rPr>
          <w:spacing w:val="-4"/>
        </w:rPr>
        <w:t>合并资产负债表中已确认了金融资产的账面金额；但对于以公允价值计量的金融工具而言，账面价值反映了其风险敞口，</w:t>
      </w:r>
      <w:r>
        <w:rPr/>
        <w:t> 但并非最大风险敞口，其最大风险敞口将随着未来公允价值的变化而改变。</w:t>
      </w:r>
    </w:p>
    <w:p>
      <w:pPr>
        <w:spacing w:line="240" w:lineRule="auto" w:before="11"/>
        <w:rPr>
          <w:rFonts w:ascii="宋体" w:hAnsi="宋体" w:cs="宋体" w:eastAsia="宋体" w:hint="default"/>
          <w:sz w:val="19"/>
          <w:szCs w:val="19"/>
        </w:rPr>
      </w:pPr>
    </w:p>
    <w:p>
      <w:pPr>
        <w:pStyle w:val="BodyText"/>
        <w:spacing w:line="316" w:lineRule="auto"/>
        <w:ind w:right="1032" w:firstLine="360"/>
        <w:jc w:val="left"/>
      </w:pPr>
      <w:r>
        <w:rPr/>
        <w:t>为降低信用风险，本集团设有独立的风险监控部门，该部门负责建立公司风险控制体系、制定客户信用等级评价原则、 </w:t>
      </w:r>
      <w:r>
        <w:rPr>
          <w:spacing w:val="-2"/>
        </w:rPr>
        <w:t>对客户信用进行评审、确定客户信用额度等工作，并执行其它监控程序以确保采取必要的措施回收过期债权。此外，本集团</w:t>
      </w:r>
      <w:r>
        <w:rPr>
          <w:spacing w:val="-66"/>
        </w:rPr>
        <w:t> </w:t>
      </w:r>
      <w:r>
        <w:rPr>
          <w:spacing w:val="-66"/>
        </w:rPr>
      </w:r>
      <w:r>
        <w:rPr>
          <w:spacing w:val="-2"/>
        </w:rPr>
        <w:t>于每个资产负债表日对每一单项应收款余额进行评估，以确保就无法回收的款项及时确认并充分计提坏账准备。因此，本集</w:t>
      </w:r>
      <w:r>
        <w:rPr>
          <w:spacing w:val="-66"/>
        </w:rPr>
        <w:t> </w:t>
      </w:r>
      <w:r>
        <w:rPr>
          <w:spacing w:val="-66"/>
        </w:rPr>
      </w:r>
      <w:r>
        <w:rPr/>
        <w:t>团管理层认为本集团所承担的信用风险已经降至较低水平。</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本集团的流动资金存放在信用评级较高的银行，故流动资金的信用风险较低。</w:t>
      </w:r>
    </w:p>
    <w:p>
      <w:pPr>
        <w:spacing w:line="240" w:lineRule="auto" w:before="2"/>
        <w:rPr>
          <w:rFonts w:ascii="宋体" w:hAnsi="宋体" w:cs="宋体" w:eastAsia="宋体" w:hint="default"/>
          <w:sz w:val="24"/>
          <w:szCs w:val="24"/>
        </w:rPr>
      </w:pPr>
    </w:p>
    <w:p>
      <w:pPr>
        <w:pStyle w:val="BodyText"/>
        <w:spacing w:line="316" w:lineRule="auto"/>
        <w:ind w:right="0" w:firstLine="360"/>
        <w:jc w:val="left"/>
      </w:pPr>
      <w:r>
        <w:rPr>
          <w:spacing w:val="-2"/>
        </w:rPr>
        <w:t>本集团采用了必要的政策确保所有销售客户均具有良好的信用记录，本集团从系统建设、风控业务架构和政策合规方面</w:t>
      </w:r>
      <w:r>
        <w:rPr/>
        <w:t> 控制发放贷款业务流程中的信用风险。除应收账款金额前五名外，本集团无其他重大信用集中风险。</w:t>
      </w:r>
    </w:p>
    <w:p>
      <w:pPr>
        <w:spacing w:line="240" w:lineRule="auto" w:before="11"/>
        <w:rPr>
          <w:rFonts w:ascii="宋体" w:hAnsi="宋体" w:cs="宋体" w:eastAsia="宋体" w:hint="default"/>
          <w:sz w:val="19"/>
          <w:szCs w:val="19"/>
        </w:rPr>
      </w:pPr>
    </w:p>
    <w:p>
      <w:pPr>
        <w:pStyle w:val="BodyText"/>
        <w:spacing w:line="240" w:lineRule="auto"/>
        <w:ind w:left="514" w:right="0"/>
        <w:jc w:val="left"/>
      </w:pPr>
      <w:r>
        <w:rPr/>
        <w:t>应收账款前五名金额合计：</w:t>
      </w:r>
      <w:r>
        <w:rPr>
          <w:rFonts w:ascii="Times New Roman" w:hAnsi="Times New Roman" w:cs="Times New Roman" w:eastAsia="Times New Roman" w:hint="default"/>
        </w:rPr>
        <w:t>272,130,245.75</w:t>
      </w:r>
      <w:r>
        <w:rPr/>
        <w:t>元。</w:t>
      </w:r>
    </w:p>
    <w:p>
      <w:pPr>
        <w:pStyle w:val="BodyText"/>
        <w:spacing w:line="540" w:lineRule="atLeast" w:before="12"/>
        <w:ind w:left="514"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流动风险</w:t>
      </w:r>
      <w:r>
        <w:rPr>
          <w:w w:val="99"/>
        </w:rPr>
        <w:t> </w:t>
      </w:r>
      <w:r>
        <w:rPr>
          <w:spacing w:val="-2"/>
          <w:w w:val="99"/>
        </w:rPr>
        <w:t>流动风险为本集团在到期日无法履行其财务义务的风险。本集团管理流动性风险的方法是确保有足够的资金流动性来履</w:t>
      </w:r>
      <w:r>
        <w:rPr>
          <w:spacing w:val="-2"/>
        </w:rPr>
      </w:r>
    </w:p>
    <w:p>
      <w:pPr>
        <w:pStyle w:val="BodyText"/>
        <w:spacing w:line="316" w:lineRule="auto" w:before="76"/>
        <w:ind w:right="1133"/>
        <w:jc w:val="both"/>
      </w:pPr>
      <w:r>
        <w:rPr>
          <w:spacing w:val="-2"/>
        </w:rPr>
        <w:t>行到期债务，而不至于造成不可接受的损失或对企业信誉造成损害。本集团定期分析负债结构和期限，以确保有充裕的资金</w:t>
      </w:r>
      <w:r>
        <w:rPr>
          <w:spacing w:val="-66"/>
        </w:rPr>
        <w:t> </w:t>
      </w:r>
      <w:r>
        <w:rPr>
          <w:spacing w:val="-66"/>
        </w:rPr>
      </w:r>
      <w:r>
        <w:rPr>
          <w:spacing w:val="-2"/>
        </w:rPr>
        <w:t>来偿还到期债务。本集团管理层对银行借款的使用情况进行监控并确保遵守借款协议。同时与金融机构保持友好合作，以获</w:t>
      </w:r>
      <w:r>
        <w:rPr>
          <w:spacing w:val="-66"/>
        </w:rPr>
        <w:t> </w:t>
      </w:r>
      <w:r>
        <w:rPr>
          <w:spacing w:val="-66"/>
        </w:rPr>
      </w:r>
      <w:r>
        <w:rPr/>
        <w:t>取足够的信用额度，减低流动性风险。</w:t>
      </w:r>
    </w:p>
    <w:p>
      <w:pPr>
        <w:spacing w:line="240" w:lineRule="auto" w:before="10"/>
        <w:rPr>
          <w:rFonts w:ascii="宋体" w:hAnsi="宋体" w:cs="宋体" w:eastAsia="宋体" w:hint="default"/>
          <w:sz w:val="19"/>
          <w:szCs w:val="19"/>
        </w:rPr>
      </w:pPr>
    </w:p>
    <w:p>
      <w:pPr>
        <w:pStyle w:val="BodyText"/>
        <w:spacing w:line="240" w:lineRule="auto"/>
        <w:ind w:left="514" w:right="0"/>
        <w:jc w:val="left"/>
      </w:pPr>
      <w:r>
        <w:rPr/>
        <w:t>本集团持有的金融资产和金融负债按未折现剩余合同义务的到期期限分析如下：</w:t>
      </w:r>
    </w:p>
    <w:p>
      <w:pPr>
        <w:spacing w:line="240" w:lineRule="auto" w:before="2"/>
        <w:rPr>
          <w:rFonts w:ascii="宋体" w:hAnsi="宋体" w:cs="宋体" w:eastAsia="宋体" w:hint="default"/>
          <w:sz w:val="24"/>
          <w:szCs w:val="24"/>
        </w:rPr>
      </w:pPr>
    </w:p>
    <w:p>
      <w:pPr>
        <w:pStyle w:val="BodyText"/>
        <w:spacing w:line="240" w:lineRule="auto"/>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68"/>
        <w:gridCol w:w="1844"/>
        <w:gridCol w:w="1843"/>
        <w:gridCol w:w="1821"/>
        <w:gridCol w:w="1865"/>
      </w:tblGrid>
      <w:tr>
        <w:trPr>
          <w:trHeight w:val="478"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103"/>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年（包含</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年）以内</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年（包含</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w:t>
            </w:r>
            <w:r>
              <w:rPr>
                <w:rFonts w:ascii="宋体" w:hAnsi="宋体" w:cs="宋体" w:eastAsia="宋体" w:hint="default"/>
                <w:sz w:val="18"/>
                <w:szCs w:val="18"/>
              </w:rPr>
            </w:r>
          </w:p>
        </w:tc>
        <w:tc>
          <w:tcPr>
            <w:tcW w:w="1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2-3</w:t>
            </w:r>
            <w:r>
              <w:rPr>
                <w:rFonts w:ascii="宋体" w:hAnsi="宋体" w:cs="宋体" w:eastAsia="宋体" w:hint="default"/>
                <w:b/>
                <w:bCs/>
                <w:sz w:val="18"/>
                <w:szCs w:val="18"/>
              </w:rPr>
              <w:t>年（包含</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年）</w:t>
            </w:r>
            <w:r>
              <w:rPr>
                <w:rFonts w:ascii="宋体" w:hAnsi="宋体" w:cs="宋体" w:eastAsia="宋体" w:hint="default"/>
                <w:sz w:val="18"/>
                <w:szCs w:val="18"/>
              </w:rPr>
            </w:r>
          </w:p>
        </w:tc>
        <w:tc>
          <w:tcPr>
            <w:tcW w:w="1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1,749,565,293.91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1,749,565,293.91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920,918,712.08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920,918,712.08</w:t>
            </w:r>
          </w:p>
        </w:tc>
      </w:tr>
      <w:tr>
        <w:trPr>
          <w:trHeight w:val="527"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343,711,117.06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pacing w:val="-1"/>
                <w:sz w:val="18"/>
              </w:rPr>
              <w:t>343,711,117.06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926,524,193.69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926,524,193.69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707,762.49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707,762.49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99,210,642.54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99,210,642.54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270,502,200.00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270,502,200.00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506,491,412.49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506,491,412.49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576,938,684.41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576,938,684.41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25,535,550.90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25,535,550.90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1,697,440.50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1,697,440.50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142,386,040.81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142,386,040.81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971,045,125.79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971,045,125.79</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十一、公允价值的披露" w:id="399"/>
      <w:bookmarkEnd w:id="399"/>
      <w:r>
        <w:rPr>
          <w:b w:val="0"/>
          <w:bCs w:val="0"/>
        </w:rPr>
      </w:r>
      <w:r>
        <w:rPr/>
        <w:t>十一、公允价值的披露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十二、关联方及关联交易" w:id="400"/>
      <w:bookmarkEnd w:id="400"/>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本企业的母公司情况" w:id="401"/>
      <w:bookmarkEnd w:id="40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青岛海立控股有限 公司</w:t>
            </w:r>
          </w:p>
        </w:tc>
        <w:tc>
          <w:tcPr>
            <w:tcW w:w="159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以自有资金对外投 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19.38%</w:t>
            </w:r>
          </w:p>
        </w:tc>
      </w:tr>
    </w:tbl>
    <w:p>
      <w:pPr>
        <w:pStyle w:val="BodyText"/>
        <w:spacing w:line="360" w:lineRule="auto" w:before="51"/>
        <w:ind w:right="7512"/>
        <w:jc w:val="left"/>
      </w:pPr>
      <w:r>
        <w:rPr/>
        <w:t>本企业的母公司情况的说明 本企业最终控制方是孙刚、刘国平夫妇。</w:t>
      </w:r>
    </w:p>
    <w:p>
      <w:pPr>
        <w:spacing w:line="240" w:lineRule="auto" w:before="11"/>
        <w:rPr>
          <w:rFonts w:ascii="宋体" w:hAnsi="宋体" w:cs="宋体" w:eastAsia="宋体" w:hint="default"/>
          <w:sz w:val="19"/>
          <w:szCs w:val="19"/>
        </w:rPr>
      </w:pPr>
    </w:p>
    <w:p>
      <w:pPr>
        <w:spacing w:line="547" w:lineRule="auto" w:before="0"/>
        <w:ind w:left="154" w:right="7512" w:firstLine="0"/>
        <w:jc w:val="left"/>
        <w:rPr>
          <w:rFonts w:ascii="宋体" w:hAnsi="宋体" w:cs="宋体" w:eastAsia="宋体" w:hint="default"/>
          <w:sz w:val="21"/>
          <w:szCs w:val="21"/>
        </w:rPr>
      </w:pPr>
      <w:bookmarkStart w:name="2、本企业的子公司情况" w:id="402"/>
      <w:bookmarkEnd w:id="4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9"/>
          <w:sz w:val="18"/>
          <w:szCs w:val="18"/>
        </w:rPr>
        <w:t>本企业子公司的情况详见附注九、</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宋体" w:hAnsi="宋体" w:cs="宋体" w:eastAsia="宋体" w:hint="default"/>
          <w:spacing w:val="-90"/>
          <w:sz w:val="18"/>
          <w:szCs w:val="18"/>
        </w:rPr>
        <w:t> </w:t>
      </w:r>
      <w:bookmarkStart w:name="3、本企业合营和联营企业情况" w:id="403"/>
      <w:bookmarkEnd w:id="403"/>
      <w:r>
        <w:rPr>
          <w:rFonts w:ascii="宋体" w:hAnsi="宋体" w:cs="宋体" w:eastAsia="宋体" w:hint="default"/>
          <w:spacing w:val="-9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0"/>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其他关联方情况" w:id="404"/>
      <w:bookmarkEnd w:id="40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受最终控制人（孙刚）控制的其他企业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受最终控制人（孙刚、刘国平）控制的其他企业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银联智惠信息服务（上海）有限公司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青岛甲乙丙丁信息技术企业（有限合伙）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孙震、张斌、李贲共同出资设立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联动优势商业保理有限公司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北京博升优势科技发展有限公司全资子公司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吴鹰任职董事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中嘉博创信息技术服务有限公司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吴鹰任职董事长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实际控制人、董事长兼总裁</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董事、副总裁、最终控制人之子、青岛天晨投资有限公司法 定代表人</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董事、执行总裁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范厚义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杨良刚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原董事、原执行总裁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5、关联交易情况" w:id="405"/>
      <w:bookmarkEnd w:id="40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购销商品、提供和接受劳务的关联交易" w:id="406"/>
      <w:bookmarkEnd w:id="40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255,309,246.97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386,931,594.62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145,296,084.90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819,065.97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4,473,864.85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通道服务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71,059,789.99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44,904,919.22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13,004.06</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691,863.48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288,810.79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545,978.74</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7"/>
        <w:gridCol w:w="2126"/>
        <w:gridCol w:w="1844"/>
        <w:gridCol w:w="191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879,150.53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3,662,201.59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110,905.40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微信营销</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银联智惠信息服务（上海）有限公司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633,883.30</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8,794,286.28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20,888.30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12,194.87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银联商务股份有限公司（含子公司）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数据分析服务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1,268,815.37</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455,284.83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284,875.73</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联动优势商业保理有限公司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6,184.71</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关联受托管理/承包及委托管理/出包情况" w:id="407"/>
      <w:bookmarkEnd w:id="40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关联租赁情况" w:id="408"/>
      <w:bookmarkEnd w:id="40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关联担保情况" w:id="409"/>
      <w:bookmarkEnd w:id="40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宁波泰鸿冲压件有限公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湖北海立田汽车部件有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湖北海立田汽车部件有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湖北海立美达汽车有限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上海和达汽车配件有限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bookmarkStart w:name="（5）关联方资金拆借" w:id="410"/>
      <w:bookmarkEnd w:id="41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411"/>
      <w:bookmarkEnd w:id="411"/>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6）关联方资产转让、债务重组情况" w:id="412"/>
      <w:bookmarkEnd w:id="41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413"/>
      <w:bookmarkEnd w:id="413"/>
      <w:r>
        <w:rPr/>
      </w:r>
      <w:r>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bookmarkStart w:name="（7）关键管理人员报酬" w:id="414"/>
      <w:bookmarkEnd w:id="41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3,633,438.56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3,516,300.83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8）其他关联交易" w:id="415"/>
      <w:bookmarkEnd w:id="41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除总裁、执行总裁、副总裁、财务总监及董事会秘书关键管理人员薪酬外，本公司本年负担董事、监事及独立董事薪酬</w:t>
      </w:r>
      <w:r>
        <w:rPr/>
        <w:t> 及津贴合计</w:t>
      </w:r>
      <w:r>
        <w:rPr>
          <w:rFonts w:ascii="Times New Roman" w:hAnsi="Times New Roman" w:cs="Times New Roman" w:eastAsia="Times New Roman" w:hint="default"/>
        </w:rPr>
        <w:t>452,122.80</w:t>
      </w:r>
      <w:r>
        <w:rPr/>
        <w:t>元。</w:t>
      </w:r>
    </w:p>
    <w:p>
      <w:pPr>
        <w:spacing w:line="240" w:lineRule="auto" w:before="11"/>
        <w:rPr>
          <w:rFonts w:ascii="宋体" w:hAnsi="宋体" w:cs="宋体" w:eastAsia="宋体" w:hint="default"/>
          <w:sz w:val="20"/>
          <w:szCs w:val="20"/>
        </w:rPr>
      </w:pPr>
    </w:p>
    <w:p>
      <w:pPr>
        <w:pStyle w:val="Heading7"/>
        <w:spacing w:line="240" w:lineRule="auto"/>
        <w:ind w:right="0"/>
        <w:jc w:val="left"/>
        <w:rPr>
          <w:b w:val="0"/>
          <w:bCs w:val="0"/>
        </w:rPr>
      </w:pPr>
      <w:bookmarkStart w:name="6、关联方应收应付款项" w:id="416"/>
      <w:bookmarkEnd w:id="41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应收项目" w:id="417"/>
      <w:bookmarkEnd w:id="41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435,787.08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21,984.20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977,065.19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48,853.26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474,958.80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516,069.74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52,439.46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268,318.23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15,673.83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783.69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中国银联股份有限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38,021.08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5,859.26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公司（含子公司）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银联商务股份有限 公司（含子公司）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北京创世漫道科技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应付项目" w:id="418"/>
      <w:bookmarkEnd w:id="41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中国银联股份有限公司（含子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1,852,209.83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1,718,935.32</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银联商务股份有限公司（含子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1,532,920.85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1,525,350.00</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银联智惠信息服务（上海）有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1,649.96</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北京创世漫道科技有限公司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15,615,747.73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33,022,153.80</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银联智惠信息服务（上海）有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141,162.84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188,679.25</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银联商务股份有限公司（含子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473,981.86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473,981.86</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中诚信征信有限公司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368,681.99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银联商务股份有限公司（含子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333,940.20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333,940.20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7、关联方承诺" w:id="419"/>
      <w:bookmarkEnd w:id="41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left"/>
      </w:pPr>
      <w:r>
        <w:rPr/>
        <w:t>关于关联方承诺参见第五节重要事项的</w:t>
      </w:r>
      <w:r>
        <w:rPr>
          <w:rFonts w:ascii="Times New Roman" w:hAnsi="Times New Roman" w:cs="Times New Roman" w:eastAsia="Times New Roman" w:hint="default"/>
        </w:rPr>
        <w:t>”</w:t>
      </w:r>
      <w:r>
        <w:rPr/>
        <w:t>三、公司实际控制人、股东、关联方、收购人以及公司等承诺相关方在报告期 内履行完毕及截至报告期末超期未履行完毕的承诺事项</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十三、股份支付" w:id="420"/>
      <w:bookmarkEnd w:id="420"/>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股份支付总体情况" w:id="421"/>
      <w:bookmarkEnd w:id="42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110,463,765.40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bookmarkStart w:name="2、以权益结算的股份支付情况" w:id="422"/>
      <w:bookmarkEnd w:id="42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以授予职工权益工具在授予日的公允价值计量</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在等待期内每个资产负债表日公司根据最新取得的可行权 职工人数变动等后续信息作出最佳估计修正预计可行权的 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1,023,229.16</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1,023,229.16</w:t>
            </w: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00" w:lineRule="auto"/>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日，公司召开的</w:t>
      </w:r>
      <w:r>
        <w:rPr>
          <w:rFonts w:ascii="Times New Roman" w:hAnsi="Times New Roman" w:cs="Times New Roman" w:eastAsia="Times New Roman" w:hint="default"/>
          <w:spacing w:val="-2"/>
        </w:rPr>
        <w:t>2018</w:t>
      </w:r>
      <w:r>
        <w:rPr>
          <w:spacing w:val="-2"/>
        </w:rPr>
        <w:t>年第三次临时股东大会审议通过了《关于公司</w:t>
      </w:r>
      <w:r>
        <w:rPr>
          <w:rFonts w:ascii="Times New Roman" w:hAnsi="Times New Roman" w:cs="Times New Roman" w:eastAsia="Times New Roman" w:hint="default"/>
          <w:spacing w:val="-2"/>
        </w:rPr>
        <w:t>&lt;2018</w:t>
      </w:r>
      <w:r>
        <w:rPr>
          <w:spacing w:val="-2"/>
        </w:rPr>
        <w:t>年限制性股票激励计划（草案）</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t>及其摘要的议案》、《关于公司</w:t>
      </w:r>
      <w:r>
        <w:rPr>
          <w:rFonts w:ascii="Times New Roman" w:hAnsi="Times New Roman" w:cs="Times New Roman" w:eastAsia="Times New Roman" w:hint="default"/>
        </w:rPr>
        <w:t>&lt;2018</w:t>
      </w:r>
      <w:r>
        <w:rPr/>
        <w:t>年限制性股票激励计划实施考核管理办法</w:t>
      </w:r>
      <w:r>
        <w:rPr>
          <w:rFonts w:ascii="Times New Roman" w:hAnsi="Times New Roman" w:cs="Times New Roman" w:eastAsia="Times New Roman" w:hint="default"/>
        </w:rPr>
        <w:t>&gt;</w:t>
      </w:r>
      <w:r>
        <w:rPr/>
        <w:t>的议案》以及《关于提请公司股东大会授</w:t>
      </w:r>
      <w:r>
        <w:rPr>
          <w:spacing w:val="-26"/>
        </w:rPr>
        <w:t> </w:t>
      </w:r>
      <w:r>
        <w:rPr>
          <w:spacing w:val="-26"/>
        </w:rPr>
      </w:r>
      <w:r>
        <w:rPr/>
        <w:t>权董事会办理限制性股票激励计划相关事宜的议案》，公司根据上述议案进行限制性股票激励，授予限制性股票数量</w:t>
      </w:r>
      <w:r>
        <w:rPr>
          <w:rFonts w:ascii="Times New Roman" w:hAnsi="Times New Roman" w:cs="Times New Roman" w:eastAsia="Times New Roman" w:hint="default"/>
        </w:rPr>
        <w:t>950</w:t>
      </w:r>
      <w:r>
        <w:rPr/>
        <w:t>万</w:t>
      </w:r>
      <w:r>
        <w:rPr>
          <w:spacing w:val="-81"/>
        </w:rPr>
        <w:t> </w:t>
      </w:r>
      <w:r>
        <w:rPr/>
        <w:t>股，对应库存股价值</w:t>
      </w:r>
      <w:r>
        <w:rPr>
          <w:rFonts w:ascii="Times New Roman" w:hAnsi="Times New Roman" w:cs="Times New Roman" w:eastAsia="Times New Roman" w:hint="default"/>
        </w:rPr>
        <w:t>110,463,765.40</w:t>
      </w:r>
      <w:r>
        <w:rPr/>
        <w:t>元。</w:t>
      </w:r>
    </w:p>
    <w:p>
      <w:pPr>
        <w:spacing w:line="240" w:lineRule="auto" w:before="4"/>
        <w:rPr>
          <w:rFonts w:ascii="宋体" w:hAnsi="宋体" w:cs="宋体" w:eastAsia="宋体" w:hint="default"/>
          <w:sz w:val="19"/>
          <w:szCs w:val="19"/>
        </w:rPr>
      </w:pPr>
    </w:p>
    <w:p>
      <w:pPr>
        <w:pStyle w:val="BodyText"/>
        <w:spacing w:line="307" w:lineRule="auto"/>
        <w:ind w:right="1130" w:firstLine="360"/>
        <w:jc w:val="both"/>
      </w:pPr>
      <w:r>
        <w:rPr>
          <w:spacing w:val="-2"/>
        </w:rPr>
        <w:t>依据《海联金汇科技股份有限公司</w:t>
      </w:r>
      <w:r>
        <w:rPr>
          <w:rFonts w:ascii="Times New Roman" w:hAnsi="Times New Roman" w:cs="Times New Roman" w:eastAsia="Times New Roman" w:hint="default"/>
          <w:spacing w:val="-2"/>
        </w:rPr>
        <w:t>2018</w:t>
      </w:r>
      <w:r>
        <w:rPr>
          <w:spacing w:val="-2"/>
        </w:rPr>
        <w:t>年限制性股票激励计划（草案）》（以下简称股权激励计划）中解锁条件的相关</w:t>
      </w:r>
      <w:r>
        <w:rPr/>
        <w:t> </w:t>
      </w:r>
      <w:r>
        <w:rPr>
          <w:spacing w:val="-2"/>
        </w:rPr>
        <w:t>规定，因预定解锁条件未能实现，在</w:t>
      </w:r>
      <w:r>
        <w:rPr>
          <w:rFonts w:ascii="Times New Roman" w:hAnsi="Times New Roman" w:cs="Times New Roman" w:eastAsia="Times New Roman" w:hint="default"/>
          <w:spacing w:val="-2"/>
        </w:rPr>
        <w:t>2018</w:t>
      </w:r>
      <w:r>
        <w:rPr>
          <w:spacing w:val="-2"/>
        </w:rPr>
        <w:t>年度第一个解锁期内可申请解锁的限制性股票将不得解锁并由本公司回购注销。根</w:t>
      </w:r>
      <w:r>
        <w:rPr>
          <w:spacing w:val="-63"/>
        </w:rPr>
        <w:t> </w:t>
      </w:r>
      <w:r>
        <w:rPr>
          <w:spacing w:val="-63"/>
        </w:rPr>
      </w:r>
      <w:r>
        <w:rPr>
          <w:spacing w:val="-2"/>
        </w:rPr>
        <w:t>据企业会计准则的相关规定，上述拟回购部分不再确认授予股权激励所对应的费用，仅确认其余有效的限制性股票所对应的</w:t>
      </w:r>
      <w:r>
        <w:rPr>
          <w:spacing w:val="-64"/>
        </w:rPr>
        <w:t> </w:t>
      </w:r>
      <w:r>
        <w:rPr>
          <w:spacing w:val="-64"/>
        </w:rPr>
      </w:r>
      <w:r>
        <w:rPr/>
        <w:t>费用记入管理费用</w:t>
      </w:r>
      <w:r>
        <w:rPr>
          <w:rFonts w:ascii="Times New Roman" w:hAnsi="Times New Roman" w:cs="Times New Roman" w:eastAsia="Times New Roman" w:hint="default"/>
        </w:rPr>
        <w:t>1,023,229.16</w:t>
      </w:r>
      <w:r>
        <w:rPr/>
        <w:t>元，同时增加资本公积</w:t>
      </w:r>
      <w:r>
        <w:rPr>
          <w:rFonts w:ascii="Times New Roman" w:hAnsi="Times New Roman" w:cs="Times New Roman" w:eastAsia="Times New Roman" w:hint="default"/>
        </w:rPr>
        <w:t>1,023,229.16</w:t>
      </w:r>
      <w:r>
        <w:rPr/>
        <w:t>元。</w:t>
      </w:r>
    </w:p>
    <w:p>
      <w:pPr>
        <w:spacing w:line="240" w:lineRule="auto" w:before="8"/>
        <w:rPr>
          <w:rFonts w:ascii="宋体" w:hAnsi="宋体" w:cs="宋体" w:eastAsia="宋体" w:hint="default"/>
          <w:sz w:val="21"/>
          <w:szCs w:val="21"/>
        </w:rPr>
      </w:pPr>
    </w:p>
    <w:p>
      <w:pPr>
        <w:pStyle w:val="Heading7"/>
        <w:spacing w:line="240" w:lineRule="auto"/>
        <w:ind w:right="0"/>
        <w:jc w:val="left"/>
        <w:rPr>
          <w:b w:val="0"/>
          <w:bCs w:val="0"/>
        </w:rPr>
      </w:pPr>
      <w:bookmarkStart w:name="3、以现金结算的股份支付情况" w:id="423"/>
      <w:bookmarkEnd w:id="42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7"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24"/>
      <w:bookmarkEnd w:id="42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7"/>
        <w:spacing w:line="240" w:lineRule="auto" w:before="119"/>
        <w:ind w:right="0"/>
        <w:jc w:val="left"/>
        <w:rPr>
          <w:b w:val="0"/>
          <w:bCs w:val="0"/>
        </w:rPr>
      </w:pPr>
      <w:bookmarkStart w:name="5、其他" w:id="425"/>
      <w:bookmarkEnd w:id="425"/>
      <w:r>
        <w:rPr>
          <w:b w:val="0"/>
          <w:bCs w:val="0"/>
        </w:rPr>
      </w: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十四、承诺及或有事项" w:id="426"/>
      <w:bookmarkEnd w:id="426"/>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972" w:firstLine="0"/>
        <w:jc w:val="left"/>
        <w:rPr>
          <w:rFonts w:ascii="宋体" w:hAnsi="宋体" w:cs="宋体" w:eastAsia="宋体" w:hint="default"/>
          <w:sz w:val="18"/>
          <w:szCs w:val="18"/>
        </w:rPr>
      </w:pPr>
      <w:bookmarkStart w:name="1、重要承诺事项" w:id="427"/>
      <w:bookmarkEnd w:id="4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 已签订的正在或准备履行的租赁合同及财务影响</w:t>
      </w:r>
    </w:p>
    <w:p>
      <w:pPr>
        <w:pStyle w:val="BodyText"/>
        <w:spacing w:line="240" w:lineRule="auto" w:before="88"/>
        <w:ind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，本集团就厂房租赁等项目之不可撤销经营租赁所需于下列期间承担款项如下：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20"/>
        <w:gridCol w:w="4821"/>
      </w:tblGrid>
      <w:tr>
        <w:trPr>
          <w:trHeight w:val="444"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4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经营租赁</w:t>
            </w:r>
          </w:p>
        </w:tc>
      </w:tr>
      <w:tr>
        <w:trPr>
          <w:trHeight w:val="374"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47,225,402.04</w:t>
            </w:r>
          </w:p>
        </w:tc>
      </w:tr>
      <w:tr>
        <w:trPr>
          <w:trHeight w:val="369"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44,194,857.68</w:t>
            </w:r>
          </w:p>
        </w:tc>
      </w:tr>
      <w:tr>
        <w:trPr>
          <w:trHeight w:val="369"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44,816,632.11</w:t>
            </w:r>
          </w:p>
        </w:tc>
      </w:tr>
      <w:tr>
        <w:trPr>
          <w:trHeight w:val="369"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61,398,590.92</w:t>
            </w:r>
          </w:p>
        </w:tc>
      </w:tr>
      <w:tr>
        <w:trPr>
          <w:trHeight w:val="449" w:hRule="exact"/>
        </w:trPr>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197,635,482.75</w:t>
            </w:r>
          </w:p>
        </w:tc>
      </w:tr>
    </w:tbl>
    <w:p>
      <w:pPr>
        <w:spacing w:line="240" w:lineRule="auto" w:before="10"/>
        <w:rPr>
          <w:rFonts w:ascii="宋体" w:hAnsi="宋体" w:cs="宋体" w:eastAsia="宋体" w:hint="default"/>
          <w:sz w:val="15"/>
          <w:szCs w:val="15"/>
        </w:rPr>
      </w:pPr>
    </w:p>
    <w:p>
      <w:pPr>
        <w:pStyle w:val="BodyText"/>
        <w:spacing w:line="240" w:lineRule="auto" w:before="44"/>
        <w:ind w:right="0"/>
        <w:jc w:val="left"/>
      </w:pPr>
      <w:r>
        <w:rPr/>
        <w:t>除上述承诺事项外，截止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日，本集团无需要披露的其他重大承诺事项。</w:t>
      </w:r>
    </w:p>
    <w:p>
      <w:pPr>
        <w:spacing w:line="240" w:lineRule="auto" w:before="11"/>
        <w:rPr>
          <w:rFonts w:ascii="宋体" w:hAnsi="宋体" w:cs="宋体" w:eastAsia="宋体" w:hint="default"/>
          <w:sz w:val="25"/>
          <w:szCs w:val="25"/>
        </w:rPr>
      </w:pPr>
    </w:p>
    <w:p>
      <w:pPr>
        <w:pStyle w:val="Heading7"/>
        <w:spacing w:line="240" w:lineRule="auto"/>
        <w:ind w:right="0"/>
        <w:jc w:val="left"/>
        <w:rPr>
          <w:b w:val="0"/>
          <w:bCs w:val="0"/>
        </w:rPr>
      </w:pPr>
      <w:bookmarkStart w:name="2、或有事项" w:id="428"/>
      <w:bookmarkEnd w:id="42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3、其他" w:id="429"/>
      <w:bookmarkEnd w:id="429"/>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bookmarkStart w:name="十五、资产负债表日后事项" w:id="430"/>
      <w:bookmarkEnd w:id="430"/>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重要的非调整事项" w:id="431"/>
      <w:bookmarkEnd w:id="43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利润分配情况" w:id="432"/>
      <w:bookmarkEnd w:id="43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60,465,807.25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60,465,807.25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销售退回" w:id="433"/>
      <w:bookmarkEnd w:id="433"/>
      <w:r>
        <w:rPr/>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4、其他资产负债表日后事项说明" w:id="434"/>
      <w:bookmarkEnd w:id="43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宋体" w:hAnsi="宋体" w:cs="宋体" w:eastAsia="宋体" w:hint="default"/>
        </w:rPr>
        <w:t>1.</w:t>
      </w:r>
      <w:r>
        <w:rPr/>
        <w:t>控股子公司出售厂房、土地及相关设施事宜</w:t>
      </w:r>
    </w:p>
    <w:p>
      <w:pPr>
        <w:spacing w:line="240" w:lineRule="auto" w:before="2"/>
        <w:rPr>
          <w:rFonts w:ascii="宋体" w:hAnsi="宋体" w:cs="宋体" w:eastAsia="宋体" w:hint="default"/>
          <w:sz w:val="24"/>
          <w:szCs w:val="24"/>
        </w:rPr>
      </w:pPr>
    </w:p>
    <w:p>
      <w:pPr>
        <w:pStyle w:val="BodyText"/>
        <w:spacing w:line="300" w:lineRule="auto"/>
        <w:ind w:right="1128"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日，公司控股子公司湖北海立美达汽车有限公司（以下简称</w:t>
      </w:r>
      <w:r>
        <w:rPr>
          <w:rFonts w:ascii="Times New Roman" w:hAnsi="Times New Roman" w:cs="Times New Roman" w:eastAsia="Times New Roman" w:hint="default"/>
        </w:rPr>
        <w:t>“</w:t>
      </w:r>
      <w:r>
        <w:rPr/>
        <w:t>湖北海立美达</w:t>
      </w:r>
      <w:r>
        <w:rPr>
          <w:rFonts w:ascii="Times New Roman" w:hAnsi="Times New Roman" w:cs="Times New Roman" w:eastAsia="Times New Roman" w:hint="default"/>
        </w:rPr>
        <w:t>”</w:t>
      </w:r>
      <w:r>
        <w:rPr/>
        <w:t>）与枣阳市城市建设投资经营 </w:t>
      </w:r>
      <w:r>
        <w:rPr>
          <w:spacing w:val="-1"/>
        </w:rPr>
        <w:t>有限公司（以下简称</w:t>
      </w:r>
      <w:r>
        <w:rPr>
          <w:rFonts w:ascii="Times New Roman" w:hAnsi="Times New Roman" w:cs="Times New Roman" w:eastAsia="Times New Roman" w:hint="default"/>
          <w:spacing w:val="-1"/>
        </w:rPr>
        <w:t>“</w:t>
      </w:r>
      <w:r>
        <w:rPr>
          <w:spacing w:val="-1"/>
        </w:rPr>
        <w:t>枣阳城投</w:t>
      </w:r>
      <w:r>
        <w:rPr>
          <w:rFonts w:ascii="Times New Roman" w:hAnsi="Times New Roman" w:cs="Times New Roman" w:eastAsia="Times New Roman" w:hint="default"/>
          <w:spacing w:val="-1"/>
        </w:rPr>
        <w:t>”</w:t>
      </w:r>
      <w:r>
        <w:rPr>
          <w:spacing w:val="-1"/>
        </w:rPr>
        <w:t>）、湖北红岸车辆科技有限公司（以下简称</w:t>
      </w:r>
      <w:r>
        <w:rPr>
          <w:rFonts w:ascii="Times New Roman" w:hAnsi="Times New Roman" w:cs="Times New Roman" w:eastAsia="Times New Roman" w:hint="default"/>
          <w:spacing w:val="-1"/>
        </w:rPr>
        <w:t>“</w:t>
      </w:r>
      <w:r>
        <w:rPr>
          <w:spacing w:val="-1"/>
        </w:rPr>
        <w:t>湖北红岸</w:t>
      </w:r>
      <w:r>
        <w:rPr>
          <w:rFonts w:ascii="Times New Roman" w:hAnsi="Times New Roman" w:cs="Times New Roman" w:eastAsia="Times New Roman" w:hint="default"/>
          <w:spacing w:val="-1"/>
        </w:rPr>
        <w:t>”</w:t>
      </w:r>
      <w:r>
        <w:rPr>
          <w:spacing w:val="-1"/>
        </w:rPr>
        <w:t>）、贵州庆丰金地农林开发有限公司</w:t>
      </w:r>
    </w:p>
    <w:p>
      <w:pPr>
        <w:pStyle w:val="BodyText"/>
        <w:spacing w:line="300" w:lineRule="auto" w:before="13"/>
        <w:ind w:right="0"/>
        <w:jc w:val="left"/>
      </w:pPr>
      <w:r>
        <w:rPr>
          <w:spacing w:val="-2"/>
        </w:rPr>
        <w:t>（以下简称</w:t>
      </w:r>
      <w:r>
        <w:rPr>
          <w:rFonts w:ascii="Times New Roman" w:hAnsi="Times New Roman" w:cs="Times New Roman" w:eastAsia="Times New Roman" w:hint="default"/>
          <w:spacing w:val="-2"/>
        </w:rPr>
        <w:t>“</w:t>
      </w:r>
      <w:r>
        <w:rPr>
          <w:spacing w:val="-2"/>
        </w:rPr>
        <w:t>贵州庆丰</w:t>
      </w:r>
      <w:r>
        <w:rPr>
          <w:rFonts w:ascii="Times New Roman" w:hAnsi="Times New Roman" w:cs="Times New Roman" w:eastAsia="Times New Roman" w:hint="default"/>
          <w:spacing w:val="-2"/>
        </w:rPr>
        <w:t>”</w:t>
      </w:r>
      <w:r>
        <w:rPr>
          <w:spacing w:val="-2"/>
        </w:rPr>
        <w:t>）达成一致并签署《资产转让协议》。为整合公司资源、降低经营成本、提高运营效率，湖北海立美</w:t>
      </w:r>
      <w:r>
        <w:rPr>
          <w:spacing w:val="-47"/>
        </w:rPr>
        <w:t> </w:t>
      </w:r>
      <w:r>
        <w:rPr>
          <w:spacing w:val="-47"/>
        </w:rPr>
      </w:r>
      <w:r>
        <w:rPr/>
        <w:t>达将原福田生产区厂房、土地等移交贵州庆丰、湖北红岸，协助办理房地产权过户。</w:t>
      </w:r>
    </w:p>
    <w:p>
      <w:pPr>
        <w:spacing w:line="240" w:lineRule="auto" w:before="10"/>
        <w:rPr>
          <w:rFonts w:ascii="宋体" w:hAnsi="宋体" w:cs="宋体" w:eastAsia="宋体" w:hint="default"/>
          <w:sz w:val="20"/>
          <w:szCs w:val="20"/>
        </w:rPr>
      </w:pPr>
    </w:p>
    <w:p>
      <w:pPr>
        <w:pStyle w:val="BodyText"/>
        <w:spacing w:line="240" w:lineRule="auto"/>
        <w:ind w:left="514" w:right="0"/>
        <w:jc w:val="left"/>
      </w:pPr>
      <w:r>
        <w:rPr>
          <w:rFonts w:ascii="宋体" w:hAnsi="宋体" w:cs="宋体" w:eastAsia="宋体" w:hint="default"/>
        </w:rPr>
        <w:t>2.</w:t>
      </w:r>
      <w:r>
        <w:rPr/>
        <w:t>关于回购公司股份进展情况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031" w:firstLine="360"/>
        <w:jc w:val="left"/>
      </w:pPr>
      <w:r>
        <w:rPr>
          <w:spacing w:val="-3"/>
        </w:rPr>
        <w:t>公司分别于分别于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8</w:t>
      </w:r>
      <w:r>
        <w:rPr>
          <w:spacing w:val="-3"/>
        </w:rPr>
        <w:t>日、</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24</w:t>
      </w:r>
      <w:r>
        <w:rPr>
          <w:spacing w:val="-3"/>
        </w:rPr>
        <w:t>日召开了第三届董事会第三十一次（临时）会议、</w:t>
      </w:r>
      <w:r>
        <w:rPr>
          <w:rFonts w:ascii="Times New Roman" w:hAnsi="Times New Roman" w:cs="Times New Roman" w:eastAsia="Times New Roman" w:hint="default"/>
          <w:spacing w:val="-3"/>
        </w:rPr>
        <w:t>2018</w:t>
      </w:r>
      <w:r>
        <w:rPr>
          <w:spacing w:val="-3"/>
        </w:rPr>
        <w:t>年第二次临时股东大会，</w:t>
      </w:r>
      <w:r>
        <w:rPr/>
        <w:t> </w:t>
      </w:r>
      <w:r>
        <w:rPr>
          <w:spacing w:val="-2"/>
        </w:rPr>
        <w:t>审议通过了《关于采用集中竞价方式回购公司股份的预案》、《关于提请股东大会授权公司董事会全权办理回购股份相关事</w:t>
      </w:r>
      <w:r>
        <w:rPr>
          <w:spacing w:val="-64"/>
        </w:rPr>
        <w:t> </w:t>
      </w:r>
      <w:r>
        <w:rPr>
          <w:spacing w:val="-64"/>
        </w:rPr>
      </w:r>
      <w:r>
        <w:rPr>
          <w:spacing w:val="-8"/>
        </w:rPr>
        <w:t>宜的议案》，截至</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21</w:t>
      </w:r>
      <w:r>
        <w:rPr>
          <w:spacing w:val="-8"/>
        </w:rPr>
        <w:t>日，公司本次回购股份计划已全部实施完毕，累计回购股份</w:t>
      </w:r>
      <w:r>
        <w:rPr/>
        <w:t> </w:t>
      </w:r>
      <w:r>
        <w:rPr>
          <w:rFonts w:ascii="Times New Roman" w:hAnsi="Times New Roman" w:cs="Times New Roman" w:eastAsia="Times New Roman" w:hint="default"/>
        </w:rPr>
        <w:t>37,919,094</w:t>
      </w:r>
      <w:r>
        <w:rPr>
          <w:rFonts w:ascii="Times New Roman" w:hAnsi="Times New Roman" w:cs="Times New Roman" w:eastAsia="Times New Roman" w:hint="default"/>
          <w:spacing w:val="23"/>
        </w:rPr>
        <w:t> </w:t>
      </w:r>
      <w:r>
        <w:rPr>
          <w:spacing w:val="-7"/>
        </w:rPr>
        <w:t>股，占公司总股本</w:t>
      </w:r>
      <w:r>
        <w:rPr>
          <w:rFonts w:ascii="Times New Roman" w:hAnsi="Times New Roman" w:cs="Times New Roman" w:eastAsia="Times New Roman" w:hint="default"/>
          <w:spacing w:val="-7"/>
        </w:rPr>
        <w:t>3.04%</w:t>
      </w:r>
      <w:r>
        <w:rPr>
          <w:spacing w:val="-7"/>
        </w:rPr>
        <w:t>，</w:t>
      </w:r>
      <w:r>
        <w:rPr/>
        <w:t> 最高成交价为</w:t>
      </w:r>
      <w:r>
        <w:rPr>
          <w:rFonts w:ascii="Times New Roman" w:hAnsi="Times New Roman" w:cs="Times New Roman" w:eastAsia="Times New Roman" w:hint="default"/>
        </w:rPr>
        <w:t>11.1598</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9.60</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393,365,756.19 </w:t>
      </w:r>
      <w:r>
        <w:rPr/>
        <w:t>元（不含交易费用）。公司回购股份</w:t>
      </w:r>
      <w:r>
        <w:rPr>
          <w:spacing w:val="-60"/>
        </w:rPr>
        <w:t> </w:t>
      </w:r>
      <w:r>
        <w:rPr>
          <w:spacing w:val="-60"/>
        </w:rPr>
      </w:r>
      <w:r>
        <w:rPr/>
        <w:t>符合《回购股份报告书》的相关内容。</w:t>
      </w:r>
    </w:p>
    <w:p>
      <w:pPr>
        <w:spacing w:line="240" w:lineRule="auto" w:before="6"/>
        <w:rPr>
          <w:rFonts w:ascii="宋体" w:hAnsi="宋体" w:cs="宋体" w:eastAsia="宋体" w:hint="default"/>
          <w:sz w:val="21"/>
          <w:szCs w:val="21"/>
        </w:rPr>
      </w:pPr>
    </w:p>
    <w:p>
      <w:pPr>
        <w:spacing w:line="506" w:lineRule="auto" w:before="0"/>
        <w:ind w:left="154" w:right="8583" w:firstLine="0"/>
        <w:jc w:val="left"/>
        <w:rPr>
          <w:rFonts w:ascii="宋体" w:hAnsi="宋体" w:cs="宋体" w:eastAsia="宋体" w:hint="default"/>
          <w:sz w:val="18"/>
          <w:szCs w:val="18"/>
        </w:rPr>
      </w:pPr>
      <w:bookmarkStart w:name="十六、其他重要事项" w:id="435"/>
      <w:bookmarkEnd w:id="435"/>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36"/>
      <w:bookmarkEnd w:id="4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7"/>
        <w:spacing w:line="240" w:lineRule="auto" w:before="150"/>
        <w:ind w:right="0"/>
        <w:jc w:val="left"/>
        <w:rPr>
          <w:b w:val="0"/>
          <w:bCs w:val="0"/>
        </w:rPr>
      </w:pPr>
      <w:bookmarkStart w:name="2、债务重组" w:id="437"/>
      <w:bookmarkEnd w:id="43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3、资产置换" w:id="438"/>
      <w:bookmarkEnd w:id="43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4、年金计划" w:id="439"/>
      <w:bookmarkEnd w:id="43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5、终止经营" w:id="440"/>
      <w:bookmarkEnd w:id="44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bookmarkStart w:name="6、分部信息" w:id="441"/>
      <w:bookmarkEnd w:id="44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bookmarkStart w:name="（1）报告分部的确定依据与会计政策" w:id="442"/>
      <w:bookmarkEnd w:id="44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本公司以内部组织结构、管理要求、内部报告制度、经营业务板块为依据确定经营分部。本公司的经营分部是指同时满</w:t>
      </w:r>
      <w:r>
        <w:rPr/>
        <w:t> 足下列条件的组成部分：</w:t>
      </w:r>
    </w:p>
    <w:p>
      <w:pPr>
        <w:pStyle w:val="BodyText"/>
        <w:spacing w:line="240" w:lineRule="auto" w:before="19"/>
        <w:ind w:left="514"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514" w:right="0"/>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00" w:lineRule="auto" w:before="63"/>
        <w:ind w:left="514" w:right="4362"/>
        <w:jc w:val="left"/>
      </w:pPr>
      <w:r>
        <w:rPr>
          <w:rFonts w:ascii="Times New Roman" w:hAnsi="Times New Roman" w:cs="Times New Roman" w:eastAsia="Times New Roman" w:hint="default"/>
        </w:rPr>
        <w:t>3</w:t>
      </w:r>
      <w:r>
        <w:rPr/>
        <w:t>）能够取得该组成部分的财务状况、经营成果和现金流量等有关会计信息。 据此，本公司报告分部划分为智能制造分部和金融科技分部。</w:t>
      </w:r>
    </w:p>
    <w:p>
      <w:pPr>
        <w:spacing w:line="240" w:lineRule="auto" w:before="6"/>
        <w:rPr>
          <w:rFonts w:ascii="宋体" w:hAnsi="宋体" w:cs="宋体" w:eastAsia="宋体" w:hint="default"/>
          <w:sz w:val="23"/>
          <w:szCs w:val="23"/>
        </w:rPr>
      </w:pPr>
    </w:p>
    <w:p>
      <w:pPr>
        <w:pStyle w:val="Heading7"/>
        <w:spacing w:line="240" w:lineRule="auto"/>
        <w:ind w:right="0"/>
        <w:jc w:val="left"/>
        <w:rPr>
          <w:b w:val="0"/>
          <w:bCs w:val="0"/>
        </w:rPr>
      </w:pPr>
      <w:bookmarkStart w:name="（2）报告分部的财务信息" w:id="443"/>
      <w:bookmarkEnd w:id="44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智能制造分部</w:t>
            </w:r>
          </w:p>
        </w:tc>
        <w:tc>
          <w:tcPr>
            <w:tcW w:w="191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金融科技分部</w:t>
            </w:r>
          </w:p>
        </w:tc>
        <w:tc>
          <w:tcPr>
            <w:tcW w:w="191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3,896,012,054.95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1,120,245,897.53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-5,018,867.94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5,011,239,084.54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3,411,768,109.32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517,464,125.79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3,929,232,235.11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613,700,062.20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248,593,165.21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-673,298,061.53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188,995,165.88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40,054,313.53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10,188,373.74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50,242,687.27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573,645,748.67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238,404,791.47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-673,298,061.53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138,752,478.61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8,505,592,744.87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2,676,745,871.66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-1,748,747,966.84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9,433,590,649.69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1,820,357,825.21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1,291,860,295.74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2,809,938,120.95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7、 其他对投资者决策有影响的重要交易和事项" w:id="444"/>
      <w:bookmarkEnd w:id="444"/>
      <w:r>
        <w:rPr>
          <w:b w:val="0"/>
          <w:bCs w:val="0"/>
        </w:rPr>
      </w:r>
      <w:r>
        <w:rPr>
          <w:rFonts w:ascii="Times New Roman" w:hAnsi="Times New Roman" w:cs="Times New Roman" w:eastAsia="Times New Roman" w:hint="default"/>
        </w:rPr>
        <w:t>7</w:t>
      </w:r>
      <w:r>
        <w:rPr/>
        <w:t>、</w:t>
      </w:r>
      <w:r>
        <w:rPr>
          <w:spacing w:val="-67"/>
        </w:rPr>
        <w:t> </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）关于参与公开挂牌收购并完成工商登记事项</w:t>
      </w:r>
    </w:p>
    <w:p>
      <w:pPr>
        <w:spacing w:line="240" w:lineRule="auto" w:before="2"/>
        <w:rPr>
          <w:rFonts w:ascii="宋体" w:hAnsi="宋体" w:cs="宋体" w:eastAsia="宋体" w:hint="default"/>
          <w:sz w:val="23"/>
          <w:szCs w:val="23"/>
        </w:rPr>
      </w:pPr>
    </w:p>
    <w:p>
      <w:pPr>
        <w:pStyle w:val="BodyText"/>
        <w:spacing w:line="300" w:lineRule="auto"/>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日，公司第三届董事会第二十六次（临时）会议审议通过了《关于参与公开摘牌收购上海和达汽车配件有</w:t>
      </w:r>
      <w:r>
        <w:rPr/>
        <w:t> 限公司</w:t>
      </w:r>
      <w:r>
        <w:rPr>
          <w:rFonts w:ascii="Times New Roman" w:hAnsi="Times New Roman" w:cs="Times New Roman" w:eastAsia="Times New Roman" w:hint="default"/>
        </w:rPr>
        <w:t>75%</w:t>
      </w:r>
      <w:r>
        <w:rPr/>
        <w:t>股权的议案》。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日，上海和达汽车配件有限公司在上海市商务委员会和上海市工商行政管理局办理</w:t>
      </w:r>
      <w:r>
        <w:rPr>
          <w:spacing w:val="-59"/>
        </w:rPr>
        <w:t> </w:t>
      </w:r>
      <w:r>
        <w:rPr>
          <w:spacing w:val="-59"/>
        </w:rPr>
      </w:r>
      <w:r>
        <w:rPr/>
        <w:t>了股东变更登记，公司持有上海和达汽车配件有限公司</w:t>
      </w:r>
      <w:r>
        <w:rPr>
          <w:rFonts w:ascii="Times New Roman" w:hAnsi="Times New Roman" w:cs="Times New Roman" w:eastAsia="Times New Roman" w:hint="default"/>
        </w:rPr>
        <w:t>75%</w:t>
      </w:r>
      <w:r>
        <w:rPr/>
        <w:t>股权，成为其控股股东。</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t>（</w:t>
      </w:r>
      <w:r>
        <w:rPr>
          <w:rFonts w:ascii="Times New Roman" w:hAnsi="Times New Roman" w:cs="Times New Roman" w:eastAsia="Times New Roman" w:hint="default"/>
        </w:rPr>
        <w:t>2</w:t>
      </w:r>
      <w:r>
        <w:rPr/>
        <w:t>）关于全资子公司委托云南信托管理现金资产事宜</w:t>
      </w:r>
    </w:p>
    <w:p>
      <w:pPr>
        <w:spacing w:line="240" w:lineRule="auto" w:before="2"/>
        <w:rPr>
          <w:rFonts w:ascii="宋体" w:hAnsi="宋体" w:cs="宋体" w:eastAsia="宋体" w:hint="default"/>
          <w:sz w:val="23"/>
          <w:szCs w:val="23"/>
        </w:rPr>
      </w:pPr>
    </w:p>
    <w:p>
      <w:pPr>
        <w:pStyle w:val="BodyText"/>
        <w:spacing w:line="302" w:lineRule="auto"/>
        <w:ind w:right="112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日，公司召开了第三届董事会第二十七次（临时）会议，审议批准了《关于全资子公司委托云南信托管理现</w:t>
      </w:r>
      <w:r>
        <w:rPr/>
        <w:t> 金资产的议案》，联动优势科技有限公司拟以不超过</w:t>
      </w:r>
      <w:r>
        <w:rPr>
          <w:rFonts w:ascii="Times New Roman" w:hAnsi="Times New Roman" w:cs="Times New Roman" w:eastAsia="Times New Roman" w:hint="default"/>
        </w:rPr>
        <w:t>2</w:t>
      </w:r>
      <w:r>
        <w:rPr/>
        <w:t>亿元人民币的自有资金，委托云南国际信托有限公司对联动优势科技</w:t>
      </w:r>
      <w:r>
        <w:rPr>
          <w:spacing w:val="-82"/>
        </w:rPr>
        <w:t> </w:t>
      </w:r>
      <w:r>
        <w:rPr>
          <w:spacing w:val="-82"/>
        </w:rPr>
      </w:r>
      <w:r>
        <w:rPr>
          <w:spacing w:val="-2"/>
        </w:rPr>
        <w:t>有限公司自有业务平台进行消费金融服务时发生的消费分期购物及信用卡账单分期场景下指定的合格借款人提供贷款。</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日，联动优势科技有限公司与云南国际信托有限公司签署了《云南信托普惠</w:t>
      </w:r>
      <w:r>
        <w:rPr>
          <w:rFonts w:ascii="Times New Roman" w:hAnsi="Times New Roman" w:cs="Times New Roman" w:eastAsia="Times New Roman" w:hint="default"/>
        </w:rPr>
        <w:t>293</w:t>
      </w:r>
      <w:r>
        <w:rPr/>
        <w:t>号单一资金信托》。公司于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7"/>
        </w:rPr>
        <w:t> </w:t>
      </w:r>
      <w:r>
        <w:rPr>
          <w:spacing w:val="-2"/>
        </w:rPr>
        <w:t>月</w:t>
      </w:r>
      <w:r>
        <w:rPr>
          <w:rFonts w:ascii="Times New Roman" w:hAnsi="Times New Roman" w:cs="Times New Roman" w:eastAsia="Times New Roman" w:hint="default"/>
          <w:spacing w:val="-2"/>
        </w:rPr>
        <w:t>8</w:t>
      </w:r>
      <w:r>
        <w:rPr>
          <w:spacing w:val="-2"/>
        </w:rPr>
        <w:t>日召开的第三届董事会第三十一次（临时）会议审议批准了联动优势以自有资金</w:t>
      </w:r>
      <w:r>
        <w:rPr>
          <w:rFonts w:ascii="Times New Roman" w:hAnsi="Times New Roman" w:cs="Times New Roman" w:eastAsia="Times New Roman" w:hint="default"/>
          <w:spacing w:val="-2"/>
        </w:rPr>
        <w:t>1</w:t>
      </w:r>
      <w:r>
        <w:rPr>
          <w:spacing w:val="-2"/>
        </w:rPr>
        <w:t>亿元追加委托云南国际信托有限公司进</w:t>
      </w:r>
      <w:r>
        <w:rPr>
          <w:spacing w:val="-62"/>
        </w:rPr>
        <w:t> </w:t>
      </w:r>
      <w:r>
        <w:rPr/>
        <w:t>行现金资产管理事项，本次追加认购后，联动优势委托云南国际信托有限公司进行现金资产管理的规模将达到</w:t>
      </w:r>
      <w:r>
        <w:rPr>
          <w:rFonts w:ascii="Times New Roman" w:hAnsi="Times New Roman" w:cs="Times New Roman" w:eastAsia="Times New Roman" w:hint="default"/>
        </w:rPr>
        <w:t>3</w:t>
      </w:r>
      <w:r>
        <w:rPr/>
        <w:t>亿元。该项</w:t>
      </w:r>
      <w:r>
        <w:rPr>
          <w:spacing w:val="-81"/>
        </w:rPr>
        <w:t> </w:t>
      </w:r>
      <w:r>
        <w:rPr/>
        <w:t>业务的相关会计政策详见本报告书第十节财务报告的</w:t>
      </w:r>
      <w:r>
        <w:rPr>
          <w:rFonts w:ascii="Times New Roman" w:hAnsi="Times New Roman" w:cs="Times New Roman" w:eastAsia="Times New Roman" w:hint="default"/>
        </w:rPr>
        <w:t>“</w:t>
      </w:r>
      <w:r>
        <w:rPr/>
        <w:t>四、</w:t>
      </w:r>
      <w:r>
        <w:rPr>
          <w:rFonts w:ascii="Times New Roman" w:hAnsi="Times New Roman" w:cs="Times New Roman" w:eastAsia="Times New Roman" w:hint="default"/>
        </w:rPr>
        <w:t>9”</w:t>
      </w:r>
      <w:r>
        <w:rPr/>
        <w:t>。如果政府监管部门针对该领域的政策发生变化，则可能对该</w:t>
      </w:r>
      <w:r>
        <w:rPr>
          <w:spacing w:val="-67"/>
        </w:rPr>
        <w:t> </w:t>
      </w:r>
      <w:r>
        <w:rPr>
          <w:spacing w:val="-67"/>
        </w:rPr>
      </w:r>
      <w:r>
        <w:rPr>
          <w:spacing w:val="-2"/>
        </w:rPr>
        <w:t>业务发展造成一定不利影响，另外存在合格借款人不能及时还款，导致不能按时收回本金和收益的风险。公司将根据政策监</w:t>
      </w:r>
      <w:r>
        <w:rPr>
          <w:spacing w:val="-66"/>
        </w:rPr>
        <w:t> </w:t>
      </w:r>
      <w:r>
        <w:rPr>
          <w:spacing w:val="-66"/>
        </w:rPr>
      </w:r>
      <w:r>
        <w:rPr/>
        <w:t>管要求及自身业务开展情况，综合考虑该项业务的发展规模。</w:t>
      </w:r>
    </w:p>
    <w:p>
      <w:pPr>
        <w:spacing w:line="240" w:lineRule="auto" w:before="8"/>
        <w:rPr>
          <w:rFonts w:ascii="宋体" w:hAnsi="宋体" w:cs="宋体" w:eastAsia="宋体" w:hint="default"/>
          <w:sz w:val="20"/>
          <w:szCs w:val="20"/>
        </w:rPr>
      </w:pPr>
    </w:p>
    <w:p>
      <w:pPr>
        <w:pStyle w:val="BodyText"/>
        <w:spacing w:line="240" w:lineRule="auto"/>
        <w:ind w:left="514" w:right="0"/>
        <w:jc w:val="left"/>
      </w:pPr>
      <w:r>
        <w:rPr/>
        <w:t>（</w:t>
      </w:r>
      <w:r>
        <w:rPr>
          <w:rFonts w:ascii="Times New Roman" w:hAnsi="Times New Roman" w:cs="Times New Roman" w:eastAsia="Times New Roman" w:hint="default"/>
        </w:rPr>
        <w:t>3</w:t>
      </w:r>
      <w:r>
        <w:rPr/>
        <w:t>）关于与北京车与车科技有限公司签署《技术服务开发合同》事宜</w:t>
      </w:r>
    </w:p>
    <w:p>
      <w:pPr>
        <w:spacing w:line="240" w:lineRule="auto" w:before="2"/>
        <w:rPr>
          <w:rFonts w:ascii="宋体" w:hAnsi="宋体" w:cs="宋体" w:eastAsia="宋体" w:hint="default"/>
          <w:sz w:val="23"/>
          <w:szCs w:val="23"/>
        </w:rPr>
      </w:pPr>
    </w:p>
    <w:p>
      <w:pPr>
        <w:pStyle w:val="BodyText"/>
        <w:spacing w:line="309" w:lineRule="auto"/>
        <w:ind w:right="0" w:firstLine="360"/>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26</w:t>
      </w:r>
      <w:r>
        <w:rPr>
          <w:spacing w:val="-5"/>
        </w:rPr>
        <w:t>日，公司全资子公司联动优势科技有限公司与北京车与车科技有限公司在北京签署了《技术服务开发合同》，</w:t>
      </w:r>
      <w:r>
        <w:rPr/>
        <w:t> </w:t>
      </w:r>
      <w:r>
        <w:rPr>
          <w:spacing w:val="-2"/>
        </w:rPr>
        <w:t>北京车与车科技有限公司委托联动优势科技有限公司根据其具体业务要求，利用区块链联盟链的底层技术架构实现积分轻钱</w:t>
      </w:r>
      <w:r>
        <w:rPr>
          <w:spacing w:val="-64"/>
        </w:rPr>
        <w:t> </w:t>
      </w:r>
      <w:r>
        <w:rPr>
          <w:spacing w:val="-64"/>
        </w:rPr>
      </w:r>
      <w:r>
        <w:rPr/>
        <w:t>包功能，包括支付、提现、退款、对账等，本次技术服务开发费用</w:t>
      </w:r>
      <w:r>
        <w:rPr>
          <w:rFonts w:ascii="Times New Roman" w:hAnsi="Times New Roman" w:cs="Times New Roman" w:eastAsia="Times New Roman" w:hint="default"/>
        </w:rPr>
        <w:t>680</w:t>
      </w:r>
      <w:r>
        <w:rPr/>
        <w:t>万元人民币。</w:t>
      </w:r>
    </w:p>
    <w:p>
      <w:pPr>
        <w:spacing w:line="240" w:lineRule="auto" w:before="9"/>
        <w:rPr>
          <w:rFonts w:ascii="宋体" w:hAnsi="宋体" w:cs="宋体" w:eastAsia="宋体" w:hint="default"/>
          <w:sz w:val="18"/>
          <w:szCs w:val="18"/>
        </w:rPr>
      </w:pPr>
    </w:p>
    <w:p>
      <w:pPr>
        <w:pStyle w:val="BodyText"/>
        <w:spacing w:line="240" w:lineRule="auto"/>
        <w:ind w:left="514" w:right="0"/>
        <w:jc w:val="left"/>
      </w:pPr>
      <w:r>
        <w:rPr/>
        <w:t>（</w:t>
      </w:r>
      <w:r>
        <w:rPr>
          <w:rFonts w:ascii="Times New Roman" w:hAnsi="Times New Roman" w:cs="Times New Roman" w:eastAsia="Times New Roman" w:hint="default"/>
        </w:rPr>
        <w:t>4</w:t>
      </w:r>
      <w:r>
        <w:rPr/>
        <w:t>）关于持股</w:t>
      </w:r>
      <w:r>
        <w:rPr>
          <w:rFonts w:ascii="Times New Roman" w:hAnsi="Times New Roman" w:cs="Times New Roman" w:eastAsia="Times New Roman" w:hint="default"/>
        </w:rPr>
        <w:t>5%</w:t>
      </w:r>
      <w:r>
        <w:rPr/>
        <w:t>以上股东减持完成事宜</w:t>
      </w:r>
    </w:p>
    <w:p>
      <w:pPr>
        <w:spacing w:line="240" w:lineRule="auto" w:before="2"/>
        <w:rPr>
          <w:rFonts w:ascii="宋体" w:hAnsi="宋体" w:cs="宋体" w:eastAsia="宋体" w:hint="default"/>
          <w:sz w:val="23"/>
          <w:szCs w:val="23"/>
        </w:rPr>
      </w:pPr>
    </w:p>
    <w:p>
      <w:pPr>
        <w:pStyle w:val="BodyText"/>
        <w:spacing w:line="300" w:lineRule="auto"/>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日，公司收到持股</w:t>
      </w:r>
      <w:r>
        <w:rPr>
          <w:rFonts w:ascii="Times New Roman" w:hAnsi="Times New Roman" w:cs="Times New Roman" w:eastAsia="Times New Roman" w:hint="default"/>
        </w:rPr>
        <w:t>5%</w:t>
      </w:r>
      <w:r>
        <w:rPr/>
        <w:t>以上股东银联商务股份有限公司出具的《关于股份减持计划实施完成的告知函》，截 至</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日，银联商务股份有限公司减持计划实施完毕，累计减持</w:t>
      </w:r>
      <w:r>
        <w:rPr>
          <w:rFonts w:ascii="Times New Roman" w:hAnsi="Times New Roman" w:cs="Times New Roman" w:eastAsia="Times New Roman" w:hint="default"/>
        </w:rPr>
        <w:t>5,969,972</w:t>
      </w:r>
      <w:r>
        <w:rPr/>
        <w:t>股，占公司总股本的</w:t>
      </w:r>
      <w:r>
        <w:rPr>
          <w:rFonts w:ascii="Times New Roman" w:hAnsi="Times New Roman" w:cs="Times New Roman" w:eastAsia="Times New Roman" w:hint="default"/>
        </w:rPr>
        <w:t>0.48%</w:t>
      </w:r>
      <w:r>
        <w:rPr/>
        <w:t>。</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t>（</w:t>
      </w:r>
      <w:r>
        <w:rPr>
          <w:rFonts w:ascii="Times New Roman" w:hAnsi="Times New Roman" w:cs="Times New Roman" w:eastAsia="Times New Roman" w:hint="default"/>
        </w:rPr>
        <w:t>5</w:t>
      </w:r>
      <w:r>
        <w:rPr/>
        <w:t>）关于参与设立股权投资基金并完成工商登记情况</w:t>
      </w:r>
    </w:p>
    <w:p>
      <w:pPr>
        <w:spacing w:line="240" w:lineRule="auto" w:before="2"/>
        <w:rPr>
          <w:rFonts w:ascii="宋体" w:hAnsi="宋体" w:cs="宋体" w:eastAsia="宋体" w:hint="default"/>
          <w:sz w:val="23"/>
          <w:szCs w:val="23"/>
        </w:rPr>
      </w:pPr>
    </w:p>
    <w:p>
      <w:pPr>
        <w:pStyle w:val="BodyText"/>
        <w:spacing w:line="307" w:lineRule="auto"/>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日，公司召开了第三届董事会第二十七次（临时）会议，审议批准了《关于参与设立股权投资基金暨关联交</w:t>
      </w:r>
      <w:r>
        <w:rPr/>
        <w:t> </w:t>
      </w:r>
      <w:r>
        <w:rPr>
          <w:spacing w:val="-2"/>
        </w:rPr>
        <w:t>易的议案》，本公司拟在雄安新区与上海稳实投资管理中心（普通合伙）、茂业通信网络股份有限公司共同设立股权投资基</w:t>
      </w:r>
      <w:r>
        <w:rPr>
          <w:spacing w:val="-65"/>
        </w:rPr>
        <w:t> </w:t>
      </w:r>
      <w:r>
        <w:rPr>
          <w:spacing w:val="-65"/>
        </w:rPr>
      </w:r>
      <w:r>
        <w:rPr>
          <w:spacing w:val="-1"/>
        </w:rPr>
        <w:t>金（并购</w:t>
      </w:r>
      <w:r>
        <w:rPr>
          <w:rFonts w:ascii="Times New Roman" w:hAnsi="Times New Roman" w:cs="Times New Roman" w:eastAsia="Times New Roman" w:hint="default"/>
          <w:spacing w:val="-1"/>
        </w:rPr>
        <w:t>/</w:t>
      </w:r>
      <w:r>
        <w:rPr>
          <w:spacing w:val="-1"/>
        </w:rPr>
        <w:t>产业），本公司拟出资</w:t>
      </w:r>
      <w:r>
        <w:rPr>
          <w:rFonts w:ascii="Times New Roman" w:hAnsi="Times New Roman" w:cs="Times New Roman" w:eastAsia="Times New Roman" w:hint="default"/>
          <w:spacing w:val="-1"/>
        </w:rPr>
        <w:t>15,000</w:t>
      </w:r>
      <w:r>
        <w:rPr>
          <w:spacing w:val="-1"/>
        </w:rPr>
        <w:t>万元，持股比例</w:t>
      </w:r>
      <w:r>
        <w:rPr>
          <w:rFonts w:ascii="Times New Roman" w:hAnsi="Times New Roman" w:cs="Times New Roman" w:eastAsia="Times New Roman" w:hint="default"/>
          <w:spacing w:val="-1"/>
        </w:rPr>
        <w:t>49.8339%</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日，公司参与设立的股权投资基金已经完成</w:t>
      </w:r>
      <w:r>
        <w:rPr>
          <w:spacing w:val="-44"/>
        </w:rPr>
        <w:t> </w:t>
      </w:r>
      <w:r>
        <w:rPr>
          <w:spacing w:val="-44"/>
        </w:rPr>
      </w:r>
      <w:r>
        <w:rPr/>
        <w:t>备案登记并取得了河北雄安新区公共服务局核准颁发的营业执照。</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6</w:t>
      </w:r>
      <w:r>
        <w:rPr/>
        <w:t>）限售股解除限售并上市流通</w:t>
      </w:r>
    </w:p>
    <w:p>
      <w:pPr>
        <w:spacing w:line="240" w:lineRule="auto" w:before="2"/>
        <w:rPr>
          <w:rFonts w:ascii="宋体" w:hAnsi="宋体" w:cs="宋体" w:eastAsia="宋体" w:hint="default"/>
          <w:sz w:val="23"/>
          <w:szCs w:val="23"/>
        </w:rPr>
      </w:pPr>
    </w:p>
    <w:p>
      <w:pPr>
        <w:pStyle w:val="BodyText"/>
        <w:spacing w:line="300" w:lineRule="auto"/>
        <w:ind w:right="0" w:firstLine="36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日，博升优势持有的本公司限售股中的</w:t>
      </w:r>
      <w:r>
        <w:rPr>
          <w:rFonts w:ascii="Times New Roman" w:hAnsi="Times New Roman" w:cs="Times New Roman" w:eastAsia="Times New Roman" w:hint="default"/>
          <w:spacing w:val="-1"/>
        </w:rPr>
        <w:t>39,404,848</w:t>
      </w:r>
      <w:r>
        <w:rPr>
          <w:spacing w:val="-1"/>
        </w:rPr>
        <w:t>股解除限售并上市流通，占公司总股本</w:t>
      </w:r>
      <w:r>
        <w:rPr>
          <w:rFonts w:ascii="Times New Roman" w:hAnsi="Times New Roman" w:cs="Times New Roman" w:eastAsia="Times New Roman" w:hint="default"/>
          <w:spacing w:val="-1"/>
        </w:rPr>
        <w:t>3.1490%</w:t>
      </w:r>
      <w:r>
        <w:rPr>
          <w:spacing w:val="-1"/>
        </w:rPr>
        <w:t>，本次解</w:t>
      </w:r>
      <w:r>
        <w:rPr/>
        <w:t> 除限售后，博升优势将继续锁定</w:t>
      </w:r>
      <w:r>
        <w:rPr>
          <w:rFonts w:ascii="Times New Roman" w:hAnsi="Times New Roman" w:cs="Times New Roman" w:eastAsia="Times New Roman" w:hint="default"/>
        </w:rPr>
        <w:t>42,833,136</w:t>
      </w:r>
      <w:r>
        <w:rPr/>
        <w:t>股股份。</w:t>
      </w:r>
    </w:p>
    <w:p>
      <w:pPr>
        <w:spacing w:line="240" w:lineRule="auto" w:before="5"/>
        <w:rPr>
          <w:rFonts w:ascii="宋体" w:hAnsi="宋体" w:cs="宋体" w:eastAsia="宋体" w:hint="default"/>
          <w:sz w:val="19"/>
          <w:szCs w:val="19"/>
        </w:rPr>
      </w:pPr>
    </w:p>
    <w:p>
      <w:pPr>
        <w:pStyle w:val="BodyText"/>
        <w:spacing w:line="240" w:lineRule="auto"/>
        <w:ind w:left="514" w:right="0"/>
        <w:jc w:val="left"/>
      </w:pPr>
      <w:r>
        <w:rPr/>
        <w:t>（</w:t>
      </w:r>
      <w:r>
        <w:rPr>
          <w:rFonts w:ascii="Times New Roman" w:hAnsi="Times New Roman" w:cs="Times New Roman" w:eastAsia="Times New Roman" w:hint="default"/>
        </w:rPr>
        <w:t>7</w:t>
      </w:r>
      <w:r>
        <w:rPr/>
        <w:t>）关于股权激励的进展情况</w:t>
      </w:r>
    </w:p>
    <w:p>
      <w:pPr>
        <w:spacing w:line="240" w:lineRule="auto" w:before="2"/>
        <w:rPr>
          <w:rFonts w:ascii="宋体" w:hAnsi="宋体" w:cs="宋体" w:eastAsia="宋体" w:hint="default"/>
          <w:sz w:val="23"/>
          <w:szCs w:val="23"/>
        </w:rPr>
      </w:pPr>
    </w:p>
    <w:p>
      <w:pPr>
        <w:pStyle w:val="BodyText"/>
        <w:spacing w:line="300" w:lineRule="auto"/>
        <w:ind w:right="103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日，公司召开的第三届董事会第三十三次（临时）会议审议通过了《关于公司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6"/>
        </w:rPr>
        <w:t> </w:t>
      </w:r>
      <w:r>
        <w:rPr/>
        <w:t>年限制性股票激励计 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&lt;2018 </w:t>
      </w:r>
      <w:r>
        <w:rPr/>
        <w:t>年限制性股票激励计划实施考核管理办法</w:t>
      </w:r>
      <w:r>
        <w:rPr>
          <w:rFonts w:ascii="Times New Roman" w:hAnsi="Times New Roman" w:cs="Times New Roman" w:eastAsia="Times New Roman" w:hint="default"/>
        </w:rPr>
        <w:t>&gt;</w:t>
      </w:r>
      <w:r>
        <w:rPr/>
        <w:t>的议案》、《关于提请股东</w:t>
      </w:r>
      <w:r>
        <w:rPr>
          <w:spacing w:val="-36"/>
        </w:rPr>
        <w:t> </w:t>
      </w:r>
      <w:r>
        <w:rPr>
          <w:spacing w:val="-36"/>
        </w:rPr>
      </w:r>
      <w:r>
        <w:rPr/>
        <w:t>大会授权董事会办理限制性股票激励计划相关事宜的议案》，公司向</w:t>
      </w:r>
      <w:r>
        <w:rPr>
          <w:rFonts w:ascii="Times New Roman" w:hAnsi="Times New Roman" w:cs="Times New Roman" w:eastAsia="Times New Roman" w:hint="default"/>
        </w:rPr>
        <w:t>24</w:t>
      </w:r>
      <w:r>
        <w:rPr/>
        <w:t>名激励对象授予</w:t>
      </w:r>
      <w:r>
        <w:rPr>
          <w:rFonts w:ascii="Times New Roman" w:hAnsi="Times New Roman" w:cs="Times New Roman" w:eastAsia="Times New Roman" w:hint="default"/>
        </w:rPr>
        <w:t>950</w:t>
      </w:r>
      <w:r>
        <w:rPr/>
        <w:t>万股限制性股票；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37"/>
        </w:rPr>
        <w:t> </w:t>
      </w:r>
      <w:r>
        <w:rPr>
          <w:spacing w:val="-2"/>
        </w:rPr>
        <w:t>日，公司披露了《监事会关于</w:t>
      </w:r>
      <w:r>
        <w:rPr>
          <w:rFonts w:ascii="Times New Roman" w:hAnsi="Times New Roman" w:cs="Times New Roman" w:eastAsia="Times New Roman" w:hint="default"/>
          <w:spacing w:val="-2"/>
        </w:rPr>
        <w:t>2018</w:t>
      </w:r>
      <w:r>
        <w:rPr>
          <w:spacing w:val="-2"/>
        </w:rPr>
        <w:t>年限制性股票激励计划激励对象名单的核查意见及公示情况说明》。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w:t>
      </w:r>
      <w:r>
        <w:rPr>
          <w:spacing w:val="-54"/>
        </w:rPr>
        <w:t> </w:t>
      </w:r>
      <w:r>
        <w:rPr>
          <w:spacing w:val="-54"/>
        </w:rPr>
      </w:r>
      <w:r>
        <w:rPr/>
        <w:t>司召开的</w:t>
      </w:r>
      <w:r>
        <w:rPr>
          <w:rFonts w:ascii="Times New Roman" w:hAnsi="Times New Roman" w:cs="Times New Roman" w:eastAsia="Times New Roman" w:hint="default"/>
        </w:rPr>
        <w:t>2018</w:t>
      </w:r>
      <w:r>
        <w:rPr/>
        <w:t>年第三次临时股东大会审议通过了《关于公司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16"/>
        </w:rPr>
        <w:t> </w:t>
      </w:r>
      <w:r>
        <w:rPr>
          <w:spacing w:val="-6"/>
        </w:rPr>
        <w:t>年限制性股票激励计划（草案）</w:t>
      </w:r>
      <w:r>
        <w:rPr>
          <w:rFonts w:ascii="Times New Roman" w:hAnsi="Times New Roman" w:cs="Times New Roman" w:eastAsia="Times New Roman" w:hint="default"/>
          <w:spacing w:val="-6"/>
        </w:rPr>
        <w:t>&gt;</w:t>
      </w:r>
      <w:r>
        <w:rPr>
          <w:spacing w:val="-6"/>
        </w:rPr>
        <w:t>及其摘要的议案》、《关</w:t>
      </w:r>
      <w:r>
        <w:rPr/>
        <w:t> 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27"/>
        </w:rPr>
        <w:t> </w:t>
      </w:r>
      <w:r>
        <w:rPr/>
        <w:t>年限制性股票激励计划实施考核管理办法</w:t>
      </w:r>
      <w:r>
        <w:rPr>
          <w:rFonts w:ascii="Times New Roman" w:hAnsi="Times New Roman" w:cs="Times New Roman" w:eastAsia="Times New Roman" w:hint="default"/>
        </w:rPr>
        <w:t>&gt;</w:t>
      </w:r>
      <w:r>
        <w:rPr/>
        <w:t>的议案》以及《关于提请公司股东大会授权董事会办理限制性股票 </w:t>
      </w:r>
      <w:r>
        <w:rPr>
          <w:spacing w:val="-3"/>
        </w:rPr>
        <w:t>激励计划相关事宜的议案》。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7</w:t>
      </w:r>
      <w:r>
        <w:rPr>
          <w:spacing w:val="-3"/>
        </w:rPr>
        <w:t>日，公司召开的第四届董事会第二次（临时）会议和第四届监事会第二次（临时）</w:t>
      </w:r>
      <w:r>
        <w:rPr/>
        <w:t> 会议，审议通过了《关于调整</w:t>
      </w:r>
      <w:r>
        <w:rPr>
          <w:rFonts w:ascii="Times New Roman" w:hAnsi="Times New Roman" w:cs="Times New Roman" w:eastAsia="Times New Roman" w:hint="default"/>
        </w:rPr>
        <w:t>2018</w:t>
      </w:r>
      <w:r>
        <w:rPr/>
        <w:t>年限制性股票激励计划相关事项的议案》和《关于向激励对象授予限制性股票的议案》；</w:t>
      </w:r>
      <w:r>
        <w:rPr>
          <w:spacing w:val="-85"/>
        </w:rPr>
        <w:t> </w:t>
      </w:r>
      <w:r>
        <w:rPr>
          <w:spacing w:val="-8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日公司完成了</w:t>
      </w:r>
      <w:r>
        <w:rPr>
          <w:rFonts w:ascii="Times New Roman" w:hAnsi="Times New Roman" w:cs="Times New Roman" w:eastAsia="Times New Roman" w:hint="default"/>
        </w:rPr>
        <w:t>2018</w:t>
      </w:r>
      <w:r>
        <w:rPr/>
        <w:t>年限制性股票激励计划授予登记工作。</w:t>
      </w:r>
    </w:p>
    <w:p>
      <w:pPr>
        <w:spacing w:line="240" w:lineRule="auto" w:before="4"/>
        <w:rPr>
          <w:rFonts w:ascii="宋体" w:hAnsi="宋体" w:cs="宋体" w:eastAsia="宋体" w:hint="default"/>
          <w:sz w:val="19"/>
          <w:szCs w:val="19"/>
        </w:rPr>
      </w:pPr>
    </w:p>
    <w:p>
      <w:pPr>
        <w:pStyle w:val="BodyText"/>
        <w:spacing w:line="240" w:lineRule="auto"/>
        <w:ind w:left="514" w:right="0"/>
        <w:jc w:val="left"/>
      </w:pPr>
      <w:r>
        <w:rPr/>
        <w:t>（</w:t>
      </w:r>
      <w:r>
        <w:rPr>
          <w:rFonts w:ascii="Times New Roman" w:hAnsi="Times New Roman" w:cs="Times New Roman" w:eastAsia="Times New Roman" w:hint="default"/>
        </w:rPr>
        <w:t>8</w:t>
      </w:r>
      <w:r>
        <w:rPr/>
        <w:t>）关于变更部分回购股份用途的情况</w:t>
      </w:r>
    </w:p>
    <w:p>
      <w:pPr>
        <w:spacing w:line="240" w:lineRule="auto" w:before="2"/>
        <w:rPr>
          <w:rFonts w:ascii="宋体" w:hAnsi="宋体" w:cs="宋体" w:eastAsia="宋体" w:hint="default"/>
          <w:sz w:val="23"/>
          <w:szCs w:val="23"/>
        </w:rPr>
      </w:pPr>
    </w:p>
    <w:p>
      <w:pPr>
        <w:pStyle w:val="BodyText"/>
        <w:spacing w:line="302" w:lineRule="auto"/>
        <w:ind w:right="1129" w:firstLine="433"/>
        <w:jc w:val="both"/>
      </w:pPr>
      <w:r>
        <w:rPr>
          <w:spacing w:val="-1"/>
        </w:rPr>
        <w:t>海联金汇科技股份有限公司（以下简称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海联金汇</w:t>
      </w:r>
      <w:r>
        <w:rPr>
          <w:rFonts w:ascii="Times New Roman" w:hAnsi="Times New Roman" w:cs="Times New Roman" w:eastAsia="Times New Roman" w:hint="default"/>
          <w:spacing w:val="-1"/>
        </w:rPr>
        <w:t>”</w:t>
      </w:r>
      <w:r>
        <w:rPr>
          <w:spacing w:val="-1"/>
        </w:rPr>
        <w:t>）分别于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日召开了第三届董</w:t>
      </w:r>
      <w:r>
        <w:rPr/>
        <w:t> </w:t>
      </w:r>
      <w:r>
        <w:rPr>
          <w:spacing w:val="-5"/>
        </w:rPr>
        <w:t>事会第二十七次（临时）会议、</w:t>
      </w:r>
      <w:r>
        <w:rPr>
          <w:rFonts w:ascii="Times New Roman" w:hAnsi="Times New Roman" w:cs="Times New Roman" w:eastAsia="Times New Roman" w:hint="default"/>
          <w:spacing w:val="-5"/>
        </w:rPr>
        <w:t>2018</w:t>
      </w:r>
      <w:r>
        <w:rPr>
          <w:spacing w:val="-5"/>
        </w:rPr>
        <w:t>年第一次临时股东大会，审议通过了《关于回购公司股份以实施股权激励的议案》、《关</w:t>
      </w:r>
      <w:r>
        <w:rPr>
          <w:spacing w:val="-71"/>
        </w:rPr>
        <w:t> </w:t>
      </w:r>
      <w:r>
        <w:rPr>
          <w:spacing w:val="-71"/>
        </w:rPr>
      </w:r>
      <w:r>
        <w:rPr>
          <w:spacing w:val="-2"/>
        </w:rPr>
        <w:t>于提请股东大会授权公司董事会全权办理回购股份以实施股权激励相关事宜的议案》，并披露了《关于回购公司股份以实施</w:t>
      </w:r>
      <w:r>
        <w:rPr>
          <w:spacing w:val="-65"/>
        </w:rPr>
        <w:t> </w:t>
      </w:r>
      <w:r>
        <w:rPr>
          <w:spacing w:val="-65"/>
        </w:rPr>
      </w:r>
      <w:r>
        <w:rPr/>
        <w:t>股权激励的预案》《回购股份报告书》，同意公司使用自筹资金不超过人民币</w:t>
      </w:r>
      <w:r>
        <w:rPr>
          <w:spacing w:val="21"/>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亿元（含）以集中竞价交易的方式回购</w:t>
      </w:r>
      <w:r>
        <w:rPr>
          <w:spacing w:val="-82"/>
        </w:rPr>
        <w:t> </w:t>
      </w:r>
      <w:r>
        <w:rPr>
          <w:spacing w:val="-82"/>
        </w:rPr>
      </w:r>
      <w:r>
        <w:rPr>
          <w:spacing w:val="-5"/>
        </w:rPr>
        <w:t>公司股份用于后期股权激励计划。截至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7</w:t>
      </w:r>
      <w:r>
        <w:rPr>
          <w:spacing w:val="-5"/>
        </w:rPr>
        <w:t>日，公司本次回购股份计划已全部实施完毕，累计回购股份</w:t>
      </w:r>
      <w:r>
        <w:rPr>
          <w:rFonts w:ascii="Times New Roman" w:hAnsi="Times New Roman" w:cs="Times New Roman" w:eastAsia="Times New Roman" w:hint="default"/>
          <w:spacing w:val="-5"/>
        </w:rPr>
        <w:t>13,614,856</w:t>
      </w:r>
      <w:r>
        <w:rPr>
          <w:rFonts w:ascii="Times New Roman" w:hAnsi="Times New Roman" w:cs="Times New Roman" w:eastAsia="Times New Roman" w:hint="default"/>
          <w:spacing w:val="32"/>
        </w:rPr>
        <w:t> </w:t>
      </w:r>
      <w:r>
        <w:rPr/>
        <w:t>股，</w:t>
      </w:r>
      <w:r>
        <w:rPr>
          <w:spacing w:val="-82"/>
        </w:rPr>
        <w:t> </w:t>
      </w:r>
      <w:r>
        <w:rPr/>
        <w:t>占公司总股本的</w:t>
      </w:r>
      <w:r>
        <w:rPr>
          <w:spacing w:val="-5"/>
        </w:rPr>
        <w:t> </w:t>
      </w:r>
      <w:r>
        <w:rPr>
          <w:rFonts w:ascii="Times New Roman" w:hAnsi="Times New Roman" w:cs="Times New Roman" w:eastAsia="Times New Roman" w:hint="default"/>
          <w:spacing w:val="-2"/>
        </w:rPr>
        <w:t>1.09%</w:t>
      </w:r>
      <w:r>
        <w:rPr>
          <w:spacing w:val="-2"/>
        </w:rPr>
        <w:t>。公司第三届董事会第三十三次（临时）会议及公司第三届监事会第三十二次（临时）会议审议通过</w:t>
      </w:r>
      <w:r>
        <w:rPr>
          <w:spacing w:val="-88"/>
        </w:rPr>
        <w:t> </w:t>
      </w:r>
      <w:r>
        <w:rPr>
          <w:spacing w:val="-88"/>
        </w:rPr>
      </w:r>
      <w:r>
        <w:rPr>
          <w:spacing w:val="-2"/>
        </w:rPr>
        <w:t>了《关于变更部分回购股份用途的议案》，结合公司发展战略和股权激励计划，董事会同意将公司已回购的</w:t>
      </w:r>
      <w:r>
        <w:rPr>
          <w:rFonts w:ascii="Times New Roman" w:hAnsi="Times New Roman" w:cs="Times New Roman" w:eastAsia="Times New Roman" w:hint="default"/>
          <w:spacing w:val="-2"/>
        </w:rPr>
        <w:t>13,614,856</w:t>
      </w:r>
      <w:r>
        <w:rPr>
          <w:rFonts w:ascii="Times New Roman" w:hAnsi="Times New Roman" w:cs="Times New Roman" w:eastAsia="Times New Roman" w:hint="default"/>
          <w:spacing w:val="25"/>
        </w:rPr>
        <w:t> </w:t>
      </w:r>
      <w:r>
        <w:rPr/>
        <w:t>股中</w:t>
      </w:r>
      <w:r>
        <w:rPr>
          <w:spacing w:val="-85"/>
        </w:rPr>
        <w:t> </w:t>
      </w:r>
      <w:r>
        <w:rPr>
          <w:spacing w:val="2"/>
        </w:rPr>
        <w:t>的</w:t>
      </w:r>
      <w:r>
        <w:rPr>
          <w:rFonts w:ascii="Times New Roman" w:hAnsi="Times New Roman" w:cs="Times New Roman" w:eastAsia="Times New Roman" w:hint="default"/>
          <w:spacing w:val="2"/>
        </w:rPr>
        <w:t>4,014,856</w:t>
      </w:r>
      <w:r>
        <w:rPr>
          <w:spacing w:val="2"/>
        </w:rPr>
        <w:t>股变更用于注销以减少注册资本，占已回购股数的</w:t>
      </w:r>
      <w:r>
        <w:rPr>
          <w:rFonts w:ascii="Times New Roman" w:hAnsi="Times New Roman" w:cs="Times New Roman" w:eastAsia="Times New Roman" w:hint="default"/>
          <w:spacing w:val="2"/>
        </w:rPr>
        <w:t>29.49%</w:t>
      </w:r>
      <w:r>
        <w:rPr>
          <w:spacing w:val="2"/>
        </w:rPr>
        <w:t>，占公司总股本的</w:t>
      </w:r>
      <w:r>
        <w:rPr>
          <w:rFonts w:ascii="Times New Roman" w:hAnsi="Times New Roman" w:cs="Times New Roman" w:eastAsia="Times New Roman" w:hint="default"/>
          <w:spacing w:val="2"/>
        </w:rPr>
        <w:t>0.32%</w:t>
      </w:r>
      <w:r>
        <w:rPr>
          <w:spacing w:val="2"/>
        </w:rPr>
        <w:t>。本次变更后公司总股本由</w:t>
      </w:r>
      <w:r>
        <w:rPr>
          <w:spacing w:val="-80"/>
        </w:rPr>
        <w:t> </w:t>
      </w:r>
      <w:r>
        <w:rPr>
          <w:spacing w:val="-80"/>
        </w:rPr>
      </w:r>
      <w:r>
        <w:rPr>
          <w:rFonts w:ascii="Times New Roman" w:hAnsi="Times New Roman" w:cs="Times New Roman" w:eastAsia="Times New Roman" w:hint="default"/>
        </w:rPr>
        <w:t>1,251,350,095</w:t>
      </w:r>
      <w:r>
        <w:rPr/>
        <w:t>股变更为</w:t>
      </w:r>
      <w:r>
        <w:rPr>
          <w:rFonts w:ascii="Times New Roman" w:hAnsi="Times New Roman" w:cs="Times New Roman" w:eastAsia="Times New Roman" w:hint="default"/>
        </w:rPr>
        <w:t>1,247,335,239</w:t>
      </w:r>
      <w:r>
        <w:rPr/>
        <w:t>股。</w:t>
      </w:r>
    </w:p>
    <w:p>
      <w:pPr>
        <w:pStyle w:val="BodyText"/>
        <w:spacing w:line="552" w:lineRule="exact" w:before="19"/>
        <w:ind w:left="514" w:right="0"/>
        <w:jc w:val="left"/>
      </w:pPr>
      <w:r>
        <w:rPr/>
        <w:t>（</w:t>
      </w:r>
      <w:r>
        <w:rPr>
          <w:rFonts w:ascii="Times New Roman" w:hAnsi="Times New Roman" w:cs="Times New Roman" w:eastAsia="Times New Roman" w:hint="default"/>
        </w:rPr>
        <w:t>9</w:t>
      </w:r>
      <w:r>
        <w:rPr/>
        <w:t>）关于宁波产融创享股权投资合伙企业（有限合伙</w:t>
      </w:r>
      <w:r>
        <w:rPr>
          <w:rFonts w:ascii="Times New Roman" w:hAnsi="Times New Roman" w:cs="Times New Roman" w:eastAsia="Times New Roman" w:hint="default"/>
        </w:rPr>
        <w:t>)</w:t>
      </w:r>
      <w:r>
        <w:rPr/>
        <w:t>的进展情况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日召开的第三届董事会第三十三次（临时）会议审议通过了《关于使用自筹资金投资有限合伙企业</w:t>
      </w:r>
    </w:p>
    <w:p>
      <w:pPr>
        <w:pStyle w:val="BodyText"/>
        <w:spacing w:line="300" w:lineRule="auto"/>
        <w:ind w:right="1131"/>
        <w:jc w:val="both"/>
      </w:pPr>
      <w:r>
        <w:rPr/>
        <w:t>的议案》，同意公司使用自筹资金</w:t>
      </w:r>
      <w:r>
        <w:rPr>
          <w:rFonts w:ascii="Times New Roman" w:hAnsi="Times New Roman" w:cs="Times New Roman" w:eastAsia="Times New Roman" w:hint="default"/>
        </w:rPr>
        <w:t>3</w:t>
      </w:r>
      <w:r>
        <w:rPr/>
        <w:t>亿元人民币以有限合伙人身份入伙宁波产融创享股权投资合伙企业（有限合伙）（以下</w:t>
      </w:r>
      <w:r>
        <w:rPr>
          <w:spacing w:val="-83"/>
        </w:rPr>
        <w:t> </w:t>
      </w:r>
      <w:r>
        <w:rPr>
          <w:spacing w:val="-83"/>
        </w:rPr>
      </w:r>
      <w:r>
        <w:rPr/>
        <w:t>简称</w:t>
      </w:r>
      <w:r>
        <w:rPr>
          <w:rFonts w:ascii="Times New Roman" w:hAnsi="Times New Roman" w:cs="Times New Roman" w:eastAsia="Times New Roman" w:hint="default"/>
        </w:rPr>
        <w:t>“</w:t>
      </w:r>
      <w:r>
        <w:rPr/>
        <w:t>合伙企业</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日签订了《宁波产融创享股权投资合伙企业（有限合伙）合伙协议》。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22"/>
        </w:rPr>
        <w:t> </w:t>
      </w:r>
      <w:r>
        <w:rPr/>
        <w:t>日，公司完成了工商登记并换发了新的营业执照。</w:t>
      </w:r>
    </w:p>
    <w:p>
      <w:pPr>
        <w:pStyle w:val="BodyText"/>
        <w:spacing w:line="552" w:lineRule="exact" w:before="40"/>
        <w:ind w:left="514" w:right="1122"/>
        <w:jc w:val="left"/>
      </w:pPr>
      <w:r>
        <w:rPr/>
        <w:t>（</w:t>
      </w:r>
      <w:r>
        <w:rPr>
          <w:rFonts w:ascii="Times New Roman" w:hAnsi="Times New Roman" w:cs="Times New Roman" w:eastAsia="Times New Roman" w:hint="default"/>
        </w:rPr>
        <w:t>10</w:t>
      </w:r>
      <w:r>
        <w:rPr/>
        <w:t>）关于回购的进展情况 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日召开了第三届董事会第二十七次（临时）会议、</w:t>
      </w:r>
      <w:r>
        <w:rPr>
          <w:rFonts w:ascii="Times New Roman" w:hAnsi="Times New Roman" w:cs="Times New Roman" w:eastAsia="Times New Roman" w:hint="default"/>
        </w:rPr>
        <w:t>2018</w:t>
      </w:r>
      <w:r>
        <w:rPr/>
        <w:t>年第一次临时股东大会，审议</w:t>
      </w:r>
    </w:p>
    <w:p>
      <w:pPr>
        <w:pStyle w:val="BodyText"/>
        <w:spacing w:line="309" w:lineRule="auto"/>
        <w:ind w:right="1129"/>
        <w:jc w:val="both"/>
      </w:pPr>
      <w:r>
        <w:rPr/>
        <w:t>通过了《关</w:t>
      </w:r>
      <w:r>
        <w:rPr>
          <w:spacing w:val="7"/>
        </w:rPr>
        <w:t> </w:t>
      </w:r>
      <w:r>
        <w:rPr/>
        <w:t>于回购公司股份以实施股权激励的议案》、《关于提请股东大会授权公司董事会全权办理回购股份以实施股权</w:t>
      </w:r>
      <w:r>
        <w:rPr/>
        <w:t> </w:t>
      </w:r>
      <w:r>
        <w:rPr>
          <w:spacing w:val="-2"/>
        </w:rPr>
        <w:t>激励相关事宜的议案》，截至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日，本次回购计划实施完毕，累计回购股份</w:t>
      </w:r>
      <w:r>
        <w:rPr>
          <w:rFonts w:ascii="Times New Roman" w:hAnsi="Times New Roman" w:cs="Times New Roman" w:eastAsia="Times New Roman" w:hint="default"/>
          <w:spacing w:val="-2"/>
        </w:rPr>
        <w:t>13,614,856</w:t>
      </w:r>
      <w:r>
        <w:rPr>
          <w:spacing w:val="-2"/>
        </w:rPr>
        <w:t>股，占公司总股本的</w:t>
      </w:r>
      <w:r>
        <w:rPr>
          <w:rFonts w:ascii="Times New Roman" w:hAnsi="Times New Roman" w:cs="Times New Roman" w:eastAsia="Times New Roman" w:hint="default"/>
          <w:spacing w:val="-2"/>
        </w:rPr>
        <w:t>1.09%</w:t>
      </w:r>
      <w:r>
        <w:rPr>
          <w:spacing w:val="-2"/>
        </w:rPr>
        <w:t>，</w:t>
      </w:r>
      <w:r>
        <w:rPr>
          <w:spacing w:val="-62"/>
        </w:rPr>
        <w:t> </w:t>
      </w:r>
      <w:r>
        <w:rPr/>
        <w:t>最高成交价为 </w:t>
      </w:r>
      <w:r>
        <w:rPr>
          <w:rFonts w:ascii="Times New Roman" w:hAnsi="Times New Roman" w:cs="Times New Roman" w:eastAsia="Times New Roman" w:hint="default"/>
        </w:rPr>
        <w:t>12.20 </w:t>
      </w:r>
      <w:r>
        <w:rPr/>
        <w:t>元</w:t>
      </w:r>
      <w:r>
        <w:rPr>
          <w:rFonts w:ascii="Times New Roman" w:hAnsi="Times New Roman" w:cs="Times New Roman" w:eastAsia="Times New Roman" w:hint="default"/>
        </w:rPr>
        <w:t>/</w:t>
      </w:r>
      <w:r>
        <w:rPr/>
        <w:t>股，最低成交价为 </w:t>
      </w:r>
      <w:r>
        <w:rPr>
          <w:rFonts w:ascii="Times New Roman" w:hAnsi="Times New Roman" w:cs="Times New Roman" w:eastAsia="Times New Roman" w:hint="default"/>
        </w:rPr>
        <w:t>9.05 </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149,966,501.17</w:t>
      </w:r>
      <w:r>
        <w:rPr>
          <w:rFonts w:ascii="Times New Roman" w:hAnsi="Times New Roman" w:cs="Times New Roman" w:eastAsia="Times New Roman" w:hint="default"/>
          <w:spacing w:val="37"/>
        </w:rPr>
        <w:t> </w:t>
      </w:r>
      <w:r>
        <w:rPr/>
        <w:t>元（不含交易费用及利息收入）。</w:t>
      </w:r>
    </w:p>
    <w:p>
      <w:pPr>
        <w:spacing w:line="240" w:lineRule="auto" w:before="10"/>
        <w:rPr>
          <w:rFonts w:ascii="宋体" w:hAnsi="宋体" w:cs="宋体" w:eastAsia="宋体" w:hint="default"/>
          <w:sz w:val="18"/>
          <w:szCs w:val="18"/>
        </w:rPr>
      </w:pPr>
    </w:p>
    <w:p>
      <w:pPr>
        <w:pStyle w:val="BodyText"/>
        <w:spacing w:line="307" w:lineRule="auto"/>
        <w:ind w:right="1130" w:firstLine="360"/>
        <w:jc w:val="both"/>
      </w:pPr>
      <w:r>
        <w:rPr/>
        <w:t>公司分别于</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日召开了第三届董事会第三十一次（临时）会议、</w:t>
      </w:r>
      <w:r>
        <w:rPr>
          <w:rFonts w:ascii="Times New Roman" w:hAnsi="Times New Roman" w:cs="Times New Roman" w:eastAsia="Times New Roman" w:hint="default"/>
          <w:spacing w:val="-2"/>
        </w:rPr>
        <w:t>2018</w:t>
      </w:r>
      <w:r>
        <w:rPr>
          <w:spacing w:val="-2"/>
        </w:rPr>
        <w:t>年第二次临时股东大会，审议</w:t>
      </w:r>
      <w:r>
        <w:rPr/>
        <w:t> </w:t>
      </w:r>
      <w:r>
        <w:rPr>
          <w:spacing w:val="-2"/>
        </w:rPr>
        <w:t>通过了《关于采用集中竞价方式回购公司股份的预案》、《关于提请股东大会授权公司董事会全权办理回购股份相关事宜的</w:t>
      </w:r>
      <w:r>
        <w:rPr>
          <w:spacing w:val="-65"/>
        </w:rPr>
        <w:t> </w:t>
      </w:r>
      <w:r>
        <w:rPr>
          <w:spacing w:val="-65"/>
        </w:rPr>
      </w:r>
      <w:r>
        <w:rPr/>
        <w:t>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日披露了《回购股份报告书》公司于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日首次以集中竞价方式实施回购股份，回购股份</w:t>
      </w:r>
      <w:r>
        <w:rPr>
          <w:spacing w:val="-83"/>
        </w:rPr>
        <w:t> </w:t>
      </w:r>
      <w:r>
        <w:rPr>
          <w:spacing w:val="-83"/>
        </w:rPr>
      </w:r>
      <w:r>
        <w:rPr>
          <w:spacing w:val="-2"/>
        </w:rPr>
        <w:t>数量</w:t>
      </w:r>
      <w:r>
        <w:rPr>
          <w:rFonts w:ascii="Times New Roman" w:hAnsi="Times New Roman" w:cs="Times New Roman" w:eastAsia="Times New Roman" w:hint="default"/>
          <w:spacing w:val="-2"/>
        </w:rPr>
        <w:t>786,400</w:t>
      </w:r>
      <w:r>
        <w:rPr>
          <w:spacing w:val="-2"/>
        </w:rPr>
        <w:t>股，占公司总股本的</w:t>
      </w:r>
      <w:r>
        <w:rPr>
          <w:rFonts w:ascii="Times New Roman" w:hAnsi="Times New Roman" w:cs="Times New Roman" w:eastAsia="Times New Roman" w:hint="default"/>
          <w:spacing w:val="-2"/>
        </w:rPr>
        <w:t>0.0628%</w:t>
      </w:r>
      <w:r>
        <w:rPr>
          <w:spacing w:val="-2"/>
        </w:rPr>
        <w:t>，购买股份最高成交价为</w:t>
      </w:r>
      <w:r>
        <w:rPr>
          <w:rFonts w:ascii="Times New Roman" w:hAnsi="Times New Roman" w:cs="Times New Roman" w:eastAsia="Times New Roman" w:hint="default"/>
          <w:spacing w:val="-2"/>
        </w:rPr>
        <w:t>9.76</w:t>
      </w:r>
      <w:r>
        <w:rPr>
          <w:spacing w:val="-2"/>
        </w:rPr>
        <w:t>元</w:t>
      </w:r>
      <w:r>
        <w:rPr>
          <w:rFonts w:ascii="Times New Roman" w:hAnsi="Times New Roman" w:cs="Times New Roman" w:eastAsia="Times New Roman" w:hint="default"/>
          <w:spacing w:val="-2"/>
        </w:rPr>
        <w:t>/</w:t>
      </w:r>
      <w:r>
        <w:rPr>
          <w:spacing w:val="-2"/>
        </w:rPr>
        <w:t>股，购买股份最低成交价为</w:t>
      </w:r>
      <w:r>
        <w:rPr>
          <w:rFonts w:ascii="Times New Roman" w:hAnsi="Times New Roman" w:cs="Times New Roman" w:eastAsia="Times New Roman" w:hint="default"/>
          <w:spacing w:val="-2"/>
        </w:rPr>
        <w:t>9.60</w:t>
      </w:r>
      <w:r>
        <w:rPr>
          <w:spacing w:val="-2"/>
        </w:rPr>
        <w:t>元</w:t>
      </w:r>
      <w:r>
        <w:rPr>
          <w:rFonts w:ascii="Times New Roman" w:hAnsi="Times New Roman" w:cs="Times New Roman" w:eastAsia="Times New Roman" w:hint="default"/>
          <w:spacing w:val="-2"/>
        </w:rPr>
        <w:t>/</w:t>
      </w:r>
      <w:r>
        <w:rPr>
          <w:spacing w:val="-2"/>
        </w:rPr>
        <w:t>股，支付的总金</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额</w:t>
      </w:r>
      <w:r>
        <w:rPr>
          <w:rFonts w:ascii="Times New Roman" w:hAnsi="Times New Roman" w:cs="Times New Roman" w:eastAsia="Times New Roman" w:hint="default"/>
        </w:rPr>
        <w:t>7,645,016.4 </w:t>
      </w:r>
      <w:r>
        <w:rPr/>
        <w:t>元（不含交易费用）。截至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 </w:t>
      </w:r>
      <w:r>
        <w:rPr/>
        <w:t>日，公司本次回购累计回购股份</w:t>
      </w:r>
      <w:r>
        <w:rPr>
          <w:spacing w:val="46"/>
        </w:rPr>
        <w:t> </w:t>
      </w:r>
      <w:r>
        <w:rPr>
          <w:rFonts w:ascii="Times New Roman" w:hAnsi="Times New Roman" w:cs="Times New Roman" w:eastAsia="Times New Roman" w:hint="default"/>
        </w:rPr>
        <w:t>35,109,994</w:t>
      </w:r>
      <w:r>
        <w:rPr/>
        <w:t>股，占公司总股本</w:t>
      </w:r>
    </w:p>
    <w:p>
      <w:pPr>
        <w:pStyle w:val="BodyText"/>
        <w:spacing w:line="240" w:lineRule="auto" w:before="63"/>
        <w:ind w:right="0"/>
        <w:jc w:val="left"/>
      </w:pPr>
      <w:r>
        <w:rPr/>
        <w:t>的 </w:t>
      </w:r>
      <w:r>
        <w:rPr>
          <w:rFonts w:ascii="Times New Roman" w:hAnsi="Times New Roman" w:cs="Times New Roman" w:eastAsia="Times New Roman" w:hint="default"/>
          <w:spacing w:val="-3"/>
        </w:rPr>
        <w:t>2.81%</w:t>
      </w:r>
      <w:r>
        <w:rPr>
          <w:spacing w:val="-3"/>
        </w:rPr>
        <w:t>，最高成交价为 </w:t>
      </w:r>
      <w:r>
        <w:rPr>
          <w:rFonts w:ascii="Times New Roman" w:hAnsi="Times New Roman" w:cs="Times New Roman" w:eastAsia="Times New Roman" w:hint="default"/>
        </w:rPr>
        <w:t>11.1598 </w:t>
      </w:r>
      <w:r>
        <w:rPr>
          <w:spacing w:val="-3"/>
        </w:rPr>
        <w:t>元</w:t>
      </w:r>
      <w:r>
        <w:rPr>
          <w:rFonts w:ascii="Times New Roman" w:hAnsi="Times New Roman" w:cs="Times New Roman" w:eastAsia="Times New Roman" w:hint="default"/>
          <w:spacing w:val="-3"/>
        </w:rPr>
        <w:t>/</w:t>
      </w:r>
      <w:r>
        <w:rPr>
          <w:spacing w:val="-3"/>
        </w:rPr>
        <w:t>股，最低成交价为 </w:t>
      </w:r>
      <w:r>
        <w:rPr>
          <w:rFonts w:ascii="Times New Roman" w:hAnsi="Times New Roman" w:cs="Times New Roman" w:eastAsia="Times New Roman" w:hint="default"/>
        </w:rPr>
        <w:t>9.60 </w:t>
      </w:r>
      <w:r>
        <w:rPr>
          <w:spacing w:val="-3"/>
        </w:rPr>
        <w:t>元</w:t>
      </w:r>
      <w:r>
        <w:rPr>
          <w:rFonts w:ascii="Times New Roman" w:hAnsi="Times New Roman" w:cs="Times New Roman" w:eastAsia="Times New Roman" w:hint="default"/>
          <w:spacing w:val="-3"/>
        </w:rPr>
        <w:t>/</w:t>
      </w:r>
      <w:r>
        <w:rPr>
          <w:spacing w:val="-3"/>
        </w:rPr>
        <w:t>股，支付的总金额为 </w:t>
      </w:r>
      <w:r>
        <w:rPr>
          <w:rFonts w:ascii="Times New Roman" w:hAnsi="Times New Roman" w:cs="Times New Roman" w:eastAsia="Times New Roman" w:hint="default"/>
        </w:rPr>
        <w:t>364,317,880.31</w:t>
      </w:r>
      <w:r>
        <w:rPr>
          <w:rFonts w:ascii="Times New Roman" w:hAnsi="Times New Roman" w:cs="Times New Roman" w:eastAsia="Times New Roman" w:hint="default"/>
          <w:spacing w:val="40"/>
        </w:rPr>
        <w:t> </w:t>
      </w:r>
      <w:r>
        <w:rPr>
          <w:spacing w:val="-5"/>
        </w:rPr>
        <w:t>元（不含交易费用）。</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十七、母公司财务报表主要项目注释" w:id="445"/>
      <w:bookmarkEnd w:id="445"/>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应收票据及应收账款" w:id="446"/>
      <w:bookmarkEnd w:id="44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3166"/>
        <w:gridCol w:w="3202"/>
        <w:gridCol w:w="3191"/>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85,812,409.06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79,893,158.50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194,737,532.55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270,001,354.58</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280,549,941.61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349,894,513.08</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应收票据" w:id="447"/>
      <w:bookmarkEnd w:id="44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52,673,697.76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63,921,523.97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33,138,711.30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15,971,634.53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85,812,409.06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79,893,158.50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40" w:lineRule="auto" w:before="51"/>
        <w:ind w:right="2680"/>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40"/>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672,402,449.84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20,516,974.72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692,919,424.56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期末公司因出票人未履约而将其转应收账款的票据" w:id="448"/>
      <w:bookmarkEnd w:id="448"/>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bookmarkStart w:name="（2）应收账款" w:id="449"/>
      <w:bookmarkEnd w:id="44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206,445,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012.97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11,707,4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80.42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194,737,5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32.55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279,171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,427.06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9,170,072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270,001,35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1,455,97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1,455,97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1,455,9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1,455,973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207,900,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986.14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13,163,4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53.59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6.33%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194,737,5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32.55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280,627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,400.23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10,626,04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270,001,35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4.58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以内</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145,448,677.00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4,363,460.31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145,448,677.00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4,363,460.31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30,668,555.97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6,133,711.19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106,458.11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53,229.06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1,157,079.86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1,157,079.86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177,380,770.94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11,707,480.42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left="514" w:right="2319" w:hanging="360"/>
        <w:jc w:val="left"/>
      </w:pPr>
      <w:r>
        <w:rPr/>
        <w:t>确定该组合依据的说明： 注：确定该组合的依据为信用风险特征相同。</w:t>
      </w:r>
    </w:p>
    <w:p>
      <w:pPr>
        <w:pStyle w:val="BodyText"/>
        <w:spacing w:line="240" w:lineRule="auto" w:before="29"/>
        <w:ind w:right="-13"/>
        <w:jc w:val="left"/>
      </w:pPr>
      <w:r>
        <w:rPr/>
        <w:t>组合中，采用余额百分比法计提坏账准备的应收账款：</w:t>
      </w:r>
    </w:p>
    <w:p>
      <w:pPr>
        <w:pStyle w:val="BodyText"/>
        <w:spacing w:line="240" w:lineRule="auto" w:before="117"/>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2,537,407.94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2"/>
        <w:ind w:right="3789"/>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240" w:lineRule="auto" w:before="43"/>
        <w:ind w:right="-1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559"/>
        <w:gridCol w:w="1418"/>
        <w:gridCol w:w="1842"/>
        <w:gridCol w:w="1701"/>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41" w:right="105"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 合计数的比例</w:t>
            </w:r>
            <w:r>
              <w:rPr>
                <w:rFonts w:ascii="Times New Roman" w:hAnsi="Times New Roman" w:cs="Times New Roman" w:eastAsia="Times New Roman"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19"/>
        <w:gridCol w:w="1559"/>
        <w:gridCol w:w="1418"/>
        <w:gridCol w:w="1842"/>
        <w:gridCol w:w="1702"/>
      </w:tblGrid>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29,979,681.21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14.42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5,995,936.24</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27,079,791.68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13.03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812,393.75</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25,612,065.21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12.32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768,361.96</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spacing w:val="-1"/>
                <w:sz w:val="18"/>
              </w:rPr>
              <w:t>15,035,132.62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7.23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451,053.98</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7,387,863.71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3.55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221,635.91</w:t>
            </w:r>
          </w:p>
        </w:tc>
      </w:tr>
      <w:tr>
        <w:trPr>
          <w:trHeight w:val="4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105,094,534.43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50.55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pacing w:val="-1"/>
                <w:sz w:val="18"/>
              </w:rPr>
              <w:t>8,249,381.84</w:t>
            </w:r>
          </w:p>
        </w:tc>
      </w:tr>
    </w:tbl>
    <w:p>
      <w:pPr>
        <w:pStyle w:val="BodyText"/>
        <w:spacing w:line="340" w:lineRule="auto" w:before="51"/>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40"/>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2、其他应收款" w:id="450"/>
      <w:bookmarkEnd w:id="4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546,149,579.42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509,502,202.41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646,149,579.42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509,502,202.41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应收利息" w:id="451"/>
      <w:bookmarkEnd w:id="45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345" w:lineRule="auto"/>
        <w:ind w:right="9522"/>
        <w:jc w:val="left"/>
      </w:pPr>
      <w:r>
        <w:rPr>
          <w:rFonts w:ascii="Times New Roman" w:hAnsi="Times New Roman" w:cs="Times New Roman" w:eastAsia="Times New Roman" w:hint="default"/>
        </w:rPr>
        <w:t>1)</w:t>
      </w:r>
      <w:r>
        <w:rPr/>
        <w:t>应收利息分类</w:t>
      </w:r>
      <w:r>
        <w:rPr>
          <w:w w:val="99"/>
        </w:rPr>
        <w:t> </w:t>
      </w:r>
      <w:r>
        <w:rPr/>
        <w:t>无。</w:t>
      </w:r>
      <w:r>
        <w:rPr>
          <w:w w:val="99"/>
        </w:rPr>
        <w:t> </w:t>
      </w:r>
      <w:r>
        <w:rPr>
          <w:rFonts w:ascii="Times New Roman" w:hAnsi="Times New Roman" w:cs="Times New Roman" w:eastAsia="Times New Roman" w:hint="default"/>
        </w:rPr>
        <w:t>2)</w:t>
      </w:r>
      <w:r>
        <w:rPr/>
        <w:t>重要逾期利息</w:t>
      </w:r>
      <w:r>
        <w:rPr>
          <w:w w:val="99"/>
        </w:rPr>
        <w:t> </w:t>
      </w:r>
      <w:r>
        <w:rPr/>
        <w:t>无。</w:t>
      </w:r>
    </w:p>
    <w:p>
      <w:pPr>
        <w:spacing w:line="240" w:lineRule="auto" w:before="10"/>
        <w:rPr>
          <w:rFonts w:ascii="宋体" w:hAnsi="宋体" w:cs="宋体" w:eastAsia="宋体" w:hint="default"/>
          <w:sz w:val="20"/>
          <w:szCs w:val="20"/>
        </w:rPr>
      </w:pPr>
    </w:p>
    <w:p>
      <w:pPr>
        <w:pStyle w:val="Heading7"/>
        <w:spacing w:line="240" w:lineRule="auto"/>
        <w:ind w:right="0"/>
        <w:jc w:val="left"/>
        <w:rPr>
          <w:b w:val="0"/>
          <w:bCs w:val="0"/>
        </w:rPr>
      </w:pPr>
      <w:bookmarkStart w:name="（2）应收股利" w:id="452"/>
      <w:bookmarkEnd w:id="45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right="80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w w:val="99"/>
        </w:rPr>
        <w:t> </w:t>
      </w:r>
      <w:r>
        <w:rPr/>
        <w:t>无。</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bookmarkStart w:name="（3）其他应收款" w:id="453"/>
      <w:bookmarkEnd w:id="45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546,583,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169.86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433,590.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546,149,5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509,809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307,646.2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509,502,20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546,583,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169.86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433,590.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546,149,5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79.42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509,809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,848.62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307,646.2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509,502,20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9D9D9"/>
          </w:tcPr>
          <w:p>
            <w:pPr/>
          </w:p>
        </w:tc>
        <w:tc>
          <w:tcPr>
            <w:tcW w:w="7081"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9D9D9"/>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9D9D9"/>
          </w:tcPr>
          <w:p>
            <w:pPr/>
          </w:p>
        </w:tc>
        <w:tc>
          <w:tcPr>
            <w:tcW w:w="230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9D9D9"/>
          </w:tcPr>
          <w:p>
            <w:pPr/>
          </w:p>
        </w:tc>
        <w:tc>
          <w:tcPr>
            <w:tcW w:w="2301" w:type="dxa"/>
            <w:vMerge/>
            <w:tcBorders>
              <w:left w:val="single" w:sz="4" w:space="0" w:color="000000"/>
              <w:bottom w:val="single" w:sz="4" w:space="0" w:color="000000"/>
              <w:right w:val="single" w:sz="4" w:space="0" w:color="000000"/>
            </w:tcBorders>
            <w:shd w:val="clear" w:color="auto" w:fill="D9D9D9"/>
          </w:tcPr>
          <w:p>
            <w:pPr/>
          </w:p>
        </w:tc>
        <w:tc>
          <w:tcPr>
            <w:tcW w:w="2390" w:type="dxa"/>
            <w:vMerge/>
            <w:tcBorders>
              <w:left w:val="single" w:sz="4" w:space="0" w:color="000000"/>
              <w:bottom w:val="single" w:sz="4" w:space="0" w:color="000000"/>
              <w:right w:val="single" w:sz="4" w:space="0" w:color="000000"/>
            </w:tcBorders>
            <w:shd w:val="clear" w:color="auto" w:fill="D9D9D9"/>
          </w:tcPr>
          <w:p>
            <w:pPr/>
          </w:p>
        </w:tc>
        <w:tc>
          <w:tcPr>
            <w:tcW w:w="2390" w:type="dxa"/>
            <w:vMerge/>
            <w:tcBorders>
              <w:left w:val="single" w:sz="4" w:space="0" w:color="000000"/>
              <w:bottom w:val="single" w:sz="4" w:space="0" w:color="000000"/>
              <w:right w:val="single" w:sz="4" w:space="0" w:color="000000"/>
            </w:tcBorders>
            <w:shd w:val="clear" w:color="auto" w:fill="D9D9D9"/>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年（含）以内</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263,414.66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7,902.44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263,414.66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7,902.44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941,602.66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433,590.44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645"/>
        <w:jc w:val="left"/>
      </w:pPr>
      <w:r>
        <w:rPr/>
        <w:t>确定该组合依据的说明： 注：确定该组合的依据为信用风险特征相同。 组合中，采用余额百分比法计提坏账准备的其他应收款：</w:t>
      </w:r>
    </w:p>
    <w:p>
      <w:pPr>
        <w:pStyle w:val="BodyText"/>
        <w:spacing w:line="338" w:lineRule="auto" w:before="27"/>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64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125,944.23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645"/>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545,122,339.20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508,687,720.41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1,074,228.00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740,188.00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386,602.25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169,734.69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212,205.52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546,583,169.86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509,809,848.62</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286,436,968.86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98,641,077.56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41,598,526.77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39,384,511.30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31,966,507.78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498,027,592.27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91.13%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8" w:lineRule="auto" w:before="43"/>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40" w:lineRule="auto" w:before="4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12"/>
        <w:rPr>
          <w:rFonts w:ascii="宋体" w:hAnsi="宋体" w:cs="宋体" w:eastAsia="宋体" w:hint="default"/>
          <w:sz w:val="20"/>
          <w:szCs w:val="20"/>
        </w:rPr>
      </w:pPr>
    </w:p>
    <w:p>
      <w:pPr>
        <w:pStyle w:val="Heading7"/>
        <w:spacing w:line="240" w:lineRule="auto"/>
        <w:ind w:right="0"/>
        <w:jc w:val="left"/>
        <w:rPr>
          <w:b w:val="0"/>
          <w:bCs w:val="0"/>
        </w:rPr>
      </w:pPr>
      <w:bookmarkStart w:name="3、长期股权投资" w:id="454"/>
      <w:bookmarkEnd w:id="45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1341"/>
        <w:gridCol w:w="1379"/>
        <w:gridCol w:w="1367"/>
        <w:gridCol w:w="1367"/>
        <w:gridCol w:w="1368"/>
        <w:gridCol w:w="1367"/>
        <w:gridCol w:w="1367"/>
      </w:tblGrid>
      <w:tr>
        <w:trPr>
          <w:trHeight w:val="206" w:hRule="exact"/>
        </w:trPr>
        <w:tc>
          <w:tcPr>
            <w:tcW w:w="13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1"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4,690,595,457.76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4,690,595,457.76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4,463,396,857.76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4,463,396,857.76</w:t>
            </w:r>
          </w:p>
        </w:tc>
      </w:tr>
      <w:tr>
        <w:trPr>
          <w:trHeight w:val="714"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419,660.20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419,660.20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4,691,015,117.96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4,691,015,117.96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4,463,396,857.76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4,463,396,857.76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1）对子公司投资" w:id="455"/>
      <w:bookmarkEnd w:id="45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青岛海立达冲压 件有限公司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269,808,955.89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269,808,955.89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青岛海立美达电 机有限公司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121,720,779.33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121,720,779.33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青岛海立美达模 具有限公司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6,413,863.78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6,413,863.78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青岛海立美达精 密机械制造有限 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宁波泰鸿机电有 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214,736,900.00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214,736,900.00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湖南海立美达钢 板加工配送有限 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烟台海立美达精 密钢制品有限公 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湖北海立田汽车 部件有限公司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海立美达香港有 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3,092,800.00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上海海众实业发 展有限公司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湖北海立美达汽 车有限公司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118,989,380.00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118,989,380.00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联动优势科技有 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3,621,834,178.76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3,658,834,178.76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上海和达汽车配 件有限公司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190,198,600.00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190,198,600.00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海联金汇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金 融科技有限公司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4,463,396,857.76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327,198,600.00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4,690,595,457.76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2）对联营、合营企业投资" w:id="456"/>
      <w:bookmarkEnd w:id="45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 泽兴股权 投资基金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-580,339.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4、营业收入和营业成本" w:id="457"/>
      <w:bookmarkEnd w:id="45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1,836,197,572.34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1,717,381,810.27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1,250,154,387.29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1,144,612,169.83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5,708,091.48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641,306.92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3,339,745.34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506,623.70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1,841,905,663.82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1,718,023,117.19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1,253,494,132.63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1,145,118,793.53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bookmarkStart w:name="5、投资收益" w:id="458"/>
      <w:bookmarkEnd w:id="45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454,120,000.00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-580,339.80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-5,304,555.05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453,539,660.20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-5,304,555.05</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bookmarkStart w:name="十八、补充资料" w:id="459"/>
      <w:bookmarkEnd w:id="45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bookmarkStart w:name="1、当期非经常性损益明细表" w:id="460"/>
      <w:bookmarkEnd w:id="46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1,242,930.55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3,646,675.82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67,336,618.11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2,721,575.90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8,013,853.26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524,896.84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66,409,050.28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净资产收益率及每股收益" w:id="461"/>
      <w:bookmarkEnd w:id="46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bookmarkStart w:name="3、境内外会计准则下会计数据差异" w:id="462"/>
      <w:bookmarkEnd w:id="46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bookmarkStart w:name="（1）同时按照国际会计准则与按中国会计准则披露的财务报告中净利润和净资产差异情况" w:id="463"/>
      <w:bookmarkEnd w:id="46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bookmarkStart w:name="（2）同时按照境外会计准则与按中国会计准则披露的财务报告中净利润和净资产差异情况" w:id="464"/>
      <w:bookmarkEnd w:id="46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7"/>
        <w:spacing w:line="259" w:lineRule="auto"/>
        <w:ind w:right="0"/>
        <w:jc w:val="left"/>
        <w:rPr>
          <w:b w:val="0"/>
          <w:bCs w:val="0"/>
        </w:rPr>
      </w:pPr>
      <w:bookmarkStart w:name="（3）境内外会计准则下会计数据差异原因说明，对已经境外审计机构审计的数据进行差异" w:id="465"/>
      <w:bookmarkEnd w:id="46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466"/>
      <w:bookmarkEnd w:id="466"/>
      <w:r>
        <w:rPr>
          <w:b w:val="0"/>
          <w:bCs w:val="0"/>
        </w:rPr>
      </w:r>
      <w:bookmarkStart w:name="_bookmark10" w:id="467"/>
      <w:bookmarkEnd w:id="467"/>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2490"/>
        <w:jc w:val="left"/>
      </w:pPr>
      <w:r>
        <w:rPr/>
        <w:t>一、载有法定代表人、主管会计工作负责人、会计机构负责人（会计主管人员）签名并盖章的会计报表。 二、载有会计师事务所盖章、注册会计师签名并盖章的审计报告原件。 三、报告期内在中国证监会指定媒体上公开披露过的所有公司文件的正本及公告的原稿。 四、载有法定代表人签名的</w:t>
      </w:r>
      <w:r>
        <w:rPr>
          <w:rFonts w:ascii="Times New Roman" w:hAnsi="Times New Roman" w:cs="Times New Roman" w:eastAsia="Times New Roman" w:hint="default"/>
        </w:rPr>
        <w:t>2018</w:t>
      </w:r>
      <w:r>
        <w:rPr/>
        <w:t>年年度报告文本原件。 五、以上备查文件的备置地点：公司证券投资部。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6" w:lineRule="auto"/>
        <w:ind w:left="7993" w:right="1113" w:hanging="360"/>
        <w:jc w:val="left"/>
      </w:pPr>
      <w:r>
        <w:rPr/>
        <w:t>海联金汇科技股份有限公司 法定代表人：刘国平</w:t>
      </w:r>
    </w:p>
    <w:p>
      <w:pPr>
        <w:pStyle w:val="BodyText"/>
        <w:spacing w:line="240" w:lineRule="auto" w:before="19"/>
        <w:ind w:left="0" w:right="149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9032" type="#_x0000_t75" stroked="false">
          <v:imagedata r:id="rId1" o:title=""/>
        </v:shape>
      </w:pict>
    </w:r>
    <w:r>
      <w:rPr/>
      <w:pict>
        <v:shape style="position:absolute;margin-left:533.179993pt;margin-top:795.517944pt;width:6.5pt;height:11pt;mso-position-horizontal-relative:page;mso-position-vertical-relative:page;z-index:-1709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984" type="#_x0000_t75" stroked="false">
          <v:imagedata r:id="rId1" o:title=""/>
        </v:shape>
      </w:pict>
    </w:r>
    <w:r>
      <w:rPr/>
      <w:pict>
        <v:shape style="position:absolute;margin-left:527.679993pt;margin-top:781.957947pt;width:13pt;height:11pt;mso-position-horizontal-relative:page;mso-position-vertical-relative:page;z-index:-1708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936" type="#_x0000_t75" stroked="false">
          <v:imagedata r:id="rId1" o:title=""/>
        </v:shape>
      </w:pict>
    </w:r>
    <w:r>
      <w:rPr/>
      <w:pict>
        <v:shape style="position:absolute;margin-left:527.679993pt;margin-top:781.957947pt;width:13pt;height:11pt;mso-position-horizontal-relative:page;mso-position-vertical-relative:page;z-index:-1708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888" type="#_x0000_t75" stroked="false">
          <v:imagedata r:id="rId1" o:title=""/>
        </v:shape>
      </w:pict>
    </w:r>
    <w:r>
      <w:rPr/>
      <w:pict>
        <v:shape style="position:absolute;margin-left:524.179993pt;margin-top:781.957947pt;width:15.5pt;height:11pt;mso-position-horizontal-relative:page;mso-position-vertical-relative:page;z-index:-1708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840" type="#_x0000_t75" stroked="false">
          <v:imagedata r:id="rId1" o:title=""/>
        </v:shape>
      </w:pict>
    </w:r>
    <w:r>
      <w:rPr/>
      <w:pict>
        <v:shape style="position:absolute;margin-left:523.179993pt;margin-top:781.957947pt;width:17.5pt;height:11pt;mso-position-horizontal-relative:page;mso-position-vertical-relative:page;z-index:-1708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792" type="#_x0000_t75" stroked="false">
          <v:imagedata r:id="rId1" o:title=""/>
        </v:shape>
      </w:pict>
    </w:r>
    <w:r>
      <w:rPr/>
      <w:pict>
        <v:shape style="position:absolute;margin-left:524.179993pt;margin-top:781.957947pt;width:15.5pt;height:11pt;mso-position-horizontal-relative:page;mso-position-vertical-relative:page;z-index:-1708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8744" type="#_x0000_t75" stroked="false">
          <v:imagedata r:id="rId1" o:title=""/>
        </v:shape>
      </w:pict>
    </w:r>
    <w:r>
      <w:rPr/>
      <w:pict>
        <v:shape style="position:absolute;margin-left:523.179993pt;margin-top:781.957947pt;width:17.5pt;height:11pt;mso-position-horizontal-relative:page;mso-position-vertical-relative:page;z-index:-1708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709056" type="#_x0000_t202" filled="false" stroked="false">
          <v:textbox inset="0,0,0,0">
            <w:txbxContent>
              <w:p>
                <w:pPr>
                  <w:pStyle w:val="BodyText"/>
                  <w:spacing w:line="214" w:lineRule="exact"/>
                  <w:ind w:left="20" w:right="0"/>
                  <w:jc w:val="left"/>
                </w:pPr>
                <w:r>
                  <w:rPr/>
                  <w:t>海联金汇科技股份有限公司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259" w:hanging="188"/>
      </w:pPr>
      <w:rPr>
        <w:rFonts w:hint="default" w:ascii="Symbol" w:hAnsi="Symbol" w:eastAsia="Symbol"/>
        <w:w w:val="104"/>
        <w:sz w:val="24"/>
        <w:szCs w:val="24"/>
      </w:rPr>
    </w:lvl>
    <w:lvl w:ilvl="1">
      <w:start w:val="1"/>
      <w:numFmt w:val="bullet"/>
      <w:lvlText w:val="•"/>
      <w:lvlJc w:val="left"/>
      <w:pPr>
        <w:ind w:left="1194" w:hanging="188"/>
      </w:pPr>
      <w:rPr>
        <w:rFonts w:hint="default"/>
      </w:rPr>
    </w:lvl>
    <w:lvl w:ilvl="2">
      <w:start w:val="1"/>
      <w:numFmt w:val="bullet"/>
      <w:lvlText w:val="•"/>
      <w:lvlJc w:val="left"/>
      <w:pPr>
        <w:ind w:left="2128" w:hanging="188"/>
      </w:pPr>
      <w:rPr>
        <w:rFonts w:hint="default"/>
      </w:rPr>
    </w:lvl>
    <w:lvl w:ilvl="3">
      <w:start w:val="1"/>
      <w:numFmt w:val="bullet"/>
      <w:lvlText w:val="•"/>
      <w:lvlJc w:val="left"/>
      <w:pPr>
        <w:ind w:left="3063" w:hanging="188"/>
      </w:pPr>
      <w:rPr>
        <w:rFonts w:hint="default"/>
      </w:rPr>
    </w:lvl>
    <w:lvl w:ilvl="4">
      <w:start w:val="1"/>
      <w:numFmt w:val="bullet"/>
      <w:lvlText w:val="•"/>
      <w:lvlJc w:val="left"/>
      <w:pPr>
        <w:ind w:left="3997" w:hanging="188"/>
      </w:pPr>
      <w:rPr>
        <w:rFonts w:hint="default"/>
      </w:rPr>
    </w:lvl>
    <w:lvl w:ilvl="5">
      <w:start w:val="1"/>
      <w:numFmt w:val="bullet"/>
      <w:lvlText w:val="•"/>
      <w:lvlJc w:val="left"/>
      <w:pPr>
        <w:ind w:left="4932" w:hanging="188"/>
      </w:pPr>
      <w:rPr>
        <w:rFonts w:hint="default"/>
      </w:rPr>
    </w:lvl>
    <w:lvl w:ilvl="6">
      <w:start w:val="1"/>
      <w:numFmt w:val="bullet"/>
      <w:lvlText w:val="•"/>
      <w:lvlJc w:val="left"/>
      <w:pPr>
        <w:ind w:left="5866" w:hanging="188"/>
      </w:pPr>
      <w:rPr>
        <w:rFonts w:hint="default"/>
      </w:rPr>
    </w:lvl>
    <w:lvl w:ilvl="7">
      <w:start w:val="1"/>
      <w:numFmt w:val="bullet"/>
      <w:lvlText w:val="•"/>
      <w:lvlJc w:val="left"/>
      <w:pPr>
        <w:ind w:left="6801" w:hanging="188"/>
      </w:pPr>
      <w:rPr>
        <w:rFonts w:hint="default"/>
      </w:rPr>
    </w:lvl>
    <w:lvl w:ilvl="8">
      <w:start w:val="1"/>
      <w:numFmt w:val="bullet"/>
      <w:lvlText w:val="•"/>
      <w:lvlJc w:val="left"/>
      <w:pPr>
        <w:ind w:left="7735" w:hanging="18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138"/>
      <w:outlineLvl w:val="2"/>
    </w:pPr>
    <w:rPr>
      <w:rFonts w:ascii="宋体" w:hAnsi="宋体" w:eastAsia="宋体"/>
      <w:i/>
      <w:sz w:val="26"/>
      <w:szCs w:val="26"/>
    </w:rPr>
  </w:style>
  <w:style w:styleId="Heading3" w:type="paragraph">
    <w:name w:val="Heading 3"/>
    <w:basedOn w:val="Normal"/>
    <w:uiPriority w:val="1"/>
    <w:qFormat/>
    <w:pPr>
      <w:spacing w:before="23"/>
      <w:outlineLvl w:val="3"/>
    </w:pPr>
    <w:rPr>
      <w:rFonts w:ascii="宋体" w:hAnsi="宋体" w:eastAsia="宋体"/>
      <w:i/>
      <w:sz w:val="25"/>
      <w:szCs w:val="25"/>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ind w:left="124"/>
      <w:outlineLvl w:val="5"/>
    </w:pPr>
    <w:rPr>
      <w:rFonts w:ascii="Symbol" w:hAnsi="Symbol" w:eastAsia="Symbol"/>
      <w:sz w:val="24"/>
      <w:szCs w:val="24"/>
    </w:rPr>
  </w:style>
  <w:style w:styleId="Heading6" w:type="paragraph">
    <w:name w:val="Heading 6"/>
    <w:basedOn w:val="Normal"/>
    <w:uiPriority w:val="1"/>
    <w:qFormat/>
    <w:pPr>
      <w:ind w:left="554"/>
      <w:outlineLvl w:val="6"/>
    </w:pPr>
    <w:rPr>
      <w:rFonts w:ascii="Times New Roman" w:hAnsi="Times New Roman" w:eastAsia="Times New Roman"/>
      <w:i/>
      <w:sz w:val="24"/>
      <w:szCs w:val="24"/>
    </w:rPr>
  </w:style>
  <w:style w:styleId="Heading7" w:type="paragraph">
    <w:name w:val="Heading 7"/>
    <w:basedOn w:val="Normal"/>
    <w:uiPriority w:val="1"/>
    <w:qFormat/>
    <w:pPr>
      <w:ind w:left="154"/>
      <w:outlineLvl w:val="7"/>
    </w:pPr>
    <w:rPr>
      <w:rFonts w:ascii="宋体" w:hAnsi="宋体" w:eastAsia="宋体"/>
      <w:b/>
      <w:bCs/>
      <w:sz w:val="21"/>
      <w:szCs w:val="21"/>
    </w:rPr>
  </w:style>
  <w:style w:styleId="Heading8" w:type="paragraph">
    <w:name w:val="Heading 8"/>
    <w:basedOn w:val="Normal"/>
    <w:uiPriority w:val="1"/>
    <w:qFormat/>
    <w:pPr>
      <w:spacing w:before="44"/>
      <w:ind w:left="154"/>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ili.com.cn/" TargetMode="External"/><Relationship Id="rId10" Type="http://schemas.openxmlformats.org/officeDocument/2006/relationships/hyperlink" Target="mailto:hlmo@haili.com.cn" TargetMode="External"/><Relationship Id="rId11" Type="http://schemas.openxmlformats.org/officeDocument/2006/relationships/hyperlink" Target="mailto:qixiumei@haili.com.cn" TargetMode="External"/><Relationship Id="rId12" Type="http://schemas.openxmlformats.org/officeDocument/2006/relationships/hyperlink" Target="mailto:wangyulin@haili.com.cn"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hyperlink" Target="http://www.cninfo.com.cn&#30340;/" TargetMode="External"/><Relationship Id="rId18" Type="http://schemas.openxmlformats.org/officeDocument/2006/relationships/hyperlink" Target="http://www.cninfo.com.cn&#30340;&#30456;&#20851;&#20844;&#21578;/" TargetMode="External"/><Relationship Id="rId19" Type="http://schemas.openxmlformats.org/officeDocument/2006/relationships/image" Target="media/image5.jpe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海联金汇科技股份有限公司</dc:creator>
  <dc:title>海联金汇科技股份有限公司2018年年度报告全文</dc:title>
  <dcterms:created xsi:type="dcterms:W3CDTF">2020-05-04T23:37:38Z</dcterms:created>
  <dcterms:modified xsi:type="dcterms:W3CDTF">2020-05-04T23:37:38Z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2020-05-04T00:00:00Z</vt:filetime>
  </property>
</Properties>
</file>