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png" ContentType="image/png"/>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3"/>
          <w:szCs w:val="13"/>
        </w:rPr>
      </w:pPr>
    </w:p>
    <w:p>
      <w:pPr>
        <w:spacing w:line="990" w:lineRule="exact"/>
        <w:ind w:left="2927"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9"/>
          <w:sz w:val="20"/>
          <w:szCs w:val="20"/>
        </w:rPr>
        <w:drawing>
          <wp:inline distT="0" distB="0" distL="0" distR="0">
            <wp:extent cx="2594529" cy="62865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2594529" cy="628650"/>
                    </a:xfrm>
                    <a:prstGeom prst="rect">
                      <a:avLst/>
                    </a:prstGeom>
                  </pic:spPr>
                </pic:pic>
              </a:graphicData>
            </a:graphic>
          </wp:inline>
        </w:drawing>
      </w:r>
      <w:r>
        <w:rPr>
          <w:rFonts w:ascii="Times New Roman" w:hAnsi="Times New Roman" w:cs="Times New Roman" w:eastAsia="Times New Roman" w:hint="default"/>
          <w:position w:val="-19"/>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8"/>
          <w:szCs w:val="28"/>
        </w:rPr>
      </w:pPr>
    </w:p>
    <w:p>
      <w:pPr>
        <w:spacing w:line="460" w:lineRule="exact" w:before="0"/>
        <w:ind w:left="513" w:right="1493" w:firstLine="0"/>
        <w:jc w:val="center"/>
        <w:rPr>
          <w:rFonts w:ascii="宋体" w:hAnsi="宋体" w:cs="宋体" w:eastAsia="宋体" w:hint="default"/>
          <w:sz w:val="36"/>
          <w:szCs w:val="36"/>
        </w:rPr>
      </w:pPr>
      <w:r>
        <w:rPr>
          <w:rFonts w:ascii="宋体" w:hAnsi="宋体" w:cs="宋体" w:eastAsia="宋体" w:hint="default"/>
          <w:b/>
          <w:bCs/>
          <w:sz w:val="36"/>
          <w:szCs w:val="36"/>
        </w:rPr>
        <w:t>海联金汇科技股份有限公司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513" w:right="149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5"/>
        <w:rPr>
          <w:rFonts w:ascii="宋体" w:hAnsi="宋体" w:cs="宋体" w:eastAsia="宋体" w:hint="default"/>
          <w:b/>
          <w:bCs/>
          <w:sz w:val="48"/>
          <w:szCs w:val="48"/>
        </w:rPr>
      </w:pPr>
    </w:p>
    <w:p>
      <w:pPr>
        <w:spacing w:before="0"/>
        <w:ind w:left="513" w:right="149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80" w:top="1060" w:bottom="1160" w:left="980" w:right="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85" w:right="1133"/>
        <w:jc w:val="left"/>
        <w:rPr>
          <w:b w:val="0"/>
          <w:bCs w:val="0"/>
        </w:rPr>
      </w:pPr>
      <w:bookmarkStart w:name="第一节重要提示、目录和释义" w:id="1"/>
      <w:bookmarkEnd w:id="1"/>
      <w:r>
        <w:rPr>
          <w:b w:val="0"/>
          <w:bCs w:val="0"/>
        </w:rPr>
      </w:r>
      <w:bookmarkStart w:name="_bookmark0" w:id="2"/>
      <w:bookmarkEnd w:id="2"/>
      <w:r>
        <w:rPr>
          <w:b w:val="0"/>
          <w:bCs w:val="0"/>
        </w:rPr>
      </w:r>
      <w:r>
        <w:rPr/>
        <w:t>第一节重要提示、目录和释义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136"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w w:val="99"/>
          <w:sz w:val="28"/>
          <w:szCs w:val="28"/>
        </w:rPr>
        <w:t> </w:t>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2"/>
        <w:ind w:left="152" w:right="113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公司负责人刘国平、主管会计工作负责人陈军及会计机构负责人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陈仕萍声明：保证年度报告中财务报告的真实、准确、完整。</w:t>
      </w:r>
      <w:r>
        <w:rPr>
          <w:rFonts w:ascii="宋体" w:hAnsi="宋体" w:cs="宋体" w:eastAsia="宋体" w:hint="default"/>
          <w:sz w:val="28"/>
          <w:szCs w:val="28"/>
        </w:rPr>
      </w:r>
    </w:p>
    <w:p>
      <w:pPr>
        <w:spacing w:line="472" w:lineRule="auto" w:before="148"/>
        <w:ind w:left="714" w:right="1133"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sz w:val="28"/>
          <w:szCs w:val="28"/>
        </w:rPr>
        <w:t>本年度报告中涉及的未来发展战略、业绩规划等前瞻性内容是公司自己提</w:t>
      </w:r>
      <w:r>
        <w:rPr>
          <w:rFonts w:ascii="宋体" w:hAnsi="宋体" w:cs="宋体" w:eastAsia="宋体" w:hint="default"/>
          <w:spacing w:val="2"/>
          <w:sz w:val="28"/>
          <w:szCs w:val="28"/>
        </w:rPr>
      </w:r>
    </w:p>
    <w:p>
      <w:pPr>
        <w:spacing w:line="408" w:lineRule="auto" w:before="0"/>
        <w:ind w:left="152" w:right="1141" w:firstLine="0"/>
        <w:jc w:val="both"/>
        <w:rPr>
          <w:rFonts w:ascii="宋体" w:hAnsi="宋体" w:cs="宋体" w:eastAsia="宋体" w:hint="default"/>
          <w:sz w:val="28"/>
          <w:szCs w:val="28"/>
        </w:rPr>
      </w:pPr>
      <w:r>
        <w:rPr>
          <w:rFonts w:ascii="宋体" w:hAnsi="宋体" w:cs="宋体" w:eastAsia="宋体" w:hint="default"/>
          <w:b/>
          <w:bCs/>
          <w:spacing w:val="2"/>
          <w:sz w:val="28"/>
          <w:szCs w:val="28"/>
        </w:rPr>
        <w:t>出的目标，属于计划性事项，能否实现取决于市场状况变化等多种因素，存在</w:t>
      </w:r>
      <w:r>
        <w:rPr>
          <w:rFonts w:ascii="宋体" w:hAnsi="宋体" w:cs="宋体" w:eastAsia="宋体" w:hint="default"/>
          <w:b/>
          <w:bCs/>
          <w:w w:val="99"/>
          <w:sz w:val="28"/>
          <w:szCs w:val="28"/>
        </w:rPr>
        <w:t> </w:t>
      </w:r>
      <w:r>
        <w:rPr>
          <w:rFonts w:ascii="宋体" w:hAnsi="宋体" w:cs="宋体" w:eastAsia="宋体" w:hint="default"/>
          <w:b/>
          <w:bCs/>
          <w:spacing w:val="2"/>
          <w:sz w:val="28"/>
          <w:szCs w:val="28"/>
        </w:rPr>
        <w:t>不确定性，并不代表公司对未来年度的盈利预测，也不构成公司对投资者及相</w:t>
      </w:r>
      <w:r>
        <w:rPr>
          <w:rFonts w:ascii="宋体" w:hAnsi="宋体" w:cs="宋体" w:eastAsia="宋体" w:hint="default"/>
          <w:b/>
          <w:bCs/>
          <w:w w:val="99"/>
          <w:sz w:val="28"/>
          <w:szCs w:val="28"/>
        </w:rPr>
        <w:t> </w:t>
      </w:r>
      <w:r>
        <w:rPr>
          <w:rFonts w:ascii="宋体" w:hAnsi="宋体" w:cs="宋体" w:eastAsia="宋体" w:hint="default"/>
          <w:b/>
          <w:bCs/>
          <w:spacing w:val="2"/>
          <w:sz w:val="28"/>
          <w:szCs w:val="28"/>
        </w:rPr>
        <w:t>关人士的实质性承诺。投资者及相关人士均应对此保持足够的风险认识，并且</w:t>
      </w:r>
      <w:r>
        <w:rPr>
          <w:rFonts w:ascii="宋体" w:hAnsi="宋体" w:cs="宋体" w:eastAsia="宋体" w:hint="default"/>
          <w:b/>
          <w:bCs/>
          <w:w w:val="99"/>
          <w:sz w:val="28"/>
          <w:szCs w:val="28"/>
        </w:rPr>
        <w:t> </w:t>
      </w:r>
      <w:r>
        <w:rPr>
          <w:rFonts w:ascii="宋体" w:hAnsi="宋体" w:cs="宋体" w:eastAsia="宋体" w:hint="default"/>
          <w:b/>
          <w:bCs/>
          <w:sz w:val="28"/>
          <w:szCs w:val="28"/>
        </w:rPr>
        <w:t>应当理解计划、预测与承诺之间的差异。敬请投资者注意投资风险！</w:t>
      </w:r>
      <w:r>
        <w:rPr>
          <w:rFonts w:ascii="宋体" w:hAnsi="宋体" w:cs="宋体" w:eastAsia="宋体" w:hint="default"/>
          <w:sz w:val="28"/>
          <w:szCs w:val="28"/>
        </w:rPr>
      </w:r>
    </w:p>
    <w:p>
      <w:pPr>
        <w:spacing w:line="386" w:lineRule="auto" w:before="162"/>
        <w:ind w:left="152" w:right="1133"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公司在本报告第四节</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经营情况讨论与分析</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中公司未来发展面临的展望部</w:t>
      </w:r>
      <w:r>
        <w:rPr>
          <w:rFonts w:ascii="宋体" w:hAnsi="宋体" w:cs="宋体" w:eastAsia="宋体" w:hint="default"/>
          <w:b/>
          <w:bCs/>
          <w:w w:val="99"/>
          <w:sz w:val="28"/>
          <w:szCs w:val="28"/>
        </w:rPr>
        <w:t> </w:t>
      </w:r>
      <w:r>
        <w:rPr>
          <w:rFonts w:ascii="宋体" w:hAnsi="宋体" w:cs="宋体" w:eastAsia="宋体" w:hint="default"/>
          <w:b/>
          <w:bCs/>
          <w:sz w:val="28"/>
          <w:szCs w:val="28"/>
        </w:rPr>
        <w:t>分描述了公司</w:t>
      </w:r>
      <w:r>
        <w:rPr>
          <w:rFonts w:ascii="宋体" w:hAnsi="宋体" w:cs="宋体" w:eastAsia="宋体" w:hint="default"/>
          <w:b/>
          <w:bCs/>
          <w:spacing w:val="-72"/>
          <w:sz w:val="28"/>
          <w:szCs w:val="28"/>
        </w:rPr>
        <w:t> </w:t>
      </w:r>
      <w:r>
        <w:rPr>
          <w:rFonts w:ascii="Times New Roman" w:hAnsi="Times New Roman" w:cs="Times New Roman" w:eastAsia="Times New Roman" w:hint="default"/>
          <w:b/>
          <w:bCs/>
          <w:sz w:val="28"/>
          <w:szCs w:val="28"/>
        </w:rPr>
        <w:t>2020</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年重点经营计划，敬请广大投资者注意查阅。</w:t>
      </w:r>
      <w:r>
        <w:rPr>
          <w:rFonts w:ascii="宋体" w:hAnsi="宋体" w:cs="宋体" w:eastAsia="宋体" w:hint="default"/>
          <w:sz w:val="28"/>
          <w:szCs w:val="28"/>
        </w:rPr>
      </w:r>
    </w:p>
    <w:p>
      <w:pPr>
        <w:spacing w:before="148"/>
        <w:ind w:left="714" w:right="0" w:firstLine="0"/>
        <w:jc w:val="left"/>
        <w:rPr>
          <w:rFonts w:ascii="宋体" w:hAnsi="宋体" w:cs="宋体" w:eastAsia="宋体" w:hint="default"/>
          <w:sz w:val="28"/>
          <w:szCs w:val="28"/>
        </w:rPr>
      </w:pPr>
      <w:r>
        <w:rPr>
          <w:rFonts w:ascii="宋体" w:hAnsi="宋体" w:cs="宋体" w:eastAsia="宋体" w:hint="default"/>
          <w:b/>
          <w:bCs/>
          <w:w w:val="99"/>
          <w:sz w:val="28"/>
          <w:szCs w:val="28"/>
        </w:rPr>
        <w:t>公司</w:t>
      </w:r>
      <w:r>
        <w:rPr>
          <w:rFonts w:ascii="宋体" w:hAnsi="宋体" w:cs="宋体" w:eastAsia="宋体" w:hint="default"/>
          <w:b/>
          <w:bCs/>
          <w:spacing w:val="2"/>
          <w:w w:val="99"/>
          <w:sz w:val="28"/>
          <w:szCs w:val="28"/>
        </w:rPr>
        <w:t>经</w:t>
      </w:r>
      <w:r>
        <w:rPr>
          <w:rFonts w:ascii="宋体" w:hAnsi="宋体" w:cs="宋体" w:eastAsia="宋体" w:hint="default"/>
          <w:b/>
          <w:bCs/>
          <w:w w:val="99"/>
          <w:sz w:val="28"/>
          <w:szCs w:val="28"/>
        </w:rPr>
        <w:t>本次董事会审议</w:t>
      </w:r>
      <w:r>
        <w:rPr>
          <w:rFonts w:ascii="宋体" w:hAnsi="宋体" w:cs="宋体" w:eastAsia="宋体" w:hint="default"/>
          <w:b/>
          <w:bCs/>
          <w:spacing w:val="2"/>
          <w:w w:val="99"/>
          <w:sz w:val="28"/>
          <w:szCs w:val="28"/>
        </w:rPr>
        <w:t>通</w:t>
      </w:r>
      <w:r>
        <w:rPr>
          <w:rFonts w:ascii="宋体" w:hAnsi="宋体" w:cs="宋体" w:eastAsia="宋体" w:hint="default"/>
          <w:b/>
          <w:bCs/>
          <w:w w:val="99"/>
          <w:sz w:val="28"/>
          <w:szCs w:val="28"/>
        </w:rPr>
        <w:t>过的利润分配预</w:t>
      </w:r>
      <w:r>
        <w:rPr>
          <w:rFonts w:ascii="宋体" w:hAnsi="宋体" w:cs="宋体" w:eastAsia="宋体" w:hint="default"/>
          <w:b/>
          <w:bCs/>
          <w:spacing w:val="2"/>
          <w:w w:val="99"/>
          <w:sz w:val="28"/>
          <w:szCs w:val="28"/>
        </w:rPr>
        <w:t>案</w:t>
      </w:r>
      <w:r>
        <w:rPr>
          <w:rFonts w:ascii="宋体" w:hAnsi="宋体" w:cs="宋体" w:eastAsia="宋体" w:hint="default"/>
          <w:b/>
          <w:bCs/>
          <w:w w:val="99"/>
          <w:sz w:val="28"/>
          <w:szCs w:val="28"/>
        </w:rPr>
        <w:t>为</w:t>
      </w:r>
      <w:r>
        <w:rPr>
          <w:rFonts w:ascii="宋体" w:hAnsi="宋体" w:cs="宋体" w:eastAsia="宋体" w:hint="default"/>
          <w:b/>
          <w:bCs/>
          <w:spacing w:val="-123"/>
          <w:w w:val="99"/>
          <w:sz w:val="28"/>
          <w:szCs w:val="28"/>
        </w:rPr>
        <w:t>：</w:t>
      </w:r>
      <w:r>
        <w:rPr>
          <w:rFonts w:ascii="宋体" w:hAnsi="宋体" w:cs="宋体" w:eastAsia="宋体" w:hint="default"/>
          <w:b/>
          <w:bCs/>
          <w:w w:val="99"/>
          <w:sz w:val="28"/>
          <w:szCs w:val="28"/>
        </w:rPr>
        <w:t>以</w:t>
      </w:r>
      <w:r>
        <w:rPr>
          <w:rFonts w:ascii="宋体" w:hAnsi="宋体" w:cs="宋体" w:eastAsia="宋体" w:hint="default"/>
          <w:b/>
          <w:bCs/>
          <w:spacing w:val="-71"/>
          <w:sz w:val="28"/>
          <w:szCs w:val="28"/>
        </w:rPr>
        <w:t> </w:t>
      </w:r>
      <w:r>
        <w:rPr>
          <w:rFonts w:ascii="Times New Roman" w:hAnsi="Times New Roman" w:cs="Times New Roman" w:eastAsia="Times New Roman" w:hint="default"/>
          <w:b/>
          <w:bCs/>
          <w:w w:val="100"/>
          <w:sz w:val="28"/>
          <w:szCs w:val="28"/>
        </w:rPr>
        <w:t>1</w:t>
      </w:r>
      <w:r>
        <w:rPr>
          <w:rFonts w:ascii="Times New Roman" w:hAnsi="Times New Roman" w:cs="Times New Roman" w:eastAsia="Times New Roman" w:hint="default"/>
          <w:b/>
          <w:bCs/>
          <w:spacing w:val="-4"/>
          <w:w w:val="100"/>
          <w:sz w:val="28"/>
          <w:szCs w:val="28"/>
        </w:rPr>
        <w:t>,</w:t>
      </w:r>
      <w:r>
        <w:rPr>
          <w:rFonts w:ascii="Times New Roman" w:hAnsi="Times New Roman" w:cs="Times New Roman" w:eastAsia="Times New Roman" w:hint="default"/>
          <w:b/>
          <w:bCs/>
          <w:w w:val="100"/>
          <w:sz w:val="28"/>
          <w:szCs w:val="28"/>
        </w:rPr>
        <w:t>1</w:t>
      </w:r>
      <w:r>
        <w:rPr>
          <w:rFonts w:ascii="Times New Roman" w:hAnsi="Times New Roman" w:cs="Times New Roman" w:eastAsia="Times New Roman" w:hint="default"/>
          <w:b/>
          <w:bCs/>
          <w:spacing w:val="-2"/>
          <w:w w:val="100"/>
          <w:sz w:val="28"/>
          <w:szCs w:val="28"/>
        </w:rPr>
        <w:t>7</w:t>
      </w:r>
      <w:r>
        <w:rPr>
          <w:rFonts w:ascii="Times New Roman" w:hAnsi="Times New Roman" w:cs="Times New Roman" w:eastAsia="Times New Roman" w:hint="default"/>
          <w:b/>
          <w:bCs/>
          <w:w w:val="100"/>
          <w:sz w:val="28"/>
          <w:szCs w:val="28"/>
        </w:rPr>
        <w:t>4</w:t>
      </w:r>
      <w:r>
        <w:rPr>
          <w:rFonts w:ascii="Times New Roman" w:hAnsi="Times New Roman" w:cs="Times New Roman" w:eastAsia="Times New Roman" w:hint="default"/>
          <w:b/>
          <w:bCs/>
          <w:spacing w:val="-4"/>
          <w:w w:val="100"/>
          <w:sz w:val="28"/>
          <w:szCs w:val="28"/>
        </w:rPr>
        <w:t>,</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w w:val="100"/>
          <w:sz w:val="28"/>
          <w:szCs w:val="28"/>
        </w:rPr>
        <w:t>1</w:t>
      </w:r>
      <w:r>
        <w:rPr>
          <w:rFonts w:ascii="Times New Roman" w:hAnsi="Times New Roman" w:cs="Times New Roman" w:eastAsia="Times New Roman" w:hint="default"/>
          <w:b/>
          <w:bCs/>
          <w:w w:val="100"/>
          <w:sz w:val="28"/>
          <w:szCs w:val="28"/>
        </w:rPr>
        <w:t>6,</w:t>
      </w:r>
      <w:r>
        <w:rPr>
          <w:rFonts w:ascii="Times New Roman" w:hAnsi="Times New Roman" w:cs="Times New Roman" w:eastAsia="Times New Roman" w:hint="default"/>
          <w:b/>
          <w:bCs/>
          <w:spacing w:val="-2"/>
          <w:w w:val="100"/>
          <w:sz w:val="28"/>
          <w:szCs w:val="28"/>
        </w:rPr>
        <w:t>74</w:t>
      </w:r>
      <w:r>
        <w:rPr>
          <w:rFonts w:ascii="Times New Roman" w:hAnsi="Times New Roman" w:cs="Times New Roman" w:eastAsia="Times New Roman" w:hint="default"/>
          <w:b/>
          <w:bCs/>
          <w:w w:val="100"/>
          <w:sz w:val="28"/>
          <w:szCs w:val="28"/>
        </w:rPr>
        <w:t>5</w:t>
      </w:r>
      <w:r>
        <w:rPr>
          <w:rFonts w:ascii="Times New Roman" w:hAnsi="Times New Roman" w:cs="Times New Roman" w:eastAsia="Times New Roman" w:hint="default"/>
          <w:b/>
          <w:bCs/>
          <w:spacing w:val="3"/>
          <w:sz w:val="28"/>
          <w:szCs w:val="28"/>
        </w:rPr>
        <w:t> </w:t>
      </w:r>
      <w:r>
        <w:rPr>
          <w:rFonts w:ascii="宋体" w:hAnsi="宋体" w:cs="宋体" w:eastAsia="宋体" w:hint="default"/>
          <w:b/>
          <w:bCs/>
          <w:w w:val="99"/>
          <w:sz w:val="28"/>
          <w:szCs w:val="28"/>
        </w:rPr>
        <w:t>股为基</w:t>
      </w:r>
      <w:r>
        <w:rPr>
          <w:rFonts w:ascii="宋体" w:hAnsi="宋体" w:cs="宋体" w:eastAsia="宋体" w:hint="default"/>
          <w:b/>
          <w:bCs/>
          <w:spacing w:val="2"/>
          <w:w w:val="99"/>
          <w:sz w:val="28"/>
          <w:szCs w:val="28"/>
        </w:rPr>
        <w:t>数</w:t>
      </w:r>
      <w:r>
        <w:rPr>
          <w:rFonts w:ascii="宋体" w:hAnsi="宋体" w:cs="宋体" w:eastAsia="宋体" w:hint="default"/>
          <w:b/>
          <w:bCs/>
          <w:w w:val="99"/>
          <w:sz w:val="28"/>
          <w:szCs w:val="28"/>
        </w:rPr>
        <w:t>，</w:t>
      </w:r>
      <w:r>
        <w:rPr>
          <w:rFonts w:ascii="宋体" w:hAnsi="宋体" w:cs="宋体" w:eastAsia="宋体" w:hint="default"/>
          <w:sz w:val="28"/>
          <w:szCs w:val="28"/>
        </w:rPr>
      </w:r>
    </w:p>
    <w:p>
      <w:pPr>
        <w:spacing w:line="386" w:lineRule="auto" w:before="237"/>
        <w:ind w:left="152" w:right="1131" w:firstLine="0"/>
        <w:jc w:val="both"/>
        <w:rPr>
          <w:rFonts w:ascii="宋体" w:hAnsi="宋体" w:cs="宋体" w:eastAsia="宋体" w:hint="default"/>
          <w:sz w:val="28"/>
          <w:szCs w:val="28"/>
        </w:rPr>
      </w:pPr>
      <w:r>
        <w:rPr>
          <w:rFonts w:ascii="宋体" w:hAnsi="宋体" w:cs="宋体" w:eastAsia="宋体" w:hint="default"/>
          <w:b/>
          <w:bCs/>
          <w:w w:val="99"/>
          <w:sz w:val="28"/>
          <w:szCs w:val="28"/>
        </w:rPr>
        <w:t>向全体股东每</w:t>
      </w:r>
      <w:r>
        <w:rPr>
          <w:rFonts w:ascii="宋体" w:hAnsi="宋体" w:cs="宋体" w:eastAsia="宋体" w:hint="default"/>
          <w:b/>
          <w:bCs/>
          <w:spacing w:val="-70"/>
          <w:w w:val="99"/>
          <w:sz w:val="28"/>
          <w:szCs w:val="28"/>
        </w:rPr>
        <w:t> </w:t>
      </w:r>
      <w:r>
        <w:rPr>
          <w:rFonts w:ascii="Times New Roman" w:hAnsi="Times New Roman" w:cs="Times New Roman" w:eastAsia="Times New Roman" w:hint="default"/>
          <w:b/>
          <w:bCs/>
          <w:w w:val="100"/>
          <w:sz w:val="28"/>
          <w:szCs w:val="28"/>
        </w:rPr>
        <w:t>10</w:t>
      </w:r>
      <w:r>
        <w:rPr>
          <w:rFonts w:ascii="Times New Roman" w:hAnsi="Times New Roman" w:cs="Times New Roman" w:eastAsia="Times New Roman" w:hint="default"/>
          <w:b/>
          <w:bCs/>
          <w:spacing w:val="-1"/>
          <w:w w:val="100"/>
          <w:sz w:val="28"/>
          <w:szCs w:val="28"/>
        </w:rPr>
        <w:t> </w:t>
      </w:r>
      <w:r>
        <w:rPr>
          <w:rFonts w:ascii="宋体" w:hAnsi="宋体" w:cs="宋体" w:eastAsia="宋体" w:hint="default"/>
          <w:b/>
          <w:bCs/>
          <w:w w:val="99"/>
          <w:sz w:val="28"/>
          <w:szCs w:val="28"/>
        </w:rPr>
        <w:t>股派发现金红利</w:t>
      </w:r>
      <w:r>
        <w:rPr>
          <w:rFonts w:ascii="宋体" w:hAnsi="宋体" w:cs="宋体" w:eastAsia="宋体" w:hint="default"/>
          <w:b/>
          <w:bCs/>
          <w:spacing w:val="-68"/>
          <w:w w:val="99"/>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1"/>
          <w:w w:val="100"/>
          <w:sz w:val="28"/>
          <w:szCs w:val="28"/>
        </w:rPr>
        <w:t> </w:t>
      </w:r>
      <w:r>
        <w:rPr>
          <w:rFonts w:ascii="宋体" w:hAnsi="宋体" w:cs="宋体" w:eastAsia="宋体" w:hint="default"/>
          <w:b/>
          <w:bCs/>
          <w:spacing w:val="-19"/>
          <w:w w:val="99"/>
          <w:sz w:val="28"/>
          <w:szCs w:val="28"/>
        </w:rPr>
        <w:t>元（含税），送红股</w:t>
      </w:r>
      <w:r>
        <w:rPr>
          <w:rFonts w:ascii="宋体" w:hAnsi="宋体" w:cs="宋体" w:eastAsia="宋体" w:hint="default"/>
          <w:b/>
          <w:bCs/>
          <w:spacing w:val="-71"/>
          <w:w w:val="99"/>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1"/>
          <w:w w:val="100"/>
          <w:sz w:val="28"/>
          <w:szCs w:val="28"/>
        </w:rPr>
        <w:t> </w:t>
      </w:r>
      <w:r>
        <w:rPr>
          <w:rFonts w:ascii="宋体" w:hAnsi="宋体" w:cs="宋体" w:eastAsia="宋体" w:hint="default"/>
          <w:b/>
          <w:bCs/>
          <w:spacing w:val="-17"/>
          <w:w w:val="99"/>
          <w:sz w:val="28"/>
          <w:szCs w:val="28"/>
        </w:rPr>
        <w:t>股（含税），不以公积</w:t>
      </w:r>
      <w:r>
        <w:rPr>
          <w:rFonts w:ascii="宋体" w:hAnsi="宋体" w:cs="宋体" w:eastAsia="宋体" w:hint="default"/>
          <w:b/>
          <w:bCs/>
          <w:w w:val="99"/>
          <w:sz w:val="28"/>
          <w:szCs w:val="28"/>
        </w:rPr>
        <w:t> </w:t>
      </w:r>
      <w:r>
        <w:rPr>
          <w:rFonts w:ascii="宋体" w:hAnsi="宋体" w:cs="宋体" w:eastAsia="宋体" w:hint="default"/>
          <w:b/>
          <w:bCs/>
          <w:sz w:val="28"/>
          <w:szCs w:val="28"/>
        </w:rPr>
        <w:t>金转增股本。</w:t>
      </w:r>
      <w:r>
        <w:rPr>
          <w:rFonts w:ascii="宋体" w:hAnsi="宋体" w:cs="宋体" w:eastAsia="宋体" w:hint="default"/>
          <w:sz w:val="28"/>
          <w:szCs w:val="28"/>
        </w:rPr>
      </w:r>
    </w:p>
    <w:p>
      <w:pPr>
        <w:spacing w:after="0" w:line="386" w:lineRule="auto"/>
        <w:jc w:val="both"/>
        <w:rPr>
          <w:rFonts w:ascii="宋体" w:hAnsi="宋体" w:cs="宋体" w:eastAsia="宋体" w:hint="default"/>
          <w:sz w:val="28"/>
          <w:szCs w:val="28"/>
        </w:rPr>
        <w:sectPr>
          <w:footerReference w:type="default" r:id="rId8"/>
          <w:pgSz w:w="11910" w:h="16840"/>
          <w:pgMar w:footer="980" w:header="745" w:top="1060" w:bottom="1160" w:left="980" w:right="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513" w:right="1491"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2"/>
        <w:rPr>
          <w:rFonts w:ascii="宋体" w:hAnsi="宋体" w:cs="宋体" w:eastAsia="宋体" w:hint="default"/>
          <w:b/>
          <w:bCs/>
          <w:sz w:val="41"/>
          <w:szCs w:val="41"/>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宋体" w:hAnsi="宋体" w:cs="宋体" w:eastAsia="宋体" w:hint="default"/>
              <w:b w:val="0"/>
              <w:bCs w:val="0"/>
            </w:rPr>
          </w:pPr>
          <w:r>
            <w:fldChar w:fldCharType="begin"/>
          </w:r>
          <w:r>
            <w:instrText>TOC \o "1-1" \h \z \u </w:instrText>
          </w:r>
          <w:r>
            <w:fldChar w:fldCharType="separate"/>
          </w:r>
          <w:hyperlink w:history="true" w:anchor="_bookmark0">
            <w:r>
              <w:rPr/>
              <w:t>第一节重要提示、目录和释义</w:t>
            </w:r>
            <w:r>
              <w:rPr>
                <w:rFonts w:ascii="宋体" w:hAnsi="宋体" w:cs="宋体" w:eastAsia="宋体" w:hint="default"/>
              </w:rPr>
              <w:tab/>
              <w:t>2</w:t>
            </w:r>
            <w:r>
              <w:rPr>
                <w:rFonts w:ascii="宋体" w:hAnsi="宋体" w:cs="宋体" w:eastAsia="宋体" w:hint="default"/>
                <w:b w:val="0"/>
                <w:bCs w:val="0"/>
              </w:rPr>
            </w:r>
          </w:hyperlink>
        </w:p>
        <w:p>
          <w:pPr>
            <w:pStyle w:val="TOC1"/>
            <w:tabs>
              <w:tab w:pos="9783" w:val="right" w:leader="dot"/>
            </w:tabs>
            <w:spacing w:line="240" w:lineRule="auto"/>
            <w:ind w:right="0"/>
            <w:jc w:val="left"/>
            <w:rPr>
              <w:rFonts w:ascii="宋体" w:hAnsi="宋体" w:cs="宋体" w:eastAsia="宋体" w:hint="default"/>
              <w:b w:val="0"/>
              <w:bCs w:val="0"/>
            </w:rPr>
          </w:pPr>
          <w:hyperlink w:history="true" w:anchor="_bookmark1">
            <w:r>
              <w:rPr/>
              <w:t>第二节公司简介和主要财务指标</w:t>
            </w:r>
            <w:r>
              <w:rPr>
                <w:rFonts w:ascii="宋体" w:hAnsi="宋体" w:cs="宋体" w:eastAsia="宋体" w:hint="default"/>
              </w:rPr>
              <w:tab/>
              <w:t>7</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bookmark2">
            <w:r>
              <w:rPr/>
              <w:t>第三节公司业务概要</w:t>
            </w:r>
            <w:r>
              <w:rPr>
                <w:rFonts w:ascii="宋体" w:hAnsi="宋体" w:cs="宋体" w:eastAsia="宋体" w:hint="default"/>
              </w:rPr>
              <w:tab/>
              <w:t>11</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bookmark3">
            <w:r>
              <w:rPr/>
              <w:t>第四节经营情况讨论与分析</w:t>
            </w:r>
            <w:r>
              <w:rPr>
                <w:rFonts w:ascii="宋体" w:hAnsi="宋体" w:cs="宋体" w:eastAsia="宋体" w:hint="default"/>
              </w:rPr>
              <w:tab/>
              <w:t>15</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bookmark4">
            <w:r>
              <w:rPr/>
              <w:t>第五节重要事项</w:t>
            </w:r>
            <w:r>
              <w:rPr>
                <w:rFonts w:ascii="宋体" w:hAnsi="宋体" w:cs="宋体" w:eastAsia="宋体" w:hint="default"/>
              </w:rPr>
              <w:tab/>
              <w:t>31</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bookmark5">
            <w:r>
              <w:rPr/>
              <w:t>第六节股份变动及股东情况</w:t>
            </w:r>
            <w:r>
              <w:rPr>
                <w:rFonts w:ascii="宋体" w:hAnsi="宋体" w:cs="宋体" w:eastAsia="宋体" w:hint="default"/>
              </w:rPr>
              <w:tab/>
              <w:t>99</w:t>
            </w:r>
            <w:r>
              <w:rPr>
                <w:rFonts w:ascii="宋体" w:hAnsi="宋体" w:cs="宋体" w:eastAsia="宋体" w:hint="default"/>
                <w:b w:val="0"/>
                <w:bCs w:val="0"/>
              </w:rPr>
            </w:r>
          </w:hyperlink>
        </w:p>
        <w:p>
          <w:pPr>
            <w:pStyle w:val="TOC1"/>
            <w:tabs>
              <w:tab w:pos="9783" w:val="right" w:leader="dot"/>
            </w:tabs>
            <w:spacing w:line="240" w:lineRule="auto"/>
            <w:ind w:right="0"/>
            <w:jc w:val="left"/>
            <w:rPr>
              <w:rFonts w:ascii="宋体" w:hAnsi="宋体" w:cs="宋体" w:eastAsia="宋体" w:hint="default"/>
              <w:b w:val="0"/>
              <w:bCs w:val="0"/>
            </w:rPr>
          </w:pPr>
          <w:hyperlink w:history="true" w:anchor="_bookmark6">
            <w:r>
              <w:rPr/>
              <w:t>第七节优先股相关情况</w:t>
            </w:r>
            <w:r>
              <w:rPr>
                <w:rFonts w:ascii="宋体" w:hAnsi="宋体" w:cs="宋体" w:eastAsia="宋体" w:hint="default"/>
              </w:rPr>
              <w:tab/>
              <w:t>107</w:t>
            </w:r>
            <w:r>
              <w:rPr>
                <w:rFonts w:ascii="宋体" w:hAnsi="宋体" w:cs="宋体" w:eastAsia="宋体" w:hint="default"/>
                <w:b w:val="0"/>
                <w:bCs w:val="0"/>
              </w:rPr>
            </w:r>
          </w:hyperlink>
        </w:p>
        <w:p>
          <w:pPr>
            <w:pStyle w:val="TOC1"/>
            <w:tabs>
              <w:tab w:pos="9783" w:val="right" w:leader="dot"/>
            </w:tabs>
            <w:spacing w:line="240" w:lineRule="auto"/>
            <w:ind w:right="0"/>
            <w:jc w:val="left"/>
            <w:rPr>
              <w:rFonts w:ascii="宋体" w:hAnsi="宋体" w:cs="宋体" w:eastAsia="宋体" w:hint="default"/>
              <w:b w:val="0"/>
              <w:bCs w:val="0"/>
            </w:rPr>
          </w:pPr>
          <w:hyperlink w:history="true" w:anchor="_bookmark7">
            <w:r>
              <w:rPr/>
              <w:t>第八节可转换公司债券相关情况</w:t>
            </w:r>
            <w:r>
              <w:rPr>
                <w:rFonts w:ascii="宋体" w:hAnsi="宋体" w:cs="宋体" w:eastAsia="宋体" w:hint="default"/>
              </w:rPr>
              <w:tab/>
              <w:t>108</w:t>
            </w:r>
            <w:r>
              <w:rPr>
                <w:rFonts w:ascii="宋体" w:hAnsi="宋体" w:cs="宋体" w:eastAsia="宋体" w:hint="default"/>
                <w:b w:val="0"/>
                <w:bCs w:val="0"/>
              </w:rPr>
            </w:r>
          </w:hyperlink>
        </w:p>
        <w:p>
          <w:pPr>
            <w:pStyle w:val="TOC1"/>
            <w:tabs>
              <w:tab w:pos="9783" w:val="right" w:leader="dot"/>
            </w:tabs>
            <w:spacing w:line="240" w:lineRule="auto"/>
            <w:ind w:right="0"/>
            <w:jc w:val="left"/>
            <w:rPr>
              <w:rFonts w:ascii="宋体" w:hAnsi="宋体" w:cs="宋体" w:eastAsia="宋体" w:hint="default"/>
              <w:b w:val="0"/>
              <w:bCs w:val="0"/>
            </w:rPr>
          </w:pPr>
          <w:hyperlink w:history="true" w:anchor="_bookmark8">
            <w:r>
              <w:rPr/>
              <w:t>第九节董事、监事、高级管理人员和员工情况</w:t>
            </w:r>
            <w:r>
              <w:rPr>
                <w:rFonts w:ascii="宋体" w:hAnsi="宋体" w:cs="宋体" w:eastAsia="宋体" w:hint="default"/>
              </w:rPr>
              <w:tab/>
              <w:t>109</w:t>
            </w:r>
            <w:r>
              <w:rPr>
                <w:rFonts w:ascii="宋体" w:hAnsi="宋体" w:cs="宋体" w:eastAsia="宋体" w:hint="default"/>
                <w:b w:val="0"/>
                <w:bCs w:val="0"/>
              </w:rPr>
            </w:r>
          </w:hyperlink>
        </w:p>
        <w:p>
          <w:pPr>
            <w:pStyle w:val="TOC1"/>
            <w:tabs>
              <w:tab w:pos="9783" w:val="right" w:leader="dot"/>
            </w:tabs>
            <w:spacing w:line="240" w:lineRule="auto"/>
            <w:ind w:right="0"/>
            <w:jc w:val="left"/>
            <w:rPr>
              <w:rFonts w:ascii="宋体" w:hAnsi="宋体" w:cs="宋体" w:eastAsia="宋体" w:hint="default"/>
              <w:b w:val="0"/>
              <w:bCs w:val="0"/>
            </w:rPr>
          </w:pPr>
          <w:hyperlink w:history="true" w:anchor="_bookmark9">
            <w:r>
              <w:rPr/>
              <w:t>第十节公司治理</w:t>
            </w:r>
            <w:r>
              <w:rPr>
                <w:rFonts w:ascii="宋体" w:hAnsi="宋体" w:cs="宋体" w:eastAsia="宋体" w:hint="default"/>
              </w:rPr>
              <w:tab/>
              <w:t>120</w:t>
            </w:r>
            <w:r>
              <w:rPr>
                <w:rFonts w:ascii="宋体" w:hAnsi="宋体" w:cs="宋体" w:eastAsia="宋体" w:hint="default"/>
                <w:b w:val="0"/>
                <w:bCs w:val="0"/>
              </w:rPr>
            </w:r>
          </w:hyperlink>
        </w:p>
        <w:p>
          <w:pPr>
            <w:pStyle w:val="TOC1"/>
            <w:tabs>
              <w:tab w:pos="9783" w:val="right" w:leader="dot"/>
            </w:tabs>
            <w:spacing w:line="240" w:lineRule="auto"/>
            <w:ind w:right="0"/>
            <w:jc w:val="left"/>
            <w:rPr>
              <w:rFonts w:ascii="宋体" w:hAnsi="宋体" w:cs="宋体" w:eastAsia="宋体" w:hint="default"/>
              <w:b w:val="0"/>
              <w:bCs w:val="0"/>
            </w:rPr>
          </w:pPr>
          <w:hyperlink w:history="true" w:anchor="_bookmark10">
            <w:r>
              <w:rPr/>
              <w:t>第十一节公司债券相关情况</w:t>
            </w:r>
            <w:r>
              <w:rPr>
                <w:rFonts w:ascii="宋体" w:hAnsi="宋体" w:cs="宋体" w:eastAsia="宋体" w:hint="default"/>
              </w:rPr>
              <w:tab/>
              <w:t>125</w:t>
            </w:r>
            <w:r>
              <w:rPr>
                <w:rFonts w:ascii="宋体" w:hAnsi="宋体" w:cs="宋体" w:eastAsia="宋体" w:hint="default"/>
                <w:b w:val="0"/>
                <w:bCs w:val="0"/>
              </w:rPr>
            </w:r>
          </w:hyperlink>
        </w:p>
        <w:p>
          <w:pPr>
            <w:pStyle w:val="TOC1"/>
            <w:tabs>
              <w:tab w:pos="9783" w:val="right" w:leader="dot"/>
            </w:tabs>
            <w:spacing w:line="240" w:lineRule="auto"/>
            <w:ind w:right="0"/>
            <w:jc w:val="left"/>
            <w:rPr>
              <w:rFonts w:ascii="宋体" w:hAnsi="宋体" w:cs="宋体" w:eastAsia="宋体" w:hint="default"/>
              <w:b w:val="0"/>
              <w:bCs w:val="0"/>
            </w:rPr>
          </w:pPr>
          <w:hyperlink w:history="true" w:anchor="_bookmark11">
            <w:r>
              <w:rPr/>
              <w:t>第十二节</w:t>
            </w:r>
            <w:r>
              <w:rPr>
                <w:spacing w:val="-2"/>
              </w:rPr>
              <w:t> </w:t>
            </w:r>
            <w:r>
              <w:rPr/>
              <w:t>财务报告</w:t>
            </w:r>
            <w:r>
              <w:rPr>
                <w:rFonts w:ascii="宋体" w:hAnsi="宋体" w:cs="宋体" w:eastAsia="宋体" w:hint="default"/>
              </w:rPr>
              <w:tab/>
              <w:t>126</w:t>
            </w:r>
            <w:r>
              <w:rPr>
                <w:rFonts w:ascii="宋体" w:hAnsi="宋体" w:cs="宋体" w:eastAsia="宋体" w:hint="default"/>
                <w:b w:val="0"/>
                <w:bCs w:val="0"/>
              </w:rPr>
            </w:r>
          </w:hyperlink>
        </w:p>
        <w:p>
          <w:pPr>
            <w:pStyle w:val="TOC1"/>
            <w:tabs>
              <w:tab w:pos="9783" w:val="right" w:leader="dot"/>
            </w:tabs>
            <w:spacing w:line="240" w:lineRule="auto"/>
            <w:ind w:right="0"/>
            <w:jc w:val="left"/>
            <w:rPr>
              <w:rFonts w:ascii="宋体" w:hAnsi="宋体" w:cs="宋体" w:eastAsia="宋体" w:hint="default"/>
              <w:b w:val="0"/>
              <w:bCs w:val="0"/>
            </w:rPr>
          </w:pPr>
          <w:hyperlink w:history="true" w:anchor="_bookmark12">
            <w:r>
              <w:rPr/>
              <w:t>第十三节</w:t>
            </w:r>
            <w:r>
              <w:rPr>
                <w:spacing w:val="-2"/>
              </w:rPr>
              <w:t> </w:t>
            </w:r>
            <w:r>
              <w:rPr/>
              <w:t>备查文件目录</w:t>
            </w:r>
            <w:r>
              <w:rPr>
                <w:rFonts w:ascii="宋体" w:hAnsi="宋体" w:cs="宋体" w:eastAsia="宋体" w:hint="default"/>
              </w:rPr>
              <w:tab/>
              <w:t>268</w:t>
            </w:r>
            <w:r>
              <w:rPr>
                <w:rFonts w:ascii="宋体" w:hAnsi="宋体" w:cs="宋体" w:eastAsia="宋体" w:hint="default"/>
                <w:b w:val="0"/>
                <w:bCs w:val="0"/>
              </w:rPr>
            </w:r>
          </w:hyperlink>
        </w:p>
        <w:p>
          <w:pPr/>
          <w:r>
            <w:fldChar w:fldCharType="end"/>
          </w:r>
        </w:p>
      </w:sdtContent>
    </w:sdt>
    <w:p>
      <w:pPr>
        <w:spacing w:after="0"/>
        <w:sectPr>
          <w:pgSz w:w="11910" w:h="16840"/>
          <w:pgMar w:header="745" w:footer="980" w:top="1060" w:bottom="1160" w:left="980" w:right="0"/>
        </w:sectPr>
      </w:pPr>
    </w:p>
    <w:p>
      <w:pPr>
        <w:spacing w:before="945"/>
        <w:ind w:left="513" w:right="1491"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6"/>
        <w:gridCol w:w="599"/>
        <w:gridCol w:w="5436"/>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青岛证监局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中国证券监督管理委员会青岛监管局</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海联金汇科技股份有限公司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海联金汇科技股份有限公司股东大会</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海联金汇科技股份有限公司董事会</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海联金汇科技股份有限公司监事会</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《海联金汇科技股份有限公司章程》</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人民币元</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本年、本年度、本期、报告期</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上年、上年度、上期、上年同期</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海立美达</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海联金汇科技股份有限公司前身青岛海立美达股份有限公司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海立控股</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控股股东青岛海立控股有限公司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中国移动</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股东中国移动通信集团有限公司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银联商务</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股东银联商务股份有限公司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博升优势</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股东北京博升优势科技发展有限公司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海立钢制品</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青岛海立控股有限公司前身青岛海立钢制品有限公司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天晨投资</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股东青岛天晨投资有限公司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联动优势</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全资子公司联动优势科技有限公司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海立美达电机</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全资子公司青岛海立美达电机有限公司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海立达冲压件</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全资子公司青岛海立达冲压件有限公司</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海立美达精密</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全资子公司青岛海立美达精密机械制造有限公司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湖南海立美达</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全资子公司湖南海立美达钢板加工配送有限公司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烟台海立美达</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全资子公司烟台海立美达精密钢制品有限公司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海立美达香港</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全资子公司海立美达香港有限公司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海立美达模具</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全资子公司青岛海立美达模具有限公司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宁波泰鸿机电</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全资子公司宁波泰鸿机电有限公司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湖北海立田</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控股子公司湖北海立田汽车部件有限公司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上海海众</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全资子公司上海海众实业发展有限公司</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525"/>
        <w:gridCol w:w="620"/>
        <w:gridCol w:w="5425"/>
      </w:tblGrid>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湖北海立美达</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控股子公司湖北海立美达汽车有限公司</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湖北福田</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69"/>
              <w:jc w:val="left"/>
              <w:rPr>
                <w:rFonts w:ascii="宋体" w:hAnsi="宋体" w:cs="宋体" w:eastAsia="宋体" w:hint="default"/>
                <w:sz w:val="18"/>
                <w:szCs w:val="18"/>
              </w:rPr>
            </w:pPr>
            <w:r>
              <w:rPr>
                <w:rFonts w:ascii="宋体" w:hAnsi="宋体" w:cs="宋体" w:eastAsia="宋体" w:hint="default"/>
                <w:sz w:val="18"/>
                <w:szCs w:val="18"/>
              </w:rPr>
              <w:t>控股子公司湖北海立美达汽车有限公司前身湖北福田专用汽车有限 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海立美达科技</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控股子公司青岛海立美达科技有限公司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上海和达</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控股子公司上海和达汽车配件有限公司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中安美达</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控股子公司青岛中安美达技术有限公司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江苏盛世通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控股子公司江苏盛世通钢铁供应链管理有限公司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吉地亚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控股子公司海联金汇吉地亚（上海）汽车零部件有限公司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联动商务</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三级子公司联动优势电子商务有限公司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安派国际</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三级子公司安派国际控股有限公司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万金通达</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三级子公司青岛万金通达经济信息服务有限公司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宁波冲压</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三级子公司宁波泰鸿冲压件有限公司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宁波海立美达</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三级子公司宁波海立美达汽车部件有限公司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宝鸡泰鸿机电</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三级子公司宝鸡泰鸿机电有限公司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舟山陆泰</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三级子公司舟山陆泰石油化工有限公司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海美房地产</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三级子公司枣阳市海美房地产开发有限公司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枣庄海立美达</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三级子公司枣庄海立美达模具有限公司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海联金科</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三级子公司海联金汇（北京）金融科技有限公司</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联保汇通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三级子公司联保汇通（汕头）保险代理有限公司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蜜小蜂</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三级子公司蜜小蜂智慧（北京）科技有限公司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宁德和达</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三级子公司宁德和达汽车配件有限公司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天津和达</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三级子公司天津和达汽车配件有限公司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梅州和达</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三级子公司梅州和达汽车配件有限公司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广盈保理</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三级子公司济南广盈商业保理有限公司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联动数科</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三级子公司联动优势（北京）数字科技有限公司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金玉联汇</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三级子公司北京金玉联汇科技有限公司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宁波康拓</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三级子公司宁波康拓企业管理有限公司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辉海科技</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三级子公司辉海（上海）科技服务有限公司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安派美国</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四级子公司 </w:t>
            </w:r>
            <w:r>
              <w:rPr>
                <w:rFonts w:ascii="Times New Roman" w:hAnsi="Times New Roman" w:cs="Times New Roman" w:eastAsia="Times New Roman" w:hint="default"/>
                <w:sz w:val="18"/>
                <w:szCs w:val="18"/>
              </w:rPr>
              <w:t>Umpire</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International</w:t>
            </w:r>
            <w:r>
              <w:rPr>
                <w:rFonts w:ascii="宋体" w:hAnsi="宋体" w:cs="宋体" w:eastAsia="宋体" w:hint="default"/>
                <w:sz w:val="18"/>
                <w:szCs w:val="18"/>
              </w:rPr>
              <w:t>（</w:t>
            </w:r>
            <w:r>
              <w:rPr>
                <w:rFonts w:ascii="Times New Roman" w:hAnsi="Times New Roman" w:cs="Times New Roman" w:eastAsia="Times New Roman" w:hint="default"/>
                <w:sz w:val="18"/>
                <w:szCs w:val="18"/>
              </w:rPr>
              <w:t>U.S.</w:t>
            </w:r>
            <w:r>
              <w:rPr>
                <w:rFonts w:ascii="宋体" w:hAnsi="宋体" w:cs="宋体" w:eastAsia="宋体" w:hint="default"/>
                <w:sz w:val="18"/>
                <w:szCs w:val="18"/>
              </w:rPr>
              <w:t>）</w:t>
            </w:r>
            <w:r>
              <w:rPr>
                <w:rFonts w:ascii="Times New Roman" w:hAnsi="Times New Roman" w:cs="Times New Roman" w:eastAsia="Times New Roman" w:hint="default"/>
                <w:sz w:val="18"/>
                <w:szCs w:val="18"/>
              </w:rPr>
              <w:t>LLC</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安派加拿大</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四级子公司 </w:t>
            </w:r>
            <w:r>
              <w:rPr>
                <w:rFonts w:ascii="Times New Roman" w:hAnsi="Times New Roman" w:cs="Times New Roman" w:eastAsia="Times New Roman" w:hint="default"/>
                <w:sz w:val="18"/>
                <w:szCs w:val="18"/>
              </w:rPr>
              <w:t>Union Mobile Financial Technology (Canada)</w:t>
            </w:r>
            <w:r>
              <w:rPr>
                <w:rFonts w:ascii="Times New Roman" w:hAnsi="Times New Roman" w:cs="Times New Roman" w:eastAsia="Times New Roman" w:hint="default"/>
                <w:spacing w:val="-29"/>
                <w:sz w:val="18"/>
                <w:szCs w:val="18"/>
              </w:rPr>
              <w:t> </w:t>
            </w:r>
            <w:r>
              <w:rPr>
                <w:rFonts w:ascii="Times New Roman" w:hAnsi="Times New Roman" w:cs="Times New Roman" w:eastAsia="Times New Roman" w:hint="default"/>
                <w:sz w:val="18"/>
                <w:szCs w:val="18"/>
              </w:rPr>
              <w:t>Corporation</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联动加拿大</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四级子公司联动优势科技（加拿大）有限公司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迪达能化</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四级子公司哈尔滨迪达能化科技有限公司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玖联金通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四级子公司北京玖联金通科技有限公司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中金卓越</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五级子公司青岛中金卓越商业保理有限公司</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525"/>
        <w:gridCol w:w="620"/>
        <w:gridCol w:w="5425"/>
      </w:tblGrid>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博苑地产</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青岛博苑房地产开发有限公司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海基置业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青岛海基置业有限公司</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72.339996pt;margin-top:272.809998pt;width:361.55pt;height:19.6pt;mso-position-horizontal-relative:page;mso-position-vertical-relative:page;z-index:-1714216" coordorigin="3447,5456" coordsize="7231,392">
            <v:shape style="position:absolute;left:3447;top:5456;width:7231;height:392" coordorigin="3447,5456" coordsize="7231,392" path="m3447,5847l10677,5847,10677,5456,3447,5456,3447,5847xe" filled="true" fillcolor="#ffffff" stroked="false">
              <v:path arrowok="t"/>
              <v:fill type="solid"/>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left="2723" w:right="1133"/>
        <w:jc w:val="left"/>
        <w:rPr>
          <w:b w:val="0"/>
          <w:bCs w:val="0"/>
        </w:rPr>
      </w:pPr>
      <w:bookmarkStart w:name="第二节公司简介和主要财务指标" w:id="3"/>
      <w:bookmarkEnd w:id="3"/>
      <w:r>
        <w:rPr>
          <w:b w:val="0"/>
          <w:bCs w:val="0"/>
        </w:rPr>
      </w:r>
      <w:bookmarkStart w:name="_bookmark1" w:id="4"/>
      <w:bookmarkEnd w:id="4"/>
      <w:r>
        <w:rPr>
          <w:b w:val="0"/>
          <w:bCs w:val="0"/>
        </w:rPr>
      </w:r>
      <w:r>
        <w:rPr/>
        <w:t>第二节公司简介和主要财务指标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66"/>
        <w:gridCol w:w="2154"/>
        <w:gridCol w:w="2177"/>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海联金汇</w:t>
            </w:r>
          </w:p>
        </w:tc>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002537</w:t>
            </w:r>
          </w:p>
        </w:tc>
      </w:tr>
      <w:tr>
        <w:trPr>
          <w:trHeight w:val="401" w:hRule="exact"/>
        </w:trPr>
        <w:tc>
          <w:tcPr>
            <w:tcW w:w="2272" w:type="dxa"/>
            <w:tcBorders>
              <w:top w:val="single" w:sz="4" w:space="0" w:color="000000"/>
              <w:left w:val="single" w:sz="4" w:space="0" w:color="000000"/>
              <w:bottom w:val="single" w:sz="4" w:space="0" w:color="000000"/>
              <w:right w:val="single" w:sz="13" w:space="0" w:color="D9D9D9"/>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8" w:type="dxa"/>
            <w:gridSpan w:val="3"/>
            <w:tcBorders>
              <w:top w:val="single" w:sz="4" w:space="0" w:color="000000"/>
              <w:left w:val="single" w:sz="10" w:space="0" w:color="D2D2D2"/>
              <w:bottom w:val="single" w:sz="4" w:space="0" w:color="000000"/>
              <w:right w:val="single" w:sz="4" w:space="0" w:color="000000"/>
            </w:tcBorders>
            <w:shd w:val="clear" w:color="auto" w:fill="D9D9D9"/>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海联金汇科技股份有限公司</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海联金汇</w:t>
            </w:r>
          </w:p>
        </w:tc>
      </w:tr>
      <w:tr>
        <w:trPr>
          <w:trHeight w:val="404"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HyUnion Holding</w:t>
            </w:r>
            <w:r>
              <w:rPr>
                <w:rFonts w:ascii="Times New Roman"/>
                <w:spacing w:val="-7"/>
                <w:sz w:val="18"/>
              </w:rPr>
              <w:t> </w:t>
            </w:r>
            <w:r>
              <w:rPr>
                <w:rFonts w:ascii="Times New Roman"/>
                <w:sz w:val="18"/>
              </w:rPr>
              <w:t>Co.,Ltd</w:t>
            </w:r>
          </w:p>
        </w:tc>
      </w:tr>
      <w:tr>
        <w:trPr>
          <w:trHeight w:val="401" w:hRule="exact"/>
        </w:trPr>
        <w:tc>
          <w:tcPr>
            <w:tcW w:w="22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8"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HyUnion</w:t>
            </w:r>
            <w:r>
              <w:rPr>
                <w:rFonts w:ascii="Times New Roman"/>
                <w:spacing w:val="-4"/>
                <w:sz w:val="18"/>
              </w:rPr>
              <w:t> </w:t>
            </w:r>
            <w:r>
              <w:rPr>
                <w:rFonts w:ascii="Times New Roman"/>
                <w:sz w:val="18"/>
              </w:rPr>
              <w:t>Holding</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刘国平</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山东省青岛市即墨区青威路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266200</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山东省青岛市即墨区青威路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266200</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www.haili.com.cn</w:t>
              </w:r>
            </w:hyperlink>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hlmo@haili.com.cn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亓秀美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王玉林</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山东省青岛市即墨区青威路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山东省青岛市即墨区青威路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0532-89066166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0532-89066166</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0532-89066196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0532-89066196</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qixiumei@haili.com.cn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wangyulin@haili.com.cn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《证券日</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上海证券报</w:t>
            </w:r>
            <w:r>
              <w:rPr>
                <w:rFonts w:ascii="宋体" w:hAnsi="宋体" w:cs="宋体" w:eastAsia="宋体" w:hint="default"/>
                <w:spacing w:val="-92"/>
                <w:sz w:val="18"/>
                <w:szCs w:val="18"/>
              </w:rPr>
              <w:t>》、</w:t>
            </w:r>
            <w:r>
              <w:rPr>
                <w:rFonts w:ascii="宋体" w:hAnsi="宋体" w:cs="宋体" w:eastAsia="宋体" w:hint="default"/>
                <w:sz w:val="18"/>
                <w:szCs w:val="18"/>
              </w:rPr>
              <w:t>《中国证券报》</w:t>
            </w:r>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山东省青岛市即墨区青威路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号公司证券投资部</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8"/>
        <w:rPr>
          <w:rFonts w:ascii="宋体" w:hAnsi="宋体" w:cs="宋体" w:eastAsia="宋体" w:hint="default"/>
          <w:b/>
          <w:bCs/>
          <w:sz w:val="23"/>
          <w:szCs w:val="23"/>
        </w:rPr>
      </w:pPr>
    </w:p>
    <w:p>
      <w:pPr>
        <w:pStyle w:val="Heading2"/>
        <w:spacing w:line="240" w:lineRule="auto" w:before="26"/>
        <w:ind w:right="1133"/>
        <w:jc w:val="left"/>
        <w:rPr>
          <w:b w:val="0"/>
          <w:bCs w:val="0"/>
        </w:rPr>
      </w:pPr>
      <w:bookmarkStart w:name="四、注册变更情况" w:id="8"/>
      <w:bookmarkEnd w:id="8"/>
      <w:r>
        <w:rPr>
          <w:b w:val="0"/>
          <w:bCs w:val="0"/>
        </w:rPr>
      </w:r>
      <w:r>
        <w:rPr/>
        <w:t>四、注册变更情况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9"/>
        <w:gridCol w:w="638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91370200766733419J</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bookmarkStart w:name="五、其他有关资料" w:id="9"/>
      <w:bookmarkEnd w:id="9"/>
      <w:r>
        <w:rPr>
          <w:b w:val="0"/>
          <w:bCs w:val="0"/>
        </w:rPr>
      </w:r>
      <w:r>
        <w:rPr/>
        <w:t>五、其他有关资料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公司聘请的会计师事务所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北京市东城区朝阳门北大街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号富华大厦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刘玉显、王萍</w:t>
            </w:r>
          </w:p>
        </w:tc>
      </w:tr>
    </w:tbl>
    <w:p>
      <w:pPr>
        <w:pStyle w:val="BodyText"/>
        <w:spacing w:line="240" w:lineRule="auto" w:before="49"/>
        <w:ind w:right="1133"/>
        <w:jc w:val="left"/>
      </w:pPr>
      <w:r>
        <w:rPr/>
        <w:t>公司聘请的报告期内履行持续督导职责的保荐机构</w:t>
      </w:r>
    </w:p>
    <w:p>
      <w:pPr>
        <w:pStyle w:val="BodyText"/>
        <w:spacing w:line="340"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公司聘请的报告期内履行持续督导职责的财务顾问</w:t>
      </w:r>
    </w:p>
    <w:p>
      <w:pPr>
        <w:pStyle w:val="BodyText"/>
        <w:spacing w:line="240" w:lineRule="auto" w:before="41"/>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公司是否需追溯调整或重述以前年度会计数据</w:t>
      </w:r>
    </w:p>
    <w:p>
      <w:pPr>
        <w:pStyle w:val="BodyText"/>
        <w:spacing w:line="240" w:lineRule="auto" w:before="117"/>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49"/>
        <w:gridCol w:w="1738"/>
        <w:gridCol w:w="1738"/>
        <w:gridCol w:w="1735"/>
      </w:tblGrid>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5,302,838,701.56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5,011,239,084.54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5.82%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3,996,047,149.80</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-2,455,867,198.03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133,239,222.45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-1,943.20%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413,945,815.86</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-2,483,632,160.99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66,830,172.17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-3,816.33%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385,608,392.87</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33,364,621.21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228,020,043.73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-85.37%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-157,936,811.60</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w w:val="95"/>
                <w:sz w:val="18"/>
              </w:rPr>
              <w:t>0.11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-1,909.09%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0.33</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w w:val="95"/>
                <w:sz w:val="18"/>
              </w:rPr>
              <w:t>0.11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-1,909.09%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0.33</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-47.48%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-49.56%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6.11%</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6,677,123,725.82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9,433,590,649.69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-29.22%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18,960,797,539.17</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3,813,278,949.98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6,527,353,510.93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-41.58%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6,967,479,622.61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17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3"/>
        <w:rPr>
          <w:rFonts w:ascii="宋体" w:hAnsi="宋体" w:cs="宋体" w:eastAsia="宋体" w:hint="default"/>
          <w:sz w:val="21"/>
          <w:szCs w:val="21"/>
        </w:rPr>
      </w:pPr>
    </w:p>
    <w:p>
      <w:pPr>
        <w:pStyle w:val="Heading3"/>
        <w:spacing w:line="240" w:lineRule="auto"/>
        <w:ind w:right="1133"/>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26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7"/>
        <w:rPr>
          <w:rFonts w:ascii="宋体" w:hAnsi="宋体" w:cs="宋体" w:eastAsia="宋体" w:hint="default"/>
          <w:sz w:val="19"/>
          <w:szCs w:val="19"/>
        </w:rPr>
      </w:pPr>
    </w:p>
    <w:p>
      <w:pPr>
        <w:pStyle w:val="Heading2"/>
        <w:spacing w:line="240" w:lineRule="auto"/>
        <w:ind w:right="1133"/>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40"/>
        <w:gridCol w:w="1738"/>
        <w:gridCol w:w="1730"/>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1,473,415,603.43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1,336,187,811.15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1,298,899,419.41</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1,194,335,867.57</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128,375,395.23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-25,045,494.99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-128,245,062.50</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-2,430,952,035.77</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125,254,350.00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-29,637,985.61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-130,572,874.80</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-2,448,675,650.58</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-51,375,311.17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7,431,761.15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113,052,824.06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-35,744,652.83</w:t>
            </w:r>
          </w:p>
        </w:tc>
      </w:tr>
    </w:tbl>
    <w:p>
      <w:pPr>
        <w:pStyle w:val="BodyText"/>
        <w:spacing w:line="240" w:lineRule="auto" w:before="49"/>
        <w:ind w:right="1133"/>
        <w:jc w:val="left"/>
      </w:pPr>
      <w:r>
        <w:rPr/>
        <w:t>上述财务指标或其加总数是否与公司已披露季度报告、半年度报告相关财务指标存在重大差异</w:t>
      </w:r>
    </w:p>
    <w:p>
      <w:pPr>
        <w:pStyle w:val="BodyText"/>
        <w:spacing w:line="240" w:lineRule="auto" w:before="115"/>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1,140,201.88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1,242,930.55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-278,779.86</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22,217,804.42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3,646,675.82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35,686,989.31</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W w:w="1532" w:type="dxa"/>
            <w:tcBorders>
              <w:top w:val="single" w:sz="4" w:space="0" w:color="000000"/>
              <w:left w:val="single" w:sz="10"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67,336,618.11</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5"/>
        <w:gridCol w:w="1522"/>
        <w:gridCol w:w="1520"/>
        <w:gridCol w:w="1522"/>
        <w:gridCol w:w="1711"/>
      </w:tblGrid>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4,478,540.21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2,721,575.90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3,525,021.78</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9,447,495.45</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7,605,144.00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8,013,853.26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8,146,513.92</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1,913,935.00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524,896.84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2,449,294.32</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27,764,962.96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66,409,050.28</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28,337,422.99</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0"/>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1117"/>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525" w:right="1133"/>
        <w:jc w:val="left"/>
        <w:rPr>
          <w:b w:val="0"/>
          <w:bCs w:val="0"/>
        </w:rPr>
      </w:pPr>
      <w:bookmarkStart w:name="第三节公司业务概要" w:id="16"/>
      <w:bookmarkEnd w:id="16"/>
      <w:r>
        <w:rPr>
          <w:b w:val="0"/>
          <w:bCs w:val="0"/>
        </w:rPr>
      </w:r>
      <w:bookmarkStart w:name="_bookmark2" w:id="17"/>
      <w:bookmarkEnd w:id="17"/>
      <w:r>
        <w:rPr>
          <w:b w:val="0"/>
          <w:bCs w:val="0"/>
        </w:rPr>
      </w:r>
      <w:r>
        <w:rPr/>
        <w:t>第三节公司业务概要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both"/>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spacing w:line="360" w:lineRule="auto" w:before="0"/>
        <w:ind w:left="513" w:right="0" w:firstLine="0"/>
        <w:jc w:val="left"/>
        <w:rPr>
          <w:rFonts w:ascii="宋体" w:hAnsi="宋体" w:cs="宋体" w:eastAsia="宋体" w:hint="default"/>
          <w:sz w:val="18"/>
          <w:szCs w:val="18"/>
        </w:rPr>
      </w:pPr>
      <w:r>
        <w:rPr>
          <w:rFonts w:ascii="宋体" w:hAnsi="宋体" w:cs="宋体" w:eastAsia="宋体" w:hint="default"/>
          <w:b/>
          <w:bCs/>
          <w:sz w:val="18"/>
          <w:szCs w:val="18"/>
        </w:rPr>
        <w:t>（一）报告期内公司从事的主要业务</w:t>
      </w:r>
      <w:r>
        <w:rPr>
          <w:rFonts w:ascii="宋体" w:hAnsi="宋体" w:cs="宋体" w:eastAsia="宋体" w:hint="default"/>
          <w:b/>
          <w:bCs/>
          <w:w w:val="99"/>
          <w:sz w:val="18"/>
          <w:szCs w:val="18"/>
        </w:rPr>
        <w:t> </w:t>
      </w:r>
      <w:r>
        <w:rPr>
          <w:rFonts w:ascii="宋体" w:hAnsi="宋体" w:cs="宋体" w:eastAsia="宋体" w:hint="default"/>
          <w:spacing w:val="-2"/>
          <w:sz w:val="18"/>
          <w:szCs w:val="18"/>
        </w:rPr>
        <w:t>报告期内，公司金融科技板块主要从事第三方支付服务、数字科技服务、移动信息服务、跨境电商服务及移动运营商计</w:t>
      </w:r>
    </w:p>
    <w:p>
      <w:pPr>
        <w:pStyle w:val="BodyText"/>
        <w:spacing w:line="222" w:lineRule="exact"/>
        <w:ind w:right="0"/>
        <w:jc w:val="both"/>
      </w:pPr>
      <w:r>
        <w:rPr/>
        <w:t>费结算服务业务；公司智能制造板块主要从事汽车及配件、家电配件、模具及电机业务。报告期内，公司主要业务经营情况</w:t>
      </w:r>
    </w:p>
    <w:p>
      <w:pPr>
        <w:pStyle w:val="BodyText"/>
        <w:spacing w:line="240" w:lineRule="auto" w:before="76"/>
        <w:ind w:right="0"/>
        <w:jc w:val="both"/>
      </w:pPr>
      <w:r>
        <w:rPr/>
        <w:t>如下：</w:t>
      </w:r>
    </w:p>
    <w:p>
      <w:pPr>
        <w:pStyle w:val="Heading4"/>
        <w:spacing w:line="240" w:lineRule="auto" w:before="115"/>
        <w:ind w:right="1133"/>
        <w:jc w:val="left"/>
        <w:rPr>
          <w:b w:val="0"/>
          <w:bCs w:val="0"/>
        </w:rPr>
      </w:pPr>
      <w:r>
        <w:rPr/>
        <w:t>金融科技板块介绍：</w:t>
      </w:r>
      <w:r>
        <w:rPr>
          <w:b w:val="0"/>
          <w:bCs w:val="0"/>
        </w:rPr>
      </w:r>
    </w:p>
    <w:p>
      <w:pPr>
        <w:pStyle w:val="BodyText"/>
        <w:spacing w:line="300" w:lineRule="auto" w:before="76"/>
        <w:ind w:left="513" w:right="0"/>
        <w:jc w:val="left"/>
      </w:pPr>
      <w:r>
        <w:rPr>
          <w:rFonts w:ascii="Times New Roman" w:hAnsi="Times New Roman" w:cs="Times New Roman" w:eastAsia="Times New Roman" w:hint="default"/>
          <w:b/>
          <w:bCs/>
        </w:rPr>
        <w:t>1</w:t>
      </w:r>
      <w:r>
        <w:rPr>
          <w:rFonts w:ascii="宋体" w:hAnsi="宋体" w:cs="宋体" w:eastAsia="宋体" w:hint="default"/>
          <w:b/>
          <w:bCs/>
        </w:rPr>
        <w:t>、第三方支付服务</w:t>
      </w:r>
      <w:r>
        <w:rPr>
          <w:rFonts w:ascii="宋体" w:hAnsi="宋体" w:cs="宋体" w:eastAsia="宋体" w:hint="default"/>
          <w:b/>
          <w:bCs/>
          <w:w w:val="99"/>
        </w:rPr>
        <w:t> </w:t>
      </w:r>
      <w:r>
        <w:rPr>
          <w:spacing w:val="-3"/>
        </w:rPr>
        <w:t>第三方支付是公司金融科技板块重点发展的核心业务之一，公司拥有在全国范围内从事</w:t>
      </w:r>
      <w:r>
        <w:rPr>
          <w:rFonts w:ascii="Times New Roman" w:hAnsi="Times New Roman" w:cs="Times New Roman" w:eastAsia="Times New Roman" w:hint="default"/>
          <w:spacing w:val="-3"/>
        </w:rPr>
        <w:t>“</w:t>
      </w:r>
      <w:r>
        <w:rPr>
          <w:spacing w:val="-3"/>
        </w:rPr>
        <w:t>互联网支付</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移动电话支付</w:t>
      </w:r>
      <w:r>
        <w:rPr>
          <w:rFonts w:ascii="Times New Roman" w:hAnsi="Times New Roman" w:cs="Times New Roman" w:eastAsia="Times New Roman" w:hint="default"/>
          <w:spacing w:val="-3"/>
        </w:rPr>
        <w:t>”</w:t>
      </w:r>
      <w:r>
        <w:rPr>
          <w:spacing w:val="-3"/>
        </w:rPr>
        <w:t>、</w:t>
      </w:r>
    </w:p>
    <w:p>
      <w:pPr>
        <w:pStyle w:val="BodyText"/>
        <w:spacing w:line="307" w:lineRule="auto" w:before="13"/>
        <w:ind w:right="1033"/>
        <w:jc w:val="left"/>
      </w:pPr>
      <w:r>
        <w:rPr>
          <w:rFonts w:ascii="Times New Roman" w:hAnsi="Times New Roman" w:cs="Times New Roman" w:eastAsia="Times New Roman" w:hint="default"/>
          <w:spacing w:val="-3"/>
        </w:rPr>
        <w:t>“</w:t>
      </w:r>
      <w:r>
        <w:rPr>
          <w:spacing w:val="-3"/>
        </w:rPr>
        <w:t>银行卡收单</w:t>
      </w:r>
      <w:r>
        <w:rPr>
          <w:rFonts w:ascii="Times New Roman" w:hAnsi="Times New Roman" w:cs="Times New Roman" w:eastAsia="Times New Roman" w:hint="default"/>
          <w:spacing w:val="-3"/>
        </w:rPr>
        <w:t>”</w:t>
      </w:r>
      <w:r>
        <w:rPr>
          <w:spacing w:val="-3"/>
        </w:rPr>
        <w:t>业务许可牌照，为企业及个人用户提供基于支付的综合服务，聚焦拓展</w:t>
      </w:r>
      <w:r>
        <w:rPr>
          <w:rFonts w:ascii="Times New Roman" w:hAnsi="Times New Roman" w:cs="Times New Roman" w:eastAsia="Times New Roman" w:hint="default"/>
          <w:spacing w:val="-3"/>
        </w:rPr>
        <w:t>B2B</w:t>
      </w:r>
      <w:r>
        <w:rPr>
          <w:spacing w:val="-3"/>
        </w:rPr>
        <w:t>产业互联网应用合作，为交通出行、</w:t>
      </w:r>
      <w:r>
        <w:rPr>
          <w:spacing w:val="-41"/>
        </w:rPr>
        <w:t> </w:t>
      </w:r>
      <w:r>
        <w:rPr>
          <w:spacing w:val="-41"/>
        </w:rPr>
      </w:r>
      <w:r>
        <w:rPr>
          <w:spacing w:val="-2"/>
        </w:rPr>
        <w:t>金融行业、教育医美、房屋经纪、线下实体经济场景等行业提供综合解决方案。公司拥有丰富的客户需求匹配、行业场景匹</w:t>
      </w:r>
      <w:r>
        <w:rPr>
          <w:spacing w:val="-66"/>
        </w:rPr>
        <w:t> </w:t>
      </w:r>
      <w:r>
        <w:rPr>
          <w:spacing w:val="-66"/>
        </w:rPr>
      </w:r>
      <w:r>
        <w:rPr/>
        <w:t>配以及市场开拓经验，为多领域、多层次经济主体开展个性化、差异化的产品服务，同时为客户提供</w:t>
      </w:r>
      <w:r>
        <w:rPr>
          <w:rFonts w:ascii="Times New Roman" w:hAnsi="Times New Roman" w:cs="Times New Roman" w:eastAsia="Times New Roman" w:hint="default"/>
        </w:rPr>
        <w:t>“</w:t>
      </w:r>
      <w:r>
        <w:rPr/>
        <w:t>支付</w:t>
      </w:r>
      <w:r>
        <w:rPr>
          <w:rFonts w:ascii="Times New Roman" w:hAnsi="Times New Roman" w:cs="Times New Roman" w:eastAsia="Times New Roman" w:hint="default"/>
        </w:rPr>
        <w:t>+”</w:t>
      </w:r>
      <w:r>
        <w:rPr/>
        <w:t>的定制化综合</w:t>
      </w:r>
      <w:r>
        <w:rPr>
          <w:spacing w:val="-72"/>
        </w:rPr>
        <w:t> </w:t>
      </w:r>
      <w:r>
        <w:rPr>
          <w:spacing w:val="-72"/>
        </w:rPr>
      </w:r>
      <w:r>
        <w:rPr/>
        <w:t>解决方案。</w:t>
      </w:r>
    </w:p>
    <w:p>
      <w:pPr>
        <w:pStyle w:val="BodyText"/>
        <w:spacing w:line="300" w:lineRule="auto" w:before="26"/>
        <w:ind w:left="513" w:right="1033"/>
        <w:jc w:val="left"/>
      </w:pPr>
      <w:r>
        <w:rPr>
          <w:rFonts w:ascii="Times New Roman" w:hAnsi="Times New Roman" w:cs="Times New Roman" w:eastAsia="Times New Roman" w:hint="default"/>
          <w:b/>
          <w:bCs/>
        </w:rPr>
        <w:t>2</w:t>
      </w:r>
      <w:r>
        <w:rPr>
          <w:rFonts w:ascii="宋体" w:hAnsi="宋体" w:cs="宋体" w:eastAsia="宋体" w:hint="default"/>
          <w:b/>
          <w:bCs/>
        </w:rPr>
        <w:t>、数字科技服务</w:t>
      </w:r>
      <w:r>
        <w:rPr>
          <w:rFonts w:ascii="宋体" w:hAnsi="宋体" w:cs="宋体" w:eastAsia="宋体" w:hint="default"/>
          <w:b/>
          <w:bCs/>
          <w:w w:val="99"/>
        </w:rPr>
        <w:t> </w:t>
      </w:r>
      <w:r>
        <w:rPr/>
        <w:t>数字科技服务倡导以数字为基础创造科技服务能力，综合利用大数据管理、模型和人工智能技术，紧贴客户应用场景，</w:t>
      </w:r>
    </w:p>
    <w:p>
      <w:pPr>
        <w:pStyle w:val="BodyText"/>
        <w:spacing w:line="312" w:lineRule="auto" w:before="31"/>
        <w:ind w:right="1132"/>
        <w:jc w:val="both"/>
      </w:pPr>
      <w:r>
        <w:rPr>
          <w:spacing w:val="-2"/>
        </w:rPr>
        <w:t>提供以实际价值转化为目标的数字科技解决方案。数字科技服务作为公司金融科技板块发展的引擎，将面向广泛的金融行业</w:t>
      </w:r>
      <w:r>
        <w:rPr>
          <w:spacing w:val="-64"/>
        </w:rPr>
        <w:t> </w:t>
      </w:r>
      <w:r>
        <w:rPr>
          <w:spacing w:val="-64"/>
        </w:rPr>
      </w:r>
      <w:r>
        <w:rPr>
          <w:spacing w:val="-2"/>
        </w:rPr>
        <w:t>客户，逐步打造</w:t>
      </w:r>
      <w:r>
        <w:rPr>
          <w:rFonts w:ascii="Times New Roman" w:hAnsi="Times New Roman" w:cs="Times New Roman" w:eastAsia="Times New Roman" w:hint="default"/>
          <w:spacing w:val="-2"/>
        </w:rPr>
        <w:t>“</w:t>
      </w:r>
      <w:r>
        <w:rPr>
          <w:spacing w:val="-2"/>
        </w:rPr>
        <w:t>数字科技</w:t>
      </w:r>
      <w:r>
        <w:rPr>
          <w:rFonts w:ascii="Times New Roman" w:hAnsi="Times New Roman" w:cs="Times New Roman" w:eastAsia="Times New Roman" w:hint="default"/>
          <w:spacing w:val="-2"/>
        </w:rPr>
        <w:t>”</w:t>
      </w:r>
      <w:r>
        <w:rPr>
          <w:spacing w:val="-2"/>
        </w:rPr>
        <w:t>的服务能力及商业模式，帮助持牌金融机构建立用户全生命周期的主动管理系统，帮助合作伙伴</w:t>
      </w:r>
      <w:r>
        <w:rPr>
          <w:spacing w:val="-46"/>
        </w:rPr>
        <w:t> </w:t>
      </w:r>
      <w:r>
        <w:rPr>
          <w:spacing w:val="-46"/>
        </w:rPr>
      </w:r>
      <w:r>
        <w:rPr>
          <w:spacing w:val="-2"/>
        </w:rPr>
        <w:t>提升风险管控能力、降低获客成本、降低业务风险、提高业务效能，从而服务长尾大众，实现普惠金融，在特定领域和场景</w:t>
      </w:r>
      <w:r>
        <w:rPr>
          <w:spacing w:val="-67"/>
        </w:rPr>
        <w:t> </w:t>
      </w:r>
      <w:r>
        <w:rPr>
          <w:spacing w:val="-67"/>
        </w:rPr>
      </w:r>
      <w:r>
        <w:rPr/>
        <w:t>下为客户解决实际问题，创造价值。</w:t>
      </w:r>
    </w:p>
    <w:p>
      <w:pPr>
        <w:pStyle w:val="BodyText"/>
        <w:spacing w:line="300" w:lineRule="auto" w:before="23"/>
        <w:ind w:left="513" w:right="0"/>
        <w:jc w:val="left"/>
      </w:pPr>
      <w:r>
        <w:rPr>
          <w:rFonts w:ascii="Times New Roman" w:hAnsi="Times New Roman" w:cs="Times New Roman" w:eastAsia="Times New Roman" w:hint="default"/>
          <w:b/>
          <w:bCs/>
        </w:rPr>
        <w:t>3</w:t>
      </w:r>
      <w:r>
        <w:rPr>
          <w:rFonts w:ascii="宋体" w:hAnsi="宋体" w:cs="宋体" w:eastAsia="宋体" w:hint="default"/>
          <w:b/>
          <w:bCs/>
        </w:rPr>
        <w:t>、跨境电商结算服务</w:t>
      </w:r>
      <w:r>
        <w:rPr>
          <w:rFonts w:ascii="宋体" w:hAnsi="宋体" w:cs="宋体" w:eastAsia="宋体" w:hint="default"/>
          <w:b/>
          <w:bCs/>
          <w:w w:val="99"/>
        </w:rPr>
        <w:t> </w:t>
      </w:r>
      <w:r>
        <w:rPr>
          <w:spacing w:val="-4"/>
        </w:rPr>
        <w:t>联动商务拥有跨境外币业务试点资质以及跨境人民币业务资质。公司跨境电商结算服务满足包括货物贸易、留学、机票、</w:t>
      </w:r>
    </w:p>
    <w:p>
      <w:pPr>
        <w:pStyle w:val="BodyText"/>
        <w:spacing w:line="307" w:lineRule="auto" w:before="31"/>
        <w:ind w:right="1128"/>
        <w:jc w:val="both"/>
      </w:pPr>
      <w:r>
        <w:rPr>
          <w:spacing w:val="-2"/>
        </w:rPr>
        <w:t>酒店、旅游、物流、软件服务、通信服务八个行业范围的本外币跨境结算，提供包括美元、欧元、港币、日元、英镑、澳大</w:t>
      </w:r>
      <w:r>
        <w:rPr>
          <w:spacing w:val="-70"/>
        </w:rPr>
        <w:t> </w:t>
      </w:r>
      <w:r>
        <w:rPr>
          <w:spacing w:val="-70"/>
        </w:rPr>
      </w:r>
      <w:r>
        <w:rPr>
          <w:spacing w:val="-1"/>
        </w:rPr>
        <w:t>利亚元等在内的至少</w:t>
      </w:r>
      <w:r>
        <w:rPr>
          <w:rFonts w:ascii="Times New Roman" w:hAnsi="Times New Roman" w:cs="Times New Roman" w:eastAsia="Times New Roman" w:hint="default"/>
          <w:spacing w:val="-1"/>
        </w:rPr>
        <w:t>15</w:t>
      </w:r>
      <w:r>
        <w:rPr>
          <w:spacing w:val="-1"/>
        </w:rPr>
        <w:t>个可结算币种，服务覆盖全球</w:t>
      </w:r>
      <w:r>
        <w:rPr>
          <w:rFonts w:ascii="Times New Roman" w:hAnsi="Times New Roman" w:cs="Times New Roman" w:eastAsia="Times New Roman" w:hint="default"/>
          <w:spacing w:val="-1"/>
        </w:rPr>
        <w:t>239</w:t>
      </w:r>
      <w:r>
        <w:rPr>
          <w:spacing w:val="-1"/>
        </w:rPr>
        <w:t>个国家和地区。支持国内出口跨境电商在亚马逊、</w:t>
      </w:r>
      <w:r>
        <w:rPr>
          <w:rFonts w:ascii="Times New Roman" w:hAnsi="Times New Roman" w:cs="Times New Roman" w:eastAsia="Times New Roman" w:hint="default"/>
          <w:spacing w:val="-1"/>
        </w:rPr>
        <w:t>eBay</w:t>
      </w:r>
      <w:r>
        <w:rPr>
          <w:spacing w:val="-1"/>
        </w:rPr>
        <w:t>、</w:t>
      </w:r>
      <w:r>
        <w:rPr>
          <w:rFonts w:ascii="Times New Roman" w:hAnsi="Times New Roman" w:cs="Times New Roman" w:eastAsia="Times New Roman" w:hint="default"/>
          <w:spacing w:val="-1"/>
        </w:rPr>
        <w:t>Wish</w:t>
      </w:r>
      <w:r>
        <w:rPr>
          <w:spacing w:val="-1"/>
        </w:rPr>
        <w:t>等全</w:t>
      </w:r>
      <w:r>
        <w:rPr>
          <w:spacing w:val="-54"/>
        </w:rPr>
        <w:t> </w:t>
      </w:r>
      <w:r>
        <w:rPr/>
        <w:t>球知名平台的跨境结算、供应链金融等功能，同时为国内知名的跨境电商进口平台实现跨境收单</w:t>
      </w:r>
      <w:r>
        <w:rPr>
          <w:rFonts w:ascii="Times New Roman" w:hAnsi="Times New Roman" w:cs="Times New Roman" w:eastAsia="Times New Roman" w:hint="default"/>
        </w:rPr>
        <w:t>+</w:t>
      </w:r>
      <w:r>
        <w:rPr/>
        <w:t>报关</w:t>
      </w:r>
      <w:r>
        <w:rPr>
          <w:rFonts w:ascii="Times New Roman" w:hAnsi="Times New Roman" w:cs="Times New Roman" w:eastAsia="Times New Roman" w:hint="default"/>
        </w:rPr>
        <w:t>+</w:t>
      </w:r>
      <w:r>
        <w:rPr/>
        <w:t>购付汇的全流程综</w:t>
      </w:r>
      <w:r>
        <w:rPr>
          <w:spacing w:val="-20"/>
        </w:rPr>
        <w:t> </w:t>
      </w:r>
      <w:r>
        <w:rPr>
          <w:spacing w:val="-20"/>
        </w:rPr>
      </w:r>
      <w:r>
        <w:rPr/>
        <w:t>合服务，实现了进口、出口业务的双向运行体系。</w:t>
      </w:r>
    </w:p>
    <w:p>
      <w:pPr>
        <w:pStyle w:val="BodyText"/>
        <w:spacing w:line="300" w:lineRule="auto" w:before="26"/>
        <w:ind w:left="513" w:right="1133"/>
        <w:jc w:val="left"/>
      </w:pPr>
      <w:r>
        <w:rPr>
          <w:rFonts w:ascii="Times New Roman" w:hAnsi="Times New Roman" w:cs="Times New Roman" w:eastAsia="Times New Roman" w:hint="default"/>
          <w:b/>
          <w:bCs/>
        </w:rPr>
        <w:t>4</w:t>
      </w:r>
      <w:r>
        <w:rPr>
          <w:rFonts w:ascii="宋体" w:hAnsi="宋体" w:cs="宋体" w:eastAsia="宋体" w:hint="default"/>
          <w:b/>
          <w:bCs/>
        </w:rPr>
        <w:t>、移动信息服务</w:t>
      </w:r>
      <w:r>
        <w:rPr>
          <w:rFonts w:ascii="宋体" w:hAnsi="宋体" w:cs="宋体" w:eastAsia="宋体" w:hint="default"/>
          <w:b/>
          <w:bCs/>
          <w:w w:val="99"/>
        </w:rPr>
        <w:t> </w:t>
      </w:r>
      <w:r>
        <w:rPr>
          <w:spacing w:val="-2"/>
        </w:rPr>
        <w:t>移动信息服务结合已有的移动、电信、联通（三网）等资源及自身的服务能力，为金融行业、大型企业集团提供基于三</w:t>
      </w:r>
    </w:p>
    <w:p>
      <w:pPr>
        <w:pStyle w:val="BodyText"/>
        <w:spacing w:line="304" w:lineRule="auto" w:before="31"/>
        <w:ind w:right="1129"/>
        <w:jc w:val="both"/>
      </w:pPr>
      <w:r>
        <w:rPr>
          <w:spacing w:val="-1"/>
        </w:rPr>
        <w:t>网合一的安全便捷的信息服务综合解决方案，主要包括联信通、银信通、云</w:t>
      </w:r>
      <w:r>
        <w:rPr>
          <w:rFonts w:ascii="Times New Roman" w:hAnsi="Times New Roman" w:cs="Times New Roman" w:eastAsia="Times New Roman" w:hint="default"/>
          <w:spacing w:val="-1"/>
        </w:rPr>
        <w:t>MAS</w:t>
      </w:r>
      <w:r>
        <w:rPr>
          <w:spacing w:val="-1"/>
        </w:rPr>
        <w:t>等业务。</w:t>
      </w:r>
      <w:r>
        <w:rPr>
          <w:rFonts w:ascii="Times New Roman" w:hAnsi="Times New Roman" w:cs="Times New Roman" w:eastAsia="Times New Roman" w:hint="default"/>
          <w:spacing w:val="-1"/>
        </w:rPr>
        <w:t>1</w:t>
      </w:r>
      <w:r>
        <w:rPr>
          <w:spacing w:val="-1"/>
        </w:rPr>
        <w:t>）联信通是联动优势面向行业客</w:t>
      </w:r>
      <w:r>
        <w:rPr>
          <w:spacing w:val="-60"/>
        </w:rPr>
        <w:t> </w:t>
      </w:r>
      <w:r>
        <w:rPr>
          <w:spacing w:val="-60"/>
        </w:rPr>
      </w:r>
      <w:r>
        <w:rPr>
          <w:spacing w:val="-2"/>
        </w:rPr>
        <w:t>户推出的无线应用服务，主要为银行及中小企业提供安全可靠、一点式接入的基于移动、电信、联通（三网）的高品质电信</w:t>
      </w:r>
      <w:r>
        <w:rPr>
          <w:spacing w:val="-68"/>
        </w:rPr>
        <w:t> </w:t>
      </w:r>
      <w:r>
        <w:rPr>
          <w:spacing w:val="-68"/>
        </w:rPr>
      </w:r>
      <w:r>
        <w:rPr/>
        <w:t>级通信服务。</w:t>
      </w:r>
      <w:r>
        <w:rPr>
          <w:rFonts w:ascii="Times New Roman" w:hAnsi="Times New Roman" w:cs="Times New Roman" w:eastAsia="Times New Roman" w:hint="default"/>
        </w:rPr>
        <w:t>2</w:t>
      </w:r>
      <w:r>
        <w:rPr/>
        <w:t>）银信通业务基于入驻式</w:t>
      </w:r>
      <w:r>
        <w:rPr>
          <w:rFonts w:ascii="Times New Roman" w:hAnsi="Times New Roman" w:cs="Times New Roman" w:eastAsia="Times New Roman" w:hint="default"/>
        </w:rPr>
        <w:t>MAS(</w:t>
      </w:r>
      <w:r>
        <w:rPr/>
        <w:t>移动代理服务器</w:t>
      </w:r>
      <w:r>
        <w:rPr>
          <w:rFonts w:ascii="Times New Roman" w:hAnsi="Times New Roman" w:cs="Times New Roman" w:eastAsia="Times New Roman" w:hint="default"/>
        </w:rPr>
        <w:t>)</w:t>
      </w:r>
      <w:r>
        <w:rPr/>
        <w:t>、移动网络、移动终端等资源和服务能力，使得银行及银行</w:t>
      </w:r>
      <w:r>
        <w:rPr>
          <w:spacing w:val="-60"/>
        </w:rPr>
        <w:t> </w:t>
      </w:r>
      <w:r>
        <w:rPr>
          <w:spacing w:val="-60"/>
        </w:rPr>
      </w:r>
      <w:r>
        <w:rPr>
          <w:spacing w:val="-1"/>
        </w:rPr>
        <w:t>客户随时随身、经济快捷地享受金融信息服务。</w:t>
      </w:r>
      <w:r>
        <w:rPr>
          <w:rFonts w:ascii="Times New Roman" w:hAnsi="Times New Roman" w:cs="Times New Roman" w:eastAsia="Times New Roman" w:hint="default"/>
          <w:spacing w:val="-1"/>
        </w:rPr>
        <w:t>3</w:t>
      </w:r>
      <w:r>
        <w:rPr>
          <w:spacing w:val="-1"/>
        </w:rPr>
        <w:t>）云</w:t>
      </w:r>
      <w:r>
        <w:rPr>
          <w:rFonts w:ascii="Times New Roman" w:hAnsi="Times New Roman" w:cs="Times New Roman" w:eastAsia="Times New Roman" w:hint="default"/>
          <w:spacing w:val="-1"/>
        </w:rPr>
        <w:t>MAS</w:t>
      </w:r>
      <w:r>
        <w:rPr>
          <w:spacing w:val="-1"/>
        </w:rPr>
        <w:t>是联动优势协助中国移动集团客户拓展中小型企业客户，快速为</w:t>
      </w:r>
      <w:r>
        <w:rPr>
          <w:spacing w:val="-57"/>
        </w:rPr>
        <w:t> </w:t>
      </w:r>
      <w:r>
        <w:rPr>
          <w:spacing w:val="-57"/>
        </w:rPr>
      </w:r>
      <w:r>
        <w:rPr/>
        <w:t>自有用户发送短彩信，是目前业内最大的短彩信云平台。</w:t>
      </w:r>
    </w:p>
    <w:p>
      <w:pPr>
        <w:spacing w:line="300" w:lineRule="auto" w:before="28"/>
        <w:ind w:left="513"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、移动运营商计费结算服务</w:t>
      </w:r>
      <w:r>
        <w:rPr>
          <w:rFonts w:ascii="宋体" w:hAnsi="宋体" w:cs="宋体" w:eastAsia="宋体" w:hint="default"/>
          <w:b/>
          <w:bCs/>
          <w:w w:val="99"/>
          <w:sz w:val="18"/>
          <w:szCs w:val="18"/>
        </w:rPr>
        <w:t> </w:t>
      </w:r>
      <w:r>
        <w:rPr>
          <w:rFonts w:ascii="宋体" w:hAnsi="宋体" w:cs="宋体" w:eastAsia="宋体" w:hint="default"/>
          <w:spacing w:val="-2"/>
          <w:sz w:val="18"/>
          <w:szCs w:val="18"/>
        </w:rPr>
        <w:t>移动运营商计费结算服务向互联网行业提供三网融合计费结算服务，面向电信运营商、银行等金融机构、互联网行业提</w:t>
      </w:r>
    </w:p>
    <w:p>
      <w:pPr>
        <w:pStyle w:val="BodyText"/>
        <w:spacing w:line="300" w:lineRule="auto" w:before="31"/>
        <w:ind w:right="1138"/>
        <w:jc w:val="both"/>
      </w:pPr>
      <w:r>
        <w:rPr/>
        <w:t>供全消费场景互联营销，涵盖一站式</w:t>
      </w:r>
      <w:r>
        <w:rPr>
          <w:rFonts w:ascii="Times New Roman" w:hAnsi="Times New Roman" w:cs="Times New Roman" w:eastAsia="Times New Roman" w:hint="default"/>
        </w:rPr>
        <w:t>O2O</w:t>
      </w:r>
      <w:r>
        <w:rPr/>
        <w:t>消费场景服务及跨界营销解决方案，贯穿生活全生态权益</w:t>
      </w:r>
      <w:r>
        <w:rPr>
          <w:rFonts w:ascii="Times New Roman" w:hAnsi="Times New Roman" w:cs="Times New Roman" w:eastAsia="Times New Roman" w:hint="default"/>
        </w:rPr>
        <w:t>+</w:t>
      </w:r>
      <w:r>
        <w:rPr/>
        <w:t>增值服务，助力企业开 展营销活动，拓展新用户，提升活跃度，优化产品服务能力，促进企业营收增长。</w:t>
      </w:r>
    </w:p>
    <w:p>
      <w:pPr>
        <w:pStyle w:val="Heading4"/>
        <w:spacing w:line="240" w:lineRule="auto" w:before="72"/>
        <w:ind w:right="1133"/>
        <w:jc w:val="left"/>
        <w:rPr>
          <w:b w:val="0"/>
          <w:bCs w:val="0"/>
        </w:rPr>
      </w:pPr>
      <w:r>
        <w:rPr/>
        <w:t>智能制造板块介绍：</w:t>
      </w:r>
      <w:r>
        <w:rPr>
          <w:b w:val="0"/>
          <w:bCs w:val="0"/>
        </w:rPr>
      </w:r>
    </w:p>
    <w:p>
      <w:pPr>
        <w:pStyle w:val="BodyText"/>
        <w:spacing w:line="340" w:lineRule="auto" w:before="117"/>
        <w:ind w:left="513" w:right="0"/>
        <w:jc w:val="left"/>
      </w:pPr>
      <w:r>
        <w:rPr>
          <w:rFonts w:ascii="Times New Roman" w:hAnsi="Times New Roman" w:cs="Times New Roman" w:eastAsia="Times New Roman" w:hint="default"/>
          <w:b/>
          <w:bCs/>
        </w:rPr>
        <w:t>1</w:t>
      </w:r>
      <w:r>
        <w:rPr>
          <w:rFonts w:ascii="宋体" w:hAnsi="宋体" w:cs="宋体" w:eastAsia="宋体" w:hint="default"/>
          <w:b/>
          <w:bCs/>
        </w:rPr>
        <w:t>、汽车配件业务</w:t>
      </w:r>
      <w:r>
        <w:rPr>
          <w:rFonts w:ascii="宋体" w:hAnsi="宋体" w:cs="宋体" w:eastAsia="宋体" w:hint="default"/>
          <w:b/>
          <w:bCs/>
          <w:w w:val="99"/>
        </w:rPr>
        <w:t> </w:t>
      </w:r>
      <w:r>
        <w:rPr>
          <w:spacing w:val="-2"/>
        </w:rPr>
        <w:t>汽车配件业务是公司制造板块的核心业务，下设分子公司二十余家，生产基地覆盖全国各大主流主机厂所在区域。目前</w:t>
      </w:r>
    </w:p>
    <w:p>
      <w:pPr>
        <w:spacing w:after="0" w:line="3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7" w:lineRule="auto" w:before="44"/>
        <w:ind w:right="1133"/>
        <w:jc w:val="both"/>
      </w:pPr>
      <w:r>
        <w:rPr/>
        <w:t>主要为各</w:t>
      </w:r>
      <w:r>
        <w:rPr>
          <w:rFonts w:ascii="Times New Roman" w:hAnsi="Times New Roman" w:cs="Times New Roman" w:eastAsia="Times New Roman" w:hint="default"/>
        </w:rPr>
        <w:t>OEM</w:t>
      </w:r>
      <w:r>
        <w:rPr/>
        <w:t>厂商配套提供汽车轻量化解决方案、车身模块化焊接组件、车身安全结构件、辊压产品、热冲压产品等，为</w:t>
      </w:r>
      <w:r>
        <w:rPr>
          <w:spacing w:val="-44"/>
        </w:rPr>
        <w:t> </w:t>
      </w:r>
      <w:r>
        <w:rPr>
          <w:spacing w:val="-44"/>
        </w:rPr>
      </w:r>
      <w:r>
        <w:rPr/>
        <w:t>国内综合实力较强、影响力较大的汽车零部件供应商。公司拥有</w:t>
      </w:r>
      <w:r>
        <w:rPr>
          <w:rFonts w:ascii="Times New Roman" w:hAnsi="Times New Roman" w:cs="Times New Roman" w:eastAsia="Times New Roman" w:hint="default"/>
        </w:rPr>
        <w:t>1200T</w:t>
      </w:r>
      <w:r>
        <w:rPr/>
        <w:t>、</w:t>
      </w:r>
      <w:r>
        <w:rPr>
          <w:rFonts w:ascii="Times New Roman" w:hAnsi="Times New Roman" w:cs="Times New Roman" w:eastAsia="Times New Roman" w:hint="default"/>
        </w:rPr>
        <w:t>1000T</w:t>
      </w:r>
      <w:r>
        <w:rPr/>
        <w:t>、</w:t>
      </w:r>
      <w:r>
        <w:rPr>
          <w:rFonts w:ascii="Times New Roman" w:hAnsi="Times New Roman" w:cs="Times New Roman" w:eastAsia="Times New Roman" w:hint="default"/>
        </w:rPr>
        <w:t>800T</w:t>
      </w:r>
      <w:r>
        <w:rPr/>
        <w:t>、</w:t>
      </w:r>
      <w:r>
        <w:rPr>
          <w:rFonts w:ascii="Times New Roman" w:hAnsi="Times New Roman" w:cs="Times New Roman" w:eastAsia="Times New Roman" w:hint="default"/>
        </w:rPr>
        <w:t>630T</w:t>
      </w:r>
      <w:r>
        <w:rPr/>
        <w:t>等大中型冲压生产线和辊压生</w:t>
      </w:r>
      <w:r>
        <w:rPr>
          <w:spacing w:val="-81"/>
        </w:rPr>
        <w:t> </w:t>
      </w:r>
      <w:r>
        <w:rPr>
          <w:spacing w:val="-81"/>
        </w:rPr>
      </w:r>
      <w:r>
        <w:rPr>
          <w:spacing w:val="-2"/>
        </w:rPr>
        <w:t>产线，热冲成形生产线、液压镦胀成形生产线，具备车身覆盖件、大中型结构件冲压能力和汽车辊压、热冲压、镦胀成形产</w:t>
      </w:r>
      <w:r>
        <w:rPr>
          <w:spacing w:val="-68"/>
        </w:rPr>
        <w:t> </w:t>
      </w:r>
      <w:r>
        <w:rPr>
          <w:spacing w:val="-68"/>
        </w:rPr>
      </w:r>
      <w:r>
        <w:rPr/>
        <w:t>品生产能力。</w:t>
      </w:r>
    </w:p>
    <w:p>
      <w:pPr>
        <w:pStyle w:val="BodyText"/>
        <w:spacing w:line="338" w:lineRule="auto" w:before="67"/>
        <w:ind w:left="513" w:right="1119"/>
        <w:jc w:val="left"/>
      </w:pPr>
      <w:r>
        <w:rPr>
          <w:rFonts w:ascii="Times New Roman" w:hAnsi="Times New Roman" w:cs="Times New Roman" w:eastAsia="Times New Roman" w:hint="default"/>
          <w:b/>
          <w:bCs/>
        </w:rPr>
        <w:t>2</w:t>
      </w:r>
      <w:r>
        <w:rPr>
          <w:rFonts w:ascii="宋体" w:hAnsi="宋体" w:cs="宋体" w:eastAsia="宋体" w:hint="default"/>
          <w:b/>
          <w:bCs/>
        </w:rPr>
        <w:t>、模具业务</w:t>
      </w:r>
      <w:r>
        <w:rPr>
          <w:rFonts w:ascii="宋体" w:hAnsi="宋体" w:cs="宋体" w:eastAsia="宋体" w:hint="default"/>
          <w:b/>
          <w:bCs/>
          <w:w w:val="99"/>
        </w:rPr>
        <w:t> </w:t>
      </w:r>
      <w:r>
        <w:rPr>
          <w:spacing w:val="-2"/>
        </w:rPr>
        <w:t>公司模具业务集汽车冲压模具设计、研发、生产、销售服务为一体，主要为主机厂及其一级供应商配套。公司拥有多套</w:t>
      </w:r>
    </w:p>
    <w:p>
      <w:pPr>
        <w:pStyle w:val="BodyText"/>
        <w:spacing w:line="316" w:lineRule="auto" w:before="2"/>
        <w:ind w:right="1044"/>
        <w:jc w:val="both"/>
      </w:pPr>
      <w:r>
        <w:rPr>
          <w:spacing w:val="-4"/>
        </w:rPr>
        <w:t>先进的生产设备，能够满足大中型铸造模、级进模、多工位模具加工范围和精度要求。采用项目管控、技术、采购统一管理，</w:t>
      </w:r>
      <w:r>
        <w:rPr>
          <w:spacing w:val="-44"/>
        </w:rPr>
        <w:t> </w:t>
      </w:r>
      <w:r>
        <w:rPr>
          <w:spacing w:val="-44"/>
        </w:rPr>
      </w:r>
      <w:r>
        <w:rPr/>
        <w:t>工程部独立运营的灵活管理方式，做到模具周期短，成本低，反应快。</w:t>
      </w:r>
    </w:p>
    <w:p>
      <w:pPr>
        <w:pStyle w:val="BodyText"/>
        <w:spacing w:line="340" w:lineRule="auto" w:before="59"/>
        <w:ind w:left="513" w:right="1119"/>
        <w:jc w:val="left"/>
      </w:pPr>
      <w:r>
        <w:rPr>
          <w:rFonts w:ascii="Times New Roman" w:hAnsi="Times New Roman" w:cs="Times New Roman" w:eastAsia="Times New Roman" w:hint="default"/>
          <w:b/>
          <w:bCs/>
        </w:rPr>
        <w:t>3</w:t>
      </w:r>
      <w:r>
        <w:rPr>
          <w:rFonts w:ascii="宋体" w:hAnsi="宋体" w:cs="宋体" w:eastAsia="宋体" w:hint="default"/>
          <w:b/>
          <w:bCs/>
        </w:rPr>
        <w:t>、电机业务</w:t>
      </w:r>
      <w:r>
        <w:rPr>
          <w:rFonts w:ascii="宋体" w:hAnsi="宋体" w:cs="宋体" w:eastAsia="宋体" w:hint="default"/>
          <w:b/>
          <w:bCs/>
          <w:w w:val="99"/>
        </w:rPr>
        <w:t> </w:t>
      </w:r>
      <w:r>
        <w:rPr>
          <w:spacing w:val="-2"/>
        </w:rPr>
        <w:t>公司拥有多年的电机生产经验，产品涵盖变频空调压缩机电机、变频冰箱压缩机电机、定频冰箱压缩机电机、新能源汽</w:t>
      </w:r>
    </w:p>
    <w:p>
      <w:pPr>
        <w:pStyle w:val="BodyText"/>
        <w:spacing w:line="316" w:lineRule="auto" w:before="1"/>
        <w:ind w:right="1133"/>
        <w:jc w:val="both"/>
      </w:pPr>
      <w:r>
        <w:rPr>
          <w:spacing w:val="-2"/>
        </w:rPr>
        <w:t>车驱动电机、功能电机、电动工具、泵类等系列。公司拥有较强的研发能力，在传统电机基础上，公司自主研发了大功率涡</w:t>
      </w:r>
      <w:r>
        <w:rPr>
          <w:spacing w:val="-68"/>
        </w:rPr>
        <w:t> </w:t>
      </w:r>
      <w:r>
        <w:rPr>
          <w:spacing w:val="-68"/>
        </w:rPr>
      </w:r>
      <w:r>
        <w:rPr/>
        <w:t>旋压缩电机和永磁同步电机，并在大功率燃料电池循环泵取得技术突破。</w:t>
      </w:r>
    </w:p>
    <w:p>
      <w:pPr>
        <w:pStyle w:val="BodyText"/>
        <w:spacing w:line="340" w:lineRule="auto" w:before="58"/>
        <w:ind w:left="513" w:right="1133"/>
        <w:jc w:val="left"/>
      </w:pPr>
      <w:r>
        <w:rPr>
          <w:rFonts w:ascii="Times New Roman" w:hAnsi="Times New Roman" w:cs="Times New Roman" w:eastAsia="Times New Roman" w:hint="default"/>
          <w:b/>
          <w:bCs/>
        </w:rPr>
        <w:t>4</w:t>
      </w:r>
      <w:r>
        <w:rPr>
          <w:rFonts w:ascii="宋体" w:hAnsi="宋体" w:cs="宋体" w:eastAsia="宋体" w:hint="default"/>
          <w:b/>
          <w:bCs/>
        </w:rPr>
        <w:t>、专用车业务</w:t>
      </w:r>
      <w:r>
        <w:rPr>
          <w:rFonts w:ascii="宋体" w:hAnsi="宋体" w:cs="宋体" w:eastAsia="宋体" w:hint="default"/>
          <w:b/>
          <w:bCs/>
          <w:w w:val="99"/>
        </w:rPr>
        <w:t> </w:t>
      </w:r>
      <w:r>
        <w:rPr>
          <w:spacing w:val="-2"/>
        </w:rPr>
        <w:t>在专用车领域，公司主要产品有冷藏车、厢车、铝罐车、自卸车、环卫车等。拥有意大利法塞卷罐机、美国进口麦迪克</w:t>
      </w:r>
    </w:p>
    <w:p>
      <w:pPr>
        <w:pStyle w:val="BodyText"/>
        <w:spacing w:line="240" w:lineRule="auto" w:before="1"/>
        <w:ind w:right="0"/>
        <w:jc w:val="both"/>
      </w:pPr>
      <w:r>
        <w:rPr/>
        <w:t>铣床等先进生产设备，并使用水切割等先进生产工艺，能够满足客户多样化定制需求。</w:t>
      </w:r>
    </w:p>
    <w:p>
      <w:pPr>
        <w:pStyle w:val="BodyText"/>
        <w:spacing w:line="338" w:lineRule="auto" w:before="117"/>
        <w:ind w:left="513" w:right="0"/>
        <w:jc w:val="left"/>
      </w:pPr>
      <w:r>
        <w:rPr>
          <w:rFonts w:ascii="Times New Roman" w:hAnsi="Times New Roman" w:cs="Times New Roman" w:eastAsia="Times New Roman" w:hint="default"/>
          <w:b/>
          <w:bCs/>
        </w:rPr>
        <w:t>5</w:t>
      </w:r>
      <w:r>
        <w:rPr>
          <w:rFonts w:ascii="宋体" w:hAnsi="宋体" w:cs="宋体" w:eastAsia="宋体" w:hint="default"/>
          <w:b/>
          <w:bCs/>
        </w:rPr>
        <w:t>、家电配件业务</w:t>
      </w:r>
      <w:r>
        <w:rPr>
          <w:rFonts w:ascii="宋体" w:hAnsi="宋体" w:cs="宋体" w:eastAsia="宋体" w:hint="default"/>
          <w:b/>
          <w:bCs/>
          <w:w w:val="99"/>
        </w:rPr>
        <w:t> </w:t>
      </w:r>
      <w:r>
        <w:rPr>
          <w:spacing w:val="-2"/>
        </w:rPr>
        <w:t>家电配件业务是公司的传统业务，随着近年来家电行业竞争不断加强，家电行业客户将降成本压缩传递至上游配件供应</w:t>
      </w:r>
    </w:p>
    <w:p>
      <w:pPr>
        <w:pStyle w:val="BodyText"/>
        <w:spacing w:line="316" w:lineRule="auto" w:before="2"/>
        <w:ind w:right="1135"/>
        <w:jc w:val="both"/>
      </w:pPr>
      <w:r>
        <w:rPr>
          <w:spacing w:val="-2"/>
        </w:rPr>
        <w:t>商，公司家电配件类业务盈利空间不断下降。为保持公司长期竞争力，公司逐年稳步推进产品转型、升级，家电配件类业务</w:t>
      </w:r>
      <w:r>
        <w:rPr>
          <w:spacing w:val="-67"/>
        </w:rPr>
        <w:t> </w:t>
      </w:r>
      <w:r>
        <w:rPr>
          <w:spacing w:val="-67"/>
        </w:rPr>
      </w:r>
      <w:r>
        <w:rPr/>
        <w:t>发展平稳，形成了目前以厨电配件、洗衣机配件等产品为代表的家电配件类业务。</w:t>
      </w:r>
    </w:p>
    <w:p>
      <w:pPr>
        <w:spacing w:line="316" w:lineRule="auto" w:before="59"/>
        <w:ind w:left="513" w:right="0" w:firstLine="0"/>
        <w:jc w:val="left"/>
        <w:rPr>
          <w:rFonts w:ascii="宋体" w:hAnsi="宋体" w:cs="宋体" w:eastAsia="宋体" w:hint="default"/>
          <w:sz w:val="18"/>
          <w:szCs w:val="18"/>
        </w:rPr>
      </w:pPr>
      <w:r>
        <w:rPr>
          <w:rFonts w:ascii="宋体" w:hAnsi="宋体" w:cs="宋体" w:eastAsia="宋体" w:hint="default"/>
          <w:b/>
          <w:bCs/>
          <w:sz w:val="18"/>
          <w:szCs w:val="18"/>
        </w:rPr>
        <w:t>（二）行业发展趋势和公司面临的竞争格局</w:t>
      </w:r>
      <w:r>
        <w:rPr>
          <w:rFonts w:ascii="宋体" w:hAnsi="宋体" w:cs="宋体" w:eastAsia="宋体" w:hint="default"/>
          <w:b/>
          <w:bCs/>
          <w:w w:val="99"/>
          <w:sz w:val="18"/>
          <w:szCs w:val="18"/>
        </w:rPr>
        <w:t> </w:t>
      </w:r>
      <w:r>
        <w:rPr>
          <w:rFonts w:ascii="宋体" w:hAnsi="宋体" w:cs="宋体" w:eastAsia="宋体" w:hint="default"/>
          <w:b/>
          <w:bCs/>
          <w:spacing w:val="-2"/>
          <w:sz w:val="18"/>
          <w:szCs w:val="18"/>
        </w:rPr>
        <w:t>金融科技领域：</w:t>
      </w:r>
      <w:r>
        <w:rPr>
          <w:rFonts w:ascii="宋体" w:hAnsi="宋体" w:cs="宋体" w:eastAsia="宋体" w:hint="default"/>
          <w:spacing w:val="-2"/>
          <w:sz w:val="18"/>
          <w:szCs w:val="18"/>
        </w:rPr>
        <w:t>金融科技继续沿纵深领域快速发展。一方面，云计算、大数据、人工智能以及区块链等新一代信息技术</w:t>
      </w:r>
    </w:p>
    <w:p>
      <w:pPr>
        <w:pStyle w:val="BodyText"/>
        <w:spacing w:line="316" w:lineRule="auto" w:before="19"/>
        <w:ind w:right="1130"/>
        <w:jc w:val="both"/>
      </w:pPr>
      <w:r>
        <w:rPr>
          <w:spacing w:val="-2"/>
        </w:rPr>
        <w:t>进一步发展成熟；另一方面，科技和金融的融合更加广泛、深入，涵盖互联网支付、大数据风控、智能投资顾问、互联网财</w:t>
      </w:r>
      <w:r>
        <w:rPr>
          <w:spacing w:val="-73"/>
        </w:rPr>
        <w:t> </w:t>
      </w:r>
      <w:r>
        <w:rPr>
          <w:spacing w:val="-73"/>
        </w:rPr>
      </w:r>
      <w:r>
        <w:rPr>
          <w:spacing w:val="-2"/>
        </w:rPr>
        <w:t>富管理等领域，创新商业模式和创新业态不断涌现，行业分工和业务边界日渐清晰。与此同时，监管机构进一步强化金融科</w:t>
      </w:r>
      <w:r>
        <w:rPr>
          <w:spacing w:val="-65"/>
        </w:rPr>
        <w:t> </w:t>
      </w:r>
      <w:r>
        <w:rPr>
          <w:spacing w:val="-65"/>
        </w:rPr>
      </w:r>
      <w:r>
        <w:rPr>
          <w:spacing w:val="-2"/>
        </w:rPr>
        <w:t>技创新规范引导，推动金融科技成为服务实体经济、防控金融风险、深化金融供给侧结构性改革的重要力量。当前金融科技</w:t>
      </w:r>
      <w:r>
        <w:rPr>
          <w:spacing w:val="-65"/>
        </w:rPr>
        <w:t> </w:t>
      </w:r>
      <w:r>
        <w:rPr>
          <w:spacing w:val="-65"/>
        </w:rPr>
      </w:r>
      <w:r>
        <w:rPr>
          <w:spacing w:val="-2"/>
        </w:rPr>
        <w:t>仍然具备政策红利和市场前景，具备广阔的发展空间。日益成熟的金融科技行业主要趋势包括：一是监管政策逐渐强化、成</w:t>
      </w:r>
      <w:r>
        <w:rPr>
          <w:spacing w:val="-66"/>
        </w:rPr>
        <w:t> </w:t>
      </w:r>
      <w:r>
        <w:rPr>
          <w:spacing w:val="-66"/>
        </w:rPr>
      </w:r>
      <w:r>
        <w:rPr>
          <w:spacing w:val="-2"/>
        </w:rPr>
        <w:t>熟，合规成为行业发展创新的基本要求；二是企业更加注重原创型金融科技研发，行业专利数量持续上升，用户体验迅速更</w:t>
      </w:r>
      <w:r>
        <w:rPr>
          <w:spacing w:val="-65"/>
        </w:rPr>
        <w:t> </w:t>
      </w:r>
      <w:r>
        <w:rPr>
          <w:spacing w:val="-65"/>
        </w:rPr>
      </w:r>
      <w:r>
        <w:rPr>
          <w:spacing w:val="-2"/>
        </w:rPr>
        <w:t>新迭代；三是行业跨界合作更加细化，金融科技平台赋能金融机构和实体企业，金融科技基础服务输出有效的提升了全行业</w:t>
      </w:r>
      <w:r>
        <w:rPr>
          <w:spacing w:val="-63"/>
        </w:rPr>
        <w:t> </w:t>
      </w:r>
      <w:r>
        <w:rPr>
          <w:spacing w:val="-63"/>
        </w:rPr>
      </w:r>
      <w:r>
        <w:rPr>
          <w:spacing w:val="-2"/>
        </w:rPr>
        <w:t>的智能化水平，金融科技成为推动普惠金融、绿色金融发展的重要力量；四是金融科技企业开拓国际化市场，特别是在新兴</w:t>
      </w:r>
      <w:r>
        <w:rPr>
          <w:spacing w:val="-65"/>
        </w:rPr>
        <w:t> </w:t>
      </w:r>
      <w:r>
        <w:rPr>
          <w:spacing w:val="-65"/>
        </w:rPr>
      </w:r>
      <w:r>
        <w:rPr/>
        <w:t>经济体国家，中国金融科技企业市场份额和品牌影响力快速提升。</w:t>
      </w:r>
    </w:p>
    <w:p>
      <w:pPr>
        <w:pStyle w:val="BodyText"/>
        <w:spacing w:line="314" w:lineRule="auto" w:before="19"/>
        <w:ind w:right="1131" w:firstLine="360"/>
        <w:jc w:val="both"/>
      </w:pPr>
      <w:r>
        <w:rPr>
          <w:rFonts w:ascii="宋体" w:hAnsi="宋体" w:cs="宋体" w:eastAsia="宋体" w:hint="default"/>
          <w:b/>
          <w:bCs/>
          <w:spacing w:val="-2"/>
        </w:rPr>
        <w:t>智能制造领域：</w:t>
      </w:r>
      <w:r>
        <w:rPr>
          <w:spacing w:val="-2"/>
        </w:rPr>
        <w:t>在国内经济下行压力加大，消费增速减慢，有效投资增长乏力的大经济环境下，中国汽车市场难以呈现</w:t>
      </w:r>
      <w:r>
        <w:rPr/>
        <w:t> </w:t>
      </w:r>
      <w:r>
        <w:rPr>
          <w:spacing w:val="-1"/>
        </w:rPr>
        <w:t>以前的发展态势，但</w:t>
      </w:r>
      <w:r>
        <w:rPr>
          <w:rFonts w:ascii="Times New Roman" w:hAnsi="Times New Roman" w:cs="Times New Roman" w:eastAsia="Times New Roman" w:hint="default"/>
          <w:spacing w:val="-1"/>
        </w:rPr>
        <w:t>“</w:t>
      </w:r>
      <w:r>
        <w:rPr>
          <w:spacing w:val="-1"/>
        </w:rPr>
        <w:t>以旧换新</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消费升级</w:t>
      </w:r>
      <w:r>
        <w:rPr>
          <w:rFonts w:ascii="Times New Roman" w:hAnsi="Times New Roman" w:cs="Times New Roman" w:eastAsia="Times New Roman" w:hint="default"/>
          <w:spacing w:val="-1"/>
        </w:rPr>
        <w:t>”</w:t>
      </w:r>
      <w:r>
        <w:rPr>
          <w:spacing w:val="-1"/>
        </w:rPr>
        <w:t>也带来广阔的市场空间，同时，随着近期国务院常务会议对新能源汽车补贴延</w:t>
      </w:r>
      <w:r>
        <w:rPr>
          <w:spacing w:val="-78"/>
        </w:rPr>
        <w:t> </w:t>
      </w:r>
      <w:r>
        <w:rPr>
          <w:spacing w:val="-78"/>
        </w:rPr>
      </w:r>
      <w:r>
        <w:rPr>
          <w:spacing w:val="-2"/>
        </w:rPr>
        <w:t>期政策的出台，新能源汽车的发展将迎来新的机遇。随着行业格局的持续优化，行业集中度将逐渐提高，中小配套厂商将逐</w:t>
      </w:r>
      <w:r>
        <w:rPr>
          <w:spacing w:val="-65"/>
        </w:rPr>
        <w:t> </w:t>
      </w:r>
      <w:r>
        <w:rPr>
          <w:spacing w:val="-65"/>
        </w:rPr>
      </w:r>
      <w:r>
        <w:rPr>
          <w:spacing w:val="-2"/>
        </w:rPr>
        <w:t>渐被淘汰，各大主机厂对优质配套厂商的需求更大，逐步向头部企业集中。随着近年来对智能制造板块的积极布局，公司在</w:t>
      </w:r>
      <w:r>
        <w:rPr>
          <w:spacing w:val="-65"/>
        </w:rPr>
        <w:t> </w:t>
      </w:r>
      <w:r>
        <w:rPr>
          <w:spacing w:val="-65"/>
        </w:rPr>
      </w:r>
      <w:r>
        <w:rPr/>
        <w:t>该领域的技术优势显现、核心竞争能力增强，公司所处的以汽车及配件产业为主导的智能制造产业风险与机遇并存。</w:t>
      </w:r>
    </w:p>
    <w:p>
      <w:pPr>
        <w:spacing w:line="240" w:lineRule="auto" w:before="0"/>
        <w:rPr>
          <w:rFonts w:ascii="宋体" w:hAnsi="宋体" w:cs="宋体" w:eastAsia="宋体" w:hint="default"/>
          <w:sz w:val="21"/>
          <w:szCs w:val="21"/>
        </w:rPr>
      </w:pPr>
    </w:p>
    <w:p>
      <w:pPr>
        <w:pStyle w:val="Heading2"/>
        <w:spacing w:line="240" w:lineRule="auto"/>
        <w:ind w:right="0"/>
        <w:jc w:val="both"/>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039"/>
        <w:gridCol w:w="6519"/>
      </w:tblGrid>
      <w:tr>
        <w:trPr>
          <w:trHeight w:val="187" w:hRule="exact"/>
        </w:trPr>
        <w:tc>
          <w:tcPr>
            <w:tcW w:w="3039"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3039"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本报告期无重大变化</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050"/>
        <w:gridCol w:w="6519"/>
      </w:tblGrid>
      <w:tr>
        <w:trPr>
          <w:trHeight w:val="401" w:hRule="exact"/>
        </w:trPr>
        <w:tc>
          <w:tcPr>
            <w:tcW w:w="3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本报告期无重大变化</w:t>
            </w:r>
          </w:p>
        </w:tc>
      </w:tr>
      <w:tr>
        <w:trPr>
          <w:trHeight w:val="403" w:hRule="exact"/>
        </w:trPr>
        <w:tc>
          <w:tcPr>
            <w:tcW w:w="3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本报告期无重大变化</w:t>
            </w:r>
          </w:p>
        </w:tc>
      </w:tr>
      <w:tr>
        <w:trPr>
          <w:trHeight w:val="403" w:hRule="exact"/>
        </w:trPr>
        <w:tc>
          <w:tcPr>
            <w:tcW w:w="3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本报告期无重大变化</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both"/>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bookmarkStart w:name="三、核心竞争力分析" w:id="22"/>
      <w:bookmarkEnd w:id="22"/>
      <w:r>
        <w:rPr>
          <w:b w:val="0"/>
          <w:bCs w:val="0"/>
        </w:rPr>
      </w:r>
      <w:r>
        <w:rPr/>
        <w:t>三、核心竞争力分析</w:t>
      </w:r>
      <w:r>
        <w:rPr>
          <w:b w:val="0"/>
          <w:bCs w:val="0"/>
        </w:rPr>
      </w:r>
    </w:p>
    <w:p>
      <w:pPr>
        <w:spacing w:line="240" w:lineRule="auto" w:before="6"/>
        <w:rPr>
          <w:rFonts w:ascii="宋体" w:hAnsi="宋体" w:cs="宋体" w:eastAsia="宋体" w:hint="default"/>
          <w:b/>
          <w:bCs/>
          <w:sz w:val="26"/>
          <w:szCs w:val="26"/>
        </w:rPr>
      </w:pPr>
    </w:p>
    <w:p>
      <w:pPr>
        <w:spacing w:line="300" w:lineRule="auto" w:before="0"/>
        <w:ind w:left="513"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、全面的独立第三方支付服务业务</w:t>
      </w:r>
      <w:r>
        <w:rPr>
          <w:rFonts w:ascii="宋体" w:hAnsi="宋体" w:cs="宋体" w:eastAsia="宋体" w:hint="default"/>
          <w:b/>
          <w:bCs/>
          <w:w w:val="99"/>
          <w:sz w:val="18"/>
          <w:szCs w:val="18"/>
        </w:rPr>
        <w:t> </w:t>
      </w:r>
      <w:r>
        <w:rPr>
          <w:rFonts w:ascii="宋体" w:hAnsi="宋体" w:cs="宋体" w:eastAsia="宋体" w:hint="default"/>
          <w:spacing w:val="-2"/>
          <w:sz w:val="18"/>
          <w:szCs w:val="18"/>
        </w:rPr>
        <w:t>联动优势拥有全面的独立第三方支付品牌，在全国范围持牌开展互联网支付、移动电话支付、银行卡收单、基金销售支</w:t>
      </w:r>
    </w:p>
    <w:p>
      <w:pPr>
        <w:pStyle w:val="BodyText"/>
        <w:spacing w:line="300" w:lineRule="auto" w:before="32"/>
        <w:ind w:right="1130"/>
        <w:jc w:val="both"/>
      </w:pPr>
      <w:r>
        <w:rPr/>
        <w:t>付结算、跨境外汇</w:t>
      </w:r>
      <w:r>
        <w:rPr>
          <w:rFonts w:ascii="Times New Roman" w:hAnsi="Times New Roman" w:cs="Times New Roman" w:eastAsia="Times New Roman" w:hint="default"/>
        </w:rPr>
        <w:t>/</w:t>
      </w:r>
      <w:r>
        <w:rPr/>
        <w:t>人民币支付业务。通过在不同行业、不同场景、不同地域的创新产品，提供自研综合支付、信息推送、</w:t>
      </w:r>
      <w:r>
        <w:rPr>
          <w:spacing w:val="-46"/>
        </w:rPr>
        <w:t> </w:t>
      </w:r>
      <w:r>
        <w:rPr>
          <w:spacing w:val="-46"/>
        </w:rPr>
      </w:r>
      <w:r>
        <w:rPr>
          <w:spacing w:val="-5"/>
        </w:rPr>
        <w:t>智能营销、大数据、高速清算、智能反欺诈、反洗钱交易平台等服务。联动优势的</w:t>
      </w:r>
      <w:r>
        <w:rPr>
          <w:rFonts w:ascii="Times New Roman" w:hAnsi="Times New Roman" w:cs="Times New Roman" w:eastAsia="Times New Roman" w:hint="default"/>
          <w:spacing w:val="-5"/>
        </w:rPr>
        <w:t>“</w:t>
      </w:r>
      <w:r>
        <w:rPr>
          <w:spacing w:val="-5"/>
        </w:rPr>
        <w:t>海金链</w:t>
      </w:r>
      <w:r>
        <w:rPr>
          <w:rFonts w:ascii="Times New Roman" w:hAnsi="Times New Roman" w:cs="Times New Roman" w:eastAsia="Times New Roman" w:hint="default"/>
          <w:spacing w:val="-5"/>
        </w:rPr>
        <w:t>”</w:t>
      </w:r>
      <w:r>
        <w:rPr>
          <w:spacing w:val="-5"/>
        </w:rPr>
        <w:t>产业互联网综合解决方案获得</w:t>
      </w:r>
      <w:r>
        <w:rPr>
          <w:rFonts w:ascii="Times New Roman" w:hAnsi="Times New Roman" w:cs="Times New Roman" w:eastAsia="Times New Roman" w:hint="default"/>
          <w:spacing w:val="-5"/>
        </w:rPr>
        <w:t>2019</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2"/>
        </w:rPr>
      </w:r>
      <w:r>
        <w:rPr>
          <w:spacing w:val="-1"/>
        </w:rPr>
        <w:t>年度第六届</w:t>
      </w:r>
      <w:r>
        <w:rPr>
          <w:rFonts w:ascii="Times New Roman" w:hAnsi="Times New Roman" w:cs="Times New Roman" w:eastAsia="Times New Roman" w:hint="default"/>
          <w:spacing w:val="-1"/>
        </w:rPr>
        <w:t>“</w:t>
      </w:r>
      <w:r>
        <w:rPr>
          <w:spacing w:val="-1"/>
        </w:rPr>
        <w:t>金松奖</w:t>
      </w:r>
      <w:r>
        <w:rPr>
          <w:rFonts w:ascii="Times New Roman" w:hAnsi="Times New Roman" w:cs="Times New Roman" w:eastAsia="Times New Roman" w:hint="default"/>
          <w:spacing w:val="-1"/>
        </w:rPr>
        <w:t>”</w:t>
      </w:r>
      <w:r>
        <w:rPr>
          <w:spacing w:val="-1"/>
        </w:rPr>
        <w:t>最终荣获</w:t>
      </w:r>
      <w:r>
        <w:rPr>
          <w:rFonts w:ascii="Times New Roman" w:hAnsi="Times New Roman" w:cs="Times New Roman" w:eastAsia="Times New Roman" w:hint="default"/>
          <w:spacing w:val="-1"/>
        </w:rPr>
        <w:t>“</w:t>
      </w:r>
      <w:r>
        <w:rPr>
          <w:spacing w:val="-1"/>
        </w:rPr>
        <w:t>最佳行业支付应用奖</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海金链</w:t>
      </w:r>
      <w:r>
        <w:rPr>
          <w:rFonts w:ascii="Times New Roman" w:hAnsi="Times New Roman" w:cs="Times New Roman" w:eastAsia="Times New Roman" w:hint="default"/>
          <w:spacing w:val="-1"/>
        </w:rPr>
        <w:t>”</w:t>
      </w:r>
      <w:r>
        <w:rPr>
          <w:spacing w:val="-1"/>
        </w:rPr>
        <w:t>平台将金融能力、支付能力、数字化能力融合，可以灵活的</w:t>
      </w:r>
      <w:r>
        <w:rPr>
          <w:spacing w:val="-57"/>
        </w:rPr>
        <w:t> </w:t>
      </w:r>
      <w:r>
        <w:rPr>
          <w:spacing w:val="-57"/>
        </w:rPr>
      </w:r>
      <w:r>
        <w:rPr/>
        <w:t>帮助产业链平台实现各种供应链金融业务，为产业链上的企业提供综合的</w:t>
      </w:r>
      <w:r>
        <w:rPr>
          <w:rFonts w:ascii="Times New Roman" w:hAnsi="Times New Roman" w:cs="Times New Roman" w:eastAsia="Times New Roman" w:hint="default"/>
        </w:rPr>
        <w:t>“</w:t>
      </w:r>
      <w:r>
        <w:rPr/>
        <w:t>支付</w:t>
      </w:r>
      <w:r>
        <w:rPr>
          <w:rFonts w:ascii="Times New Roman" w:hAnsi="Times New Roman" w:cs="Times New Roman" w:eastAsia="Times New Roman" w:hint="default"/>
        </w:rPr>
        <w:t>+</w:t>
      </w:r>
      <w:r>
        <w:rPr/>
        <w:t>金融</w:t>
      </w:r>
      <w:r>
        <w:rPr>
          <w:rFonts w:ascii="Times New Roman" w:hAnsi="Times New Roman" w:cs="Times New Roman" w:eastAsia="Times New Roman" w:hint="default"/>
        </w:rPr>
        <w:t>”</w:t>
      </w:r>
      <w:r>
        <w:rPr/>
        <w:t>服务。</w:t>
      </w:r>
    </w:p>
    <w:p>
      <w:pPr>
        <w:spacing w:line="300" w:lineRule="auto" w:before="13"/>
        <w:ind w:left="513"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、领先的数字科技服务能力</w:t>
      </w:r>
      <w:r>
        <w:rPr>
          <w:rFonts w:ascii="宋体" w:hAnsi="宋体" w:cs="宋体" w:eastAsia="宋体" w:hint="default"/>
          <w:b/>
          <w:bCs/>
          <w:w w:val="99"/>
          <w:sz w:val="18"/>
          <w:szCs w:val="18"/>
        </w:rPr>
        <w:t> </w:t>
      </w:r>
      <w:r>
        <w:rPr>
          <w:rFonts w:ascii="宋体" w:hAnsi="宋体" w:cs="宋体" w:eastAsia="宋体" w:hint="default"/>
          <w:spacing w:val="-2"/>
          <w:sz w:val="18"/>
          <w:szCs w:val="18"/>
        </w:rPr>
        <w:t>数字科技服务以数字为基础，综合利用大数据管理、模型和人工智能技术，紧贴客户应用场景，提供以实际价值转化为</w:t>
      </w:r>
    </w:p>
    <w:p>
      <w:pPr>
        <w:pStyle w:val="BodyText"/>
        <w:spacing w:line="300" w:lineRule="auto" w:before="31"/>
        <w:ind w:right="1129"/>
        <w:jc w:val="both"/>
      </w:pPr>
      <w:r>
        <w:rPr>
          <w:spacing w:val="-2"/>
        </w:rPr>
        <w:t>目标的数字科技解决方案。多年来已沉淀积累了持续为金融机构服务的能力：拥有</w:t>
      </w:r>
      <w:r>
        <w:rPr>
          <w:rFonts w:ascii="Times New Roman" w:hAnsi="Times New Roman" w:cs="Times New Roman" w:eastAsia="Times New Roman" w:hint="default"/>
          <w:spacing w:val="-2"/>
        </w:rPr>
        <w:t>PB</w:t>
      </w:r>
      <w:r>
        <w:rPr>
          <w:spacing w:val="-2"/>
        </w:rPr>
        <w:t>级存量数据处理能力，十万并发下</w:t>
      </w:r>
      <w:r>
        <w:rPr>
          <w:rFonts w:ascii="Times New Roman" w:hAnsi="Times New Roman" w:cs="Times New Roman" w:eastAsia="Times New Roman" w:hint="default"/>
          <w:spacing w:val="-2"/>
        </w:rPr>
        <w:t>SLA</w:t>
      </w:r>
      <w:r>
        <w:rPr>
          <w:rFonts w:ascii="Times New Roman" w:hAnsi="Times New Roman" w:cs="Times New Roman" w:eastAsia="Times New Roman" w:hint="default"/>
          <w:spacing w:val="-36"/>
        </w:rPr>
        <w:t> </w:t>
      </w:r>
      <w:r>
        <w:rPr>
          <w:rFonts w:ascii="Times New Roman" w:hAnsi="Times New Roman" w:cs="Times New Roman" w:eastAsia="Times New Roman" w:hint="default"/>
          <w:spacing w:val="-36"/>
        </w:rPr>
      </w:r>
      <w:r>
        <w:rPr>
          <w:spacing w:val="-1"/>
        </w:rPr>
        <w:t>可达</w:t>
      </w:r>
      <w:r>
        <w:rPr>
          <w:rFonts w:ascii="Times New Roman" w:hAnsi="Times New Roman" w:cs="Times New Roman" w:eastAsia="Times New Roman" w:hint="default"/>
          <w:spacing w:val="-1"/>
        </w:rPr>
        <w:t>99.99%</w:t>
      </w:r>
      <w:r>
        <w:rPr>
          <w:spacing w:val="-1"/>
        </w:rPr>
        <w:t>，</w:t>
      </w:r>
      <w:r>
        <w:rPr>
          <w:rFonts w:ascii="Times New Roman" w:hAnsi="Times New Roman" w:cs="Times New Roman" w:eastAsia="Times New Roman" w:hint="default"/>
          <w:spacing w:val="-1"/>
        </w:rPr>
        <w:t>NLP</w:t>
      </w:r>
      <w:r>
        <w:rPr>
          <w:spacing w:val="-1"/>
        </w:rPr>
        <w:t>解析准确率可达</w:t>
      </w:r>
      <w:r>
        <w:rPr>
          <w:rFonts w:ascii="Times New Roman" w:hAnsi="Times New Roman" w:cs="Times New Roman" w:eastAsia="Times New Roman" w:hint="default"/>
          <w:spacing w:val="-1"/>
        </w:rPr>
        <w:t>95%</w:t>
      </w:r>
      <w:r>
        <w:rPr>
          <w:spacing w:val="-1"/>
        </w:rPr>
        <w:t>；能够对数据进行精确的预测与管理，结合场景进行应用创新；团队连续</w:t>
      </w:r>
      <w:r>
        <w:rPr>
          <w:rFonts w:ascii="Times New Roman" w:hAnsi="Times New Roman" w:cs="Times New Roman" w:eastAsia="Times New Roman" w:hint="default"/>
          <w:spacing w:val="-1"/>
        </w:rPr>
        <w:t>16</w:t>
      </w:r>
      <w:r>
        <w:rPr>
          <w:spacing w:val="-1"/>
        </w:rPr>
        <w:t>年服务大</w:t>
      </w:r>
      <w:r>
        <w:rPr>
          <w:spacing w:val="-83"/>
        </w:rPr>
        <w:t> </w:t>
      </w:r>
      <w:r>
        <w:rPr>
          <w:spacing w:val="-83"/>
        </w:rPr>
      </w:r>
      <w:r>
        <w:rPr/>
        <w:t>型金融机构；同时拥有清结算、移动支付等大规模交易系统构建经验，得到行业内上下游合作伙伴的认可。</w:t>
      </w:r>
    </w:p>
    <w:p>
      <w:pPr>
        <w:pStyle w:val="Heading4"/>
        <w:spacing w:line="240" w:lineRule="auto" w:before="31"/>
        <w:ind w:right="1133"/>
        <w:jc w:val="left"/>
        <w:rPr>
          <w:b w:val="0"/>
          <w:bCs w:val="0"/>
        </w:rPr>
      </w:pPr>
      <w:r>
        <w:rPr>
          <w:rFonts w:ascii="Times New Roman" w:hAnsi="Times New Roman" w:cs="Times New Roman" w:eastAsia="Times New Roman" w:hint="default"/>
        </w:rPr>
        <w:t>3</w:t>
      </w:r>
      <w:r>
        <w:rPr/>
        <w:t>、优越的技术及研发优势</w:t>
      </w:r>
      <w:r>
        <w:rPr>
          <w:b w:val="0"/>
          <w:bCs w:val="0"/>
        </w:rPr>
      </w:r>
    </w:p>
    <w:p>
      <w:pPr>
        <w:pStyle w:val="BodyText"/>
        <w:spacing w:line="300" w:lineRule="auto" w:before="63"/>
        <w:ind w:right="1131" w:firstLine="360"/>
        <w:jc w:val="both"/>
      </w:pPr>
      <w:r>
        <w:rPr/>
        <w:t>（</w:t>
      </w:r>
      <w:r>
        <w:rPr>
          <w:rFonts w:ascii="Times New Roman" w:hAnsi="Times New Roman" w:cs="Times New Roman" w:eastAsia="Times New Roman" w:hint="default"/>
        </w:rPr>
        <w:t>1</w:t>
      </w:r>
      <w:r>
        <w:rPr/>
        <w:t>）专利及非专利优势：经过多年的技术积累和技术创新，公司及子公司在金融科技技术方面拥有</w:t>
      </w:r>
      <w:r>
        <w:rPr>
          <w:rFonts w:ascii="Times New Roman" w:hAnsi="Times New Roman" w:cs="Times New Roman" w:eastAsia="Times New Roman" w:hint="default"/>
        </w:rPr>
        <w:t>40</w:t>
      </w:r>
      <w:r>
        <w:rPr/>
        <w:t>项发明专利及</w:t>
      </w:r>
      <w:r>
        <w:rPr>
          <w:rFonts w:ascii="Times New Roman" w:hAnsi="Times New Roman" w:cs="Times New Roman" w:eastAsia="Times New Roman" w:hint="default"/>
        </w:rPr>
        <w:t>2 </w:t>
      </w:r>
      <w:r>
        <w:rPr>
          <w:spacing w:val="-2"/>
        </w:rPr>
        <w:t>项实用新型专利，另有</w:t>
      </w:r>
      <w:r>
        <w:rPr>
          <w:rFonts w:ascii="Times New Roman" w:hAnsi="Times New Roman" w:cs="Times New Roman" w:eastAsia="Times New Roman" w:hint="default"/>
          <w:spacing w:val="-2"/>
        </w:rPr>
        <w:t>160</w:t>
      </w:r>
      <w:r>
        <w:rPr>
          <w:spacing w:val="-2"/>
        </w:rPr>
        <w:t>项发明专利处于审查阶段，拥有软著</w:t>
      </w:r>
      <w:r>
        <w:rPr>
          <w:rFonts w:ascii="Times New Roman" w:hAnsi="Times New Roman" w:cs="Times New Roman" w:eastAsia="Times New Roman" w:hint="default"/>
          <w:spacing w:val="-2"/>
        </w:rPr>
        <w:t>270</w:t>
      </w:r>
      <w:r>
        <w:rPr>
          <w:spacing w:val="-2"/>
        </w:rPr>
        <w:t>件，在模具、冲压、高效变频电机等方面共拥有</w:t>
      </w:r>
      <w:r>
        <w:rPr>
          <w:rFonts w:ascii="Times New Roman" w:hAnsi="Times New Roman" w:cs="Times New Roman" w:eastAsia="Times New Roman" w:hint="default"/>
          <w:spacing w:val="-2"/>
        </w:rPr>
        <w:t>31</w:t>
      </w:r>
      <w:r>
        <w:rPr>
          <w:spacing w:val="-2"/>
        </w:rPr>
        <w:t>项发明</w:t>
      </w:r>
      <w:r>
        <w:rPr>
          <w:spacing w:val="-60"/>
        </w:rPr>
        <w:t> </w:t>
      </w:r>
      <w:r>
        <w:rPr>
          <w:spacing w:val="-60"/>
        </w:rPr>
      </w:r>
      <w:r>
        <w:rPr>
          <w:spacing w:val="-1"/>
        </w:rPr>
        <w:t>专利、</w:t>
      </w:r>
      <w:r>
        <w:rPr>
          <w:rFonts w:ascii="Times New Roman" w:hAnsi="Times New Roman" w:cs="Times New Roman" w:eastAsia="Times New Roman" w:hint="default"/>
          <w:spacing w:val="-1"/>
        </w:rPr>
        <w:t>128</w:t>
      </w:r>
      <w:r>
        <w:rPr>
          <w:spacing w:val="-1"/>
        </w:rPr>
        <w:t>项实用新型专利等自主知识产权专利。公司及多家子公司技术中心被评为</w:t>
      </w:r>
      <w:r>
        <w:rPr>
          <w:rFonts w:ascii="Times New Roman" w:hAnsi="Times New Roman" w:cs="Times New Roman" w:eastAsia="Times New Roman" w:hint="default"/>
          <w:spacing w:val="-1"/>
        </w:rPr>
        <w:t>“</w:t>
      </w:r>
      <w:r>
        <w:rPr>
          <w:spacing w:val="-1"/>
        </w:rPr>
        <w:t>北京市企业技术中心</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青岛市级企业</w:t>
      </w:r>
      <w:r>
        <w:rPr/>
        <w:t> 技术中心</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高新技术企业</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青岛市级工程技术研究中心（重点实验室）</w:t>
      </w:r>
      <w:r>
        <w:rPr>
          <w:rFonts w:ascii="Times New Roman" w:hAnsi="Times New Roman" w:cs="Times New Roman" w:eastAsia="Times New Roman" w:hint="default"/>
        </w:rPr>
        <w:t>”</w:t>
      </w:r>
      <w:r>
        <w:rPr/>
        <w:t>。公司拥有较强的技术研发队伍，与知名高校</w:t>
      </w:r>
      <w:r>
        <w:rPr>
          <w:spacing w:val="-40"/>
        </w:rPr>
        <w:t> </w:t>
      </w:r>
      <w:r>
        <w:rPr>
          <w:spacing w:val="-40"/>
        </w:rPr>
      </w:r>
      <w:r>
        <w:rPr/>
        <w:t>建立了产学研基地，能够为客户提供完整的产品设计、开发和生产方案，具有较强的技术和研发优势。</w:t>
      </w:r>
    </w:p>
    <w:p>
      <w:pPr>
        <w:pStyle w:val="BodyText"/>
        <w:spacing w:line="300" w:lineRule="auto" w:before="31"/>
        <w:ind w:right="1128" w:firstLine="360"/>
        <w:jc w:val="both"/>
      </w:pPr>
      <w:r>
        <w:rPr/>
        <w:t>（</w:t>
      </w:r>
      <w:r>
        <w:rPr>
          <w:rFonts w:ascii="Times New Roman" w:hAnsi="Times New Roman" w:cs="Times New Roman" w:eastAsia="Times New Roman" w:hint="default"/>
        </w:rPr>
        <w:t>2</w:t>
      </w:r>
      <w:r>
        <w:rPr/>
        <w:t>）</w:t>
      </w:r>
      <w:r>
        <w:rPr>
          <w:spacing w:val="2"/>
        </w:rPr>
        <w:t> </w:t>
      </w:r>
      <w:r>
        <w:rPr>
          <w:spacing w:val="-2"/>
        </w:rPr>
        <w:t>高新技术优势：随着公司转型升级战略逐步推进，公司产品和技术不断向高精尖领域发展。公司多家子公司被授</w:t>
      </w:r>
      <w:r>
        <w:rPr/>
        <w:t> 予高新技术企业，建有多个企业技术中心及工程技术研究中心且已获得相关政府部门批准。联动优势《跨境电商融合支付</w:t>
      </w:r>
      <w:r>
        <w:rPr>
          <w:rFonts w:ascii="Times New Roman" w:hAnsi="Times New Roman" w:cs="Times New Roman" w:eastAsia="Times New Roman" w:hint="default"/>
        </w:rPr>
        <w:t>+ </w:t>
      </w:r>
      <w:r>
        <w:rPr>
          <w:spacing w:val="-2"/>
        </w:rPr>
        <w:t>报关综合服务平台》获北京市商务局</w:t>
      </w:r>
      <w:r>
        <w:rPr>
          <w:rFonts w:ascii="Times New Roman" w:hAnsi="Times New Roman" w:cs="Times New Roman" w:eastAsia="Times New Roman" w:hint="default"/>
          <w:spacing w:val="-2"/>
        </w:rPr>
        <w:t>2019</w:t>
      </w:r>
      <w:r>
        <w:rPr>
          <w:spacing w:val="-2"/>
        </w:rPr>
        <w:t>年中国（北京）跨境电子商务综合试验区服务体系建设专项认定；《基于大数据的</w:t>
      </w:r>
      <w:r>
        <w:rPr>
          <w:spacing w:val="-65"/>
        </w:rPr>
        <w:t> </w:t>
      </w:r>
      <w:r>
        <w:rPr>
          <w:spacing w:val="-65"/>
        </w:rPr>
      </w:r>
      <w:r>
        <w:rPr>
          <w:spacing w:val="-2"/>
        </w:rPr>
        <w:t>跨境电商供应链金融服务平台》入围北京市商务局外经贸发展资金项目；《金融风控大数据公共服务平台》入围</w:t>
      </w:r>
      <w:r>
        <w:rPr>
          <w:rFonts w:ascii="Times New Roman" w:hAnsi="Times New Roman" w:cs="Times New Roman" w:eastAsia="Times New Roman" w:hint="default"/>
          <w:spacing w:val="-2"/>
        </w:rPr>
        <w:t>2019</w:t>
      </w:r>
      <w:r>
        <w:rPr>
          <w:spacing w:val="-2"/>
        </w:rPr>
        <w:t>年度西</w:t>
      </w:r>
      <w:r>
        <w:rPr>
          <w:spacing w:val="-59"/>
        </w:rPr>
        <w:t> </w:t>
      </w:r>
      <w:r>
        <w:rPr>
          <w:spacing w:val="-59"/>
        </w:rPr>
      </w:r>
      <w:r>
        <w:rPr/>
        <w:t>城区财政科技专项科技创新类项目。</w:t>
      </w:r>
    </w:p>
    <w:p>
      <w:pPr>
        <w:pStyle w:val="BodyText"/>
        <w:spacing w:line="300" w:lineRule="auto" w:before="31"/>
        <w:ind w:right="1034" w:firstLine="360"/>
        <w:jc w:val="left"/>
      </w:pPr>
      <w:r>
        <w:rPr/>
        <w:t>（</w:t>
      </w:r>
      <w:r>
        <w:rPr>
          <w:rFonts w:ascii="Times New Roman" w:hAnsi="Times New Roman" w:cs="Times New Roman" w:eastAsia="Times New Roman" w:hint="default"/>
        </w:rPr>
        <w:t>3</w:t>
      </w:r>
      <w:r>
        <w:rPr/>
        <w:t>）区块链技术研究与创新：近年来，联动优势一直专注于金融科技服务领域相关技术研究和产品创新，在区块链技 术改进和应用上持续投入雄厚的研发力量，取得了一系列成果和创新。截止</w:t>
      </w:r>
      <w:r>
        <w:rPr>
          <w:rFonts w:ascii="Times New Roman" w:hAnsi="Times New Roman" w:cs="Times New Roman" w:eastAsia="Times New Roman" w:hint="default"/>
        </w:rPr>
        <w:t>2019</w:t>
      </w:r>
      <w:r>
        <w:rPr/>
        <w:t>年底，公司累计申请</w:t>
      </w:r>
      <w:r>
        <w:rPr>
          <w:rFonts w:ascii="Times New Roman" w:hAnsi="Times New Roman" w:cs="Times New Roman" w:eastAsia="Times New Roman" w:hint="default"/>
        </w:rPr>
        <w:t>41</w:t>
      </w:r>
      <w:r>
        <w:rPr/>
        <w:t>项区块链发明专利， 获得授权</w:t>
      </w:r>
      <w:r>
        <w:rPr>
          <w:rFonts w:ascii="Times New Roman" w:hAnsi="Times New Roman" w:cs="Times New Roman" w:eastAsia="Times New Roman" w:hint="default"/>
        </w:rPr>
        <w:t>1</w:t>
      </w:r>
      <w:r>
        <w:rPr/>
        <w:t>项。公司自主研发的区块链底层框架优链系统（英文名：</w:t>
      </w:r>
      <w:r>
        <w:rPr>
          <w:rFonts w:ascii="Times New Roman" w:hAnsi="Times New Roman" w:cs="Times New Roman" w:eastAsia="Times New Roman" w:hint="default"/>
        </w:rPr>
        <w:t>UChains</w:t>
      </w:r>
      <w:r>
        <w:rPr/>
        <w:t>）连续</w:t>
      </w:r>
      <w:r>
        <w:rPr>
          <w:rFonts w:ascii="Times New Roman" w:hAnsi="Times New Roman" w:cs="Times New Roman" w:eastAsia="Times New Roman" w:hint="default"/>
        </w:rPr>
        <w:t>3</w:t>
      </w:r>
      <w:r>
        <w:rPr/>
        <w:t>年通过中国信息通信研究院可信区块链</w:t>
      </w:r>
      <w:r>
        <w:rPr>
          <w:spacing w:val="-83"/>
        </w:rPr>
        <w:t> </w:t>
      </w:r>
      <w:r>
        <w:rPr>
          <w:spacing w:val="-83"/>
        </w:rPr>
      </w:r>
      <w:r>
        <w:rPr/>
        <w:t>功能测试。基于优链区块链底层平台研发的</w:t>
      </w:r>
      <w:r>
        <w:rPr>
          <w:rFonts w:ascii="Times New Roman" w:hAnsi="Times New Roman" w:cs="Times New Roman" w:eastAsia="Times New Roman" w:hint="default"/>
        </w:rPr>
        <w:t>“</w:t>
      </w:r>
      <w:r>
        <w:rPr/>
        <w:t>海联金汇供应链金融服务系统</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跨境保理融资授信管理平台</w:t>
      </w:r>
      <w:r>
        <w:rPr>
          <w:rFonts w:ascii="Times New Roman" w:hAnsi="Times New Roman" w:cs="Times New Roman" w:eastAsia="Times New Roman" w:hint="default"/>
        </w:rPr>
        <w:t>”</w:t>
      </w:r>
      <w:r>
        <w:rPr/>
        <w:t>均已上线，其中 </w:t>
      </w:r>
      <w:r>
        <w:rPr>
          <w:rFonts w:ascii="Times New Roman" w:hAnsi="Times New Roman" w:cs="Times New Roman" w:eastAsia="Times New Roman" w:hint="default"/>
          <w:spacing w:val="5"/>
        </w:rPr>
        <w:t>“</w:t>
      </w:r>
      <w:r>
        <w:rPr>
          <w:spacing w:val="5"/>
        </w:rPr>
        <w:t>海联金汇供应链金融服务系统</w:t>
      </w:r>
      <w:r>
        <w:rPr>
          <w:rFonts w:ascii="Times New Roman" w:hAnsi="Times New Roman" w:cs="Times New Roman" w:eastAsia="Times New Roman" w:hint="default"/>
          <w:spacing w:val="5"/>
        </w:rPr>
        <w:t>”</w:t>
      </w:r>
      <w:r>
        <w:rPr>
          <w:spacing w:val="5"/>
        </w:rPr>
        <w:t>成为第一批在国家互联网信息办公室完成备案的区块链信息服务，备案编号：京网信备</w:t>
      </w:r>
      <w:r>
        <w:rPr>
          <w:spacing w:val="-86"/>
        </w:rPr>
        <w:t> </w:t>
      </w:r>
      <w:r>
        <w:rPr>
          <w:spacing w:val="-86"/>
        </w:rPr>
      </w:r>
      <w:r>
        <w:rPr>
          <w:rFonts w:ascii="Times New Roman" w:hAnsi="Times New Roman" w:cs="Times New Roman" w:eastAsia="Times New Roman" w:hint="default"/>
        </w:rPr>
        <w:t>11010219195169690017</w:t>
      </w:r>
      <w:r>
        <w:rPr/>
        <w:t>号。</w:t>
      </w:r>
    </w:p>
    <w:p>
      <w:pPr>
        <w:pStyle w:val="BodyText"/>
        <w:spacing w:line="309" w:lineRule="auto" w:before="13"/>
        <w:ind w:right="1130" w:firstLine="360"/>
        <w:jc w:val="both"/>
      </w:pPr>
      <w:r>
        <w:rPr/>
        <w:t>（</w:t>
      </w:r>
      <w:r>
        <w:rPr>
          <w:rFonts w:ascii="Times New Roman" w:hAnsi="Times New Roman" w:cs="Times New Roman" w:eastAsia="Times New Roman" w:hint="default"/>
        </w:rPr>
        <w:t>4</w:t>
      </w:r>
      <w:r>
        <w:rPr/>
        <w:t>）汽车零部件技术研发优势：公司联合国内多所知名高校筹建了乘用车技术研发中心，与全球知名的创新和高科技 </w:t>
      </w:r>
      <w:r>
        <w:rPr>
          <w:spacing w:val="-2"/>
        </w:rPr>
        <w:t>工程咨询服务提供商、轻量化材料及技术服务提供商开展战略合作，具有汽车轻量化产品研发、高精尖汽车零部件开发、新</w:t>
      </w:r>
      <w:r>
        <w:rPr>
          <w:spacing w:val="-64"/>
        </w:rPr>
        <w:t> </w:t>
      </w:r>
      <w:r>
        <w:rPr>
          <w:spacing w:val="-64"/>
        </w:rPr>
      </w:r>
      <w:r>
        <w:rPr/>
        <w:t>技术孵化、模具设计等方面的核心能力。</w:t>
      </w:r>
    </w:p>
    <w:p>
      <w:pPr>
        <w:spacing w:line="300" w:lineRule="auto" w:before="24"/>
        <w:ind w:left="513" w:right="1133"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、丰富、稳定的核心客户群资源</w:t>
      </w:r>
      <w:r>
        <w:rPr>
          <w:rFonts w:ascii="宋体" w:hAnsi="宋体" w:cs="宋体" w:eastAsia="宋体" w:hint="default"/>
          <w:b/>
          <w:bCs/>
          <w:w w:val="99"/>
          <w:sz w:val="18"/>
          <w:szCs w:val="18"/>
        </w:rPr>
        <w:t> </w:t>
      </w:r>
      <w:r>
        <w:rPr>
          <w:rFonts w:ascii="宋体" w:hAnsi="宋体" w:cs="宋体" w:eastAsia="宋体" w:hint="default"/>
          <w:spacing w:val="-4"/>
          <w:sz w:val="18"/>
          <w:szCs w:val="18"/>
        </w:rPr>
        <w:t>得益于第三方支付、金融信息等业务的多年技术积累和稳定的市场发展，联动优势平台积累了丰富的客户资源，包括</w:t>
      </w:r>
      <w:r>
        <w:rPr>
          <w:rFonts w:ascii="Times New Roman" w:hAnsi="Times New Roman" w:cs="Times New Roman" w:eastAsia="Times New Roman" w:hint="default"/>
          <w:spacing w:val="-4"/>
          <w:sz w:val="18"/>
          <w:szCs w:val="18"/>
        </w:rPr>
        <w:t>140</w:t>
      </w:r>
      <w:r>
        <w:rPr>
          <w:rFonts w:ascii="Times New Roman" w:hAnsi="Times New Roman" w:cs="Times New Roman" w:eastAsia="Times New Roman" w:hint="default"/>
          <w:sz w:val="18"/>
          <w:szCs w:val="18"/>
        </w:rPr>
      </w:r>
    </w:p>
    <w:p>
      <w:pPr>
        <w:pStyle w:val="BodyText"/>
        <w:spacing w:line="240" w:lineRule="auto" w:before="13"/>
        <w:ind w:right="0"/>
        <w:jc w:val="both"/>
      </w:pPr>
      <w:r>
        <w:rPr/>
        <w:t>多家传统金融机构以及</w:t>
      </w:r>
      <w:r>
        <w:rPr>
          <w:rFonts w:ascii="Times New Roman" w:hAnsi="Times New Roman" w:cs="Times New Roman" w:eastAsia="Times New Roman" w:hint="default"/>
        </w:rPr>
        <w:t>3,600</w:t>
      </w:r>
      <w:r>
        <w:rPr/>
        <w:t>多家大型合作企业、</w:t>
      </w:r>
      <w:r>
        <w:rPr>
          <w:rFonts w:ascii="Times New Roman" w:hAnsi="Times New Roman" w:cs="Times New Roman" w:eastAsia="Times New Roman" w:hint="default"/>
        </w:rPr>
        <w:t>100</w:t>
      </w:r>
      <w:r>
        <w:rPr/>
        <w:t>万家中小企业和</w:t>
      </w:r>
      <w:r>
        <w:rPr>
          <w:rFonts w:ascii="Times New Roman" w:hAnsi="Times New Roman" w:cs="Times New Roman" w:eastAsia="Times New Roman" w:hint="default"/>
        </w:rPr>
        <w:t>5.3</w:t>
      </w:r>
      <w:r>
        <w:rPr/>
        <w:t>亿个人用户。客户资源的不断储备为后续开展互联营</w:t>
      </w:r>
    </w:p>
    <w:p>
      <w:pPr>
        <w:spacing w:after="0" w:line="240"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left="513" w:right="0" w:hanging="361"/>
        <w:jc w:val="left"/>
      </w:pPr>
      <w:r>
        <w:rPr/>
        <w:t>销、场景金融等增值服务打下了坚实的基础。 </w:t>
      </w:r>
      <w:r>
        <w:rPr>
          <w:spacing w:val="-2"/>
        </w:rPr>
        <w:t>智能制造板块亦拥有以上汽大众、吉利、上汽通用五菱、长城汽车、五菱工业、上海大众、广汽、比亚迪为代表的乘用</w:t>
      </w:r>
    </w:p>
    <w:p>
      <w:pPr>
        <w:pStyle w:val="BodyText"/>
        <w:spacing w:line="316" w:lineRule="auto" w:before="17"/>
        <w:ind w:right="1130"/>
        <w:jc w:val="both"/>
      </w:pPr>
      <w:r>
        <w:rPr>
          <w:spacing w:val="-2"/>
        </w:rPr>
        <w:t>车生产领域的知名客户，和以福田戴姆勒、陕汽为代表的商用车领域的知名客户，公司经过多年的技术储备和对产品精益求</w:t>
      </w:r>
      <w:r>
        <w:rPr>
          <w:spacing w:val="-63"/>
        </w:rPr>
        <w:t> </w:t>
      </w:r>
      <w:r>
        <w:rPr>
          <w:spacing w:val="-63"/>
        </w:rPr>
      </w:r>
      <w:r>
        <w:rPr>
          <w:spacing w:val="-2"/>
        </w:rPr>
        <w:t>精的不懈追求，现已经成为上述客户在仪表横梁总成、制动踏板总成、离合踏板总成、车门总成、车架总成等汽车总成件的</w:t>
      </w:r>
      <w:r>
        <w:rPr>
          <w:spacing w:val="-67"/>
        </w:rPr>
        <w:t> </w:t>
      </w:r>
      <w:r>
        <w:rPr>
          <w:spacing w:val="-67"/>
        </w:rPr>
      </w:r>
      <w:r>
        <w:rPr/>
        <w:t>核心供应商。</w:t>
      </w:r>
    </w:p>
    <w:p>
      <w:pPr>
        <w:pStyle w:val="BodyText"/>
        <w:spacing w:line="340" w:lineRule="auto" w:before="19"/>
        <w:ind w:left="513" w:right="1083"/>
        <w:jc w:val="left"/>
      </w:pPr>
      <w:r>
        <w:rPr>
          <w:rFonts w:ascii="Times New Roman" w:hAnsi="Times New Roman" w:cs="Times New Roman" w:eastAsia="Times New Roman" w:hint="default"/>
          <w:b/>
          <w:bCs/>
        </w:rPr>
        <w:t>5</w:t>
      </w:r>
      <w:r>
        <w:rPr>
          <w:rFonts w:ascii="宋体" w:hAnsi="宋体" w:cs="宋体" w:eastAsia="宋体" w:hint="default"/>
          <w:b/>
          <w:bCs/>
        </w:rPr>
        <w:t>、丰富、灵活的平台服务模式</w:t>
      </w:r>
      <w:r>
        <w:rPr>
          <w:rFonts w:ascii="宋体" w:hAnsi="宋体" w:cs="宋体" w:eastAsia="宋体" w:hint="default"/>
          <w:b/>
          <w:bCs/>
          <w:w w:val="99"/>
        </w:rPr>
        <w:t> </w:t>
      </w:r>
      <w:r>
        <w:rPr/>
        <w:t>联动优势积极布局并深耕金融科技</w:t>
      </w:r>
      <w:r>
        <w:rPr>
          <w:rFonts w:ascii="Times New Roman" w:hAnsi="Times New Roman" w:cs="Times New Roman" w:eastAsia="Times New Roman" w:hint="default"/>
        </w:rPr>
        <w:t>Fintech</w:t>
      </w:r>
      <w:r>
        <w:rPr/>
        <w:t>、保险科技</w:t>
      </w:r>
      <w:r>
        <w:rPr>
          <w:rFonts w:ascii="Times New Roman" w:hAnsi="Times New Roman" w:cs="Times New Roman" w:eastAsia="Times New Roman" w:hint="default"/>
        </w:rPr>
        <w:t>Insurtech</w:t>
      </w:r>
      <w:r>
        <w:rPr/>
        <w:t>生态圈，充分挖掘并利用金融科技板块现有第三方支付、</w:t>
      </w:r>
    </w:p>
    <w:p>
      <w:pPr>
        <w:pStyle w:val="BodyText"/>
        <w:spacing w:line="215" w:lineRule="exact"/>
        <w:ind w:right="0"/>
        <w:jc w:val="both"/>
      </w:pPr>
      <w:r>
        <w:rPr/>
        <w:t>移动运营商合作、移动信息服务、智能风控等优势，通过人工智能、大数据管理、模型、数字科技等工具，努力为银行、保</w:t>
      </w:r>
    </w:p>
    <w:p>
      <w:pPr>
        <w:pStyle w:val="BodyText"/>
        <w:spacing w:line="312" w:lineRule="auto" w:before="76"/>
        <w:ind w:right="1131"/>
        <w:jc w:val="both"/>
      </w:pPr>
      <w:r>
        <w:rPr>
          <w:spacing w:val="-2"/>
        </w:rPr>
        <w:t>险、基金等金融持牌机构赋能，同时继续夯实区块链及云计算的技术积累，为科技赋能金融及传统产业奠定坚实基础。报告</w:t>
      </w:r>
      <w:r>
        <w:rPr>
          <w:spacing w:val="-65"/>
        </w:rPr>
        <w:t> </w:t>
      </w:r>
      <w:r>
        <w:rPr>
          <w:spacing w:val="-65"/>
        </w:rPr>
      </w:r>
      <w:r>
        <w:rPr>
          <w:spacing w:val="-2"/>
        </w:rPr>
        <w:t>期内，完善第三方支付业务布局，在国家防控金融风险、大力推进供给侧结构性改革的前提下，以合规运营为前提、以快速</w:t>
      </w:r>
      <w:r>
        <w:rPr>
          <w:spacing w:val="-67"/>
        </w:rPr>
        <w:t> </w:t>
      </w:r>
      <w:r>
        <w:rPr>
          <w:spacing w:val="-67"/>
        </w:rPr>
      </w:r>
      <w:r>
        <w:rPr>
          <w:spacing w:val="-1"/>
        </w:rPr>
        <w:t>发展补充公司服务供给侧场景为目的进一步优化第三方支付产业及客户结构，聚焦拓展交通出行、医美教育、</w:t>
      </w:r>
      <w:r>
        <w:rPr>
          <w:rFonts w:ascii="Times New Roman" w:hAnsi="Times New Roman" w:cs="Times New Roman" w:eastAsia="Times New Roman" w:hint="default"/>
          <w:spacing w:val="-1"/>
        </w:rPr>
        <w:t>B2B</w:t>
      </w:r>
      <w:r>
        <w:rPr>
          <w:spacing w:val="-1"/>
        </w:rPr>
        <w:t>产业互联</w:t>
      </w:r>
      <w:r>
        <w:rPr>
          <w:spacing w:val="-87"/>
        </w:rPr>
        <w:t> </w:t>
      </w:r>
      <w:r>
        <w:rPr>
          <w:spacing w:val="-87"/>
        </w:rPr>
      </w:r>
      <w:r>
        <w:rPr/>
        <w:t>网、金融行业、线下实体经济场景等行业做能力输出和科技赋能。</w:t>
      </w:r>
    </w:p>
    <w:p>
      <w:pPr>
        <w:pStyle w:val="BodyText"/>
        <w:spacing w:line="300" w:lineRule="auto" w:before="61"/>
        <w:ind w:left="513" w:right="0"/>
        <w:jc w:val="left"/>
      </w:pPr>
      <w:r>
        <w:rPr>
          <w:rFonts w:ascii="Times New Roman" w:hAnsi="Times New Roman" w:cs="Times New Roman" w:eastAsia="Times New Roman" w:hint="default"/>
          <w:b/>
          <w:bCs/>
        </w:rPr>
        <w:t>6</w:t>
      </w:r>
      <w:r>
        <w:rPr>
          <w:rFonts w:ascii="宋体" w:hAnsi="宋体" w:cs="宋体" w:eastAsia="宋体" w:hint="default"/>
          <w:b/>
          <w:bCs/>
        </w:rPr>
        <w:t>、卓越的管理团队优势</w:t>
      </w:r>
      <w:r>
        <w:rPr>
          <w:rFonts w:ascii="宋体" w:hAnsi="宋体" w:cs="宋体" w:eastAsia="宋体" w:hint="default"/>
          <w:b/>
          <w:bCs/>
          <w:w w:val="99"/>
        </w:rPr>
        <w:t> </w:t>
      </w:r>
      <w:r>
        <w:rPr>
          <w:spacing w:val="-2"/>
        </w:rPr>
        <w:t>多年来，公司持续建设内部人才培养机制，重视内部人才培养，逐渐呈现出良性的人才阶梯发展态势，最大限度满足企</w:t>
      </w:r>
    </w:p>
    <w:p>
      <w:pPr>
        <w:pStyle w:val="BodyText"/>
        <w:spacing w:line="316" w:lineRule="auto" w:before="31"/>
        <w:ind w:right="1043"/>
        <w:jc w:val="both"/>
      </w:pPr>
      <w:r>
        <w:rPr>
          <w:spacing w:val="-4"/>
        </w:rPr>
        <w:t>业自身发展的需求，同时，公司还不断从大型优秀企业引进高端管理人才，与内部人才呈现互为补充、协同发展的良好环境，</w:t>
      </w:r>
      <w:r>
        <w:rPr>
          <w:spacing w:val="-46"/>
        </w:rPr>
        <w:t> </w:t>
      </w:r>
      <w:r>
        <w:rPr>
          <w:spacing w:val="-46"/>
        </w:rPr>
      </w:r>
      <w:r>
        <w:rPr/>
        <w:t>更好地支撑企业快速发展对管理人才的要求。</w:t>
      </w:r>
    </w:p>
    <w:p>
      <w:pPr>
        <w:spacing w:after="0" w:line="316"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045" w:right="1133"/>
        <w:jc w:val="left"/>
        <w:rPr>
          <w:b w:val="0"/>
          <w:bCs w:val="0"/>
        </w:rPr>
      </w:pPr>
      <w:bookmarkStart w:name="第四节经营情况讨论与分析" w:id="23"/>
      <w:bookmarkEnd w:id="23"/>
      <w:r>
        <w:rPr>
          <w:b w:val="0"/>
          <w:bCs w:val="0"/>
        </w:rPr>
      </w:r>
      <w:bookmarkStart w:name="_bookmark3" w:id="24"/>
      <w:bookmarkEnd w:id="24"/>
      <w:r>
        <w:rPr>
          <w:b w:val="0"/>
          <w:bCs w:val="0"/>
        </w:rPr>
      </w:r>
      <w:r>
        <w:rPr/>
        <w:t>第四节经营情况讨论与分析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133"/>
        <w:jc w:val="left"/>
        <w:rPr>
          <w:b w:val="0"/>
          <w:bCs w:val="0"/>
        </w:rPr>
      </w:pPr>
      <w:bookmarkStart w:name="一、概述" w:id="25"/>
      <w:bookmarkEnd w:id="25"/>
      <w:r>
        <w:rPr>
          <w:b w:val="0"/>
          <w:bCs w:val="0"/>
        </w:rPr>
      </w: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513" w:right="1123"/>
        <w:jc w:val="left"/>
      </w:pPr>
      <w:r>
        <w:rPr>
          <w:rFonts w:ascii="宋体" w:hAnsi="宋体" w:cs="宋体" w:eastAsia="宋体" w:hint="default"/>
          <w:b/>
          <w:bCs/>
        </w:rPr>
        <w:t>（一）报告期内经营成果</w:t>
      </w:r>
      <w:r>
        <w:rPr>
          <w:rFonts w:ascii="宋体" w:hAnsi="宋体" w:cs="宋体" w:eastAsia="宋体" w:hint="default"/>
          <w:b/>
          <w:bCs/>
          <w:w w:val="99"/>
        </w:rPr>
        <w:t> </w:t>
      </w:r>
      <w:r>
        <w:rPr/>
        <w:t>受国内经济下行、行业政策变化以及公司自身业务调整等因素影响，公司</w:t>
      </w:r>
      <w:r>
        <w:rPr>
          <w:rFonts w:ascii="Times New Roman" w:hAnsi="Times New Roman" w:cs="Times New Roman" w:eastAsia="Times New Roman" w:hint="default"/>
        </w:rPr>
        <w:t>2019</w:t>
      </w:r>
      <w:r>
        <w:rPr/>
        <w:t>年实现营业收入</w:t>
      </w:r>
      <w:r>
        <w:rPr>
          <w:rFonts w:ascii="Times New Roman" w:hAnsi="Times New Roman" w:cs="Times New Roman" w:eastAsia="Times New Roman" w:hint="default"/>
        </w:rPr>
        <w:t>530,283.87</w:t>
      </w:r>
      <w:r>
        <w:rPr/>
        <w:t>万元，较同期</w:t>
      </w:r>
    </w:p>
    <w:p>
      <w:pPr>
        <w:pStyle w:val="BodyText"/>
        <w:spacing w:line="300" w:lineRule="auto"/>
        <w:ind w:right="1131"/>
        <w:jc w:val="left"/>
      </w:pPr>
      <w:r>
        <w:rPr>
          <w:spacing w:val="-1"/>
        </w:rPr>
        <w:t>增长</w:t>
      </w:r>
      <w:r>
        <w:rPr>
          <w:rFonts w:ascii="Times New Roman" w:hAnsi="Times New Roman" w:cs="Times New Roman" w:eastAsia="Times New Roman" w:hint="default"/>
          <w:spacing w:val="-1"/>
        </w:rPr>
        <w:t>5.82%</w:t>
      </w:r>
      <w:r>
        <w:rPr>
          <w:spacing w:val="-1"/>
        </w:rPr>
        <w:t>，归属于上市公司股东的净利润</w:t>
      </w:r>
      <w:r>
        <w:rPr>
          <w:rFonts w:ascii="Times New Roman" w:hAnsi="Times New Roman" w:cs="Times New Roman" w:eastAsia="Times New Roman" w:hint="default"/>
          <w:spacing w:val="-1"/>
        </w:rPr>
        <w:t>-245,586.72</w:t>
      </w:r>
      <w:r>
        <w:rPr>
          <w:spacing w:val="-1"/>
        </w:rPr>
        <w:t>万元，较同期下降</w:t>
      </w:r>
      <w:r>
        <w:rPr>
          <w:rFonts w:ascii="Times New Roman" w:hAnsi="Times New Roman" w:cs="Times New Roman" w:eastAsia="Times New Roman" w:hint="default"/>
          <w:spacing w:val="-1"/>
        </w:rPr>
        <w:t>1,943.20%</w:t>
      </w:r>
      <w:r>
        <w:rPr>
          <w:spacing w:val="-1"/>
        </w:rPr>
        <w:t>，不考虑商誉减值因素，公司实现归属于</w:t>
      </w:r>
      <w:r>
        <w:rPr>
          <w:spacing w:val="-69"/>
        </w:rPr>
        <w:t> </w:t>
      </w:r>
      <w:r>
        <w:rPr>
          <w:spacing w:val="-69"/>
        </w:rPr>
      </w:r>
      <w:r>
        <w:rPr/>
        <w:t>上市公司股东的净利润</w:t>
      </w:r>
      <w:r>
        <w:rPr>
          <w:rFonts w:ascii="Times New Roman" w:hAnsi="Times New Roman" w:cs="Times New Roman" w:eastAsia="Times New Roman" w:hint="default"/>
        </w:rPr>
        <w:t>-38,647.72</w:t>
      </w:r>
      <w:r>
        <w:rPr/>
        <w:t>万元，较同期下降</w:t>
      </w:r>
      <w:r>
        <w:rPr>
          <w:rFonts w:ascii="Times New Roman" w:hAnsi="Times New Roman" w:cs="Times New Roman" w:eastAsia="Times New Roman" w:hint="default"/>
        </w:rPr>
        <w:t>191.32%</w:t>
      </w:r>
      <w:r>
        <w:rPr/>
        <w:t>。</w:t>
      </w:r>
    </w:p>
    <w:p>
      <w:pPr>
        <w:pStyle w:val="Heading4"/>
        <w:spacing w:line="240" w:lineRule="auto" w:before="13"/>
        <w:ind w:right="1133"/>
        <w:jc w:val="left"/>
        <w:rPr>
          <w:b w:val="0"/>
          <w:bCs w:val="0"/>
        </w:rPr>
      </w:pPr>
      <w:r>
        <w:rPr/>
        <w:t>（二）报告期内主要工作及经营分析</w:t>
      </w:r>
      <w:r>
        <w:rPr>
          <w:b w:val="0"/>
          <w:bCs w:val="0"/>
        </w:rPr>
      </w:r>
    </w:p>
    <w:p>
      <w:pPr>
        <w:pStyle w:val="BodyText"/>
        <w:spacing w:line="300" w:lineRule="auto" w:before="76"/>
        <w:ind w:left="513" w:right="0"/>
        <w:jc w:val="left"/>
      </w:pPr>
      <w:r>
        <w:rPr>
          <w:rFonts w:ascii="Times New Roman" w:hAnsi="Times New Roman" w:cs="Times New Roman" w:eastAsia="Times New Roman" w:hint="default"/>
          <w:b/>
          <w:bCs/>
        </w:rPr>
        <w:t>1</w:t>
      </w:r>
      <w:r>
        <w:rPr>
          <w:rFonts w:ascii="宋体" w:hAnsi="宋体" w:cs="宋体" w:eastAsia="宋体" w:hint="default"/>
          <w:b/>
          <w:bCs/>
        </w:rPr>
        <w:t>、金融科技板块</w:t>
      </w:r>
      <w:r>
        <w:rPr>
          <w:rFonts w:ascii="宋体" w:hAnsi="宋体" w:cs="宋体" w:eastAsia="宋体" w:hint="default"/>
          <w:b/>
          <w:bCs/>
          <w:w w:val="99"/>
        </w:rPr>
        <w:t> </w:t>
      </w:r>
      <w:r>
        <w:rPr>
          <w:spacing w:val="-2"/>
        </w:rPr>
        <w:t>报告期内，受外部经济环境低迷、行业政策调整、行业竞争加剧等因素影响，公司金融科技板块继续贯彻产业转型升级</w:t>
      </w:r>
    </w:p>
    <w:p>
      <w:pPr>
        <w:pStyle w:val="BodyText"/>
        <w:spacing w:line="314" w:lineRule="auto" w:before="31"/>
        <w:ind w:right="1051"/>
        <w:jc w:val="left"/>
      </w:pPr>
      <w:r>
        <w:rPr>
          <w:spacing w:val="-2"/>
        </w:rPr>
        <w:t>战略部署，积极推进业务转型升级、产品创新赋能，于报告期内加大团队建设、研发投入、业务拓展力度，同期相比业务成</w:t>
      </w:r>
      <w:r>
        <w:rPr>
          <w:spacing w:val="-68"/>
        </w:rPr>
        <w:t> </w:t>
      </w:r>
      <w:r>
        <w:rPr>
          <w:spacing w:val="-68"/>
        </w:rPr>
      </w:r>
      <w:r>
        <w:rPr/>
        <w:t>本明显上升。鉴于公司金融科技板块业务的投入未能及时产出收益，且部分创新金融增值服务业务在报告期出现较大损失， </w:t>
      </w:r>
      <w:r>
        <w:rPr>
          <w:spacing w:val="-2"/>
        </w:rPr>
        <w:t>公司报告期中适时对金融科技各业务线重新梳理、整顿及优化，及时关停重复或收益不佳的业务，并对相关业务团队进行调</w:t>
      </w:r>
      <w:r>
        <w:rPr>
          <w:spacing w:val="-63"/>
        </w:rPr>
        <w:t> </w:t>
      </w:r>
      <w:r>
        <w:rPr>
          <w:spacing w:val="-63"/>
        </w:rPr>
      </w:r>
      <w:r>
        <w:rPr>
          <w:spacing w:val="-2"/>
        </w:rPr>
        <w:t>整，这对金融科技板块报告期利润影响较大。报告期内，公司金融科技板块实现营业收入</w:t>
      </w:r>
      <w:r>
        <w:rPr>
          <w:rFonts w:ascii="Times New Roman" w:hAnsi="Times New Roman" w:cs="Times New Roman" w:eastAsia="Times New Roman" w:hint="default"/>
          <w:spacing w:val="-2"/>
        </w:rPr>
        <w:t>95,537.05</w:t>
      </w:r>
      <w:r>
        <w:rPr>
          <w:spacing w:val="-2"/>
        </w:rPr>
        <w:t>万元，实现归属于上市公</w:t>
      </w:r>
      <w:r>
        <w:rPr>
          <w:spacing w:val="-55"/>
        </w:rPr>
        <w:t> </w:t>
      </w:r>
      <w:r>
        <w:rPr>
          <w:spacing w:val="-55"/>
        </w:rPr>
      </w:r>
      <w:r>
        <w:rPr/>
        <w:t>司股东的净利润</w:t>
      </w:r>
      <w:r>
        <w:rPr>
          <w:rFonts w:ascii="Times New Roman" w:hAnsi="Times New Roman" w:cs="Times New Roman" w:eastAsia="Times New Roman" w:hint="default"/>
        </w:rPr>
        <w:t>-40,590.10</w:t>
      </w:r>
      <w:r>
        <w:rPr/>
        <w:t>万元。</w:t>
      </w:r>
    </w:p>
    <w:p>
      <w:pPr>
        <w:pStyle w:val="BodyText"/>
        <w:spacing w:line="300" w:lineRule="auto" w:before="1"/>
        <w:ind w:left="513" w:right="1053"/>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）第三方支付服务</w:t>
      </w:r>
      <w:r>
        <w:rPr>
          <w:rFonts w:ascii="宋体" w:hAnsi="宋体" w:cs="宋体" w:eastAsia="宋体" w:hint="default"/>
          <w:b/>
          <w:bCs/>
          <w:w w:val="99"/>
        </w:rPr>
        <w:t> </w:t>
      </w:r>
      <w:r>
        <w:rPr/>
        <w:t>公司第三方支付线上业务受行业政策影响明显，</w:t>
      </w:r>
      <w:r>
        <w:rPr>
          <w:rFonts w:ascii="Times New Roman" w:hAnsi="Times New Roman" w:cs="Times New Roman" w:eastAsia="Times New Roman" w:hint="default"/>
        </w:rPr>
        <w:t>“</w:t>
      </w:r>
      <w:r>
        <w:rPr/>
        <w:t>断直连</w:t>
      </w:r>
      <w:r>
        <w:rPr>
          <w:rFonts w:ascii="Times New Roman" w:hAnsi="Times New Roman" w:cs="Times New Roman" w:eastAsia="Times New Roman" w:hint="default"/>
        </w:rPr>
        <w:t>”</w:t>
      </w:r>
      <w:r>
        <w:rPr/>
        <w:t>政策持续削弱了公司第三方支付业务对于通道侧的议价能力，</w:t>
      </w:r>
    </w:p>
    <w:p>
      <w:pPr>
        <w:pStyle w:val="BodyText"/>
        <w:spacing w:line="314" w:lineRule="auto" w:before="13"/>
        <w:ind w:right="1034"/>
        <w:jc w:val="left"/>
      </w:pPr>
      <w:r>
        <w:rPr>
          <w:spacing w:val="-2"/>
        </w:rPr>
        <w:t>导致公司第三方支付线上业务营业成本在报告期显著增加，毛利率下降，同时随着监管政策的逐步加强，为确保公司业务合</w:t>
      </w:r>
      <w:r>
        <w:rPr>
          <w:spacing w:val="-63"/>
        </w:rPr>
        <w:t> </w:t>
      </w:r>
      <w:r>
        <w:rPr>
          <w:spacing w:val="-63"/>
        </w:rPr>
      </w:r>
      <w:r>
        <w:rPr>
          <w:spacing w:val="-2"/>
        </w:rPr>
        <w:t>法合规开展，公司不断优化客户结构，并淘汰了高风险客户和低附加值客户，致使本报告期线上支付业务收入大幅下降。为</w:t>
      </w:r>
      <w:r>
        <w:rPr>
          <w:spacing w:val="-64"/>
        </w:rPr>
        <w:t> </w:t>
      </w:r>
      <w:r>
        <w:rPr>
          <w:spacing w:val="-64"/>
        </w:rPr>
      </w:r>
      <w:r>
        <w:rPr/>
        <w:t>此公司对第三方支付线上业务重新战略定位，未来主打</w:t>
      </w:r>
      <w:r>
        <w:rPr>
          <w:rFonts w:ascii="Times New Roman" w:hAnsi="Times New Roman" w:cs="Times New Roman" w:eastAsia="Times New Roman" w:hint="default"/>
        </w:rPr>
        <w:t>B</w:t>
      </w:r>
      <w:r>
        <w:rPr/>
        <w:t>端市场，聚焦细分行业，提供深度定制解决方案，打造差异化经营 </w:t>
      </w:r>
      <w:r>
        <w:rPr>
          <w:spacing w:val="-2"/>
        </w:rPr>
        <w:t>优势；为及时弥补第三方支付线上业务下滑对公司造成的损失，公司报告期内重点布局线下支付业务，大力开展线下收单业</w:t>
      </w:r>
      <w:r>
        <w:rPr>
          <w:spacing w:val="-63"/>
        </w:rPr>
        <w:t> </w:t>
      </w:r>
      <w:r>
        <w:rPr>
          <w:spacing w:val="-63"/>
        </w:rPr>
      </w:r>
      <w:r>
        <w:rPr>
          <w:spacing w:val="-2"/>
        </w:rPr>
        <w:t>务规模。但受行业竞争加剧及团队经验不足等因素影响，公司第三方支付线下业务交易规模未达预期，公司投入大量成本费</w:t>
      </w:r>
      <w:r>
        <w:rPr>
          <w:spacing w:val="-63"/>
        </w:rPr>
        <w:t> </w:t>
      </w:r>
      <w:r>
        <w:rPr>
          <w:spacing w:val="-63"/>
        </w:rPr>
      </w:r>
      <w:r>
        <w:rPr>
          <w:spacing w:val="-2"/>
        </w:rPr>
        <w:t>用未获得相应产出，鉴于此，公司及时调整市场营销政策，进一步优化客户结构，同时在充分发挥平台优势的基础上，加大</w:t>
      </w:r>
      <w:r>
        <w:rPr>
          <w:spacing w:val="-66"/>
        </w:rPr>
        <w:t> </w:t>
      </w:r>
      <w:r>
        <w:rPr>
          <w:spacing w:val="-66"/>
        </w:rPr>
      </w:r>
      <w:r>
        <w:rPr/>
        <w:t>业务创新和产品创新力度，不断优化产品和运营体验，全方位服务客户，以期稳健实现线下支付业务突破发展；报告期内， 除稳步经营国内主营产品外，还成功申请了香港</w:t>
      </w:r>
      <w:r>
        <w:rPr>
          <w:rFonts w:ascii="Times New Roman" w:hAnsi="Times New Roman" w:cs="Times New Roman" w:eastAsia="Times New Roman" w:hint="default"/>
        </w:rPr>
        <w:t>MSO</w:t>
      </w:r>
      <w:r>
        <w:rPr/>
        <w:t>牌照，公司跨境支付继续保持良好发展，交易规模实现</w:t>
      </w:r>
      <w:r>
        <w:rPr>
          <w:rFonts w:ascii="Times New Roman" w:hAnsi="Times New Roman" w:cs="Times New Roman" w:eastAsia="Times New Roman" w:hint="default"/>
        </w:rPr>
        <w:t>996,200</w:t>
      </w:r>
      <w:r>
        <w:rPr/>
        <w:t>万元， 较上年同期增长</w:t>
      </w:r>
      <w:r>
        <w:rPr>
          <w:rFonts w:ascii="Times New Roman" w:hAnsi="Times New Roman" w:cs="Times New Roman" w:eastAsia="Times New Roman" w:hint="default"/>
        </w:rPr>
        <w:t>23%</w:t>
      </w:r>
      <w:r>
        <w:rPr/>
        <w:t>。报告期内，公司第三方支付业务整体收入为</w:t>
      </w:r>
      <w:r>
        <w:rPr>
          <w:rFonts w:ascii="Times New Roman" w:hAnsi="Times New Roman" w:cs="Times New Roman" w:eastAsia="Times New Roman" w:hint="default"/>
        </w:rPr>
        <w:t>37,814.84</w:t>
      </w:r>
      <w:r>
        <w:rPr/>
        <w:t>万元，较上年同期下降</w:t>
      </w:r>
      <w:r>
        <w:rPr>
          <w:rFonts w:ascii="Times New Roman" w:hAnsi="Times New Roman" w:cs="Times New Roman" w:eastAsia="Times New Roman" w:hint="default"/>
        </w:rPr>
        <w:t>30.88%</w:t>
      </w:r>
      <w:r>
        <w:rPr/>
        <w:t>。</w:t>
      </w:r>
    </w:p>
    <w:p>
      <w:pPr>
        <w:pStyle w:val="BodyText"/>
        <w:spacing w:line="300" w:lineRule="auto" w:before="1"/>
        <w:ind w:right="0" w:firstLine="360"/>
        <w:jc w:val="left"/>
      </w:pPr>
      <w:r>
        <w:rPr>
          <w:spacing w:val="-3"/>
        </w:rPr>
        <w:t>公司第三方支付业务在合规经营为前提下，聚焦</w:t>
      </w:r>
      <w:r>
        <w:rPr>
          <w:rFonts w:ascii="Times New Roman" w:hAnsi="Times New Roman" w:cs="Times New Roman" w:eastAsia="Times New Roman" w:hint="default"/>
          <w:spacing w:val="-3"/>
        </w:rPr>
        <w:t>“</w:t>
      </w:r>
      <w:r>
        <w:rPr>
          <w:spacing w:val="-3"/>
        </w:rPr>
        <w:t>交通出行、</w:t>
      </w:r>
      <w:r>
        <w:rPr>
          <w:rFonts w:ascii="Times New Roman" w:hAnsi="Times New Roman" w:cs="Times New Roman" w:eastAsia="Times New Roman" w:hint="default"/>
          <w:spacing w:val="-3"/>
        </w:rPr>
        <w:t>B2B</w:t>
      </w:r>
      <w:r>
        <w:rPr>
          <w:spacing w:val="-3"/>
        </w:rPr>
        <w:t>产业互联网、金融业、线下实体经济场景</w:t>
      </w:r>
      <w:r>
        <w:rPr>
          <w:rFonts w:ascii="Times New Roman" w:hAnsi="Times New Roman" w:cs="Times New Roman" w:eastAsia="Times New Roman" w:hint="default"/>
          <w:spacing w:val="-3"/>
        </w:rPr>
        <w:t>”</w:t>
      </w:r>
      <w:r>
        <w:rPr>
          <w:spacing w:val="-3"/>
        </w:rPr>
        <w:t>等领域业务，</w:t>
      </w:r>
      <w:r>
        <w:rPr/>
        <w:t> 利用资源优势，主动进行业务转型升级，加大业务创新和产品创新力度，为客户提供</w:t>
      </w:r>
      <w:r>
        <w:rPr>
          <w:rFonts w:ascii="Times New Roman" w:hAnsi="Times New Roman" w:cs="Times New Roman" w:eastAsia="Times New Roman" w:hint="default"/>
        </w:rPr>
        <w:t>“</w:t>
      </w:r>
      <w:r>
        <w:rPr/>
        <w:t>支付</w:t>
      </w:r>
      <w:r>
        <w:rPr>
          <w:rFonts w:ascii="Times New Roman" w:hAnsi="Times New Roman" w:cs="Times New Roman" w:eastAsia="Times New Roman" w:hint="default"/>
        </w:rPr>
        <w:t>+”</w:t>
      </w:r>
      <w:r>
        <w:rPr/>
        <w:t>的定制化综合解决方案。</w:t>
      </w:r>
    </w:p>
    <w:p>
      <w:pPr>
        <w:pStyle w:val="BodyText"/>
        <w:spacing w:line="300" w:lineRule="auto" w:before="13"/>
        <w:ind w:left="513" w:right="0"/>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）数字科技服务</w:t>
      </w:r>
      <w:r>
        <w:rPr>
          <w:rFonts w:ascii="宋体" w:hAnsi="宋体" w:cs="宋体" w:eastAsia="宋体" w:hint="default"/>
          <w:b/>
          <w:bCs/>
          <w:w w:val="99"/>
        </w:rPr>
        <w:t> </w:t>
      </w:r>
      <w:r>
        <w:rPr>
          <w:spacing w:val="-2"/>
        </w:rPr>
        <w:t>报告期内，公司数字科技业务继续执行以科技创新推动业务创新的经营方针，持续构建核心竞争力，一方面加大对多边</w:t>
      </w:r>
    </w:p>
    <w:p>
      <w:pPr>
        <w:pStyle w:val="BodyText"/>
        <w:spacing w:line="316" w:lineRule="auto" w:before="31"/>
        <w:ind w:right="0"/>
        <w:jc w:val="left"/>
      </w:pPr>
      <w:r>
        <w:rPr>
          <w:spacing w:val="-2"/>
        </w:rPr>
        <w:t>计算、人工智能、智能建模等业务相关技术的研发储备，另一方面根据市场及客户需求，进一步聚焦打磨智能风控、智慧营</w:t>
      </w:r>
      <w:r>
        <w:rPr>
          <w:spacing w:val="-67"/>
        </w:rPr>
        <w:t> </w:t>
      </w:r>
      <w:r>
        <w:rPr>
          <w:spacing w:val="-67"/>
        </w:rPr>
      </w:r>
      <w:r>
        <w:rPr>
          <w:spacing w:val="-2"/>
        </w:rPr>
        <w:t>销等产品功能和服务能力，为客户提供一站式综合金融科技服务解决方案，帮助持牌金融机构建立用户全生命周期的主动管</w:t>
      </w:r>
      <w:r>
        <w:rPr>
          <w:spacing w:val="-64"/>
        </w:rPr>
        <w:t> </w:t>
      </w:r>
      <w:r>
        <w:rPr>
          <w:spacing w:val="-64"/>
        </w:rPr>
      </w:r>
      <w:r>
        <w:rPr>
          <w:spacing w:val="-2"/>
        </w:rPr>
        <w:t>理系统，帮助合作伙伴提升风险管控能力，降低获客成本，降低业务风险，提高业务效能。同时，数字科技业务根据市场及</w:t>
      </w:r>
      <w:r>
        <w:rPr>
          <w:spacing w:val="-68"/>
        </w:rPr>
        <w:t> </w:t>
      </w:r>
      <w:r>
        <w:rPr>
          <w:spacing w:val="-68"/>
        </w:rPr>
      </w:r>
      <w:r>
        <w:rPr>
          <w:spacing w:val="-2"/>
        </w:rPr>
        <w:t>产品需要进行团队调整补充，不断增强产品和市场销售能力。但报告期内，受客户需求减少、市场竞争加剧、新增客户验证</w:t>
      </w:r>
      <w:r>
        <w:rPr>
          <w:spacing w:val="-67"/>
        </w:rPr>
        <w:t> </w:t>
      </w:r>
      <w:r>
        <w:rPr>
          <w:spacing w:val="-67"/>
        </w:rPr>
      </w:r>
      <w:r>
        <w:rPr/>
        <w:t>周期长等因素影响，公司数字科技业务下降较大。</w:t>
      </w:r>
      <w:r>
        <w:rPr>
          <w:spacing w:val="-17"/>
        </w:rPr>
        <w:t> </w:t>
      </w:r>
      <w:r>
        <w:rPr/>
        <w:t>数字科技业务是公司未来重点发展的业务之一，为加快数字科技业务发</w:t>
      </w:r>
      <w:r>
        <w:rPr/>
        <w:t> </w:t>
      </w:r>
      <w:r>
        <w:rPr>
          <w:spacing w:val="-2"/>
        </w:rPr>
        <w:t>展，公司于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月成立了联动优势（北京）数字科技有限公司，公司将继续加大产品化投入和市场拓展力度，深挖存量</w:t>
      </w:r>
      <w:r>
        <w:rPr>
          <w:spacing w:val="-64"/>
        </w:rPr>
        <w:t> </w:t>
      </w:r>
      <w:r>
        <w:rPr>
          <w:spacing w:val="-64"/>
        </w:rPr>
      </w:r>
      <w:r>
        <w:rPr>
          <w:spacing w:val="-2"/>
        </w:rPr>
        <w:t>合作伙伴新产品合作机会，通过整合的解决方案锁定用户需求，确保数字科技业务的持续稳定发展。除金融领域，后续也将</w:t>
      </w:r>
      <w:r>
        <w:rPr>
          <w:spacing w:val="-64"/>
        </w:rPr>
        <w:t> </w:t>
      </w:r>
      <w:r>
        <w:rPr>
          <w:spacing w:val="-64"/>
        </w:rPr>
      </w:r>
      <w:r>
        <w:rPr/>
        <w:t>加大政府监管部门及大型行业客户金融科技服务需求，扩大服务领域和范围。报告期内，公司数字科技业务实现营业收入</w:t>
      </w:r>
      <w:r>
        <w:rPr/>
        <w:t> </w:t>
      </w:r>
      <w:r>
        <w:rPr>
          <w:rFonts w:ascii="Times New Roman" w:hAnsi="Times New Roman" w:cs="Times New Roman" w:eastAsia="Times New Roman" w:hint="default"/>
        </w:rPr>
        <w:t>9,685.60</w:t>
      </w:r>
      <w:r>
        <w:rPr/>
        <w:t>万元，较上年同期下降</w:t>
      </w:r>
      <w:r>
        <w:rPr>
          <w:rFonts w:ascii="Times New Roman" w:hAnsi="Times New Roman" w:cs="Times New Roman" w:eastAsia="Times New Roman" w:hint="default"/>
        </w:rPr>
        <w:t>33.68%</w:t>
      </w:r>
      <w:r>
        <w:rPr/>
        <w:t>，毛利率为</w:t>
      </w:r>
      <w:r>
        <w:rPr>
          <w:rFonts w:ascii="Times New Roman" w:hAnsi="Times New Roman" w:cs="Times New Roman" w:eastAsia="Times New Roman" w:hint="default"/>
        </w:rPr>
        <w:t>73.78%</w:t>
      </w:r>
      <w:r>
        <w:rPr/>
        <w:t>，较上年同期下降</w:t>
      </w:r>
      <w:r>
        <w:rPr>
          <w:rFonts w:ascii="Times New Roman" w:hAnsi="Times New Roman" w:cs="Times New Roman" w:eastAsia="Times New Roman" w:hint="default"/>
        </w:rPr>
        <w:t>5.10%</w:t>
      </w:r>
      <w:r>
        <w:rPr/>
        <w:t>。</w:t>
      </w:r>
    </w:p>
    <w:p>
      <w:pPr>
        <w:pStyle w:val="BodyText"/>
        <w:spacing w:line="300" w:lineRule="auto"/>
        <w:ind w:right="1124" w:firstLine="360"/>
        <w:jc w:val="left"/>
      </w:pPr>
      <w:r>
        <w:rPr/>
        <w:t>同时，公司在区块链研究与应用方面有了新的进展。自主研发的区块链底层框架优链系统（英文名：</w:t>
      </w:r>
      <w:r>
        <w:rPr>
          <w:rFonts w:ascii="Times New Roman" w:hAnsi="Times New Roman" w:cs="Times New Roman" w:eastAsia="Times New Roman" w:hint="default"/>
        </w:rPr>
        <w:t>UChains</w:t>
      </w:r>
      <w:r>
        <w:rPr/>
        <w:t>）继</w:t>
      </w:r>
      <w:r>
        <w:rPr>
          <w:rFonts w:ascii="Times New Roman" w:hAnsi="Times New Roman" w:cs="Times New Roman" w:eastAsia="Times New Roman" w:hint="default"/>
        </w:rPr>
        <w:t>2018 </w:t>
      </w:r>
      <w:r>
        <w:rPr/>
        <w:t>年通过中国信息通信研究院可信区块链标准测试后，于报告期内中标了中国信息通信研究院金融科技服务平台子项目</w:t>
      </w:r>
      <w:r>
        <w:rPr>
          <w:rFonts w:ascii="Times New Roman" w:hAnsi="Times New Roman" w:cs="Times New Roman" w:eastAsia="Times New Roman" w:hint="default"/>
        </w:rPr>
        <w:t>“</w:t>
      </w:r>
      <w:r>
        <w:rPr/>
        <w:t>区块</w:t>
      </w:r>
    </w:p>
    <w:p>
      <w:pPr>
        <w:spacing w:after="0" w:line="30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110"/>
        <w:jc w:val="both"/>
      </w:pPr>
      <w:r>
        <w:rPr>
          <w:spacing w:val="-2"/>
        </w:rPr>
        <w:t>链实时监控平台</w:t>
      </w:r>
      <w:r>
        <w:rPr>
          <w:rFonts w:ascii="Times New Roman" w:hAnsi="Times New Roman" w:cs="Times New Roman" w:eastAsia="Times New Roman" w:hint="default"/>
          <w:spacing w:val="-2"/>
        </w:rPr>
        <w:t>”</w:t>
      </w:r>
      <w:r>
        <w:rPr>
          <w:spacing w:val="-2"/>
        </w:rPr>
        <w:t>以及广州商品清算中心股份有限公司非现场监管区块链存证系统；基于优链区块链底层平台研发的</w:t>
      </w:r>
      <w:r>
        <w:rPr>
          <w:rFonts w:ascii="Times New Roman" w:hAnsi="Times New Roman" w:cs="Times New Roman" w:eastAsia="Times New Roman" w:hint="default"/>
          <w:spacing w:val="-2"/>
        </w:rPr>
        <w:t>“</w:t>
      </w:r>
      <w:r>
        <w:rPr>
          <w:spacing w:val="-2"/>
        </w:rPr>
        <w:t>海联金</w:t>
      </w:r>
      <w:r>
        <w:rPr>
          <w:spacing w:val="-44"/>
        </w:rPr>
        <w:t> </w:t>
      </w:r>
      <w:r>
        <w:rPr>
          <w:spacing w:val="17"/>
        </w:rPr>
        <w:t>汇供应链金融服务系统</w:t>
      </w:r>
      <w:r>
        <w:rPr>
          <w:rFonts w:ascii="Times New Roman" w:hAnsi="Times New Roman" w:cs="Times New Roman" w:eastAsia="Times New Roman" w:hint="default"/>
          <w:spacing w:val="17"/>
        </w:rPr>
        <w:t>”</w:t>
      </w:r>
      <w:r>
        <w:rPr>
          <w:rFonts w:ascii="Times New Roman" w:hAnsi="Times New Roman" w:cs="Times New Roman" w:eastAsia="Times New Roman" w:hint="default"/>
          <w:spacing w:val="-20"/>
        </w:rPr>
        <w:t> </w:t>
      </w:r>
      <w:r>
        <w:rPr>
          <w:spacing w:val="18"/>
        </w:rPr>
        <w:t>成为第一批在国家互联网信息办公室完成备案的区块链信息服务，备案编号：京网信备</w:t>
      </w:r>
      <w:r>
        <w:rPr>
          <w:spacing w:val="-76"/>
        </w:rPr>
        <w:t> </w:t>
      </w:r>
      <w:r>
        <w:rPr>
          <w:rFonts w:ascii="Times New Roman" w:hAnsi="Times New Roman" w:cs="Times New Roman" w:eastAsia="Times New Roman" w:hint="default"/>
        </w:rPr>
        <w:t>11010219195169690017</w:t>
      </w:r>
      <w:r>
        <w:rPr/>
        <w:t>号；截至报告期末，公司有</w:t>
      </w:r>
      <w:r>
        <w:rPr>
          <w:rFonts w:ascii="Times New Roman" w:hAnsi="Times New Roman" w:cs="Times New Roman" w:eastAsia="Times New Roman" w:hint="default"/>
        </w:rPr>
        <w:t>41</w:t>
      </w:r>
      <w:r>
        <w:rPr/>
        <w:t>项区块链专利申请获得受理，其中获得授权</w:t>
      </w:r>
      <w:r>
        <w:rPr>
          <w:rFonts w:ascii="Times New Roman" w:hAnsi="Times New Roman" w:cs="Times New Roman" w:eastAsia="Times New Roman" w:hint="default"/>
        </w:rPr>
        <w:t>1</w:t>
      </w:r>
      <w:r>
        <w:rPr/>
        <w:t>项；同时与多家高校合作 共建区块链合作实验室；还承担了中国支付清算协会、中国互联网金融协会、中国信通院等多项课题研究。</w:t>
      </w:r>
    </w:p>
    <w:p>
      <w:pPr>
        <w:pStyle w:val="BodyText"/>
        <w:spacing w:line="300" w:lineRule="auto" w:before="31"/>
        <w:ind w:left="513" w:right="1133"/>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）移动信息服务</w:t>
      </w:r>
      <w:r>
        <w:rPr>
          <w:rFonts w:ascii="宋体" w:hAnsi="宋体" w:cs="宋体" w:eastAsia="宋体" w:hint="default"/>
          <w:b/>
          <w:bCs/>
          <w:w w:val="99"/>
        </w:rPr>
        <w:t> </w:t>
      </w:r>
      <w:r>
        <w:rPr/>
        <w:t>报告期内，结合公司整体战略，移动信息服务业务在力保存量</w:t>
      </w:r>
      <w:r>
        <w:rPr>
          <w:rFonts w:ascii="Times New Roman" w:hAnsi="Times New Roman" w:cs="Times New Roman" w:eastAsia="Times New Roman" w:hint="default"/>
        </w:rPr>
        <w:t>MAS</w:t>
      </w:r>
      <w:r>
        <w:rPr/>
        <w:t>业务的前提下，加大通道储备，降低综合短信通道</w:t>
      </w:r>
    </w:p>
    <w:p>
      <w:pPr>
        <w:pStyle w:val="BodyText"/>
        <w:spacing w:line="307" w:lineRule="auto" w:before="13"/>
        <w:ind w:right="1128"/>
        <w:jc w:val="both"/>
      </w:pPr>
      <w:r>
        <w:rPr/>
        <w:t>成本，扩大客户拓展范围，以金融机构、类金融机构为拓展目标，加快技术升级与产品研发效率，参与了中国移动</w:t>
      </w:r>
      <w:r>
        <w:rPr>
          <w:rFonts w:ascii="Times New Roman" w:hAnsi="Times New Roman" w:cs="Times New Roman" w:eastAsia="Times New Roman" w:hint="default"/>
        </w:rPr>
        <w:t>5G</w:t>
      </w:r>
      <w:r>
        <w:rPr/>
        <w:t>消息</w:t>
      </w:r>
      <w:r>
        <w:rPr>
          <w:spacing w:val="-34"/>
        </w:rPr>
        <w:t> </w:t>
      </w:r>
      <w:r>
        <w:rPr>
          <w:spacing w:val="-2"/>
        </w:rPr>
        <w:t>创新开放实验室，加大与产业各环节融合合作，积极拓展自主联信通业务，通过联信通智能沟通云平台满足客户的多样化需</w:t>
      </w:r>
      <w:r>
        <w:rPr>
          <w:spacing w:val="-62"/>
        </w:rPr>
        <w:t> </w:t>
      </w:r>
      <w:r>
        <w:rPr>
          <w:spacing w:val="-62"/>
        </w:rPr>
      </w:r>
      <w:r>
        <w:rPr/>
        <w:t>求，进一步提升获客能力。但报告期内，新增市场竞争加剧，</w:t>
      </w:r>
      <w:r>
        <w:rPr>
          <w:rFonts w:ascii="Times New Roman" w:hAnsi="Times New Roman" w:cs="Times New Roman" w:eastAsia="Times New Roman" w:hint="default"/>
        </w:rPr>
        <w:t>5G</w:t>
      </w:r>
      <w:r>
        <w:rPr/>
        <w:t>相关创新业务尚未形成成熟产品，未能产生收入，同时受</w:t>
      </w:r>
      <w:r>
        <w:rPr>
          <w:spacing w:val="-40"/>
        </w:rPr>
        <w:t> </w:t>
      </w:r>
      <w:r>
        <w:rPr>
          <w:spacing w:val="-40"/>
        </w:rPr>
      </w:r>
      <w:r>
        <w:rPr>
          <w:spacing w:val="-2"/>
        </w:rPr>
        <w:t>移动运营商通道政策调整影响，业务利润空间进一步被挤压。报告期内，通过不断加大客户拓展力度，移动信息服务业务实</w:t>
      </w:r>
      <w:r>
        <w:rPr>
          <w:spacing w:val="-64"/>
        </w:rPr>
        <w:t> </w:t>
      </w:r>
      <w:r>
        <w:rPr>
          <w:spacing w:val="-64"/>
        </w:rPr>
      </w:r>
      <w:r>
        <w:rPr/>
        <w:t>现营业收入</w:t>
      </w:r>
      <w:r>
        <w:rPr>
          <w:rFonts w:ascii="Times New Roman" w:hAnsi="Times New Roman" w:cs="Times New Roman" w:eastAsia="Times New Roman" w:hint="default"/>
        </w:rPr>
        <w:t>25,834.48</w:t>
      </w:r>
      <w:r>
        <w:rPr/>
        <w:t>万元，较上年同期增长</w:t>
      </w:r>
      <w:r>
        <w:rPr>
          <w:rFonts w:ascii="Times New Roman" w:hAnsi="Times New Roman" w:cs="Times New Roman" w:eastAsia="Times New Roman" w:hint="default"/>
        </w:rPr>
        <w:t>39.23%</w:t>
      </w:r>
      <w:r>
        <w:rPr/>
        <w:t>，但由于受行业环境、通道成本上升等因素的影响，移动信息业务整体</w:t>
      </w:r>
      <w:r>
        <w:rPr>
          <w:spacing w:val="-25"/>
        </w:rPr>
        <w:t> </w:t>
      </w:r>
      <w:r>
        <w:rPr>
          <w:spacing w:val="-25"/>
        </w:rPr>
      </w:r>
      <w:r>
        <w:rPr/>
        <w:t>毛利率较上年同期下降</w:t>
      </w:r>
      <w:r>
        <w:rPr>
          <w:rFonts w:ascii="Times New Roman" w:hAnsi="Times New Roman" w:cs="Times New Roman" w:eastAsia="Times New Roman" w:hint="default"/>
        </w:rPr>
        <w:t>7.11%</w:t>
      </w:r>
      <w:r>
        <w:rPr/>
        <w:t>。</w:t>
      </w:r>
    </w:p>
    <w:p>
      <w:pPr>
        <w:spacing w:line="300" w:lineRule="auto" w:before="7"/>
        <w:ind w:left="513"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）移动运营商计费结算服务</w:t>
      </w:r>
      <w:r>
        <w:rPr>
          <w:rFonts w:ascii="宋体" w:hAnsi="宋体" w:cs="宋体" w:eastAsia="宋体" w:hint="default"/>
          <w:b/>
          <w:bCs/>
          <w:w w:val="99"/>
          <w:sz w:val="18"/>
          <w:szCs w:val="18"/>
        </w:rPr>
        <w:t> </w:t>
      </w:r>
      <w:r>
        <w:rPr>
          <w:rFonts w:ascii="宋体" w:hAnsi="宋体" w:cs="宋体" w:eastAsia="宋体" w:hint="default"/>
          <w:spacing w:val="-2"/>
          <w:sz w:val="18"/>
          <w:szCs w:val="18"/>
        </w:rPr>
        <w:t>受移动运营商政策以及其他支付方式的影响，原有的移动运营商计费结算业务规模逐渐下降，自</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年开始公司移动运</w:t>
      </w:r>
    </w:p>
    <w:p>
      <w:pPr>
        <w:pStyle w:val="BodyText"/>
        <w:spacing w:line="316" w:lineRule="auto" w:before="13"/>
        <w:ind w:right="1130"/>
        <w:jc w:val="both"/>
      </w:pPr>
      <w:r>
        <w:rPr>
          <w:spacing w:val="-2"/>
        </w:rPr>
        <w:t>营商计费结算服务开始寻求转型，积极拓展互联营销服务。报告期内，公司继续执行既定发展战略，进一步降低从运营商分</w:t>
      </w:r>
      <w:r>
        <w:rPr>
          <w:spacing w:val="-64"/>
        </w:rPr>
        <w:t> </w:t>
      </w:r>
      <w:r>
        <w:rPr>
          <w:spacing w:val="-64"/>
        </w:rPr>
      </w:r>
      <w:r>
        <w:rPr>
          <w:spacing w:val="-2"/>
        </w:rPr>
        <w:t>润和运营支撑类业务占比，提升科技服务收入的占比，并在以往的运营商代计费业务基础上，为运营商提供话费支付风控解</w:t>
      </w:r>
      <w:r>
        <w:rPr>
          <w:spacing w:val="-63"/>
        </w:rPr>
        <w:t> </w:t>
      </w:r>
      <w:r>
        <w:rPr>
          <w:spacing w:val="-63"/>
        </w:rPr>
      </w:r>
      <w:r>
        <w:rPr>
          <w:spacing w:val="-2"/>
        </w:rPr>
        <w:t>决方案。同时，积极发挥自身优势，基于人工智能技术，面向三大电信运营商、银行及其他金融机构、知名互联网行业如优</w:t>
      </w:r>
      <w:r>
        <w:rPr>
          <w:spacing w:val="-68"/>
        </w:rPr>
        <w:t> </w:t>
      </w:r>
      <w:r>
        <w:rPr>
          <w:spacing w:val="-68"/>
        </w:rPr>
      </w:r>
      <w:r>
        <w:rPr>
          <w:spacing w:val="-2"/>
        </w:rPr>
        <w:t>酷、天猫、苏宁、作业帮等提供全消费场景接入及智慧互联营销解决方案并实施，以期加速实现业务模式转型，形成新的收</w:t>
      </w:r>
      <w:r>
        <w:rPr>
          <w:spacing w:val="-63"/>
        </w:rPr>
        <w:t> </w:t>
      </w:r>
      <w:r>
        <w:rPr>
          <w:spacing w:val="-63"/>
        </w:rPr>
      </w:r>
      <w:r>
        <w:rPr>
          <w:spacing w:val="-2"/>
        </w:rPr>
        <w:t>入增长点，带动公司整体业务收入和利润的增长。报告期内，场景营销等新业务先后签约苏宁、物美、超市发、肯德基、呷</w:t>
      </w:r>
      <w:r>
        <w:rPr>
          <w:spacing w:val="-73"/>
        </w:rPr>
        <w:t> </w:t>
      </w:r>
      <w:r>
        <w:rPr>
          <w:spacing w:val="-73"/>
        </w:rPr>
      </w:r>
      <w:r>
        <w:rPr>
          <w:spacing w:val="-2"/>
        </w:rPr>
        <w:t>哺呷哺等商户。由于原运营商计费结算服务收入基数大，但新增互联网营销业务尚未能弥补原有业务的下滑，毛利额较上年</w:t>
      </w:r>
      <w:r>
        <w:rPr>
          <w:spacing w:val="-63"/>
        </w:rPr>
        <w:t> </w:t>
      </w:r>
      <w:r>
        <w:rPr>
          <w:spacing w:val="-63"/>
        </w:rPr>
      </w:r>
      <w:r>
        <w:rPr/>
        <w:t>同期下降</w:t>
      </w:r>
      <w:r>
        <w:rPr>
          <w:rFonts w:ascii="Times New Roman" w:hAnsi="Times New Roman" w:cs="Times New Roman" w:eastAsia="Times New Roman" w:hint="default"/>
        </w:rPr>
        <w:t>43.32%</w:t>
      </w:r>
      <w:r>
        <w:rPr/>
        <w:t>。</w:t>
      </w:r>
    </w:p>
    <w:p>
      <w:pPr>
        <w:pStyle w:val="BodyText"/>
        <w:spacing w:line="300" w:lineRule="auto"/>
        <w:ind w:left="513" w:right="0"/>
        <w:jc w:val="left"/>
      </w:pPr>
      <w:r>
        <w:rPr>
          <w:rFonts w:ascii="宋体" w:hAnsi="宋体" w:cs="宋体" w:eastAsia="宋体" w:hint="default"/>
          <w:b/>
          <w:bCs/>
        </w:rPr>
        <w:t>（</w:t>
      </w:r>
      <w:r>
        <w:rPr>
          <w:rFonts w:ascii="Times New Roman" w:hAnsi="Times New Roman" w:cs="Times New Roman" w:eastAsia="Times New Roman" w:hint="default"/>
          <w:b/>
          <w:bCs/>
        </w:rPr>
        <w:t>5</w:t>
      </w:r>
      <w:r>
        <w:rPr>
          <w:rFonts w:ascii="宋体" w:hAnsi="宋体" w:cs="宋体" w:eastAsia="宋体" w:hint="default"/>
          <w:b/>
          <w:bCs/>
        </w:rPr>
        <w:t>）金融增值服务</w:t>
      </w:r>
      <w:r>
        <w:rPr>
          <w:rFonts w:ascii="宋体" w:hAnsi="宋体" w:cs="宋体" w:eastAsia="宋体" w:hint="default"/>
          <w:b/>
          <w:bCs/>
          <w:w w:val="99"/>
        </w:rPr>
        <w:t> </w:t>
      </w:r>
      <w:r>
        <w:rPr>
          <w:spacing w:val="-2"/>
        </w:rPr>
        <w:t>为聚焦提升以移动互联、数字科技、人工智能等新一代科技为基础的金融科技服务能力，公司从银行等金融机构聘请了</w:t>
      </w:r>
    </w:p>
    <w:p>
      <w:pPr>
        <w:pStyle w:val="BodyText"/>
        <w:spacing w:line="314" w:lineRule="auto" w:before="31"/>
        <w:ind w:right="0"/>
        <w:jc w:val="left"/>
      </w:pPr>
      <w:r>
        <w:rPr>
          <w:spacing w:val="-2"/>
        </w:rPr>
        <w:t>具有金融背景的高管、业务和技术人员，快速组建团队、积极进行业务创新和产品创新。在投入大量人工和研发后，仍未达</w:t>
      </w:r>
      <w:r>
        <w:rPr>
          <w:spacing w:val="-67"/>
        </w:rPr>
        <w:t> </w:t>
      </w:r>
      <w:r>
        <w:rPr>
          <w:spacing w:val="-67"/>
        </w:rPr>
      </w:r>
      <w:r>
        <w:rPr>
          <w:spacing w:val="-2"/>
        </w:rPr>
        <w:t>到预期，且部分创新金融增值服务业务在报告期出现较大损失。针对该状况，公司进行适时调整，及时关停部分重复或收益</w:t>
      </w:r>
      <w:r>
        <w:rPr>
          <w:spacing w:val="-63"/>
        </w:rPr>
        <w:t> </w:t>
      </w:r>
      <w:r>
        <w:rPr>
          <w:spacing w:val="-63"/>
        </w:rPr>
      </w:r>
      <w:r>
        <w:rPr>
          <w:spacing w:val="-2"/>
        </w:rPr>
        <w:t>不佳的业务，并对相关业务团队进行调整，截至报告期末业务调整和团队调整已基本完成。为增加金融科技板块其他业务线</w:t>
      </w:r>
      <w:r>
        <w:rPr>
          <w:spacing w:val="-63"/>
        </w:rPr>
        <w:t> </w:t>
      </w:r>
      <w:r>
        <w:rPr>
          <w:spacing w:val="-63"/>
        </w:rPr>
      </w:r>
      <w:r>
        <w:rPr>
          <w:spacing w:val="-2"/>
        </w:rPr>
        <w:t>与客户的粘度，报告期内新增保理业务，为客户提供供应链金融服务。报告期内，公司金融增值服务实现收入</w:t>
      </w:r>
      <w:r>
        <w:rPr>
          <w:rFonts w:ascii="Times New Roman" w:hAnsi="Times New Roman" w:cs="Times New Roman" w:eastAsia="Times New Roman" w:hint="default"/>
          <w:spacing w:val="-2"/>
        </w:rPr>
        <w:t>6,677.28</w:t>
      </w:r>
      <w:r>
        <w:rPr>
          <w:spacing w:val="-2"/>
        </w:rPr>
        <w:t>万元，</w:t>
      </w:r>
      <w:r>
        <w:rPr>
          <w:spacing w:val="-60"/>
        </w:rPr>
        <w:t> </w:t>
      </w:r>
      <w:r>
        <w:rPr/>
        <w:t>较上年同期增长</w:t>
      </w:r>
      <w:r>
        <w:rPr>
          <w:rFonts w:ascii="Times New Roman" w:hAnsi="Times New Roman" w:cs="Times New Roman" w:eastAsia="Times New Roman" w:hint="default"/>
        </w:rPr>
        <w:t>42.21%</w:t>
      </w:r>
      <w:r>
        <w:rPr/>
        <w:t>，毛利率为</w:t>
      </w:r>
      <w:r>
        <w:rPr>
          <w:rFonts w:ascii="Times New Roman" w:hAnsi="Times New Roman" w:cs="Times New Roman" w:eastAsia="Times New Roman" w:hint="default"/>
        </w:rPr>
        <w:t>42.55%</w:t>
      </w:r>
      <w:r>
        <w:rPr/>
        <w:t>，较上年同期下降</w:t>
      </w:r>
      <w:r>
        <w:rPr>
          <w:rFonts w:ascii="Times New Roman" w:hAnsi="Times New Roman" w:cs="Times New Roman" w:eastAsia="Times New Roman" w:hint="default"/>
        </w:rPr>
        <w:t>43.10%</w:t>
      </w:r>
      <w:r>
        <w:rPr/>
        <w:t>。</w:t>
      </w:r>
    </w:p>
    <w:p>
      <w:pPr>
        <w:pStyle w:val="Heading4"/>
        <w:spacing w:line="240" w:lineRule="auto" w:before="1"/>
        <w:ind w:right="1133"/>
        <w:jc w:val="left"/>
        <w:rPr>
          <w:b w:val="0"/>
          <w:bCs w:val="0"/>
        </w:rPr>
      </w:pPr>
      <w:r>
        <w:rPr>
          <w:rFonts w:ascii="Times New Roman" w:hAnsi="Times New Roman" w:cs="Times New Roman" w:eastAsia="Times New Roman" w:hint="default"/>
        </w:rPr>
        <w:t>2</w:t>
      </w:r>
      <w:r>
        <w:rPr/>
        <w:t>、智能制造板块保持平稳发展</w:t>
      </w:r>
      <w:r>
        <w:rPr>
          <w:b w:val="0"/>
          <w:bCs w:val="0"/>
        </w:rPr>
      </w:r>
    </w:p>
    <w:p>
      <w:pPr>
        <w:pStyle w:val="BodyText"/>
        <w:spacing w:line="309" w:lineRule="auto" w:before="63"/>
        <w:ind w:right="1132" w:firstLine="360"/>
        <w:jc w:val="both"/>
      </w:pPr>
      <w:r>
        <w:rPr>
          <w:rFonts w:ascii="Times New Roman" w:hAnsi="Times New Roman" w:cs="Times New Roman" w:eastAsia="Times New Roman" w:hint="default"/>
          <w:spacing w:val="-2"/>
        </w:rPr>
        <w:t>2019</w:t>
      </w:r>
      <w:r>
        <w:rPr>
          <w:spacing w:val="-2"/>
        </w:rPr>
        <w:t>年，国际环境复杂，经济下行压力大，消费增速放缓，同时受机动车排放新标准提前实施的影响，公司智能制造板</w:t>
      </w:r>
      <w:r>
        <w:rPr/>
        <w:t> </w:t>
      </w:r>
      <w:r>
        <w:rPr>
          <w:spacing w:val="-2"/>
        </w:rPr>
        <w:t>块所在汽车行业下滑超过预期，市场竞争异常激烈。为适应市场变化，公司继续保持产业聚焦、转型升级、优化提效的发展</w:t>
      </w:r>
      <w:r>
        <w:rPr>
          <w:spacing w:val="-67"/>
        </w:rPr>
        <w:t> </w:t>
      </w:r>
      <w:r>
        <w:rPr>
          <w:spacing w:val="-67"/>
        </w:rPr>
      </w:r>
      <w:r>
        <w:rPr>
          <w:spacing w:val="-2"/>
        </w:rPr>
        <w:t>战略，同时加大新产品研发和技改力度，不断满足客户需求，使得公司智能制造板块保持平稳发展。报告期内，公司智能制</w:t>
      </w:r>
      <w:r>
        <w:rPr>
          <w:spacing w:val="-67"/>
        </w:rPr>
        <w:t> </w:t>
      </w:r>
      <w:r>
        <w:rPr>
          <w:spacing w:val="-67"/>
        </w:rPr>
      </w:r>
      <w:r>
        <w:rPr>
          <w:spacing w:val="-1"/>
        </w:rPr>
        <w:t>造板块实现营业收入</w:t>
      </w:r>
      <w:r>
        <w:rPr>
          <w:rFonts w:ascii="Times New Roman" w:hAnsi="Times New Roman" w:cs="Times New Roman" w:eastAsia="Times New Roman" w:hint="default"/>
          <w:spacing w:val="-1"/>
        </w:rPr>
        <w:t>434,746.82</w:t>
      </w:r>
      <w:r>
        <w:rPr>
          <w:spacing w:val="-1"/>
        </w:rPr>
        <w:t>万元，同比增长</w:t>
      </w:r>
      <w:r>
        <w:rPr>
          <w:rFonts w:ascii="Times New Roman" w:hAnsi="Times New Roman" w:cs="Times New Roman" w:eastAsia="Times New Roman" w:hint="default"/>
          <w:spacing w:val="-1"/>
        </w:rPr>
        <w:t>11.73%</w:t>
      </w:r>
      <w:r>
        <w:rPr>
          <w:spacing w:val="-1"/>
        </w:rPr>
        <w:t>，受产品成本上升以及研发等费用增加影响，归属于上市公司股东的</w:t>
      </w:r>
      <w:r>
        <w:rPr>
          <w:spacing w:val="-41"/>
        </w:rPr>
        <w:t> </w:t>
      </w:r>
      <w:r>
        <w:rPr>
          <w:spacing w:val="-41"/>
        </w:rPr>
      </w:r>
      <w:r>
        <w:rPr/>
        <w:t>净利润</w:t>
      </w:r>
      <w:r>
        <w:rPr>
          <w:rFonts w:ascii="Times New Roman" w:hAnsi="Times New Roman" w:cs="Times New Roman" w:eastAsia="Times New Roman" w:hint="default"/>
        </w:rPr>
        <w:t>1,942.38</w:t>
      </w:r>
      <w:r>
        <w:rPr/>
        <w:t>万元。</w:t>
      </w:r>
    </w:p>
    <w:p>
      <w:pPr>
        <w:pStyle w:val="Heading4"/>
        <w:spacing w:line="240" w:lineRule="auto" w:before="5"/>
        <w:ind w:right="1133"/>
        <w:jc w:val="left"/>
        <w:rPr>
          <w:b w:val="0"/>
          <w:bCs w:val="0"/>
        </w:rPr>
      </w:pPr>
      <w:r>
        <w:rPr/>
        <w:t>（</w:t>
      </w:r>
      <w:r>
        <w:rPr>
          <w:rFonts w:ascii="Times New Roman" w:hAnsi="Times New Roman" w:cs="Times New Roman" w:eastAsia="Times New Roman" w:hint="default"/>
        </w:rPr>
        <w:t>1</w:t>
      </w:r>
      <w:r>
        <w:rPr/>
        <w:t>）整合资源继续聚焦乘用车配件产业发展</w:t>
      </w:r>
      <w:r>
        <w:rPr>
          <w:b w:val="0"/>
          <w:bCs w:val="0"/>
        </w:rPr>
      </w:r>
    </w:p>
    <w:p>
      <w:pPr>
        <w:pStyle w:val="BodyText"/>
        <w:spacing w:line="309" w:lineRule="auto" w:before="63"/>
        <w:ind w:right="1129" w:firstLine="360"/>
        <w:jc w:val="both"/>
      </w:pPr>
      <w:r>
        <w:rPr>
          <w:rFonts w:ascii="Times New Roman" w:hAnsi="Times New Roman" w:cs="Times New Roman" w:eastAsia="Times New Roman" w:hint="default"/>
          <w:spacing w:val="-2"/>
        </w:rPr>
        <w:t>2019</w:t>
      </w:r>
      <w:r>
        <w:rPr>
          <w:spacing w:val="-2"/>
        </w:rPr>
        <w:t>年中国乘用车产销量同比较</w:t>
      </w:r>
      <w:r>
        <w:rPr>
          <w:rFonts w:ascii="Times New Roman" w:hAnsi="Times New Roman" w:cs="Times New Roman" w:eastAsia="Times New Roman" w:hint="default"/>
          <w:spacing w:val="-2"/>
        </w:rPr>
        <w:t>2018</w:t>
      </w:r>
      <w:r>
        <w:rPr>
          <w:spacing w:val="-2"/>
        </w:rPr>
        <w:t>年下降较大，行业景气度继续下行，但随着新能源补贴政策的延期，新能源汽车将</w:t>
      </w:r>
      <w:r>
        <w:rPr/>
        <w:t> </w:t>
      </w:r>
      <w:r>
        <w:rPr>
          <w:spacing w:val="-2"/>
        </w:rPr>
        <w:t>迎来新的发展机遇。报告期内，公司一方面通过整合内外部资源，使得公司汽车配件产品在各主机厂的业务范围和比重不断</w:t>
      </w:r>
      <w:r>
        <w:rPr>
          <w:spacing w:val="-63"/>
        </w:rPr>
        <w:t> </w:t>
      </w:r>
      <w:r>
        <w:rPr>
          <w:spacing w:val="-63"/>
        </w:rPr>
      </w:r>
      <w:r>
        <w:rPr>
          <w:spacing w:val="-2"/>
        </w:rPr>
        <w:t>增加，另一方面加大研发和技改投入，以技术为导向，深入主机厂前端为客户制定解决方案，由产品提供商逐渐向服务商转</w:t>
      </w:r>
      <w:r>
        <w:rPr>
          <w:spacing w:val="-64"/>
        </w:rPr>
        <w:t> </w:t>
      </w:r>
      <w:r>
        <w:rPr>
          <w:spacing w:val="-64"/>
        </w:rPr>
      </w:r>
      <w:r>
        <w:rPr>
          <w:spacing w:val="-2"/>
        </w:rPr>
        <w:t>型，不断提高客户满意度，增强客户与公司的粘性。在压力与机遇并存的</w:t>
      </w:r>
      <w:r>
        <w:rPr>
          <w:rFonts w:ascii="Times New Roman" w:hAnsi="Times New Roman" w:cs="Times New Roman" w:eastAsia="Times New Roman" w:hint="default"/>
          <w:spacing w:val="-2"/>
        </w:rPr>
        <w:t>2019</w:t>
      </w:r>
      <w:r>
        <w:rPr>
          <w:spacing w:val="-2"/>
        </w:rPr>
        <w:t>年，公司乘用车配件业务营业收入较上年同期</w:t>
      </w:r>
      <w:r>
        <w:rPr>
          <w:spacing w:val="-60"/>
        </w:rPr>
        <w:t> </w:t>
      </w:r>
      <w:r>
        <w:rPr>
          <w:spacing w:val="-60"/>
        </w:rPr>
      </w:r>
      <w:r>
        <w:rPr/>
        <w:t>下降</w:t>
      </w:r>
      <w:r>
        <w:rPr>
          <w:rFonts w:ascii="Times New Roman" w:hAnsi="Times New Roman" w:cs="Times New Roman" w:eastAsia="Times New Roman" w:hint="default"/>
        </w:rPr>
        <w:t>9%</w:t>
      </w:r>
      <w:r>
        <w:rPr/>
        <w:t>。</w:t>
      </w:r>
    </w:p>
    <w:p>
      <w:pPr>
        <w:spacing w:line="300" w:lineRule="auto" w:before="5"/>
        <w:ind w:left="513"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）公司继续推行</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以模养件</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的轻资产运营产业链</w:t>
      </w:r>
      <w:r>
        <w:rPr>
          <w:rFonts w:ascii="宋体" w:hAnsi="宋体" w:cs="宋体" w:eastAsia="宋体" w:hint="default"/>
          <w:b/>
          <w:bCs/>
          <w:w w:val="99"/>
          <w:sz w:val="18"/>
          <w:szCs w:val="18"/>
        </w:rPr>
        <w:t> </w:t>
      </w:r>
      <w:r>
        <w:rPr>
          <w:rFonts w:ascii="宋体" w:hAnsi="宋体" w:cs="宋体" w:eastAsia="宋体" w:hint="default"/>
          <w:spacing w:val="-2"/>
          <w:sz w:val="18"/>
          <w:szCs w:val="18"/>
        </w:rPr>
        <w:t>公司在聚焦乘用车配件产业的同时，大力发展汽车模具产业。公司通过汽车模具的自主研发、生产、制造，不断提升公</w:t>
      </w:r>
    </w:p>
    <w:p>
      <w:pPr>
        <w:pStyle w:val="BodyText"/>
        <w:spacing w:line="316" w:lineRule="auto" w:before="31"/>
        <w:ind w:right="1133"/>
        <w:jc w:val="both"/>
      </w:pPr>
      <w:r>
        <w:rPr>
          <w:spacing w:val="-2"/>
        </w:rPr>
        <w:t>司乘用车配件产业竞争优势的同时，也促进了公司模具产业的自身发展。报告期内，公司模具类产品实现营业收入较上年同</w:t>
      </w:r>
      <w:r>
        <w:rPr>
          <w:spacing w:val="-66"/>
        </w:rPr>
        <w:t> </w:t>
      </w:r>
      <w:r>
        <w:rPr>
          <w:spacing w:val="-66"/>
        </w:rPr>
      </w:r>
      <w:r>
        <w:rPr/>
        <w:t>期增长</w:t>
      </w:r>
      <w:r>
        <w:rPr>
          <w:rFonts w:ascii="Times New Roman" w:hAnsi="Times New Roman" w:cs="Times New Roman" w:eastAsia="Times New Roman" w:hint="default"/>
        </w:rPr>
        <w:t>555.41%</w:t>
      </w:r>
      <w:r>
        <w:rPr/>
        <w:t>。</w:t>
      </w:r>
    </w:p>
    <w:p>
      <w:pPr>
        <w:spacing w:after="0" w:line="316"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line="300" w:lineRule="auto" w:before="44"/>
        <w:ind w:left="513"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）持续优化产品和客户结构</w:t>
      </w:r>
      <w:r>
        <w:rPr>
          <w:rFonts w:ascii="宋体" w:hAnsi="宋体" w:cs="宋体" w:eastAsia="宋体" w:hint="default"/>
          <w:b/>
          <w:bCs/>
          <w:w w:val="99"/>
          <w:sz w:val="18"/>
          <w:szCs w:val="18"/>
        </w:rPr>
        <w:t> </w:t>
      </w:r>
      <w:r>
        <w:rPr>
          <w:rFonts w:ascii="宋体" w:hAnsi="宋体" w:cs="宋体" w:eastAsia="宋体" w:hint="default"/>
          <w:spacing w:val="-2"/>
          <w:sz w:val="18"/>
          <w:szCs w:val="18"/>
        </w:rPr>
        <w:t>随世界各国对燃油汽车禁售的倒计时，各大汽车主机厂加快了产品结构升级，新能源、智能驾驶将是汽车行业未来发展</w:t>
      </w:r>
    </w:p>
    <w:p>
      <w:pPr>
        <w:pStyle w:val="BodyText"/>
        <w:spacing w:line="316" w:lineRule="auto" w:before="31"/>
        <w:ind w:right="1133"/>
        <w:jc w:val="both"/>
      </w:pPr>
      <w:r>
        <w:rPr>
          <w:spacing w:val="-2"/>
        </w:rPr>
        <w:t>趋势。报告期内，公司持续优化和丰富产品结构，新能源、轻量化产品以及汽车功能性电机成为公司智能制造板块未来重点</w:t>
      </w:r>
      <w:r>
        <w:rPr>
          <w:spacing w:val="-66"/>
        </w:rPr>
        <w:t> </w:t>
      </w:r>
      <w:r>
        <w:rPr>
          <w:spacing w:val="-66"/>
        </w:rPr>
      </w:r>
      <w:r>
        <w:rPr>
          <w:spacing w:val="-2"/>
        </w:rPr>
        <w:t>发展方向。同时，在报告期内继续优化客户结构，拓展了三一重工等规模较大、抗风险能力较强的大中型客户，优化了部分</w:t>
      </w:r>
      <w:r>
        <w:rPr>
          <w:spacing w:val="-67"/>
        </w:rPr>
        <w:t> </w:t>
      </w:r>
      <w:r>
        <w:rPr>
          <w:spacing w:val="-67"/>
        </w:rPr>
      </w:r>
      <w:r>
        <w:rPr/>
        <w:t>低毛利且风险较高的中小客户，公司自身抗风险能力不断得到提升。</w:t>
      </w:r>
    </w:p>
    <w:p>
      <w:pPr>
        <w:spacing w:line="300" w:lineRule="auto" w:before="19"/>
        <w:ind w:left="513" w:right="1133"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）深化改革，创新经营管理</w:t>
      </w:r>
      <w:r>
        <w:rPr>
          <w:rFonts w:ascii="宋体" w:hAnsi="宋体" w:cs="宋体" w:eastAsia="宋体" w:hint="default"/>
          <w:b/>
          <w:bCs/>
          <w:w w:val="99"/>
          <w:sz w:val="18"/>
          <w:szCs w:val="18"/>
        </w:rPr>
        <w:t> </w:t>
      </w:r>
      <w:r>
        <w:rPr>
          <w:rFonts w:ascii="宋体" w:hAnsi="宋体" w:cs="宋体" w:eastAsia="宋体" w:hint="default"/>
          <w:spacing w:val="-2"/>
          <w:sz w:val="18"/>
          <w:szCs w:val="18"/>
        </w:rPr>
        <w:t>报告期内，公司智能制造板块继续推行创新经营管理，通过组织架构梳理、精简管理层级，实现扁平化管理。公司倡导</w:t>
      </w:r>
    </w:p>
    <w:p>
      <w:pPr>
        <w:pStyle w:val="BodyText"/>
        <w:spacing w:line="316" w:lineRule="auto" w:before="31"/>
        <w:ind w:right="1133"/>
        <w:jc w:val="left"/>
      </w:pPr>
      <w:r>
        <w:rPr>
          <w:spacing w:val="-2"/>
        </w:rPr>
        <w:t>一专多能，提薪不增岗，对职能重叠、交叉的部门及岗位进行合并，推动实现精员增效，助力公司智能制造核心竞争力的进</w:t>
      </w:r>
      <w:r>
        <w:rPr>
          <w:spacing w:val="-67"/>
        </w:rPr>
        <w:t> </w:t>
      </w:r>
      <w:r>
        <w:rPr>
          <w:spacing w:val="-67"/>
        </w:rPr>
      </w:r>
      <w:r>
        <w:rPr/>
        <w:t>一步提升。</w:t>
      </w:r>
    </w:p>
    <w:p>
      <w:pPr>
        <w:spacing w:line="300" w:lineRule="auto" w:before="19"/>
        <w:ind w:left="513"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、加强与高校合作，提高自身研发能力</w:t>
      </w:r>
      <w:r>
        <w:rPr>
          <w:rFonts w:ascii="宋体" w:hAnsi="宋体" w:cs="宋体" w:eastAsia="宋体" w:hint="default"/>
          <w:b/>
          <w:bCs/>
          <w:w w:val="99"/>
          <w:sz w:val="18"/>
          <w:szCs w:val="18"/>
        </w:rPr>
        <w:t> </w:t>
      </w:r>
      <w:r>
        <w:rPr>
          <w:rFonts w:ascii="宋体" w:hAnsi="宋体" w:cs="宋体" w:eastAsia="宋体" w:hint="default"/>
          <w:spacing w:val="-2"/>
          <w:sz w:val="18"/>
          <w:szCs w:val="18"/>
        </w:rPr>
        <w:t>报告期内，公司乘用车技术研发中心继续保持国内多所高校合作，提升公司在汽车轻量化产品研发、高精尖汽车零部件</w:t>
      </w:r>
    </w:p>
    <w:p>
      <w:pPr>
        <w:pStyle w:val="BodyText"/>
        <w:spacing w:line="319" w:lineRule="auto" w:before="31"/>
        <w:ind w:right="0"/>
        <w:jc w:val="left"/>
      </w:pPr>
      <w:r>
        <w:rPr>
          <w:spacing w:val="-2"/>
        </w:rPr>
        <w:t>开发、新技术孵化、模具设计等方面的核心能力；公司子公司联动优势与多家高校合作共建区块链合作实验室，加强在区块</w:t>
      </w:r>
      <w:r>
        <w:rPr>
          <w:spacing w:val="-63"/>
        </w:rPr>
        <w:t> </w:t>
      </w:r>
      <w:r>
        <w:rPr>
          <w:spacing w:val="-63"/>
        </w:rPr>
      </w:r>
      <w:r>
        <w:rPr/>
        <w:t>链方面的研究与应用。</w:t>
      </w:r>
    </w:p>
    <w:p>
      <w:pPr>
        <w:spacing w:line="300" w:lineRule="auto" w:before="17"/>
        <w:ind w:left="513"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、持续加强内控体系建设，规范运作</w:t>
      </w:r>
      <w:r>
        <w:rPr>
          <w:rFonts w:ascii="宋体" w:hAnsi="宋体" w:cs="宋体" w:eastAsia="宋体" w:hint="default"/>
          <w:b/>
          <w:bCs/>
          <w:w w:val="99"/>
          <w:sz w:val="18"/>
          <w:szCs w:val="18"/>
        </w:rPr>
        <w:t> </w:t>
      </w:r>
      <w:r>
        <w:rPr>
          <w:rFonts w:ascii="宋体" w:hAnsi="宋体" w:cs="宋体" w:eastAsia="宋体" w:hint="default"/>
          <w:spacing w:val="-2"/>
          <w:sz w:val="18"/>
          <w:szCs w:val="18"/>
        </w:rPr>
        <w:t>报告期内，随着公司业务体系的不断发展、扩大，高效的内部管理显得十分重要，公司按照上市公司内部控制要求以及</w:t>
      </w:r>
    </w:p>
    <w:p>
      <w:pPr>
        <w:pStyle w:val="BodyText"/>
        <w:spacing w:line="316" w:lineRule="auto" w:before="31"/>
        <w:ind w:right="0"/>
        <w:jc w:val="left"/>
      </w:pPr>
      <w:r>
        <w:rPr>
          <w:spacing w:val="-2"/>
        </w:rPr>
        <w:t>公司需求，由公司内控审计部门牵头，优化更加适合公司管理模式的内部控制体系，不断完善公司内部风险管控制度，推进</w:t>
      </w:r>
      <w:r>
        <w:rPr>
          <w:spacing w:val="-65"/>
        </w:rPr>
        <w:t> </w:t>
      </w:r>
      <w:r>
        <w:rPr>
          <w:spacing w:val="-65"/>
        </w:rPr>
      </w:r>
      <w:r>
        <w:rPr/>
        <w:t>全员内部控制培训工作的持续开展，以达到公司相关部门和人员做到学习、吸收、学以致用、防范风险的目的。</w:t>
      </w:r>
    </w:p>
    <w:p>
      <w:pPr>
        <w:pStyle w:val="BodyText"/>
        <w:spacing w:line="300" w:lineRule="auto" w:before="19"/>
        <w:ind w:left="513" w:right="0"/>
        <w:jc w:val="left"/>
      </w:pPr>
      <w:r>
        <w:rPr>
          <w:rFonts w:ascii="Times New Roman" w:hAnsi="Times New Roman" w:cs="Times New Roman" w:eastAsia="Times New Roman" w:hint="default"/>
          <w:b/>
          <w:bCs/>
        </w:rPr>
        <w:t>5</w:t>
      </w:r>
      <w:r>
        <w:rPr>
          <w:rFonts w:ascii="宋体" w:hAnsi="宋体" w:cs="宋体" w:eastAsia="宋体" w:hint="default"/>
          <w:b/>
          <w:bCs/>
        </w:rPr>
        <w:t>、积极维护股东权益</w:t>
      </w:r>
      <w:r>
        <w:rPr>
          <w:rFonts w:ascii="宋体" w:hAnsi="宋体" w:cs="宋体" w:eastAsia="宋体" w:hint="default"/>
          <w:b/>
          <w:bCs/>
          <w:w w:val="99"/>
        </w:rPr>
        <w:t> </w:t>
      </w:r>
      <w:r>
        <w:rPr>
          <w:spacing w:val="-2"/>
        </w:rPr>
        <w:t>报告期内，公司基于未来发展战略、财务状况、长效激励机制等因素，利用自有资金和部分节余募集资金，实施股份回</w:t>
      </w:r>
    </w:p>
    <w:p>
      <w:pPr>
        <w:pStyle w:val="BodyText"/>
        <w:spacing w:line="240" w:lineRule="auto" w:before="31"/>
        <w:ind w:right="1133"/>
        <w:jc w:val="left"/>
      </w:pPr>
      <w:r>
        <w:rPr/>
        <w:t>购，积极维护股东权益。截止报告期末，累计回购公司股份</w:t>
      </w:r>
      <w:r>
        <w:rPr>
          <w:rFonts w:ascii="Times New Roman" w:hAnsi="Times New Roman" w:cs="Times New Roman" w:eastAsia="Times New Roman" w:hint="default"/>
        </w:rPr>
        <w:t>28,608,500</w:t>
      </w:r>
      <w:r>
        <w:rPr/>
        <w:t>股，占公司总股本的</w:t>
      </w:r>
      <w:r>
        <w:rPr>
          <w:rFonts w:ascii="Times New Roman" w:hAnsi="Times New Roman" w:cs="Times New Roman" w:eastAsia="Times New Roman" w:hint="default"/>
        </w:rPr>
        <w:t>2.30%</w:t>
      </w:r>
      <w:r>
        <w:rPr/>
        <w:t>。</w:t>
      </w:r>
    </w:p>
    <w:p>
      <w:pPr>
        <w:pStyle w:val="BodyText"/>
        <w:spacing w:line="300" w:lineRule="auto" w:before="63"/>
        <w:ind w:left="513" w:right="0"/>
        <w:jc w:val="left"/>
      </w:pPr>
      <w:r>
        <w:rPr>
          <w:rFonts w:ascii="Times New Roman" w:hAnsi="Times New Roman" w:cs="Times New Roman" w:eastAsia="Times New Roman" w:hint="default"/>
          <w:b/>
          <w:bCs/>
        </w:rPr>
        <w:t>6</w:t>
      </w:r>
      <w:r>
        <w:rPr>
          <w:rFonts w:ascii="宋体" w:hAnsi="宋体" w:cs="宋体" w:eastAsia="宋体" w:hint="default"/>
          <w:b/>
          <w:bCs/>
        </w:rPr>
        <w:t>、完善人才培养机制</w:t>
      </w:r>
      <w:r>
        <w:rPr>
          <w:rFonts w:ascii="宋体" w:hAnsi="宋体" w:cs="宋体" w:eastAsia="宋体" w:hint="default"/>
          <w:b/>
          <w:bCs/>
          <w:w w:val="99"/>
        </w:rPr>
        <w:t> </w:t>
      </w:r>
      <w:r>
        <w:rPr>
          <w:spacing w:val="-2"/>
        </w:rPr>
        <w:t>公司不断完善人才培养机制及薪酬体系建设工作，加强高层次人才引进力度，同时与高等院校开展合作，加快人才梯队</w:t>
      </w:r>
    </w:p>
    <w:p>
      <w:pPr>
        <w:pStyle w:val="BodyText"/>
        <w:spacing w:line="240" w:lineRule="auto" w:before="31"/>
        <w:ind w:right="1133"/>
        <w:jc w:val="left"/>
      </w:pPr>
      <w:r>
        <w:rPr/>
        <w:t>建设，为实现公司持续成长与健康发展储备力量。</w:t>
      </w:r>
    </w:p>
    <w:p>
      <w:pPr>
        <w:spacing w:line="240" w:lineRule="auto" w:before="4"/>
        <w:rPr>
          <w:rFonts w:ascii="宋体" w:hAnsi="宋体" w:cs="宋体" w:eastAsia="宋体" w:hint="default"/>
          <w:sz w:val="25"/>
          <w:szCs w:val="25"/>
        </w:rPr>
      </w:pPr>
    </w:p>
    <w:p>
      <w:pPr>
        <w:pStyle w:val="Heading2"/>
        <w:spacing w:line="240" w:lineRule="auto"/>
        <w:ind w:right="1133"/>
        <w:jc w:val="left"/>
        <w:rPr>
          <w:b w:val="0"/>
          <w:bCs w:val="0"/>
        </w:rPr>
      </w:pPr>
      <w:bookmarkStart w:name="二、主营业务分析" w:id="26"/>
      <w:bookmarkEnd w:id="26"/>
      <w:r>
        <w:rPr>
          <w:b w:val="0"/>
          <w:bCs w:val="0"/>
        </w:rPr>
      </w:r>
      <w:r>
        <w:rPr/>
        <w:t>二、主营业务分析</w:t>
      </w:r>
      <w:r>
        <w:rPr>
          <w:b w:val="0"/>
          <w:bCs w:val="0"/>
        </w:rPr>
      </w:r>
    </w:p>
    <w:p>
      <w:pPr>
        <w:spacing w:line="240" w:lineRule="auto" w:before="12"/>
        <w:rPr>
          <w:rFonts w:ascii="宋体" w:hAnsi="宋体" w:cs="宋体" w:eastAsia="宋体" w:hint="default"/>
          <w:b/>
          <w:bCs/>
          <w:sz w:val="24"/>
          <w:szCs w:val="24"/>
        </w:rPr>
      </w:pPr>
    </w:p>
    <w:p>
      <w:pPr>
        <w:spacing w:line="544" w:lineRule="auto" w:before="0"/>
        <w:ind w:left="152" w:right="6474" w:firstLine="0"/>
        <w:jc w:val="left"/>
        <w:rPr>
          <w:rFonts w:ascii="宋体" w:hAnsi="宋体" w:cs="宋体" w:eastAsia="宋体" w:hint="default"/>
          <w:sz w:val="21"/>
          <w:szCs w:val="21"/>
        </w:rPr>
      </w:pPr>
      <w:bookmarkStart w:name="1、概述" w:id="27"/>
      <w:bookmarkEnd w:id="2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8"/>
      <w:bookmarkEnd w:id="28"/>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1133"/>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02"/>
        <w:gridCol w:w="1594"/>
        <w:gridCol w:w="1588"/>
        <w:gridCol w:w="1602"/>
        <w:gridCol w:w="1582"/>
        <w:gridCol w:w="1600"/>
      </w:tblGrid>
      <w:tr>
        <w:trPr>
          <w:trHeight w:val="207" w:hRule="exact"/>
        </w:trPr>
        <w:tc>
          <w:tcPr>
            <w:tcW w:w="1602"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0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602" w:type="dxa"/>
            <w:vMerge w:val="restart"/>
            <w:tcBorders>
              <w:top w:val="nil" w:sz="6" w:space="0" w:color="auto"/>
              <w:left w:val="single" w:sz="4" w:space="0" w:color="000000"/>
              <w:right w:val="single" w:sz="4" w:space="0" w:color="000000"/>
            </w:tcBorders>
            <w:shd w:val="clear" w:color="auto" w:fill="D2D2D2"/>
          </w:tcPr>
          <w:p>
            <w:pPr/>
          </w:p>
        </w:tc>
        <w:tc>
          <w:tcPr>
            <w:tcW w:w="3182" w:type="dxa"/>
            <w:gridSpan w:val="2"/>
            <w:vMerge/>
            <w:tcBorders>
              <w:left w:val="single" w:sz="4" w:space="0" w:color="000000"/>
              <w:bottom w:val="single" w:sz="4" w:space="0" w:color="000000"/>
              <w:right w:val="single" w:sz="4" w:space="0" w:color="000000"/>
            </w:tcBorders>
            <w:shd w:val="clear" w:color="auto" w:fill="D2D2D2"/>
          </w:tcPr>
          <w:p>
            <w:pPr/>
          </w:p>
        </w:tc>
        <w:tc>
          <w:tcPr>
            <w:tcW w:w="3184" w:type="dxa"/>
            <w:gridSpan w:val="2"/>
            <w:vMerge/>
            <w:tcBorders>
              <w:left w:val="single" w:sz="4" w:space="0" w:color="000000"/>
              <w:bottom w:val="single" w:sz="4" w:space="0" w:color="000000"/>
              <w:right w:val="single" w:sz="4" w:space="0" w:color="000000"/>
            </w:tcBorders>
            <w:shd w:val="clear" w:color="auto" w:fill="D2D2D2"/>
          </w:tcPr>
          <w:p>
            <w:pPr/>
          </w:p>
        </w:tc>
        <w:tc>
          <w:tcPr>
            <w:tcW w:w="16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3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602"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7"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金额</w:t>
            </w:r>
          </w:p>
        </w:tc>
        <w:tc>
          <w:tcPr>
            <w:tcW w:w="15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7"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0"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602"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602" w:type="dxa"/>
            <w:vMerge/>
            <w:tcBorders>
              <w:left w:val="single" w:sz="4" w:space="0" w:color="000000"/>
              <w:bottom w:val="single" w:sz="4" w:space="0" w:color="000000"/>
              <w:right w:val="single" w:sz="4" w:space="0" w:color="000000"/>
            </w:tcBorders>
            <w:shd w:val="clear" w:color="auto" w:fill="D2D2D2"/>
          </w:tcPr>
          <w:p>
            <w:pPr/>
          </w:p>
        </w:tc>
        <w:tc>
          <w:tcPr>
            <w:tcW w:w="1582" w:type="dxa"/>
            <w:vMerge/>
            <w:tcBorders>
              <w:left w:val="single" w:sz="4" w:space="0" w:color="000000"/>
              <w:bottom w:val="single" w:sz="4" w:space="0" w:color="000000"/>
              <w:right w:val="single" w:sz="4" w:space="0" w:color="000000"/>
            </w:tcBorders>
            <w:shd w:val="clear" w:color="auto" w:fill="D2D2D2"/>
          </w:tcPr>
          <w:p>
            <w:pPr/>
          </w:p>
        </w:tc>
        <w:tc>
          <w:tcPr>
            <w:tcW w:w="160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6" w:hRule="exact"/>
        </w:trPr>
        <w:tc>
          <w:tcPr>
            <w:tcW w:w="1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5,302,838,701.56</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602"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5,011,239,084.54</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100%</w:t>
            </w:r>
          </w:p>
        </w:tc>
        <w:tc>
          <w:tcPr>
            <w:tcW w:w="16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5.82%</w:t>
            </w:r>
          </w:p>
        </w:tc>
      </w:tr>
      <w:tr>
        <w:trPr>
          <w:trHeight w:val="398"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智能制造</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4,347,468,237.84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81.98%</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3,890,993,187.01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77.65%</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4.33%</w:t>
            </w:r>
          </w:p>
        </w:tc>
      </w:tr>
      <w:tr>
        <w:trPr>
          <w:trHeight w:val="403"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金融科技服务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955,370,463.72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18.02%</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1,120,245,897.53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22.35%</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-4.33%</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汽车及配件类</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2,924,846,592.63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55.16%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2,777,703,198.87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-0.27%</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家电配件类</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1,061,498,075.98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20.02%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804,950,583.58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16.06%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3.96%</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电机及配件类</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213,806,349.01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181,547,748.23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0.41%</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模具类</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39,317,487.85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0.74%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5,998,946.92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0.62%</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移动运营商计费结 算服务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110,942,723.48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112,709,631.86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-0.16%</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移动信息服务业务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258,344,815.93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4.87%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185,557,502.59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1.17%</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第三方支付业务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378,148,371.80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547,083,785.09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-3.79%</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惠商</w:t>
            </w:r>
            <w:r>
              <w:rPr>
                <w:rFonts w:ascii="Times New Roman" w:hAnsi="Times New Roman" w:cs="Times New Roman" w:eastAsia="Times New Roman" w:hint="default"/>
                <w:sz w:val="18"/>
                <w:szCs w:val="18"/>
              </w:rPr>
              <w:t>+”O2O</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业务</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5,471,232.98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0.11%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-0.11%</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智慧互联营销业务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14,176,891.40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0.27%</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0.27%</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数字科技业务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96,855,983.18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1.83%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146,041,360.36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-1.08%</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138,128,561.45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197,222,256.80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金融增值服务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66,772,848.85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1.26%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46,952,837.26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0.32%</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5,230,497,626.66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98.64%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4,914,588,379.33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98.07%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0.57%</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国外（含国内保税 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72,341,074.90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96,650,705.21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智能制造</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4,347,468,237.84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3,935,236,817.64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11.73%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15.34%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金融科技服务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955,370,463.72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632,100,464.28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-14.72%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22.15%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-19.97%</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汽车及配件类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2,924,846,592.63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2,574,161,426.76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家电配件类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1,061,498,075.98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1,040,001,198.54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31.87%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39.48%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-5.34%</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移动信息服务业 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258,344,815.93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196,845,558.07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39.23%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53.56%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-7.11%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第三方支付业务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378,148,371.80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295,035,695.17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-30.88%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-19.30%</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5,230,497,626.66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4,512,195,410.61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16.89%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-7.73%</w:t>
            </w:r>
          </w:p>
        </w:tc>
      </w:tr>
    </w:tbl>
    <w:p>
      <w:pPr>
        <w:pStyle w:val="BodyText"/>
        <w:spacing w:line="240" w:lineRule="auto" w:before="49"/>
        <w:ind w:right="1133"/>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08"/>
        <w:gridCol w:w="1358"/>
        <w:gridCol w:w="1818"/>
        <w:gridCol w:w="1596"/>
        <w:gridCol w:w="1594"/>
        <w:gridCol w:w="1594"/>
      </w:tblGrid>
      <w:tr>
        <w:trPr>
          <w:trHeight w:val="403"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家电配件类</w:t>
            </w:r>
          </w:p>
        </w:tc>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8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万件</w:t>
            </w:r>
            <w:r>
              <w:rPr>
                <w:rFonts w:ascii="Times New Roman" w:hAnsi="Times New Roman" w:cs="Times New Roman" w:eastAsia="Times New Roman" w:hint="default"/>
                <w:sz w:val="18"/>
                <w:szCs w:val="18"/>
              </w:rPr>
              <w:t>/</w:t>
            </w:r>
            <w:r>
              <w:rPr>
                <w:rFonts w:ascii="宋体" w:hAnsi="宋体" w:cs="宋体" w:eastAsia="宋体" w:hint="default"/>
                <w:sz w:val="18"/>
                <w:szCs w:val="18"/>
              </w:rPr>
              <w:t>万套</w:t>
            </w:r>
            <w:r>
              <w:rPr>
                <w:rFonts w:ascii="Times New Roman" w:hAnsi="Times New Roman" w:cs="Times New Roman" w:eastAsia="Times New Roman" w:hint="default"/>
                <w:sz w:val="18"/>
                <w:szCs w:val="18"/>
              </w:rPr>
              <w:t>/</w:t>
            </w:r>
            <w:r>
              <w:rPr>
                <w:rFonts w:ascii="宋体" w:hAnsi="宋体" w:cs="宋体" w:eastAsia="宋体" w:hint="default"/>
                <w:sz w:val="18"/>
                <w:szCs w:val="18"/>
              </w:rPr>
              <w:t>万台</w:t>
            </w:r>
            <w:r>
              <w:rPr>
                <w:rFonts w:ascii="Times New Roman" w:hAnsi="Times New Roman" w:cs="Times New Roman" w:eastAsia="Times New Roman" w:hint="default"/>
                <w:sz w:val="18"/>
                <w:szCs w:val="18"/>
              </w:rPr>
              <w:t>/</w:t>
            </w:r>
            <w:r>
              <w:rPr>
                <w:rFonts w:ascii="宋体" w:hAnsi="宋体" w:cs="宋体" w:eastAsia="宋体" w:hint="default"/>
                <w:sz w:val="18"/>
                <w:szCs w:val="18"/>
              </w:rPr>
              <w:t>万吨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4.43%</w:t>
            </w:r>
          </w:p>
        </w:tc>
      </w:tr>
      <w:tr>
        <w:trPr>
          <w:trHeight w:val="403" w:hRule="exact"/>
        </w:trPr>
        <w:tc>
          <w:tcPr>
            <w:tcW w:w="1608" w:type="dxa"/>
            <w:vMerge/>
            <w:tcBorders>
              <w:left w:val="single" w:sz="4" w:space="0" w:color="000000"/>
              <w:right w:val="single" w:sz="13" w:space="0" w:color="D2D2D2"/>
            </w:tcBorders>
          </w:tcPr>
          <w:p>
            <w:pPr/>
          </w:p>
        </w:tc>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8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万件</w:t>
            </w:r>
            <w:r>
              <w:rPr>
                <w:rFonts w:ascii="Times New Roman" w:hAnsi="Times New Roman" w:cs="Times New Roman" w:eastAsia="Times New Roman" w:hint="default"/>
                <w:sz w:val="18"/>
                <w:szCs w:val="18"/>
              </w:rPr>
              <w:t>/</w:t>
            </w:r>
            <w:r>
              <w:rPr>
                <w:rFonts w:ascii="宋体" w:hAnsi="宋体" w:cs="宋体" w:eastAsia="宋体" w:hint="default"/>
                <w:sz w:val="18"/>
                <w:szCs w:val="18"/>
              </w:rPr>
              <w:t>万套</w:t>
            </w:r>
            <w:r>
              <w:rPr>
                <w:rFonts w:ascii="Times New Roman" w:hAnsi="Times New Roman" w:cs="Times New Roman" w:eastAsia="Times New Roman" w:hint="default"/>
                <w:sz w:val="18"/>
                <w:szCs w:val="18"/>
              </w:rPr>
              <w:t>/</w:t>
            </w:r>
            <w:r>
              <w:rPr>
                <w:rFonts w:ascii="宋体" w:hAnsi="宋体" w:cs="宋体" w:eastAsia="宋体" w:hint="default"/>
                <w:sz w:val="18"/>
                <w:szCs w:val="18"/>
              </w:rPr>
              <w:t>万台</w:t>
            </w:r>
            <w:r>
              <w:rPr>
                <w:rFonts w:ascii="Times New Roman" w:hAnsi="Times New Roman" w:cs="Times New Roman" w:eastAsia="Times New Roman" w:hint="default"/>
                <w:sz w:val="18"/>
                <w:szCs w:val="18"/>
              </w:rPr>
              <w:t>/</w:t>
            </w:r>
            <w:r>
              <w:rPr>
                <w:rFonts w:ascii="宋体" w:hAnsi="宋体" w:cs="宋体" w:eastAsia="宋体" w:hint="default"/>
                <w:sz w:val="18"/>
                <w:szCs w:val="18"/>
              </w:rPr>
              <w:t>万吨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-2.90%</w:t>
            </w:r>
          </w:p>
        </w:tc>
      </w:tr>
      <w:tr>
        <w:trPr>
          <w:trHeight w:val="401" w:hRule="exact"/>
        </w:trPr>
        <w:tc>
          <w:tcPr>
            <w:tcW w:w="1608" w:type="dxa"/>
            <w:vMerge/>
            <w:tcBorders>
              <w:left w:val="single" w:sz="4" w:space="0" w:color="000000"/>
              <w:bottom w:val="single" w:sz="4" w:space="0" w:color="000000"/>
              <w:right w:val="single" w:sz="13" w:space="0" w:color="D2D2D2"/>
            </w:tcBorders>
          </w:tcPr>
          <w:p>
            <w:pPr/>
          </w:p>
        </w:tc>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8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万件</w:t>
            </w:r>
            <w:r>
              <w:rPr>
                <w:rFonts w:ascii="Times New Roman" w:hAnsi="Times New Roman" w:cs="Times New Roman" w:eastAsia="Times New Roman" w:hint="default"/>
                <w:sz w:val="18"/>
                <w:szCs w:val="18"/>
              </w:rPr>
              <w:t>/</w:t>
            </w:r>
            <w:r>
              <w:rPr>
                <w:rFonts w:ascii="宋体" w:hAnsi="宋体" w:cs="宋体" w:eastAsia="宋体" w:hint="default"/>
                <w:sz w:val="18"/>
                <w:szCs w:val="18"/>
              </w:rPr>
              <w:t>万套</w:t>
            </w:r>
            <w:r>
              <w:rPr>
                <w:rFonts w:ascii="Times New Roman" w:hAnsi="Times New Roman" w:cs="Times New Roman" w:eastAsia="Times New Roman" w:hint="default"/>
                <w:sz w:val="18"/>
                <w:szCs w:val="18"/>
              </w:rPr>
              <w:t>/</w:t>
            </w:r>
            <w:r>
              <w:rPr>
                <w:rFonts w:ascii="宋体" w:hAnsi="宋体" w:cs="宋体" w:eastAsia="宋体" w:hint="default"/>
                <w:sz w:val="18"/>
                <w:szCs w:val="18"/>
              </w:rPr>
              <w:t>万台</w:t>
            </w:r>
            <w:r>
              <w:rPr>
                <w:rFonts w:ascii="Times New Roman" w:hAnsi="Times New Roman" w:cs="Times New Roman" w:eastAsia="Times New Roman" w:hint="default"/>
                <w:sz w:val="18"/>
                <w:szCs w:val="18"/>
              </w:rPr>
              <w:t>/</w:t>
            </w:r>
            <w:r>
              <w:rPr>
                <w:rFonts w:ascii="宋体" w:hAnsi="宋体" w:cs="宋体" w:eastAsia="宋体" w:hint="default"/>
                <w:sz w:val="18"/>
                <w:szCs w:val="18"/>
              </w:rPr>
              <w:t>万吨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-91.26%</w:t>
            </w:r>
          </w:p>
        </w:tc>
      </w:tr>
      <w:tr>
        <w:trPr>
          <w:trHeight w:val="403"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汽车配件类</w:t>
            </w:r>
          </w:p>
        </w:tc>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8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万件</w:t>
            </w:r>
            <w:r>
              <w:rPr>
                <w:rFonts w:ascii="Times New Roman" w:hAnsi="Times New Roman" w:cs="Times New Roman" w:eastAsia="Times New Roman" w:hint="default"/>
                <w:sz w:val="18"/>
                <w:szCs w:val="18"/>
              </w:rPr>
              <w:t>/</w:t>
            </w:r>
            <w:r>
              <w:rPr>
                <w:rFonts w:ascii="宋体" w:hAnsi="宋体" w:cs="宋体" w:eastAsia="宋体" w:hint="default"/>
                <w:sz w:val="18"/>
                <w:szCs w:val="18"/>
              </w:rPr>
              <w:t>万套</w:t>
            </w:r>
            <w:r>
              <w:rPr>
                <w:rFonts w:ascii="Times New Roman" w:hAnsi="Times New Roman" w:cs="Times New Roman" w:eastAsia="Times New Roman" w:hint="default"/>
                <w:sz w:val="18"/>
                <w:szCs w:val="18"/>
              </w:rPr>
              <w:t>/</w:t>
            </w:r>
            <w:r>
              <w:rPr>
                <w:rFonts w:ascii="宋体" w:hAnsi="宋体" w:cs="宋体" w:eastAsia="宋体" w:hint="default"/>
                <w:sz w:val="18"/>
                <w:szCs w:val="18"/>
              </w:rPr>
              <w:t>万台</w:t>
            </w:r>
            <w:r>
              <w:rPr>
                <w:rFonts w:ascii="Times New Roman" w:hAnsi="Times New Roman" w:cs="Times New Roman" w:eastAsia="Times New Roman" w:hint="default"/>
                <w:sz w:val="18"/>
                <w:szCs w:val="18"/>
              </w:rPr>
              <w:t>/</w:t>
            </w:r>
            <w:r>
              <w:rPr>
                <w:rFonts w:ascii="宋体" w:hAnsi="宋体" w:cs="宋体" w:eastAsia="宋体" w:hint="default"/>
                <w:sz w:val="18"/>
                <w:szCs w:val="18"/>
              </w:rPr>
              <w:t>万吨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9,522.44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10,813.21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-11.94%</w:t>
            </w:r>
          </w:p>
        </w:tc>
      </w:tr>
      <w:tr>
        <w:trPr>
          <w:trHeight w:val="401" w:hRule="exact"/>
        </w:trPr>
        <w:tc>
          <w:tcPr>
            <w:tcW w:w="1608" w:type="dxa"/>
            <w:vMerge/>
            <w:tcBorders>
              <w:left w:val="single" w:sz="4" w:space="0" w:color="000000"/>
              <w:right w:val="single" w:sz="13" w:space="0" w:color="D2D2D2"/>
            </w:tcBorders>
          </w:tcPr>
          <w:p>
            <w:pPr/>
          </w:p>
        </w:tc>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8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万件</w:t>
            </w:r>
            <w:r>
              <w:rPr>
                <w:rFonts w:ascii="Times New Roman" w:hAnsi="Times New Roman" w:cs="Times New Roman" w:eastAsia="Times New Roman" w:hint="default"/>
                <w:sz w:val="18"/>
                <w:szCs w:val="18"/>
              </w:rPr>
              <w:t>/</w:t>
            </w:r>
            <w:r>
              <w:rPr>
                <w:rFonts w:ascii="宋体" w:hAnsi="宋体" w:cs="宋体" w:eastAsia="宋体" w:hint="default"/>
                <w:sz w:val="18"/>
                <w:szCs w:val="18"/>
              </w:rPr>
              <w:t>万套</w:t>
            </w:r>
            <w:r>
              <w:rPr>
                <w:rFonts w:ascii="Times New Roman" w:hAnsi="Times New Roman" w:cs="Times New Roman" w:eastAsia="Times New Roman" w:hint="default"/>
                <w:sz w:val="18"/>
                <w:szCs w:val="18"/>
              </w:rPr>
              <w:t>/</w:t>
            </w:r>
            <w:r>
              <w:rPr>
                <w:rFonts w:ascii="宋体" w:hAnsi="宋体" w:cs="宋体" w:eastAsia="宋体" w:hint="default"/>
                <w:sz w:val="18"/>
                <w:szCs w:val="18"/>
              </w:rPr>
              <w:t>万台</w:t>
            </w:r>
            <w:r>
              <w:rPr>
                <w:rFonts w:ascii="Times New Roman" w:hAnsi="Times New Roman" w:cs="Times New Roman" w:eastAsia="Times New Roman" w:hint="default"/>
                <w:sz w:val="18"/>
                <w:szCs w:val="18"/>
              </w:rPr>
              <w:t>/</w:t>
            </w:r>
            <w:r>
              <w:rPr>
                <w:rFonts w:ascii="宋体" w:hAnsi="宋体" w:cs="宋体" w:eastAsia="宋体" w:hint="default"/>
                <w:sz w:val="18"/>
                <w:szCs w:val="18"/>
              </w:rPr>
              <w:t>万吨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9,749.14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10,378.75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-6.07%</w:t>
            </w:r>
          </w:p>
        </w:tc>
      </w:tr>
      <w:tr>
        <w:trPr>
          <w:trHeight w:val="403" w:hRule="exact"/>
        </w:trPr>
        <w:tc>
          <w:tcPr>
            <w:tcW w:w="1608" w:type="dxa"/>
            <w:vMerge/>
            <w:tcBorders>
              <w:left w:val="single" w:sz="4" w:space="0" w:color="000000"/>
              <w:bottom w:val="single" w:sz="4" w:space="0" w:color="000000"/>
              <w:right w:val="single" w:sz="13" w:space="0" w:color="D2D2D2"/>
            </w:tcBorders>
          </w:tcPr>
          <w:p>
            <w:pPr/>
          </w:p>
        </w:tc>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8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万件</w:t>
            </w:r>
            <w:r>
              <w:rPr>
                <w:rFonts w:ascii="Times New Roman" w:hAnsi="Times New Roman" w:cs="Times New Roman" w:eastAsia="Times New Roman" w:hint="default"/>
                <w:sz w:val="18"/>
                <w:szCs w:val="18"/>
              </w:rPr>
              <w:t>/</w:t>
            </w:r>
            <w:r>
              <w:rPr>
                <w:rFonts w:ascii="宋体" w:hAnsi="宋体" w:cs="宋体" w:eastAsia="宋体" w:hint="default"/>
                <w:sz w:val="18"/>
                <w:szCs w:val="18"/>
              </w:rPr>
              <w:t>万套</w:t>
            </w:r>
            <w:r>
              <w:rPr>
                <w:rFonts w:ascii="Times New Roman" w:hAnsi="Times New Roman" w:cs="Times New Roman" w:eastAsia="Times New Roman" w:hint="default"/>
                <w:sz w:val="18"/>
                <w:szCs w:val="18"/>
              </w:rPr>
              <w:t>/</w:t>
            </w:r>
            <w:r>
              <w:rPr>
                <w:rFonts w:ascii="宋体" w:hAnsi="宋体" w:cs="宋体" w:eastAsia="宋体" w:hint="default"/>
                <w:sz w:val="18"/>
                <w:szCs w:val="18"/>
              </w:rPr>
              <w:t>万台</w:t>
            </w:r>
            <w:r>
              <w:rPr>
                <w:rFonts w:ascii="Times New Roman" w:hAnsi="Times New Roman" w:cs="Times New Roman" w:eastAsia="Times New Roman" w:hint="default"/>
                <w:sz w:val="18"/>
                <w:szCs w:val="18"/>
              </w:rPr>
              <w:t>/</w:t>
            </w:r>
            <w:r>
              <w:rPr>
                <w:rFonts w:ascii="宋体" w:hAnsi="宋体" w:cs="宋体" w:eastAsia="宋体" w:hint="default"/>
                <w:sz w:val="18"/>
                <w:szCs w:val="18"/>
              </w:rPr>
              <w:t>万吨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1,350.14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1,123.44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20.18%</w:t>
            </w:r>
          </w:p>
        </w:tc>
      </w:tr>
      <w:tr>
        <w:trPr>
          <w:trHeight w:val="401"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电机及配件类</w:t>
            </w:r>
          </w:p>
        </w:tc>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8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万件</w:t>
            </w:r>
            <w:r>
              <w:rPr>
                <w:rFonts w:ascii="Times New Roman" w:hAnsi="Times New Roman" w:cs="Times New Roman" w:eastAsia="Times New Roman" w:hint="default"/>
                <w:sz w:val="18"/>
                <w:szCs w:val="18"/>
              </w:rPr>
              <w:t>/</w:t>
            </w:r>
            <w:r>
              <w:rPr>
                <w:rFonts w:ascii="宋体" w:hAnsi="宋体" w:cs="宋体" w:eastAsia="宋体" w:hint="default"/>
                <w:sz w:val="18"/>
                <w:szCs w:val="18"/>
              </w:rPr>
              <w:t>万套</w:t>
            </w:r>
            <w:r>
              <w:rPr>
                <w:rFonts w:ascii="Times New Roman" w:hAnsi="Times New Roman" w:cs="Times New Roman" w:eastAsia="Times New Roman" w:hint="default"/>
                <w:sz w:val="18"/>
                <w:szCs w:val="18"/>
              </w:rPr>
              <w:t>/</w:t>
            </w:r>
            <w:r>
              <w:rPr>
                <w:rFonts w:ascii="宋体" w:hAnsi="宋体" w:cs="宋体" w:eastAsia="宋体" w:hint="default"/>
                <w:sz w:val="18"/>
                <w:szCs w:val="18"/>
              </w:rPr>
              <w:t>万台</w:t>
            </w:r>
            <w:r>
              <w:rPr>
                <w:rFonts w:ascii="Times New Roman" w:hAnsi="Times New Roman" w:cs="Times New Roman" w:eastAsia="Times New Roman" w:hint="default"/>
                <w:sz w:val="18"/>
                <w:szCs w:val="18"/>
              </w:rPr>
              <w:t>/</w:t>
            </w:r>
            <w:r>
              <w:rPr>
                <w:rFonts w:ascii="宋体" w:hAnsi="宋体" w:cs="宋体" w:eastAsia="宋体" w:hint="default"/>
                <w:sz w:val="18"/>
                <w:szCs w:val="18"/>
              </w:rPr>
              <w:t>万吨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899.72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691.12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30.18%</w:t>
            </w:r>
          </w:p>
        </w:tc>
      </w:tr>
      <w:tr>
        <w:trPr>
          <w:trHeight w:val="403" w:hRule="exact"/>
        </w:trPr>
        <w:tc>
          <w:tcPr>
            <w:tcW w:w="1608" w:type="dxa"/>
            <w:vMerge/>
            <w:tcBorders>
              <w:left w:val="single" w:sz="4" w:space="0" w:color="000000"/>
              <w:right w:val="single" w:sz="13" w:space="0" w:color="D2D2D2"/>
            </w:tcBorders>
          </w:tcPr>
          <w:p>
            <w:pPr/>
          </w:p>
        </w:tc>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8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万件</w:t>
            </w:r>
            <w:r>
              <w:rPr>
                <w:rFonts w:ascii="Times New Roman" w:hAnsi="Times New Roman" w:cs="Times New Roman" w:eastAsia="Times New Roman" w:hint="default"/>
                <w:sz w:val="18"/>
                <w:szCs w:val="18"/>
              </w:rPr>
              <w:t>/</w:t>
            </w:r>
            <w:r>
              <w:rPr>
                <w:rFonts w:ascii="宋体" w:hAnsi="宋体" w:cs="宋体" w:eastAsia="宋体" w:hint="default"/>
                <w:sz w:val="18"/>
                <w:szCs w:val="18"/>
              </w:rPr>
              <w:t>万套</w:t>
            </w:r>
            <w:r>
              <w:rPr>
                <w:rFonts w:ascii="Times New Roman" w:hAnsi="Times New Roman" w:cs="Times New Roman" w:eastAsia="Times New Roman" w:hint="default"/>
                <w:sz w:val="18"/>
                <w:szCs w:val="18"/>
              </w:rPr>
              <w:t>/</w:t>
            </w:r>
            <w:r>
              <w:rPr>
                <w:rFonts w:ascii="宋体" w:hAnsi="宋体" w:cs="宋体" w:eastAsia="宋体" w:hint="default"/>
                <w:sz w:val="18"/>
                <w:szCs w:val="18"/>
              </w:rPr>
              <w:t>万台</w:t>
            </w:r>
            <w:r>
              <w:rPr>
                <w:rFonts w:ascii="Times New Roman" w:hAnsi="Times New Roman" w:cs="Times New Roman" w:eastAsia="Times New Roman" w:hint="default"/>
                <w:sz w:val="18"/>
                <w:szCs w:val="18"/>
              </w:rPr>
              <w:t>/</w:t>
            </w:r>
            <w:r>
              <w:rPr>
                <w:rFonts w:ascii="宋体" w:hAnsi="宋体" w:cs="宋体" w:eastAsia="宋体" w:hint="default"/>
                <w:sz w:val="18"/>
                <w:szCs w:val="18"/>
              </w:rPr>
              <w:t>万吨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697.67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29.07%</w:t>
            </w:r>
          </w:p>
        </w:tc>
      </w:tr>
      <w:tr>
        <w:trPr>
          <w:trHeight w:val="401" w:hRule="exact"/>
        </w:trPr>
        <w:tc>
          <w:tcPr>
            <w:tcW w:w="1608" w:type="dxa"/>
            <w:vMerge/>
            <w:tcBorders>
              <w:left w:val="single" w:sz="4" w:space="0" w:color="000000"/>
              <w:bottom w:val="single" w:sz="4" w:space="0" w:color="000000"/>
              <w:right w:val="single" w:sz="13" w:space="0" w:color="D2D2D2"/>
            </w:tcBorders>
          </w:tcPr>
          <w:p>
            <w:pPr/>
          </w:p>
        </w:tc>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8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万件</w:t>
            </w:r>
            <w:r>
              <w:rPr>
                <w:rFonts w:ascii="Times New Roman" w:hAnsi="Times New Roman" w:cs="Times New Roman" w:eastAsia="Times New Roman" w:hint="default"/>
                <w:sz w:val="18"/>
                <w:szCs w:val="18"/>
              </w:rPr>
              <w:t>/</w:t>
            </w:r>
            <w:r>
              <w:rPr>
                <w:rFonts w:ascii="宋体" w:hAnsi="宋体" w:cs="宋体" w:eastAsia="宋体" w:hint="default"/>
                <w:sz w:val="18"/>
                <w:szCs w:val="18"/>
              </w:rPr>
              <w:t>万套</w:t>
            </w:r>
            <w:r>
              <w:rPr>
                <w:rFonts w:ascii="Times New Roman" w:hAnsi="Times New Roman" w:cs="Times New Roman" w:eastAsia="Times New Roman" w:hint="default"/>
                <w:sz w:val="18"/>
                <w:szCs w:val="18"/>
              </w:rPr>
              <w:t>/</w:t>
            </w:r>
            <w:r>
              <w:rPr>
                <w:rFonts w:ascii="宋体" w:hAnsi="宋体" w:cs="宋体" w:eastAsia="宋体" w:hint="default"/>
                <w:sz w:val="18"/>
                <w:szCs w:val="18"/>
              </w:rPr>
              <w:t>万台</w:t>
            </w:r>
            <w:r>
              <w:rPr>
                <w:rFonts w:ascii="Times New Roman" w:hAnsi="Times New Roman" w:cs="Times New Roman" w:eastAsia="Times New Roman" w:hint="default"/>
                <w:sz w:val="18"/>
                <w:szCs w:val="18"/>
              </w:rPr>
              <w:t>/</w:t>
            </w:r>
            <w:r>
              <w:rPr>
                <w:rFonts w:ascii="宋体" w:hAnsi="宋体" w:cs="宋体" w:eastAsia="宋体" w:hint="default"/>
                <w:sz w:val="18"/>
                <w:szCs w:val="18"/>
              </w:rPr>
              <w:t>万吨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w:t>
            </w:r>
          </w:p>
        </w:tc>
      </w:tr>
      <w:tr>
        <w:trPr>
          <w:trHeight w:val="403"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模具类</w:t>
            </w:r>
          </w:p>
        </w:tc>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8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万件</w:t>
            </w:r>
            <w:r>
              <w:rPr>
                <w:rFonts w:ascii="Times New Roman" w:hAnsi="Times New Roman" w:cs="Times New Roman" w:eastAsia="Times New Roman" w:hint="default"/>
                <w:sz w:val="18"/>
                <w:szCs w:val="18"/>
              </w:rPr>
              <w:t>/</w:t>
            </w:r>
            <w:r>
              <w:rPr>
                <w:rFonts w:ascii="宋体" w:hAnsi="宋体" w:cs="宋体" w:eastAsia="宋体" w:hint="default"/>
                <w:sz w:val="18"/>
                <w:szCs w:val="18"/>
              </w:rPr>
              <w:t>万套</w:t>
            </w:r>
            <w:r>
              <w:rPr>
                <w:rFonts w:ascii="Times New Roman" w:hAnsi="Times New Roman" w:cs="Times New Roman" w:eastAsia="Times New Roman" w:hint="default"/>
                <w:sz w:val="18"/>
                <w:szCs w:val="18"/>
              </w:rPr>
              <w:t>/</w:t>
            </w:r>
            <w:r>
              <w:rPr>
                <w:rFonts w:ascii="宋体" w:hAnsi="宋体" w:cs="宋体" w:eastAsia="宋体" w:hint="default"/>
                <w:sz w:val="18"/>
                <w:szCs w:val="18"/>
              </w:rPr>
              <w:t>万台</w:t>
            </w:r>
            <w:r>
              <w:rPr>
                <w:rFonts w:ascii="Times New Roman" w:hAnsi="Times New Roman" w:cs="Times New Roman" w:eastAsia="Times New Roman" w:hint="default"/>
                <w:sz w:val="18"/>
                <w:szCs w:val="18"/>
              </w:rPr>
              <w:t>/</w:t>
            </w:r>
            <w:r>
              <w:rPr>
                <w:rFonts w:ascii="宋体" w:hAnsi="宋体" w:cs="宋体" w:eastAsia="宋体" w:hint="default"/>
                <w:sz w:val="18"/>
                <w:szCs w:val="18"/>
              </w:rPr>
              <w:t>万吨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1608" w:type="dxa"/>
            <w:vMerge/>
            <w:tcBorders>
              <w:left w:val="single" w:sz="4" w:space="0" w:color="000000"/>
              <w:right w:val="single" w:sz="13" w:space="0" w:color="D2D2D2"/>
            </w:tcBorders>
          </w:tcPr>
          <w:p>
            <w:pPr/>
          </w:p>
        </w:tc>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8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万件</w:t>
            </w:r>
            <w:r>
              <w:rPr>
                <w:rFonts w:ascii="Times New Roman" w:hAnsi="Times New Roman" w:cs="Times New Roman" w:eastAsia="Times New Roman" w:hint="default"/>
                <w:sz w:val="18"/>
                <w:szCs w:val="18"/>
              </w:rPr>
              <w:t>/</w:t>
            </w:r>
            <w:r>
              <w:rPr>
                <w:rFonts w:ascii="宋体" w:hAnsi="宋体" w:cs="宋体" w:eastAsia="宋体" w:hint="default"/>
                <w:sz w:val="18"/>
                <w:szCs w:val="18"/>
              </w:rPr>
              <w:t>万套</w:t>
            </w:r>
            <w:r>
              <w:rPr>
                <w:rFonts w:ascii="Times New Roman" w:hAnsi="Times New Roman" w:cs="Times New Roman" w:eastAsia="Times New Roman" w:hint="default"/>
                <w:sz w:val="18"/>
                <w:szCs w:val="18"/>
              </w:rPr>
              <w:t>/</w:t>
            </w:r>
            <w:r>
              <w:rPr>
                <w:rFonts w:ascii="宋体" w:hAnsi="宋体" w:cs="宋体" w:eastAsia="宋体" w:hint="default"/>
                <w:sz w:val="18"/>
                <w:szCs w:val="18"/>
              </w:rPr>
              <w:t>万台</w:t>
            </w:r>
            <w:r>
              <w:rPr>
                <w:rFonts w:ascii="Times New Roman" w:hAnsi="Times New Roman" w:cs="Times New Roman" w:eastAsia="Times New Roman" w:hint="default"/>
                <w:sz w:val="18"/>
                <w:szCs w:val="18"/>
              </w:rPr>
              <w:t>/</w:t>
            </w:r>
            <w:r>
              <w:rPr>
                <w:rFonts w:ascii="宋体" w:hAnsi="宋体" w:cs="宋体" w:eastAsia="宋体" w:hint="default"/>
                <w:sz w:val="18"/>
                <w:szCs w:val="18"/>
              </w:rPr>
              <w:t>万吨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1608" w:type="dxa"/>
            <w:vMerge/>
            <w:tcBorders>
              <w:left w:val="single" w:sz="4" w:space="0" w:color="000000"/>
              <w:bottom w:val="single" w:sz="4" w:space="0" w:color="000000"/>
              <w:right w:val="single" w:sz="13" w:space="0" w:color="D2D2D2"/>
            </w:tcBorders>
          </w:tcPr>
          <w:p>
            <w:pPr/>
          </w:p>
        </w:tc>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8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万件</w:t>
            </w:r>
            <w:r>
              <w:rPr>
                <w:rFonts w:ascii="Times New Roman" w:hAnsi="Times New Roman" w:cs="Times New Roman" w:eastAsia="Times New Roman" w:hint="default"/>
                <w:sz w:val="18"/>
                <w:szCs w:val="18"/>
              </w:rPr>
              <w:t>/</w:t>
            </w:r>
            <w:r>
              <w:rPr>
                <w:rFonts w:ascii="宋体" w:hAnsi="宋体" w:cs="宋体" w:eastAsia="宋体" w:hint="default"/>
                <w:sz w:val="18"/>
                <w:szCs w:val="18"/>
              </w:rPr>
              <w:t>万套</w:t>
            </w:r>
            <w:r>
              <w:rPr>
                <w:rFonts w:ascii="Times New Roman" w:hAnsi="Times New Roman" w:cs="Times New Roman" w:eastAsia="Times New Roman" w:hint="default"/>
                <w:sz w:val="18"/>
                <w:szCs w:val="18"/>
              </w:rPr>
              <w:t>/</w:t>
            </w:r>
            <w:r>
              <w:rPr>
                <w:rFonts w:ascii="宋体" w:hAnsi="宋体" w:cs="宋体" w:eastAsia="宋体" w:hint="default"/>
                <w:sz w:val="18"/>
                <w:szCs w:val="18"/>
              </w:rPr>
              <w:t>万台</w:t>
            </w:r>
            <w:r>
              <w:rPr>
                <w:rFonts w:ascii="Times New Roman" w:hAnsi="Times New Roman" w:cs="Times New Roman" w:eastAsia="Times New Roman" w:hint="default"/>
                <w:sz w:val="18"/>
                <w:szCs w:val="18"/>
              </w:rPr>
              <w:t>/</w:t>
            </w:r>
            <w:r>
              <w:rPr>
                <w:rFonts w:ascii="宋体" w:hAnsi="宋体" w:cs="宋体" w:eastAsia="宋体" w:hint="default"/>
                <w:sz w:val="18"/>
                <w:szCs w:val="18"/>
              </w:rPr>
              <w:t>万吨</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8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万件</w:t>
            </w:r>
            <w:r>
              <w:rPr>
                <w:rFonts w:ascii="Times New Roman" w:hAnsi="Times New Roman" w:cs="Times New Roman" w:eastAsia="Times New Roman" w:hint="default"/>
                <w:sz w:val="18"/>
                <w:szCs w:val="18"/>
              </w:rPr>
              <w:t>/</w:t>
            </w:r>
            <w:r>
              <w:rPr>
                <w:rFonts w:ascii="宋体" w:hAnsi="宋体" w:cs="宋体" w:eastAsia="宋体" w:hint="default"/>
                <w:sz w:val="18"/>
                <w:szCs w:val="18"/>
              </w:rPr>
              <w:t>万套</w:t>
            </w:r>
            <w:r>
              <w:rPr>
                <w:rFonts w:ascii="Times New Roman" w:hAnsi="Times New Roman" w:cs="Times New Roman" w:eastAsia="Times New Roman" w:hint="default"/>
                <w:sz w:val="18"/>
                <w:szCs w:val="18"/>
              </w:rPr>
              <w:t>/</w:t>
            </w:r>
            <w:r>
              <w:rPr>
                <w:rFonts w:ascii="宋体" w:hAnsi="宋体" w:cs="宋体" w:eastAsia="宋体" w:hint="default"/>
                <w:sz w:val="18"/>
                <w:szCs w:val="18"/>
              </w:rPr>
              <w:t>万台</w:t>
            </w:r>
            <w:r>
              <w:rPr>
                <w:rFonts w:ascii="Times New Roman" w:hAnsi="Times New Roman" w:cs="Times New Roman" w:eastAsia="Times New Roman" w:hint="default"/>
                <w:sz w:val="18"/>
                <w:szCs w:val="18"/>
              </w:rPr>
              <w:t>/</w:t>
            </w:r>
            <w:r>
              <w:rPr>
                <w:rFonts w:ascii="宋体" w:hAnsi="宋体" w:cs="宋体" w:eastAsia="宋体" w:hint="default"/>
                <w:sz w:val="18"/>
                <w:szCs w:val="18"/>
              </w:rPr>
              <w:t>万吨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10,453.98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11,534.79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-9.37%</w:t>
            </w:r>
          </w:p>
        </w:tc>
      </w:tr>
      <w:tr>
        <w:trPr>
          <w:trHeight w:val="404" w:hRule="exact"/>
        </w:trPr>
        <w:tc>
          <w:tcPr>
            <w:tcW w:w="1608" w:type="dxa"/>
            <w:vMerge/>
            <w:tcBorders>
              <w:left w:val="single" w:sz="4" w:space="0" w:color="000000"/>
              <w:right w:val="single" w:sz="13" w:space="0" w:color="D2D2D2"/>
            </w:tcBorders>
          </w:tcPr>
          <w:p>
            <w:pPr/>
          </w:p>
        </w:tc>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8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万件</w:t>
            </w:r>
            <w:r>
              <w:rPr>
                <w:rFonts w:ascii="Times New Roman" w:hAnsi="Times New Roman" w:cs="Times New Roman" w:eastAsia="Times New Roman" w:hint="default"/>
                <w:sz w:val="18"/>
                <w:szCs w:val="18"/>
              </w:rPr>
              <w:t>/</w:t>
            </w:r>
            <w:r>
              <w:rPr>
                <w:rFonts w:ascii="宋体" w:hAnsi="宋体" w:cs="宋体" w:eastAsia="宋体" w:hint="default"/>
                <w:sz w:val="18"/>
                <w:szCs w:val="18"/>
              </w:rPr>
              <w:t>万套</w:t>
            </w:r>
            <w:r>
              <w:rPr>
                <w:rFonts w:ascii="Times New Roman" w:hAnsi="Times New Roman" w:cs="Times New Roman" w:eastAsia="Times New Roman" w:hint="default"/>
                <w:sz w:val="18"/>
                <w:szCs w:val="18"/>
              </w:rPr>
              <w:t>/</w:t>
            </w:r>
            <w:r>
              <w:rPr>
                <w:rFonts w:ascii="宋体" w:hAnsi="宋体" w:cs="宋体" w:eastAsia="宋体" w:hint="default"/>
                <w:sz w:val="18"/>
                <w:szCs w:val="18"/>
              </w:rPr>
              <w:t>万台</w:t>
            </w:r>
            <w:r>
              <w:rPr>
                <w:rFonts w:ascii="Times New Roman" w:hAnsi="Times New Roman" w:cs="Times New Roman" w:eastAsia="Times New Roman" w:hint="default"/>
                <w:sz w:val="18"/>
                <w:szCs w:val="18"/>
              </w:rPr>
              <w:t>/</w:t>
            </w:r>
            <w:r>
              <w:rPr>
                <w:rFonts w:ascii="宋体" w:hAnsi="宋体" w:cs="宋体" w:eastAsia="宋体" w:hint="default"/>
                <w:sz w:val="18"/>
                <w:szCs w:val="18"/>
              </w:rPr>
              <w:t>万吨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10,676.02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11,103.57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-3.85%</w:t>
            </w:r>
          </w:p>
        </w:tc>
      </w:tr>
      <w:tr>
        <w:trPr>
          <w:trHeight w:val="401" w:hRule="exact"/>
        </w:trPr>
        <w:tc>
          <w:tcPr>
            <w:tcW w:w="1608" w:type="dxa"/>
            <w:vMerge/>
            <w:tcBorders>
              <w:left w:val="single" w:sz="4" w:space="0" w:color="000000"/>
              <w:bottom w:val="single" w:sz="4" w:space="0" w:color="000000"/>
              <w:right w:val="single" w:sz="13" w:space="0" w:color="D2D2D2"/>
            </w:tcBorders>
          </w:tcPr>
          <w:p>
            <w:pPr/>
          </w:p>
        </w:tc>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8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万件</w:t>
            </w:r>
            <w:r>
              <w:rPr>
                <w:rFonts w:ascii="Times New Roman" w:hAnsi="Times New Roman" w:cs="Times New Roman" w:eastAsia="Times New Roman" w:hint="default"/>
                <w:sz w:val="18"/>
                <w:szCs w:val="18"/>
              </w:rPr>
              <w:t>/</w:t>
            </w:r>
            <w:r>
              <w:rPr>
                <w:rFonts w:ascii="宋体" w:hAnsi="宋体" w:cs="宋体" w:eastAsia="宋体" w:hint="default"/>
                <w:sz w:val="18"/>
                <w:szCs w:val="18"/>
              </w:rPr>
              <w:t>万套</w:t>
            </w:r>
            <w:r>
              <w:rPr>
                <w:rFonts w:ascii="Times New Roman" w:hAnsi="Times New Roman" w:cs="Times New Roman" w:eastAsia="Times New Roman" w:hint="default"/>
                <w:sz w:val="18"/>
                <w:szCs w:val="18"/>
              </w:rPr>
              <w:t>/</w:t>
            </w:r>
            <w:r>
              <w:rPr>
                <w:rFonts w:ascii="宋体" w:hAnsi="宋体" w:cs="宋体" w:eastAsia="宋体" w:hint="default"/>
                <w:sz w:val="18"/>
                <w:szCs w:val="18"/>
              </w:rPr>
              <w:t>万台</w:t>
            </w:r>
            <w:r>
              <w:rPr>
                <w:rFonts w:ascii="Times New Roman" w:hAnsi="Times New Roman" w:cs="Times New Roman" w:eastAsia="Times New Roman" w:hint="default"/>
                <w:sz w:val="18"/>
                <w:szCs w:val="18"/>
              </w:rPr>
              <w:t>/</w:t>
            </w:r>
            <w:r>
              <w:rPr>
                <w:rFonts w:ascii="宋体" w:hAnsi="宋体" w:cs="宋体" w:eastAsia="宋体" w:hint="default"/>
                <w:sz w:val="18"/>
                <w:szCs w:val="18"/>
              </w:rPr>
              <w:t>万吨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1,412.46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1,190.42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18.65%</w:t>
            </w:r>
          </w:p>
        </w:tc>
      </w:tr>
    </w:tbl>
    <w:p>
      <w:pPr>
        <w:pStyle w:val="BodyText"/>
        <w:spacing w:line="240" w:lineRule="auto" w:before="49"/>
        <w:ind w:right="1133"/>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240" w:lineRule="auto" w:before="103"/>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1"/>
        <w:ind w:right="1122"/>
        <w:jc w:val="left"/>
      </w:pPr>
      <w:r>
        <w:rPr>
          <w:rFonts w:ascii="Times New Roman" w:hAnsi="Times New Roman" w:cs="Times New Roman" w:eastAsia="Times New Roman" w:hint="default"/>
        </w:rPr>
        <w:t>1</w:t>
      </w:r>
      <w:r>
        <w:rPr/>
        <w:t>、报告期，公司家电配件类产品实现营业收入</w:t>
      </w:r>
      <w:r>
        <w:rPr>
          <w:spacing w:val="-52"/>
        </w:rPr>
        <w:t> </w:t>
      </w:r>
      <w:r>
        <w:rPr>
          <w:rFonts w:ascii="Times New Roman" w:hAnsi="Times New Roman" w:cs="Times New Roman" w:eastAsia="Times New Roman" w:hint="default"/>
        </w:rPr>
        <w:t>106,149.81</w:t>
      </w:r>
      <w:r>
        <w:rPr>
          <w:rFonts w:ascii="Times New Roman" w:hAnsi="Times New Roman" w:cs="Times New Roman" w:eastAsia="Times New Roman" w:hint="default"/>
          <w:spacing w:val="-7"/>
        </w:rPr>
        <w:t> </w:t>
      </w:r>
      <w:r>
        <w:rPr/>
        <w:t>万元，较同期增长</w:t>
      </w:r>
      <w:r>
        <w:rPr>
          <w:spacing w:val="-52"/>
        </w:rPr>
        <w:t> </w:t>
      </w:r>
      <w:r>
        <w:rPr>
          <w:rFonts w:ascii="Times New Roman" w:hAnsi="Times New Roman" w:cs="Times New Roman" w:eastAsia="Times New Roman" w:hint="default"/>
        </w:rPr>
        <w:t>31.87%</w:t>
      </w:r>
      <w:r>
        <w:rPr/>
        <w:t>。但销售量较同期增长</w:t>
      </w:r>
      <w:r>
        <w:rPr>
          <w:spacing w:val="-52"/>
        </w:rPr>
        <w:t> </w:t>
      </w:r>
      <w:r>
        <w:rPr>
          <w:rFonts w:ascii="Times New Roman" w:hAnsi="Times New Roman" w:cs="Times New Roman" w:eastAsia="Times New Roman" w:hint="default"/>
        </w:rPr>
        <w:t>4.43%</w:t>
      </w:r>
      <w:r>
        <w:rPr/>
        <w:t>，库存量 较同期下降</w:t>
      </w:r>
      <w:r>
        <w:rPr>
          <w:spacing w:val="-46"/>
        </w:rPr>
        <w:t> </w:t>
      </w:r>
      <w:r>
        <w:rPr>
          <w:rFonts w:ascii="Times New Roman" w:hAnsi="Times New Roman" w:cs="Times New Roman" w:eastAsia="Times New Roman" w:hint="default"/>
        </w:rPr>
        <w:t>91.26%</w:t>
      </w:r>
      <w:r>
        <w:rPr/>
        <w:t>，主要原因如下：</w:t>
      </w:r>
    </w:p>
    <w:p>
      <w:pPr>
        <w:pStyle w:val="BodyText"/>
        <w:spacing w:line="300" w:lineRule="auto" w:before="53"/>
        <w:ind w:right="1145" w:firstLine="362"/>
        <w:jc w:val="left"/>
      </w:pPr>
      <w:r>
        <w:rPr/>
        <w:t>家电配件类产品以吨、件为主计量单位，其中以件为单位的产品销售数量较同期下降</w:t>
      </w:r>
      <w:r>
        <w:rPr>
          <w:spacing w:val="-46"/>
        </w:rPr>
        <w:t> </w:t>
      </w:r>
      <w:r>
        <w:rPr>
          <w:rFonts w:ascii="Times New Roman" w:hAnsi="Times New Roman" w:cs="Times New Roman" w:eastAsia="Times New Roman" w:hint="default"/>
        </w:rPr>
        <w:t>60%</w:t>
      </w:r>
      <w:r>
        <w:rPr/>
        <w:t>以上，但销售单价较低，该 类产品占比由</w:t>
      </w:r>
      <w:r>
        <w:rPr>
          <w:spacing w:val="-46"/>
        </w:rPr>
        <w:t> </w:t>
      </w:r>
      <w:r>
        <w:rPr>
          <w:rFonts w:ascii="Times New Roman" w:hAnsi="Times New Roman" w:cs="Times New Roman" w:eastAsia="Times New Roman" w:hint="default"/>
        </w:rPr>
        <w:t>2018 </w:t>
      </w:r>
      <w:r>
        <w:rPr/>
        <w:t>年度的</w:t>
      </w:r>
      <w:r>
        <w:rPr>
          <w:spacing w:val="-47"/>
        </w:rPr>
        <w:t> </w:t>
      </w:r>
      <w:r>
        <w:rPr>
          <w:rFonts w:ascii="Times New Roman" w:hAnsi="Times New Roman" w:cs="Times New Roman" w:eastAsia="Times New Roman" w:hint="default"/>
        </w:rPr>
        <w:t>51%</w:t>
      </w:r>
      <w:r>
        <w:rPr/>
        <w:t>下降至</w:t>
      </w:r>
      <w:r>
        <w:rPr>
          <w:spacing w:val="-46"/>
        </w:rPr>
        <w:t> </w:t>
      </w:r>
      <w:r>
        <w:rPr>
          <w:rFonts w:ascii="Times New Roman" w:hAnsi="Times New Roman" w:cs="Times New Roman" w:eastAsia="Times New Roman" w:hint="default"/>
        </w:rPr>
        <w:t>19%</w:t>
      </w:r>
      <w:r>
        <w:rPr/>
        <w:t>。</w:t>
      </w:r>
      <w:r>
        <w:rPr>
          <w:rFonts w:ascii="Times New Roman" w:hAnsi="Times New Roman" w:cs="Times New Roman" w:eastAsia="Times New Roman" w:hint="default"/>
        </w:rPr>
        <w:t>2018 </w:t>
      </w:r>
      <w:r>
        <w:rPr/>
        <w:t>年末以件为单位的产品库存量较高并与</w:t>
      </w:r>
      <w:r>
        <w:rPr>
          <w:spacing w:val="-47"/>
        </w:rPr>
        <w:t> </w:t>
      </w:r>
      <w:r>
        <w:rPr>
          <w:rFonts w:ascii="Times New Roman" w:hAnsi="Times New Roman" w:cs="Times New Roman" w:eastAsia="Times New Roman" w:hint="default"/>
        </w:rPr>
        <w:t>2019 </w:t>
      </w:r>
      <w:r>
        <w:rPr/>
        <w:t>年度销售；以吨为计量单位 的产品数量较同期增长</w:t>
      </w:r>
      <w:r>
        <w:rPr>
          <w:spacing w:val="-47"/>
        </w:rPr>
        <w:t> </w:t>
      </w:r>
      <w:r>
        <w:rPr>
          <w:rFonts w:ascii="Times New Roman" w:hAnsi="Times New Roman" w:cs="Times New Roman" w:eastAsia="Times New Roman" w:hint="default"/>
        </w:rPr>
        <w:t>70%</w:t>
      </w:r>
      <w:r>
        <w:rPr/>
        <w:t>以上。</w:t>
      </w:r>
    </w:p>
    <w:p>
      <w:pPr>
        <w:pStyle w:val="BodyText"/>
        <w:spacing w:line="300" w:lineRule="auto" w:before="53"/>
        <w:ind w:right="1128"/>
        <w:jc w:val="left"/>
      </w:pPr>
      <w:r>
        <w:rPr>
          <w:rFonts w:ascii="Times New Roman" w:hAnsi="Times New Roman" w:cs="Times New Roman" w:eastAsia="Times New Roman" w:hint="default"/>
        </w:rPr>
        <w:t>2</w:t>
      </w:r>
      <w:r>
        <w:rPr/>
        <w:t>、报告期，公司汽车及配件类产品实现营业收入</w:t>
      </w:r>
      <w:r>
        <w:rPr>
          <w:spacing w:val="-53"/>
        </w:rPr>
        <w:t> </w:t>
      </w:r>
      <w:r>
        <w:rPr>
          <w:rFonts w:ascii="Times New Roman" w:hAnsi="Times New Roman" w:cs="Times New Roman" w:eastAsia="Times New Roman" w:hint="default"/>
        </w:rPr>
        <w:t>292,484.66</w:t>
      </w:r>
      <w:r>
        <w:rPr>
          <w:rFonts w:ascii="Times New Roman" w:hAnsi="Times New Roman" w:cs="Times New Roman" w:eastAsia="Times New Roman" w:hint="default"/>
          <w:spacing w:val="-9"/>
        </w:rPr>
        <w:t> </w:t>
      </w:r>
      <w:r>
        <w:rPr/>
        <w:t>万元，较同期增长</w:t>
      </w:r>
      <w:r>
        <w:rPr>
          <w:spacing w:val="-54"/>
        </w:rPr>
        <w:t> </w:t>
      </w:r>
      <w:r>
        <w:rPr>
          <w:rFonts w:ascii="Times New Roman" w:hAnsi="Times New Roman" w:cs="Times New Roman" w:eastAsia="Times New Roman" w:hint="default"/>
        </w:rPr>
        <w:t>5.30%</w:t>
      </w:r>
      <w:r>
        <w:rPr/>
        <w:t>，但销售量较同期下降</w:t>
      </w:r>
      <w:r>
        <w:rPr>
          <w:spacing w:val="-53"/>
        </w:rPr>
        <w:t> </w:t>
      </w:r>
      <w:r>
        <w:rPr>
          <w:rFonts w:ascii="Times New Roman" w:hAnsi="Times New Roman" w:cs="Times New Roman" w:eastAsia="Times New Roman" w:hint="default"/>
        </w:rPr>
        <w:t>11.94%</w:t>
      </w:r>
      <w:r>
        <w:rPr/>
        <w:t>，库存</w:t>
      </w:r>
      <w:r>
        <w:rPr>
          <w:spacing w:val="-3"/>
        </w:rPr>
        <w:t> </w:t>
      </w:r>
      <w:r>
        <w:rPr/>
        <w:t>量较同期增长</w:t>
      </w:r>
      <w:r>
        <w:rPr>
          <w:spacing w:val="-46"/>
        </w:rPr>
        <w:t> </w:t>
      </w:r>
      <w:r>
        <w:rPr>
          <w:rFonts w:ascii="Times New Roman" w:hAnsi="Times New Roman" w:cs="Times New Roman" w:eastAsia="Times New Roman" w:hint="default"/>
        </w:rPr>
        <w:t>20.18%</w:t>
      </w:r>
      <w:r>
        <w:rPr/>
        <w:t>，主要原因如下：</w:t>
      </w:r>
    </w:p>
    <w:p>
      <w:pPr>
        <w:pStyle w:val="BodyText"/>
        <w:spacing w:line="300" w:lineRule="auto" w:before="52"/>
        <w:ind w:right="1027" w:firstLine="362"/>
        <w:jc w:val="left"/>
      </w:pPr>
      <w:r>
        <w:rPr/>
        <w:t>汽车及配件类产品以件、吨为主计量单位，其中以件为计量单位的产品数量占比</w:t>
      </w:r>
      <w:r>
        <w:rPr>
          <w:spacing w:val="-55"/>
        </w:rPr>
        <w:t> </w:t>
      </w:r>
      <w:r>
        <w:rPr>
          <w:rFonts w:ascii="Times New Roman" w:hAnsi="Times New Roman" w:cs="Times New Roman" w:eastAsia="Times New Roman" w:hint="default"/>
        </w:rPr>
        <w:t>99%</w:t>
      </w:r>
      <w:r>
        <w:rPr/>
        <w:t>以上，销售数量较同期下降较大， 但销售单价较低。以吨为计量单位的产品销售单价较高，销售数量较同期增长</w:t>
      </w:r>
      <w:r>
        <w:rPr>
          <w:spacing w:val="-43"/>
        </w:rPr>
        <w:t> </w:t>
      </w:r>
      <w:r>
        <w:rPr>
          <w:rFonts w:ascii="Times New Roman" w:hAnsi="Times New Roman" w:cs="Times New Roman" w:eastAsia="Times New Roman" w:hint="default"/>
        </w:rPr>
        <w:t>23%</w:t>
      </w:r>
      <w:r>
        <w:rPr/>
        <w:t>。</w:t>
      </w:r>
    </w:p>
    <w:p>
      <w:pPr>
        <w:pStyle w:val="BodyText"/>
        <w:spacing w:line="300" w:lineRule="auto" w:before="53"/>
        <w:ind w:right="1117"/>
        <w:jc w:val="left"/>
      </w:pPr>
      <w:r>
        <w:rPr>
          <w:rFonts w:ascii="Times New Roman" w:hAnsi="Times New Roman" w:cs="Times New Roman" w:eastAsia="Times New Roman" w:hint="default"/>
        </w:rPr>
        <w:t>3</w:t>
      </w:r>
      <w:r>
        <w:rPr/>
        <w:t>、报告期，公司电机及配件类产品实现营业收入</w:t>
      </w:r>
      <w:r>
        <w:rPr>
          <w:spacing w:val="-51"/>
        </w:rPr>
        <w:t> </w:t>
      </w:r>
      <w:r>
        <w:rPr>
          <w:rFonts w:ascii="Times New Roman" w:hAnsi="Times New Roman" w:cs="Times New Roman" w:eastAsia="Times New Roman" w:hint="default"/>
        </w:rPr>
        <w:t>21,380.63</w:t>
      </w:r>
      <w:r>
        <w:rPr>
          <w:rFonts w:ascii="Times New Roman" w:hAnsi="Times New Roman" w:cs="Times New Roman" w:eastAsia="Times New Roman" w:hint="default"/>
          <w:spacing w:val="-5"/>
        </w:rPr>
        <w:t> </w:t>
      </w:r>
      <w:r>
        <w:rPr/>
        <w:t>万元，较同期增长</w:t>
      </w:r>
      <w:r>
        <w:rPr>
          <w:spacing w:val="-51"/>
        </w:rPr>
        <w:t> </w:t>
      </w:r>
      <w:r>
        <w:rPr>
          <w:rFonts w:ascii="Times New Roman" w:hAnsi="Times New Roman" w:cs="Times New Roman" w:eastAsia="Times New Roman" w:hint="default"/>
        </w:rPr>
        <w:t>17.77%</w:t>
      </w:r>
      <w:r>
        <w:rPr/>
        <w:t>，但销售量较同期增长</w:t>
      </w:r>
      <w:r>
        <w:rPr>
          <w:spacing w:val="-51"/>
        </w:rPr>
        <w:t> </w:t>
      </w:r>
      <w:r>
        <w:rPr>
          <w:rFonts w:ascii="Times New Roman" w:hAnsi="Times New Roman" w:cs="Times New Roman" w:eastAsia="Times New Roman" w:hint="default"/>
        </w:rPr>
        <w:t>30.18%</w:t>
      </w:r>
      <w:r>
        <w:rPr/>
        <w:t>，库存 量基本持平，主要原因如下：</w:t>
      </w:r>
    </w:p>
    <w:p>
      <w:pPr>
        <w:pStyle w:val="BodyText"/>
        <w:spacing w:line="300" w:lineRule="auto" w:before="72"/>
        <w:ind w:right="1205" w:firstLine="362"/>
        <w:jc w:val="left"/>
      </w:pPr>
      <w:r>
        <w:rPr/>
        <w:t>电机及配件类产品以台、件为主计量单位，其中以台为主计量的产品销售价格较高，销售数量较同期增长</w:t>
      </w:r>
      <w:r>
        <w:rPr>
          <w:spacing w:val="-53"/>
        </w:rPr>
        <w:t> </w:t>
      </w:r>
      <w:r>
        <w:rPr>
          <w:rFonts w:ascii="Times New Roman" w:hAnsi="Times New Roman" w:cs="Times New Roman" w:eastAsia="Times New Roman" w:hint="default"/>
        </w:rPr>
        <w:t>11%</w:t>
      </w:r>
      <w:r>
        <w:rPr/>
        <w:t>。以件 为计量单位的产品销售单价较低，数量占比较大，本期销售数量较同期增长较大。</w:t>
      </w:r>
    </w:p>
    <w:p>
      <w:pPr>
        <w:spacing w:after="0" w:line="30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产品分类</w:t>
      </w:r>
    </w:p>
    <w:p>
      <w:pPr>
        <w:pStyle w:val="BodyText"/>
        <w:spacing w:line="240" w:lineRule="auto" w:before="117"/>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汽车及配件类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2,574,161,426.76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56.36%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2,384,858,861.73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60.70%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-4.34%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家电配件类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1,040,001,198.54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745,624,404.19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电机及配件类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203,121,334.63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162,238,996.60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0.32%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模具类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25,218,106.20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5,450,301.41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第三方支付业务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295,035,695.17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321,243,766.18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-1.72%</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移动运营商计费 结算服务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71,040,070.70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20,416,940.79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1.04%</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移动信息服务业 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196,845,558.07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128,185,453.97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37"/>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惠商</w:t>
            </w:r>
            <w:r>
              <w:rPr>
                <w:rFonts w:ascii="Times New Roman" w:hAnsi="Times New Roman" w:cs="Times New Roman" w:eastAsia="Times New Roman" w:hint="default"/>
                <w:sz w:val="18"/>
                <w:szCs w:val="18"/>
              </w:rPr>
              <w:t>+”O2O</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业 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1,630,128.36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-0.04%</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智慧互联营销业 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1,764,037.34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数字科技</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25,392,687.47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30,842,581.62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96,395,276.42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2.11%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122,000,430.52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-0.99%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金融增值服务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38,361,890.62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6,740,369.74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701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详见第十二节</w:t>
      </w:r>
      <w:r>
        <w:rPr>
          <w:rFonts w:ascii="Times New Roman" w:hAnsi="Times New Roman" w:cs="Times New Roman" w:eastAsia="Times New Roman" w:hint="default"/>
        </w:rPr>
        <w:t>“</w:t>
      </w:r>
      <w:r>
        <w:rPr/>
        <w:t>财务报告</w:t>
      </w:r>
      <w:r>
        <w:rPr>
          <w:rFonts w:ascii="Times New Roman" w:hAnsi="Times New Roman" w:cs="Times New Roman" w:eastAsia="Times New Roman" w:hint="default"/>
        </w:rPr>
        <w:t>”</w:t>
      </w:r>
      <w:r>
        <w:rPr/>
        <w:t>之八</w:t>
      </w:r>
      <w:r>
        <w:rPr>
          <w:rFonts w:ascii="Times New Roman" w:hAnsi="Times New Roman" w:cs="Times New Roman" w:eastAsia="Times New Roman" w:hint="default"/>
        </w:rPr>
        <w:t>“</w:t>
      </w:r>
      <w:r>
        <w:rPr/>
        <w:t>合并范围的变更</w:t>
      </w:r>
      <w:r>
        <w:rPr>
          <w:rFonts w:ascii="Times New Roman" w:hAnsi="Times New Roman" w:cs="Times New Roman" w:eastAsia="Times New Roman" w:hint="default"/>
        </w:rPr>
        <w:t>”</w:t>
      </w:r>
    </w:p>
    <w:p>
      <w:pPr>
        <w:spacing w:line="240" w:lineRule="auto" w:before="6"/>
        <w:rPr>
          <w:rFonts w:ascii="Times New Roman" w:hAnsi="Times New Roman" w:cs="Times New Roman" w:eastAsia="Times New Roman" w:hint="default"/>
          <w:sz w:val="22"/>
          <w:szCs w:val="22"/>
        </w:rPr>
      </w:pPr>
    </w:p>
    <w:p>
      <w:pPr>
        <w:pStyle w:val="Heading3"/>
        <w:spacing w:line="240" w:lineRule="auto"/>
        <w:ind w:right="1133"/>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公司主要销售客户情况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1,273,564,369.52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24.01%</w:t>
            </w:r>
          </w:p>
        </w:tc>
      </w:tr>
      <w:tr>
        <w:trPr>
          <w:trHeight w:val="714"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2" w:right="84"/>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133"/>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429,632,975.43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8.10%</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361,738,782.54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6.82%</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199,933,890.75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3.77%</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149,253,062.15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2.81%</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133,005,658.65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2.51%</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1,273,564,369.52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24.01%</w:t>
            </w:r>
          </w:p>
        </w:tc>
      </w:tr>
    </w:tbl>
    <w:p>
      <w:pPr>
        <w:pStyle w:val="BodyText"/>
        <w:spacing w:line="240" w:lineRule="auto" w:before="49"/>
        <w:ind w:right="1133"/>
        <w:jc w:val="left"/>
      </w:pPr>
      <w:r>
        <w:rPr/>
        <w:t>主要客户其他情况说明</w:t>
      </w:r>
    </w:p>
    <w:p>
      <w:pPr>
        <w:pStyle w:val="BodyText"/>
        <w:spacing w:line="340" w:lineRule="auto" w:before="115"/>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line="240" w:lineRule="auto" w:before="7"/>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1,963,746,372.66</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44.58%</w:t>
            </w:r>
          </w:p>
        </w:tc>
      </w:tr>
      <w:tr>
        <w:trPr>
          <w:trHeight w:val="71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133"/>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890,465,833.14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20.21%</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530,687,867.52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12.05%</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187,764,731.42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4.26%</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186,728,716.07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4.24%</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168,099,224.51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3.82%</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1,963,746,372.66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44.58%</w:t>
            </w:r>
          </w:p>
        </w:tc>
      </w:tr>
    </w:tbl>
    <w:p>
      <w:pPr>
        <w:pStyle w:val="BodyText"/>
        <w:spacing w:line="240" w:lineRule="auto" w:before="49"/>
        <w:ind w:right="1133"/>
        <w:jc w:val="left"/>
      </w:pPr>
      <w:r>
        <w:rPr/>
        <w:t>主要供应商其他情况说明</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6"/>
          <w:szCs w:val="26"/>
        </w:rPr>
      </w:pPr>
    </w:p>
    <w:p>
      <w:pPr>
        <w:pStyle w:val="Heading3"/>
        <w:spacing w:line="240" w:lineRule="auto"/>
        <w:ind w:right="1133"/>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4"/>
        <w:gridCol w:w="1637"/>
        <w:gridCol w:w="1637"/>
        <w:gridCol w:w="1462"/>
        <w:gridCol w:w="2919"/>
      </w:tblGrid>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6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3" w:right="0"/>
              <w:jc w:val="left"/>
              <w:rPr>
                <w:rFonts w:ascii="Times New Roman" w:hAnsi="Times New Roman" w:cs="Times New Roman" w:eastAsia="Times New Roman" w:hint="default"/>
                <w:sz w:val="18"/>
                <w:szCs w:val="18"/>
              </w:rPr>
            </w:pPr>
            <w:r>
              <w:rPr>
                <w:rFonts w:ascii="Times New Roman"/>
                <w:sz w:val="18"/>
              </w:rPr>
              <w:t>278,681,676.86</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9" w:right="0"/>
              <w:jc w:val="left"/>
              <w:rPr>
                <w:rFonts w:ascii="Times New Roman" w:hAnsi="Times New Roman" w:cs="Times New Roman" w:eastAsia="Times New Roman" w:hint="default"/>
                <w:sz w:val="18"/>
                <w:szCs w:val="18"/>
              </w:rPr>
            </w:pPr>
            <w:r>
              <w:rPr>
                <w:rFonts w:ascii="Times New Roman"/>
                <w:sz w:val="18"/>
              </w:rPr>
              <w:t>146,592,233.79</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0" w:right="0"/>
              <w:jc w:val="left"/>
              <w:rPr>
                <w:rFonts w:ascii="Times New Roman" w:hAnsi="Times New Roman" w:cs="Times New Roman" w:eastAsia="Times New Roman" w:hint="default"/>
                <w:sz w:val="18"/>
                <w:szCs w:val="18"/>
              </w:rPr>
            </w:pPr>
            <w:r>
              <w:rPr>
                <w:rFonts w:ascii="Times New Roman"/>
                <w:sz w:val="18"/>
              </w:rPr>
              <w:t>90.11%</w:t>
            </w:r>
          </w:p>
        </w:tc>
        <w:tc>
          <w:tcPr>
            <w:tcW w:w="2919" w:type="dxa"/>
            <w:vMerge w:val="restart"/>
            <w:tcBorders>
              <w:top w:val="single" w:sz="4" w:space="0" w:color="000000"/>
              <w:left w:val="single" w:sz="4" w:space="0" w:color="000000"/>
              <w:right w:val="single" w:sz="4" w:space="0" w:color="000000"/>
            </w:tcBorders>
          </w:tcPr>
          <w:p>
            <w:pPr>
              <w:pStyle w:val="TableParagraph"/>
              <w:spacing w:line="314" w:lineRule="auto" w:before="49"/>
              <w:ind w:left="23" w:right="3"/>
              <w:jc w:val="left"/>
              <w:rPr>
                <w:rFonts w:ascii="宋体" w:hAnsi="宋体" w:cs="宋体" w:eastAsia="宋体" w:hint="default"/>
                <w:sz w:val="18"/>
                <w:szCs w:val="18"/>
              </w:rPr>
            </w:pPr>
            <w:r>
              <w:rPr>
                <w:rFonts w:ascii="宋体" w:hAnsi="宋体" w:cs="宋体" w:eastAsia="宋体" w:hint="default"/>
                <w:sz w:val="18"/>
                <w:szCs w:val="18"/>
              </w:rPr>
              <w:t>主要是报告期公司金融科技板块职 工薪酬、营销推广等费用增加所致。</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469" w:right="0"/>
              <w:jc w:val="left"/>
              <w:rPr>
                <w:rFonts w:ascii="Times New Roman" w:hAnsi="Times New Roman" w:cs="Times New Roman" w:eastAsia="Times New Roman" w:hint="default"/>
                <w:sz w:val="18"/>
                <w:szCs w:val="18"/>
              </w:rPr>
            </w:pPr>
            <w:r>
              <w:rPr>
                <w:rFonts w:ascii="Times New Roman"/>
                <w:sz w:val="18"/>
              </w:rPr>
              <w:t>440,535,898.13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9" w:right="0"/>
              <w:jc w:val="left"/>
              <w:rPr>
                <w:rFonts w:ascii="Times New Roman" w:hAnsi="Times New Roman" w:cs="Times New Roman" w:eastAsia="Times New Roman" w:hint="default"/>
                <w:sz w:val="18"/>
                <w:szCs w:val="18"/>
              </w:rPr>
            </w:pPr>
            <w:r>
              <w:rPr>
                <w:rFonts w:ascii="Times New Roman"/>
                <w:sz w:val="18"/>
              </w:rPr>
              <w:t>333,993,127.61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3" w:right="0"/>
              <w:jc w:val="left"/>
              <w:rPr>
                <w:rFonts w:ascii="Times New Roman" w:hAnsi="Times New Roman" w:cs="Times New Roman" w:eastAsia="Times New Roman" w:hint="default"/>
                <w:sz w:val="18"/>
                <w:szCs w:val="18"/>
              </w:rPr>
            </w:pPr>
            <w:r>
              <w:rPr>
                <w:rFonts w:ascii="Times New Roman"/>
                <w:sz w:val="18"/>
              </w:rPr>
              <w:t>31.90%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主要是报告期公司金融科技板块职</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637"/>
        <w:gridCol w:w="1637"/>
        <w:gridCol w:w="1462"/>
        <w:gridCol w:w="2919"/>
      </w:tblGrid>
      <w:tr>
        <w:trPr>
          <w:trHeight w:val="36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工薪酬、租赁费等增加所致。</w:t>
            </w:r>
          </w:p>
        </w:tc>
      </w:tr>
      <w:tr>
        <w:trPr>
          <w:trHeight w:val="102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-3,765,401.48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-39,286,092.65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90.42%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主要是报告期公司利息收入较同期 </w:t>
            </w:r>
            <w:r>
              <w:rPr>
                <w:rFonts w:ascii="宋体" w:hAnsi="宋体" w:cs="宋体" w:eastAsia="宋体" w:hint="default"/>
                <w:spacing w:val="-2"/>
                <w:sz w:val="18"/>
                <w:szCs w:val="18"/>
              </w:rPr>
              <w:t>下降，同时因经营业务增长增加银行</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借款使利息费用较同期增加所致。</w:t>
            </w:r>
          </w:p>
        </w:tc>
      </w:tr>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231,172,292.71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175,568,891.63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31.67%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主要是报告期公司加大研发投入所 致。</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left="513" w:right="113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公司根据国内经济形势、行业发展趋势等因素，为保持市场份额，提高产品竞争力，增强与客户粘性。报告期内公司在</w:t>
      </w:r>
    </w:p>
    <w:p>
      <w:pPr>
        <w:pStyle w:val="BodyText"/>
        <w:spacing w:line="304" w:lineRule="auto" w:before="3"/>
        <w:ind w:right="0"/>
        <w:jc w:val="left"/>
      </w:pPr>
      <w:r>
        <w:rPr>
          <w:spacing w:val="-2"/>
        </w:rPr>
        <w:t>智能制造板块加大新产品研发和技改力度，尤其在电机研发方面取得重大进展，公司自主研发的高效永磁同步风机电机取得</w:t>
      </w:r>
      <w:r>
        <w:rPr>
          <w:spacing w:val="-64"/>
        </w:rPr>
        <w:t> </w:t>
      </w:r>
      <w:r>
        <w:rPr>
          <w:spacing w:val="-64"/>
        </w:rPr>
      </w:r>
      <w:r>
        <w:rPr>
          <w:spacing w:val="-3"/>
        </w:rPr>
        <w:t>客户认可，大功率燃料电池循环泵突破技术难关实现配套成功；在金融科技板块进行产品创新赋能，开发了</w:t>
      </w:r>
      <w:r>
        <w:rPr>
          <w:rFonts w:ascii="Times New Roman" w:hAnsi="Times New Roman" w:cs="Times New Roman" w:eastAsia="Times New Roman" w:hint="default"/>
          <w:spacing w:val="-3"/>
        </w:rPr>
        <w:t>“</w:t>
      </w:r>
      <w:r>
        <w:rPr>
          <w:spacing w:val="-3"/>
        </w:rPr>
        <w:t>海金链</w:t>
      </w:r>
      <w:r>
        <w:rPr>
          <w:rFonts w:ascii="Times New Roman" w:hAnsi="Times New Roman" w:cs="Times New Roman" w:eastAsia="Times New Roman" w:hint="default"/>
          <w:spacing w:val="-3"/>
        </w:rPr>
        <w:t>”</w:t>
      </w:r>
      <w:r>
        <w:rPr>
          <w:spacing w:val="-3"/>
        </w:rPr>
        <w:t>等产品，</w:t>
      </w:r>
      <w:r>
        <w:rPr>
          <w:spacing w:val="-73"/>
        </w:rPr>
        <w:t> </w:t>
      </w:r>
      <w:r>
        <w:rPr>
          <w:spacing w:val="-73"/>
        </w:rPr>
      </w:r>
      <w:r>
        <w:rPr/>
        <w:t>同时加大对金融风控平台建设和区块链技术研发力度，基于优链区块链底层平台研发的</w:t>
      </w:r>
      <w:r>
        <w:rPr>
          <w:rFonts w:ascii="Times New Roman" w:hAnsi="Times New Roman" w:cs="Times New Roman" w:eastAsia="Times New Roman" w:hint="default"/>
        </w:rPr>
        <w:t>“</w:t>
      </w:r>
      <w:r>
        <w:rPr/>
        <w:t>海联金汇供应链金融服务系统</w:t>
      </w:r>
      <w:r>
        <w:rPr>
          <w:rFonts w:ascii="Times New Roman" w:hAnsi="Times New Roman" w:cs="Times New Roman" w:eastAsia="Times New Roman" w:hint="default"/>
        </w:rPr>
        <w:t>”</w:t>
      </w:r>
      <w:r>
        <w:rPr/>
        <w:t>和 </w:t>
      </w:r>
      <w:r>
        <w:rPr>
          <w:rFonts w:ascii="Times New Roman" w:hAnsi="Times New Roman" w:cs="Times New Roman" w:eastAsia="Times New Roman" w:hint="default"/>
        </w:rPr>
        <w:t>“</w:t>
      </w:r>
      <w:r>
        <w:rPr/>
        <w:t>跨境保理融资授信管理平台</w:t>
      </w:r>
      <w:r>
        <w:rPr>
          <w:rFonts w:ascii="Times New Roman" w:hAnsi="Times New Roman" w:cs="Times New Roman" w:eastAsia="Times New Roman" w:hint="default"/>
        </w:rPr>
        <w:t>”</w:t>
      </w:r>
      <w:r>
        <w:rPr/>
        <w:t>均已上线，其中</w:t>
      </w:r>
      <w:r>
        <w:rPr>
          <w:rFonts w:ascii="Times New Roman" w:hAnsi="Times New Roman" w:cs="Times New Roman" w:eastAsia="Times New Roman" w:hint="default"/>
        </w:rPr>
        <w:t>“</w:t>
      </w:r>
      <w:r>
        <w:rPr/>
        <w:t>海联金汇供应链金融服务系统</w:t>
      </w:r>
      <w:r>
        <w:rPr>
          <w:rFonts w:ascii="Times New Roman" w:hAnsi="Times New Roman" w:cs="Times New Roman" w:eastAsia="Times New Roman" w:hint="default"/>
        </w:rPr>
        <w:t>”</w:t>
      </w:r>
      <w:r>
        <w:rPr/>
        <w:t>成为第一批在国家互联网信息办公室完成备案 的区块链信息服务。</w:t>
      </w:r>
    </w:p>
    <w:p>
      <w:pPr>
        <w:pStyle w:val="BodyText"/>
        <w:spacing w:line="240" w:lineRule="auto" w:before="68"/>
        <w:ind w:right="1133"/>
        <w:jc w:val="left"/>
      </w:pPr>
      <w:r>
        <w:rPr/>
        <w:t>公司研发投入情况</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-13.74%</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257,836,448.94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190,634,894.55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35.25%</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26,664,156.23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15,066,002.92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76.98%</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2.44%</w:t>
            </w:r>
          </w:p>
        </w:tc>
      </w:tr>
    </w:tbl>
    <w:p>
      <w:pPr>
        <w:pStyle w:val="BodyText"/>
        <w:spacing w:line="240" w:lineRule="auto" w:before="49"/>
        <w:ind w:right="1133"/>
        <w:jc w:val="left"/>
      </w:pPr>
      <w:r>
        <w:rPr/>
        <w:t>研发投入总额占营业收入的比重较上年发生显著变化的原因</w:t>
      </w:r>
    </w:p>
    <w:p>
      <w:pPr>
        <w:pStyle w:val="BodyText"/>
        <w:spacing w:line="338" w:lineRule="auto" w:before="117"/>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研发投入资本化率大幅变动的原因及其合理性说明</w:t>
      </w:r>
    </w:p>
    <w:p>
      <w:pPr>
        <w:pStyle w:val="BodyText"/>
        <w:spacing w:line="240" w:lineRule="auto" w:before="43"/>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4,918,290,378.00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4,390,284,908.78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12.03%</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4,884,925,756.79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4,162,264,865.05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17.36%</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33,364,621.21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228,020,043.73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-85.37%</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4,040,081,230.36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3,437,535,720.01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17.53%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4,348,104,893.49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3,561,968,746.36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22.07%</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-308,023,663.13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-124,433,026.35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-147.54%</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460,383,217.60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345,897,200.00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33.10%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703,952,240.78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853,176,706.41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-17.49%</w:t>
            </w:r>
          </w:p>
        </w:tc>
      </w:tr>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-243,569,023.18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-507,279,506.41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51.99%</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-517,968,936.92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-400,670,432.28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29.28%</w:t>
            </w:r>
          </w:p>
        </w:tc>
      </w:tr>
    </w:tbl>
    <w:p>
      <w:pPr>
        <w:pStyle w:val="BodyText"/>
        <w:spacing w:line="240" w:lineRule="auto" w:before="49"/>
        <w:ind w:right="1133"/>
        <w:jc w:val="left"/>
      </w:pPr>
      <w:r>
        <w:rPr/>
        <w:t>相关数据同比发生重大变动的主要影响因素说明</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4"/>
        <w:ind w:left="513" w:right="1133"/>
        <w:jc w:val="left"/>
      </w:pPr>
      <w:r>
        <w:rPr/>
        <w:t>报告期末现金及现金等价物净增加额为</w:t>
      </w:r>
      <w:r>
        <w:rPr>
          <w:rFonts w:ascii="Times New Roman" w:hAnsi="Times New Roman" w:cs="Times New Roman" w:eastAsia="Times New Roman" w:hint="default"/>
        </w:rPr>
        <w:t>-51,796.89</w:t>
      </w:r>
      <w:r>
        <w:rPr/>
        <w:t>万元。其中：</w:t>
      </w:r>
    </w:p>
    <w:p>
      <w:pPr>
        <w:pStyle w:val="BodyText"/>
        <w:spacing w:line="309" w:lineRule="auto" w:before="63"/>
        <w:ind w:right="1131" w:firstLine="360"/>
        <w:jc w:val="both"/>
      </w:pPr>
      <w:r>
        <w:rPr>
          <w:rFonts w:ascii="Times New Roman" w:hAnsi="Times New Roman" w:cs="Times New Roman" w:eastAsia="Times New Roman" w:hint="default"/>
          <w:spacing w:val="-2"/>
        </w:rPr>
        <w:t>1</w:t>
      </w:r>
      <w:r>
        <w:rPr>
          <w:spacing w:val="-2"/>
        </w:rPr>
        <w:t>、经营活动产生的现金净流量为</w:t>
      </w:r>
      <w:r>
        <w:rPr>
          <w:rFonts w:ascii="Times New Roman" w:hAnsi="Times New Roman" w:cs="Times New Roman" w:eastAsia="Times New Roman" w:hint="default"/>
          <w:spacing w:val="-2"/>
        </w:rPr>
        <w:t>3,336.46</w:t>
      </w:r>
      <w:r>
        <w:rPr>
          <w:spacing w:val="-2"/>
        </w:rPr>
        <w:t>万元，较同期减少</w:t>
      </w:r>
      <w:r>
        <w:rPr>
          <w:rFonts w:ascii="Times New Roman" w:hAnsi="Times New Roman" w:cs="Times New Roman" w:eastAsia="Times New Roman" w:hint="default"/>
          <w:spacing w:val="-2"/>
        </w:rPr>
        <w:t>19,465.54</w:t>
      </w:r>
      <w:r>
        <w:rPr>
          <w:spacing w:val="-2"/>
        </w:rPr>
        <w:t>万元。主要原因：一是报告期公司按照合同约定预</w:t>
      </w:r>
      <w:r>
        <w:rPr/>
        <w:t> </w:t>
      </w:r>
      <w:r>
        <w:rPr>
          <w:spacing w:val="-2"/>
        </w:rPr>
        <w:t>付的采购款增加导致预付款项年末余额较年初增加；二是报告期公司应收款余额较年初增加，主要是报告期公司销售形成的</w:t>
      </w:r>
      <w:r>
        <w:rPr>
          <w:spacing w:val="-64"/>
        </w:rPr>
        <w:t> </w:t>
      </w:r>
      <w:r>
        <w:rPr>
          <w:spacing w:val="-64"/>
        </w:rPr>
      </w:r>
      <w:r>
        <w:rPr/>
        <w:t>应收款尚未到回款期，影响经营活动现金流的收回。</w:t>
      </w:r>
    </w:p>
    <w:p>
      <w:pPr>
        <w:pStyle w:val="BodyText"/>
        <w:spacing w:line="300" w:lineRule="auto" w:before="24"/>
        <w:ind w:right="1131" w:firstLine="360"/>
        <w:jc w:val="both"/>
      </w:pPr>
      <w:r>
        <w:rPr>
          <w:rFonts w:ascii="Times New Roman" w:hAnsi="Times New Roman" w:cs="Times New Roman" w:eastAsia="Times New Roman" w:hint="default"/>
          <w:spacing w:val="-1"/>
        </w:rPr>
        <w:t>2</w:t>
      </w:r>
      <w:r>
        <w:rPr>
          <w:spacing w:val="-1"/>
        </w:rPr>
        <w:t>、投资活动产生的现金净流量为</w:t>
      </w:r>
      <w:r>
        <w:rPr>
          <w:rFonts w:ascii="Times New Roman" w:hAnsi="Times New Roman" w:cs="Times New Roman" w:eastAsia="Times New Roman" w:hint="default"/>
          <w:spacing w:val="-1"/>
        </w:rPr>
        <w:t>-30,802.36</w:t>
      </w:r>
      <w:r>
        <w:rPr>
          <w:spacing w:val="-1"/>
        </w:rPr>
        <w:t>万元，较同期减少</w:t>
      </w:r>
      <w:r>
        <w:rPr>
          <w:rFonts w:ascii="Times New Roman" w:hAnsi="Times New Roman" w:cs="Times New Roman" w:eastAsia="Times New Roman" w:hint="default"/>
          <w:spacing w:val="-1"/>
        </w:rPr>
        <w:t>18,359.06</w:t>
      </w:r>
      <w:r>
        <w:rPr>
          <w:spacing w:val="-1"/>
        </w:rPr>
        <w:t>万元，主要是报告期公司购置资产支付的现金较</w:t>
      </w:r>
      <w:r>
        <w:rPr/>
        <w:t> 同期增加。</w:t>
      </w:r>
    </w:p>
    <w:p>
      <w:pPr>
        <w:pStyle w:val="BodyText"/>
        <w:spacing w:line="300" w:lineRule="auto" w:before="31"/>
        <w:ind w:right="1131" w:firstLine="360"/>
        <w:jc w:val="both"/>
      </w:pPr>
      <w:r>
        <w:rPr>
          <w:rFonts w:ascii="Times New Roman" w:hAnsi="Times New Roman" w:cs="Times New Roman" w:eastAsia="Times New Roman" w:hint="default"/>
          <w:spacing w:val="-1"/>
        </w:rPr>
        <w:t>3</w:t>
      </w:r>
      <w:r>
        <w:rPr>
          <w:spacing w:val="-1"/>
        </w:rPr>
        <w:t>、筹资活动产生的现金净流量为</w:t>
      </w:r>
      <w:r>
        <w:rPr>
          <w:rFonts w:ascii="Times New Roman" w:hAnsi="Times New Roman" w:cs="Times New Roman" w:eastAsia="Times New Roman" w:hint="default"/>
          <w:spacing w:val="-1"/>
        </w:rPr>
        <w:t>-24,356.90</w:t>
      </w:r>
      <w:r>
        <w:rPr>
          <w:spacing w:val="-1"/>
        </w:rPr>
        <w:t>万元，较同期增加</w:t>
      </w:r>
      <w:r>
        <w:rPr>
          <w:rFonts w:ascii="Times New Roman" w:hAnsi="Times New Roman" w:cs="Times New Roman" w:eastAsia="Times New Roman" w:hint="default"/>
          <w:spacing w:val="-1"/>
        </w:rPr>
        <w:t>26,371.05</w:t>
      </w:r>
      <w:r>
        <w:rPr>
          <w:spacing w:val="-1"/>
        </w:rPr>
        <w:t>万元。主要报告期公司回购股份支付的现金较同</w:t>
      </w:r>
      <w:r>
        <w:rPr/>
        <w:t> 期减少所致。</w:t>
      </w:r>
    </w:p>
    <w:p>
      <w:pPr>
        <w:pStyle w:val="BodyText"/>
        <w:spacing w:line="240" w:lineRule="auto" w:before="72"/>
        <w:ind w:right="1133"/>
        <w:jc w:val="left"/>
      </w:pPr>
      <w:r>
        <w:rPr/>
        <w:t>报告期内公司经营活动产生的现金净流量与本年度净利润存在重大差异的原因说明</w:t>
      </w:r>
    </w:p>
    <w:p>
      <w:pPr>
        <w:pStyle w:val="BodyText"/>
        <w:spacing w:line="340" w:lineRule="auto" w:before="115"/>
        <w:ind w:left="513" w:right="373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主要是报告期计提商誉减值准备、固定资产折旧、无形资产摊销等不付现费用影响。</w:t>
      </w:r>
    </w:p>
    <w:p>
      <w:pPr>
        <w:spacing w:line="240" w:lineRule="auto" w:before="7"/>
        <w:rPr>
          <w:rFonts w:ascii="宋体" w:hAnsi="宋体" w:cs="宋体" w:eastAsia="宋体" w:hint="default"/>
          <w:sz w:val="19"/>
          <w:szCs w:val="19"/>
        </w:rPr>
      </w:pPr>
    </w:p>
    <w:p>
      <w:pPr>
        <w:pStyle w:val="Heading2"/>
        <w:spacing w:line="240" w:lineRule="auto"/>
        <w:ind w:right="1133"/>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12"/>
        <w:gridCol w:w="1916"/>
        <w:gridCol w:w="1622"/>
        <w:gridCol w:w="2254"/>
        <w:gridCol w:w="2254"/>
      </w:tblGrid>
      <w:tr>
        <w:trPr>
          <w:trHeight w:val="403"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1"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3"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61"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9,465,607.33</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65" w:right="0"/>
              <w:jc w:val="left"/>
              <w:rPr>
                <w:rFonts w:ascii="Times New Roman" w:hAnsi="Times New Roman" w:cs="Times New Roman" w:eastAsia="Times New Roman" w:hint="default"/>
                <w:sz w:val="18"/>
                <w:szCs w:val="18"/>
              </w:rPr>
            </w:pPr>
            <w:r>
              <w:rPr>
                <w:rFonts w:ascii="Times New Roman"/>
                <w:sz w:val="18"/>
              </w:rPr>
              <w:t>-0.39%</w:t>
            </w:r>
          </w:p>
        </w:tc>
        <w:tc>
          <w:tcPr>
            <w:tcW w:w="2254" w:type="dxa"/>
            <w:vMerge w:val="restart"/>
            <w:tcBorders>
              <w:top w:val="single" w:sz="4" w:space="0" w:color="000000"/>
              <w:left w:val="single" w:sz="4" w:space="0" w:color="000000"/>
              <w:right w:val="single" w:sz="4" w:space="0" w:color="000000"/>
            </w:tcBorders>
          </w:tcPr>
          <w:p>
            <w:pPr>
              <w:pStyle w:val="TableParagraph"/>
              <w:spacing w:line="314" w:lineRule="auto" w:before="49"/>
              <w:ind w:left="24" w:right="58"/>
              <w:jc w:val="left"/>
              <w:rPr>
                <w:rFonts w:ascii="宋体" w:hAnsi="宋体" w:cs="宋体" w:eastAsia="宋体" w:hint="default"/>
                <w:sz w:val="18"/>
                <w:szCs w:val="18"/>
              </w:rPr>
            </w:pPr>
            <w:r>
              <w:rPr>
                <w:rFonts w:ascii="宋体" w:hAnsi="宋体" w:cs="宋体" w:eastAsia="宋体" w:hint="default"/>
                <w:sz w:val="18"/>
                <w:szCs w:val="18"/>
              </w:rPr>
              <w:t>主要是报告期公司购买理财 产品产生的收益。</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vMerge/>
            <w:tcBorders>
              <w:left w:val="single" w:sz="10" w:space="0" w:color="D2D2D2"/>
              <w:right w:val="single" w:sz="4" w:space="0" w:color="000000"/>
            </w:tcBorders>
          </w:tcPr>
          <w:p>
            <w:pPr/>
          </w:p>
        </w:tc>
        <w:tc>
          <w:tcPr>
            <w:tcW w:w="1622"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10" w:space="0" w:color="D2D2D2"/>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161"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2,242,624,586.49</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76" w:right="0"/>
              <w:jc w:val="left"/>
              <w:rPr>
                <w:rFonts w:ascii="Times New Roman" w:hAnsi="Times New Roman" w:cs="Times New Roman" w:eastAsia="Times New Roman" w:hint="default"/>
                <w:sz w:val="18"/>
                <w:szCs w:val="18"/>
              </w:rPr>
            </w:pPr>
            <w:r>
              <w:rPr>
                <w:rFonts w:ascii="Times New Roman"/>
                <w:sz w:val="18"/>
              </w:rPr>
              <w:t>-91.99%</w:t>
            </w:r>
          </w:p>
        </w:tc>
        <w:tc>
          <w:tcPr>
            <w:tcW w:w="2254"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58"/>
              <w:jc w:val="left"/>
              <w:rPr>
                <w:rFonts w:ascii="宋体" w:hAnsi="宋体" w:cs="宋体" w:eastAsia="宋体" w:hint="default"/>
                <w:sz w:val="18"/>
                <w:szCs w:val="18"/>
              </w:rPr>
            </w:pPr>
            <w:r>
              <w:rPr>
                <w:rFonts w:ascii="宋体" w:hAnsi="宋体" w:cs="宋体" w:eastAsia="宋体" w:hint="default"/>
                <w:sz w:val="18"/>
                <w:szCs w:val="18"/>
              </w:rPr>
              <w:t>主要是报告期公司计提商誉 减值准备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20.69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94"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vMerge/>
            <w:tcBorders>
              <w:left w:val="single" w:sz="10" w:space="0" w:color="D2D2D2"/>
              <w:right w:val="single" w:sz="4" w:space="0" w:color="000000"/>
            </w:tcBorders>
          </w:tcPr>
          <w:p>
            <w:pPr/>
          </w:p>
        </w:tc>
        <w:tc>
          <w:tcPr>
            <w:tcW w:w="1622"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10" w:space="0" w:color="D2D2D2"/>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317"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7,689,578.26</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65" w:right="0"/>
              <w:jc w:val="left"/>
              <w:rPr>
                <w:rFonts w:ascii="Times New Roman" w:hAnsi="Times New Roman" w:cs="Times New Roman" w:eastAsia="Times New Roman" w:hint="default"/>
                <w:sz w:val="18"/>
                <w:szCs w:val="18"/>
              </w:rPr>
            </w:pPr>
            <w:r>
              <w:rPr>
                <w:rFonts w:ascii="Times New Roman"/>
                <w:sz w:val="18"/>
              </w:rPr>
              <w:t>-0.32%</w:t>
            </w:r>
          </w:p>
        </w:tc>
        <w:tc>
          <w:tcPr>
            <w:tcW w:w="2254"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59"/>
              <w:jc w:val="both"/>
              <w:rPr>
                <w:rFonts w:ascii="宋体" w:hAnsi="宋体" w:cs="宋体" w:eastAsia="宋体" w:hint="default"/>
                <w:sz w:val="18"/>
                <w:szCs w:val="18"/>
              </w:rPr>
            </w:pPr>
            <w:r>
              <w:rPr>
                <w:rFonts w:ascii="宋体" w:hAnsi="宋体" w:cs="宋体" w:eastAsia="宋体" w:hint="default"/>
                <w:sz w:val="18"/>
                <w:szCs w:val="18"/>
              </w:rPr>
              <w:t>主要是报告期公司收到的政 府补贴以及赔偿金、罚款收 入。</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vMerge/>
            <w:tcBorders>
              <w:left w:val="single" w:sz="10" w:space="0" w:color="D2D2D2"/>
              <w:right w:val="single" w:sz="4" w:space="0" w:color="000000"/>
            </w:tcBorders>
          </w:tcPr>
          <w:p>
            <w:pPr/>
          </w:p>
        </w:tc>
        <w:tc>
          <w:tcPr>
            <w:tcW w:w="1622"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317"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10" w:space="0" w:color="D2D2D2"/>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161"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2,724,740.13</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2" w:right="0"/>
              <w:jc w:val="left"/>
              <w:rPr>
                <w:rFonts w:ascii="Times New Roman" w:hAnsi="Times New Roman" w:cs="Times New Roman" w:eastAsia="Times New Roman" w:hint="default"/>
                <w:sz w:val="18"/>
                <w:szCs w:val="18"/>
              </w:rPr>
            </w:pPr>
            <w:r>
              <w:rPr>
                <w:rFonts w:ascii="Times New Roman"/>
                <w:sz w:val="18"/>
              </w:rPr>
              <w:t>-0.11%</w:t>
            </w:r>
          </w:p>
        </w:tc>
        <w:tc>
          <w:tcPr>
            <w:tcW w:w="2254"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58"/>
              <w:jc w:val="left"/>
              <w:rPr>
                <w:rFonts w:ascii="宋体" w:hAnsi="宋体" w:cs="宋体" w:eastAsia="宋体" w:hint="default"/>
                <w:sz w:val="18"/>
                <w:szCs w:val="18"/>
              </w:rPr>
            </w:pPr>
            <w:r>
              <w:rPr>
                <w:rFonts w:ascii="宋体" w:hAnsi="宋体" w:cs="宋体" w:eastAsia="宋体" w:hint="default"/>
                <w:sz w:val="18"/>
                <w:szCs w:val="18"/>
              </w:rPr>
              <w:t>主要是报告期公司支付的赔 偿金、罚款支出。</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vMerge/>
            <w:tcBorders>
              <w:left w:val="single" w:sz="10" w:space="0" w:color="D2D2D2"/>
              <w:right w:val="single" w:sz="4" w:space="0" w:color="000000"/>
            </w:tcBorders>
          </w:tcPr>
          <w:p>
            <w:pPr/>
          </w:p>
        </w:tc>
        <w:tc>
          <w:tcPr>
            <w:tcW w:w="1622"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163"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10" w:space="0" w:color="D2D2D2"/>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bookmarkStart w:name="四、资产及负债状况分析" w:id="41"/>
      <w:bookmarkEnd w:id="41"/>
      <w:r>
        <w:rPr>
          <w:b w:val="0"/>
          <w:bCs w:val="0"/>
        </w:rPr>
      </w:r>
      <w:r>
        <w:rPr/>
        <w:t>四、资产及负债状况分析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before="44"/>
        <w:ind w:right="-17"/>
        <w:jc w:val="left"/>
      </w:pPr>
      <w:r>
        <w:rPr/>
        <w:t>公司</w:t>
      </w:r>
      <w:r>
        <w:rPr>
          <w:spacing w:val="-46"/>
        </w:rPr>
        <w:t> </w:t>
      </w:r>
      <w:r>
        <w:rPr>
          <w:rFonts w:ascii="Times New Roman" w:hAnsi="Times New Roman" w:cs="Times New Roman" w:eastAsia="Times New Roman" w:hint="default"/>
        </w:rPr>
        <w:t>2019 </w:t>
      </w:r>
      <w:r>
        <w:rPr/>
        <w:t>年起首次执行新金融工具准则、新收入准则或新租赁准则且调整执行当年年初财务报表相关项目</w:t>
      </w:r>
    </w:p>
    <w:p>
      <w:pPr>
        <w:pStyle w:val="BodyText"/>
        <w:spacing w:line="240" w:lineRule="auto" w:before="103"/>
        <w:ind w:right="-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8525" w:space="395"/>
            <w:col w:w="201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328"/>
        <w:gridCol w:w="900"/>
        <w:gridCol w:w="1368"/>
        <w:gridCol w:w="891"/>
        <w:gridCol w:w="797"/>
        <w:gridCol w:w="2919"/>
      </w:tblGrid>
      <w:tr>
        <w:trPr>
          <w:trHeight w:val="385"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22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年初</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9" w:hRule="exact"/>
        </w:trPr>
        <w:tc>
          <w:tcPr>
            <w:tcW w:w="1356" w:type="dxa"/>
            <w:vMerge w:val="restart"/>
            <w:tcBorders>
              <w:top w:val="nil" w:sz="6" w:space="0" w:color="auto"/>
              <w:left w:val="single" w:sz="4" w:space="0" w:color="000000"/>
              <w:right w:val="single" w:sz="4" w:space="0" w:color="000000"/>
            </w:tcBorders>
            <w:shd w:val="clear" w:color="auto" w:fill="D2D2D2"/>
          </w:tcPr>
          <w:p>
            <w:pPr/>
          </w:p>
        </w:tc>
        <w:tc>
          <w:tcPr>
            <w:tcW w:w="1328" w:type="dxa"/>
            <w:tcBorders>
              <w:top w:val="single" w:sz="4" w:space="0" w:color="000000"/>
              <w:left w:val="single" w:sz="4" w:space="0" w:color="000000"/>
              <w:bottom w:val="nil" w:sz="6" w:space="0" w:color="auto"/>
              <w:right w:val="single" w:sz="4" w:space="0" w:color="000000"/>
            </w:tcBorders>
            <w:shd w:val="clear" w:color="auto" w:fill="D2D2D2"/>
          </w:tcPr>
          <w:p>
            <w:pPr/>
          </w:p>
        </w:tc>
        <w:tc>
          <w:tcPr>
            <w:tcW w:w="90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67"/>
              <w:ind w:left="266" w:right="83"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89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67"/>
              <w:ind w:left="261" w:right="77" w:hanging="181"/>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0"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3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900" w:type="dxa"/>
            <w:vMerge/>
            <w:tcBorders>
              <w:left w:val="single" w:sz="4" w:space="0" w:color="000000"/>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91"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56" w:type="dxa"/>
            <w:vMerge w:val="restart"/>
            <w:tcBorders>
              <w:top w:val="nil" w:sz="6" w:space="0" w:color="auto"/>
              <w:left w:val="single" w:sz="4" w:space="0" w:color="000000"/>
              <w:right w:val="single" w:sz="4" w:space="0" w:color="000000"/>
            </w:tcBorders>
            <w:shd w:val="clear" w:color="auto" w:fill="D2D2D2"/>
          </w:tcPr>
          <w:p>
            <w:pPr/>
          </w:p>
        </w:tc>
        <w:tc>
          <w:tcPr>
            <w:tcW w:w="1328" w:type="dxa"/>
            <w:vMerge/>
            <w:tcBorders>
              <w:left w:val="single" w:sz="4" w:space="0" w:color="000000"/>
              <w:bottom w:val="nil" w:sz="6" w:space="0" w:color="auto"/>
              <w:right w:val="single" w:sz="4" w:space="0" w:color="000000"/>
            </w:tcBorders>
            <w:shd w:val="clear" w:color="auto" w:fill="D2D2D2"/>
          </w:tcPr>
          <w:p>
            <w:pPr/>
          </w:p>
        </w:tc>
        <w:tc>
          <w:tcPr>
            <w:tcW w:w="900" w:type="dxa"/>
            <w:vMerge/>
            <w:tcBorders>
              <w:left w:val="single" w:sz="4" w:space="0" w:color="000000"/>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891"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6" w:type="dxa"/>
            <w:vMerge/>
            <w:tcBorders>
              <w:left w:val="single" w:sz="4" w:space="0" w:color="000000"/>
              <w:bottom w:val="single" w:sz="4" w:space="0" w:color="000000"/>
              <w:right w:val="single" w:sz="4" w:space="0" w:color="000000"/>
            </w:tcBorders>
            <w:shd w:val="clear" w:color="auto" w:fill="D2D2D2"/>
          </w:tcPr>
          <w:p>
            <w:pPr/>
          </w:p>
        </w:tc>
        <w:tc>
          <w:tcPr>
            <w:tcW w:w="1328" w:type="dxa"/>
            <w:tcBorders>
              <w:top w:val="nil" w:sz="6" w:space="0" w:color="auto"/>
              <w:left w:val="single" w:sz="4" w:space="0" w:color="000000"/>
              <w:bottom w:val="single" w:sz="4" w:space="0" w:color="000000"/>
              <w:right w:val="single" w:sz="4" w:space="0" w:color="000000"/>
            </w:tcBorders>
            <w:shd w:val="clear" w:color="auto" w:fill="D2D2D2"/>
          </w:tcPr>
          <w:p>
            <w:pPr/>
          </w:p>
        </w:tc>
        <w:tc>
          <w:tcPr>
            <w:tcW w:w="900"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891"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317"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8"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1,245,031,925.52</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z w:val="18"/>
              </w:rPr>
              <w:t>18.65%</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1,749,565,293.91</w:t>
            </w:r>
          </w:p>
        </w:tc>
        <w:tc>
          <w:tcPr>
            <w:tcW w:w="8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5" w:right="0"/>
              <w:jc w:val="left"/>
              <w:rPr>
                <w:rFonts w:ascii="Times New Roman" w:hAnsi="Times New Roman" w:cs="Times New Roman" w:eastAsia="Times New Roman" w:hint="default"/>
                <w:sz w:val="18"/>
                <w:szCs w:val="18"/>
              </w:rPr>
            </w:pPr>
            <w:r>
              <w:rPr>
                <w:rFonts w:ascii="Times New Roman"/>
                <w:sz w:val="18"/>
              </w:rPr>
              <w:t>18.55%</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0.10%</w:t>
            </w:r>
          </w:p>
        </w:tc>
        <w:tc>
          <w:tcPr>
            <w:tcW w:w="2919" w:type="dxa"/>
            <w:vMerge w:val="restart"/>
            <w:tcBorders>
              <w:top w:val="single" w:sz="4" w:space="0" w:color="000000"/>
              <w:left w:val="single" w:sz="4" w:space="0" w:color="000000"/>
              <w:right w:val="single" w:sz="4" w:space="0" w:color="000000"/>
            </w:tcBorders>
          </w:tcPr>
          <w:p>
            <w:pPr>
              <w:pStyle w:val="TableParagraph"/>
              <w:spacing w:line="319" w:lineRule="auto" w:before="49"/>
              <w:ind w:left="23" w:right="20"/>
              <w:jc w:val="both"/>
              <w:rPr>
                <w:rFonts w:ascii="宋体" w:hAnsi="宋体" w:cs="宋体" w:eastAsia="宋体" w:hint="default"/>
                <w:sz w:val="18"/>
                <w:szCs w:val="18"/>
              </w:rPr>
            </w:pPr>
            <w:r>
              <w:rPr>
                <w:rFonts w:ascii="宋体" w:hAnsi="宋体" w:cs="宋体" w:eastAsia="宋体" w:hint="default"/>
                <w:spacing w:val="-2"/>
                <w:sz w:val="18"/>
                <w:szCs w:val="18"/>
              </w:rPr>
              <w:t>主要原因：一是报告期公司采用集中</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竞价方式回购公司股份；二是报告期</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公司预付采购款增加。</w:t>
            </w:r>
          </w:p>
        </w:tc>
      </w:tr>
      <w:tr>
        <w:trPr>
          <w:trHeight w:val="394"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28" w:type="dxa"/>
            <w:vMerge/>
            <w:tcBorders>
              <w:left w:val="single" w:sz="9" w:space="0" w:color="D2D2D2"/>
              <w:right w:val="single" w:sz="4" w:space="0" w:color="000000"/>
            </w:tcBorders>
          </w:tcPr>
          <w:p>
            <w:pPr/>
          </w:p>
        </w:tc>
        <w:tc>
          <w:tcPr>
            <w:tcW w:w="900"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891"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317"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8" w:type="dxa"/>
            <w:vMerge/>
            <w:tcBorders>
              <w:left w:val="single" w:sz="9" w:space="0" w:color="D2D2D2"/>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891"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8"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1,038,449,611.23</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z w:val="18"/>
              </w:rPr>
              <w:t>15.55%</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926,524,193.69</w:t>
            </w:r>
          </w:p>
        </w:tc>
        <w:tc>
          <w:tcPr>
            <w:tcW w:w="89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3" w:right="0"/>
              <w:jc w:val="left"/>
              <w:rPr>
                <w:rFonts w:ascii="Times New Roman" w:hAnsi="Times New Roman" w:cs="Times New Roman" w:eastAsia="Times New Roman" w:hint="default"/>
                <w:sz w:val="18"/>
                <w:szCs w:val="18"/>
              </w:rPr>
            </w:pPr>
            <w:r>
              <w:rPr>
                <w:rFonts w:ascii="Times New Roman"/>
                <w:sz w:val="18"/>
              </w:rPr>
              <w:t>9.82%</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5.73%</w:t>
            </w:r>
          </w:p>
        </w:tc>
        <w:tc>
          <w:tcPr>
            <w:tcW w:w="2919" w:type="dxa"/>
            <w:vMerge w:val="restart"/>
            <w:tcBorders>
              <w:top w:val="single" w:sz="4" w:space="0" w:color="000000"/>
              <w:left w:val="single" w:sz="4" w:space="0" w:color="000000"/>
              <w:right w:val="single" w:sz="4" w:space="0" w:color="000000"/>
            </w:tcBorders>
          </w:tcPr>
          <w:p>
            <w:pPr>
              <w:pStyle w:val="TableParagraph"/>
              <w:spacing w:line="314"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主要是公司按照合同约定未到结算 账期的款项增加所致。</w:t>
            </w: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28" w:type="dxa"/>
            <w:vMerge/>
            <w:tcBorders>
              <w:left w:val="single" w:sz="9" w:space="0" w:color="D2D2D2"/>
              <w:right w:val="single" w:sz="4" w:space="0" w:color="000000"/>
            </w:tcBorders>
          </w:tcPr>
          <w:p>
            <w:pPr/>
          </w:p>
        </w:tc>
        <w:tc>
          <w:tcPr>
            <w:tcW w:w="900"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891"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8" w:type="dxa"/>
            <w:vMerge/>
            <w:tcBorders>
              <w:left w:val="single" w:sz="9" w:space="0" w:color="D2D2D2"/>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891"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8"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704,479,930.66</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z w:val="18"/>
              </w:rPr>
              <w:t>10.55%</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650,186,022.13</w:t>
            </w:r>
          </w:p>
        </w:tc>
        <w:tc>
          <w:tcPr>
            <w:tcW w:w="89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3" w:right="0"/>
              <w:jc w:val="left"/>
              <w:rPr>
                <w:rFonts w:ascii="Times New Roman" w:hAnsi="Times New Roman" w:cs="Times New Roman" w:eastAsia="Times New Roman" w:hint="default"/>
                <w:sz w:val="18"/>
                <w:szCs w:val="18"/>
              </w:rPr>
            </w:pPr>
            <w:r>
              <w:rPr>
                <w:rFonts w:ascii="Times New Roman"/>
                <w:sz w:val="18"/>
              </w:rPr>
              <w:t>6.89%</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3.66%</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主要是报告期公司经营规模扩大，存</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货较期初有所增加。</w:t>
            </w:r>
          </w:p>
        </w:tc>
      </w:tr>
      <w:tr>
        <w:trPr>
          <w:trHeight w:val="394"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28" w:type="dxa"/>
            <w:vMerge/>
            <w:tcBorders>
              <w:left w:val="single" w:sz="9" w:space="0" w:color="D2D2D2"/>
              <w:right w:val="single" w:sz="4" w:space="0" w:color="000000"/>
            </w:tcBorders>
          </w:tcPr>
          <w:p>
            <w:pPr/>
          </w:p>
        </w:tc>
        <w:tc>
          <w:tcPr>
            <w:tcW w:w="900"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891"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8" w:type="dxa"/>
            <w:vMerge/>
            <w:tcBorders>
              <w:left w:val="single" w:sz="9" w:space="0" w:color="D2D2D2"/>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891"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317"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8"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1" w:right="0"/>
              <w:jc w:val="left"/>
              <w:rPr>
                <w:rFonts w:ascii="Times New Roman" w:hAnsi="Times New Roman" w:cs="Times New Roman" w:eastAsia="Times New Roman" w:hint="default"/>
                <w:sz w:val="18"/>
                <w:szCs w:val="18"/>
              </w:rPr>
            </w:pPr>
            <w:r>
              <w:rPr>
                <w:rFonts w:ascii="Times New Roman"/>
                <w:sz w:val="18"/>
              </w:rPr>
              <w:t>5,748,993.87</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03" w:right="0"/>
              <w:jc w:val="left"/>
              <w:rPr>
                <w:rFonts w:ascii="Times New Roman" w:hAnsi="Times New Roman" w:cs="Times New Roman" w:eastAsia="Times New Roman" w:hint="default"/>
                <w:sz w:val="18"/>
                <w:szCs w:val="18"/>
              </w:rPr>
            </w:pPr>
            <w:r>
              <w:rPr>
                <w:rFonts w:ascii="Times New Roman"/>
                <w:sz w:val="18"/>
              </w:rPr>
              <w:t>0.09%</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22,414,831.55</w:t>
            </w:r>
          </w:p>
        </w:tc>
        <w:tc>
          <w:tcPr>
            <w:tcW w:w="8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93" w:right="0"/>
              <w:jc w:val="left"/>
              <w:rPr>
                <w:rFonts w:ascii="Times New Roman" w:hAnsi="Times New Roman" w:cs="Times New Roman" w:eastAsia="Times New Roman" w:hint="default"/>
                <w:sz w:val="18"/>
                <w:szCs w:val="18"/>
              </w:rPr>
            </w:pPr>
            <w:r>
              <w:rPr>
                <w:rFonts w:ascii="Times New Roman"/>
                <w:sz w:val="18"/>
              </w:rPr>
              <w:t>0.24%</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-0.15%</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83"/>
              <w:jc w:val="both"/>
              <w:rPr>
                <w:rFonts w:ascii="宋体" w:hAnsi="宋体" w:cs="宋体" w:eastAsia="宋体" w:hint="default"/>
                <w:sz w:val="18"/>
                <w:szCs w:val="18"/>
              </w:rPr>
            </w:pPr>
            <w:r>
              <w:rPr>
                <w:rFonts w:ascii="宋体" w:hAnsi="宋体" w:cs="宋体" w:eastAsia="宋体" w:hint="default"/>
                <w:sz w:val="18"/>
                <w:szCs w:val="18"/>
              </w:rPr>
              <w:t>主要原因是报告期公司按照会计准 则要求划分为投资性房地产核算的 资产较期初减少。</w:t>
            </w: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328" w:type="dxa"/>
            <w:vMerge/>
            <w:tcBorders>
              <w:left w:val="single" w:sz="9" w:space="0" w:color="D2D2D2"/>
              <w:right w:val="single" w:sz="4" w:space="0" w:color="000000"/>
            </w:tcBorders>
          </w:tcPr>
          <w:p>
            <w:pPr/>
          </w:p>
        </w:tc>
        <w:tc>
          <w:tcPr>
            <w:tcW w:w="900"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891"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317"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8" w:type="dxa"/>
            <w:vMerge/>
            <w:tcBorders>
              <w:left w:val="single" w:sz="9" w:space="0" w:color="D2D2D2"/>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891"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2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437,772.08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419,660.20</w:t>
            </w:r>
          </w:p>
        </w:tc>
        <w:tc>
          <w:tcPr>
            <w:tcW w:w="89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长期股权投资与期初基本持平。</w:t>
            </w: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2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960,060,892.64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972,791,151.27</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5" w:right="0"/>
              <w:jc w:val="left"/>
              <w:rPr>
                <w:rFonts w:ascii="Times New Roman" w:hAnsi="Times New Roman" w:cs="Times New Roman" w:eastAsia="Times New Roman" w:hint="default"/>
                <w:sz w:val="18"/>
                <w:szCs w:val="18"/>
              </w:rPr>
            </w:pPr>
            <w:r>
              <w:rPr>
                <w:rFonts w:ascii="Times New Roman"/>
                <w:sz w:val="18"/>
              </w:rPr>
              <w:t>10.31%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固定资产与期初基本持平。</w:t>
            </w:r>
          </w:p>
        </w:tc>
      </w:tr>
      <w:tr>
        <w:trPr>
          <w:trHeight w:val="317"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8"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53" w:right="0"/>
              <w:jc w:val="left"/>
              <w:rPr>
                <w:rFonts w:ascii="Times New Roman" w:hAnsi="Times New Roman" w:cs="Times New Roman" w:eastAsia="Times New Roman" w:hint="default"/>
                <w:sz w:val="18"/>
                <w:szCs w:val="18"/>
              </w:rPr>
            </w:pPr>
            <w:r>
              <w:rPr>
                <w:rFonts w:ascii="Times New Roman"/>
                <w:sz w:val="18"/>
              </w:rPr>
              <w:t>70,792,554.53</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03" w:right="0"/>
              <w:jc w:val="left"/>
              <w:rPr>
                <w:rFonts w:ascii="Times New Roman" w:hAnsi="Times New Roman" w:cs="Times New Roman" w:eastAsia="Times New Roman" w:hint="default"/>
                <w:sz w:val="18"/>
                <w:szCs w:val="18"/>
              </w:rPr>
            </w:pPr>
            <w:r>
              <w:rPr>
                <w:rFonts w:ascii="Times New Roman"/>
                <w:sz w:val="18"/>
              </w:rPr>
              <w:t>1.06%</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90,935,722.47</w:t>
            </w:r>
          </w:p>
        </w:tc>
        <w:tc>
          <w:tcPr>
            <w:tcW w:w="8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93" w:right="0"/>
              <w:jc w:val="left"/>
              <w:rPr>
                <w:rFonts w:ascii="Times New Roman" w:hAnsi="Times New Roman" w:cs="Times New Roman" w:eastAsia="Times New Roman" w:hint="default"/>
                <w:sz w:val="18"/>
                <w:szCs w:val="18"/>
              </w:rPr>
            </w:pPr>
            <w:r>
              <w:rPr>
                <w:rFonts w:ascii="Times New Roman"/>
                <w:sz w:val="18"/>
              </w:rPr>
              <w:t>0.96%</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0.10%</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82"/>
              <w:jc w:val="both"/>
              <w:rPr>
                <w:rFonts w:ascii="宋体" w:hAnsi="宋体" w:cs="宋体" w:eastAsia="宋体" w:hint="default"/>
                <w:sz w:val="18"/>
                <w:szCs w:val="18"/>
              </w:rPr>
            </w:pPr>
            <w:r>
              <w:rPr>
                <w:rFonts w:ascii="宋体" w:hAnsi="宋体" w:cs="宋体" w:eastAsia="宋体" w:hint="default"/>
                <w:sz w:val="18"/>
                <w:szCs w:val="18"/>
              </w:rPr>
              <w:t>主要是报告期公司智能制造板块部 分项目达到预定可使用状态转为固 定资产核算所致。</w:t>
            </w:r>
          </w:p>
        </w:tc>
      </w:tr>
      <w:tr>
        <w:trPr>
          <w:trHeight w:val="394"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28" w:type="dxa"/>
            <w:vMerge/>
            <w:tcBorders>
              <w:left w:val="single" w:sz="9" w:space="0" w:color="D2D2D2"/>
              <w:right w:val="single" w:sz="4" w:space="0" w:color="000000"/>
            </w:tcBorders>
          </w:tcPr>
          <w:p>
            <w:pPr/>
          </w:p>
        </w:tc>
        <w:tc>
          <w:tcPr>
            <w:tcW w:w="900"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891"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317"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8" w:type="dxa"/>
            <w:vMerge/>
            <w:tcBorders>
              <w:left w:val="single" w:sz="9" w:space="0" w:color="D2D2D2"/>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891"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8"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365,749,220.89</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3" w:right="0"/>
              <w:jc w:val="left"/>
              <w:rPr>
                <w:rFonts w:ascii="Times New Roman" w:hAnsi="Times New Roman" w:cs="Times New Roman" w:eastAsia="Times New Roman" w:hint="default"/>
                <w:sz w:val="18"/>
                <w:szCs w:val="18"/>
              </w:rPr>
            </w:pPr>
            <w:r>
              <w:rPr>
                <w:rFonts w:ascii="Times New Roman"/>
                <w:sz w:val="18"/>
              </w:rPr>
              <w:t>5.48%</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270,502,200.00</w:t>
            </w:r>
          </w:p>
        </w:tc>
        <w:tc>
          <w:tcPr>
            <w:tcW w:w="89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3" w:right="0"/>
              <w:jc w:val="left"/>
              <w:rPr>
                <w:rFonts w:ascii="Times New Roman" w:hAnsi="Times New Roman" w:cs="Times New Roman" w:eastAsia="Times New Roman" w:hint="default"/>
                <w:sz w:val="18"/>
                <w:szCs w:val="18"/>
              </w:rPr>
            </w:pPr>
            <w:r>
              <w:rPr>
                <w:rFonts w:ascii="Times New Roman"/>
                <w:sz w:val="18"/>
              </w:rPr>
              <w:t>2.87%</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2.61%</w:t>
            </w:r>
          </w:p>
        </w:tc>
        <w:tc>
          <w:tcPr>
            <w:tcW w:w="2919" w:type="dxa"/>
            <w:vMerge w:val="restart"/>
            <w:tcBorders>
              <w:top w:val="single" w:sz="4" w:space="0" w:color="000000"/>
              <w:left w:val="single" w:sz="4" w:space="0" w:color="000000"/>
              <w:right w:val="single" w:sz="4" w:space="0" w:color="000000"/>
            </w:tcBorders>
          </w:tcPr>
          <w:p>
            <w:pPr>
              <w:pStyle w:val="TableParagraph"/>
              <w:spacing w:line="314"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主要是报告期公司因经营业务增长 对资金需求增加融资所致。</w:t>
            </w: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28" w:type="dxa"/>
            <w:vMerge/>
            <w:tcBorders>
              <w:left w:val="single" w:sz="9" w:space="0" w:color="D2D2D2"/>
              <w:right w:val="single" w:sz="4" w:space="0" w:color="000000"/>
            </w:tcBorders>
          </w:tcPr>
          <w:p>
            <w:pPr/>
          </w:p>
        </w:tc>
        <w:tc>
          <w:tcPr>
            <w:tcW w:w="900"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891"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8" w:type="dxa"/>
            <w:vMerge/>
            <w:tcBorders>
              <w:left w:val="single" w:sz="9" w:space="0" w:color="D2D2D2"/>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891"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8"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3" w:right="0"/>
              <w:jc w:val="left"/>
              <w:rPr>
                <w:rFonts w:ascii="Times New Roman" w:hAnsi="Times New Roman" w:cs="Times New Roman" w:eastAsia="Times New Roman" w:hint="default"/>
                <w:sz w:val="18"/>
                <w:szCs w:val="18"/>
              </w:rPr>
            </w:pPr>
            <w:r>
              <w:rPr>
                <w:rFonts w:ascii="Times New Roman"/>
                <w:sz w:val="18"/>
              </w:rPr>
              <w:t>66,000,000.00</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3" w:right="0"/>
              <w:jc w:val="left"/>
              <w:rPr>
                <w:rFonts w:ascii="Times New Roman" w:hAnsi="Times New Roman" w:cs="Times New Roman" w:eastAsia="Times New Roman" w:hint="default"/>
                <w:sz w:val="18"/>
                <w:szCs w:val="18"/>
              </w:rPr>
            </w:pPr>
            <w:r>
              <w:rPr>
                <w:rFonts w:ascii="Times New Roman"/>
                <w:sz w:val="18"/>
              </w:rPr>
              <w:t>0.99%</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88,000,000.00</w:t>
            </w:r>
          </w:p>
        </w:tc>
        <w:tc>
          <w:tcPr>
            <w:tcW w:w="89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3" w:right="0"/>
              <w:jc w:val="left"/>
              <w:rPr>
                <w:rFonts w:ascii="Times New Roman" w:hAnsi="Times New Roman" w:cs="Times New Roman" w:eastAsia="Times New Roman" w:hint="default"/>
                <w:sz w:val="18"/>
                <w:szCs w:val="18"/>
              </w:rPr>
            </w:pPr>
            <w:r>
              <w:rPr>
                <w:rFonts w:ascii="Times New Roman"/>
                <w:sz w:val="18"/>
              </w:rPr>
              <w:t>0.93%</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0.06%</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主要是报告期公司按照借款合同约 定按期偿还借款所致。</w:t>
            </w:r>
          </w:p>
        </w:tc>
      </w:tr>
      <w:tr>
        <w:trPr>
          <w:trHeight w:val="394"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328" w:type="dxa"/>
            <w:vMerge/>
            <w:tcBorders>
              <w:left w:val="single" w:sz="9" w:space="0" w:color="D2D2D2"/>
              <w:right w:val="single" w:sz="4" w:space="0" w:color="000000"/>
            </w:tcBorders>
          </w:tcPr>
          <w:p>
            <w:pPr/>
          </w:p>
        </w:tc>
        <w:tc>
          <w:tcPr>
            <w:tcW w:w="900"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891"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8" w:type="dxa"/>
            <w:vMerge/>
            <w:tcBorders>
              <w:left w:val="single" w:sz="9" w:space="0" w:color="D2D2D2"/>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891"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3、截至报告期末的资产权利受限情况" w:id="44"/>
      <w:bookmarkEnd w:id="44"/>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9"/>
          <w:szCs w:val="9"/>
        </w:rPr>
      </w:pPr>
    </w:p>
    <w:tbl>
      <w:tblPr>
        <w:tblW w:w="0" w:type="auto"/>
        <w:jc w:val="left"/>
        <w:tblInd w:w="148" w:type="dxa"/>
        <w:tblLayout w:type="fixed"/>
        <w:tblCellMar>
          <w:top w:w="0" w:type="dxa"/>
          <w:left w:w="0" w:type="dxa"/>
          <w:bottom w:w="0" w:type="dxa"/>
          <w:right w:w="0" w:type="dxa"/>
        </w:tblCellMar>
        <w:tblLook w:val="01E0"/>
      </w:tblPr>
      <w:tblGrid>
        <w:gridCol w:w="2621"/>
        <w:gridCol w:w="3332"/>
        <w:gridCol w:w="3685"/>
      </w:tblGrid>
      <w:tr>
        <w:trPr>
          <w:trHeight w:val="335" w:hRule="exact"/>
        </w:trPr>
        <w:tc>
          <w:tcPr>
            <w:tcW w:w="262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33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b/>
                <w:bCs/>
                <w:sz w:val="18"/>
                <w:szCs w:val="18"/>
              </w:rPr>
              <w:t>年末账面价值</w:t>
            </w:r>
            <w:r>
              <w:rPr>
                <w:rFonts w:ascii="宋体" w:hAnsi="宋体" w:cs="宋体" w:eastAsia="宋体" w:hint="default"/>
                <w:sz w:val="18"/>
                <w:szCs w:val="18"/>
              </w:rPr>
            </w:r>
          </w:p>
        </w:tc>
        <w:tc>
          <w:tcPr>
            <w:tcW w:w="368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b/>
                <w:bCs/>
                <w:sz w:val="18"/>
                <w:szCs w:val="18"/>
              </w:rPr>
              <w:t>受限原因</w:t>
            </w:r>
            <w:r>
              <w:rPr>
                <w:rFonts w:ascii="宋体" w:hAnsi="宋体" w:cs="宋体" w:eastAsia="宋体" w:hint="default"/>
                <w:sz w:val="18"/>
                <w:szCs w:val="18"/>
              </w:rPr>
            </w:r>
          </w:p>
        </w:tc>
      </w:tr>
      <w:tr>
        <w:trPr>
          <w:trHeight w:val="348" w:hRule="exact"/>
        </w:trPr>
        <w:tc>
          <w:tcPr>
            <w:tcW w:w="262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3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61,631,232.20</w:t>
            </w:r>
          </w:p>
        </w:tc>
        <w:tc>
          <w:tcPr>
            <w:tcW w:w="3685"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3"/>
              <w:ind w:right="2"/>
              <w:jc w:val="center"/>
              <w:rPr>
                <w:rFonts w:ascii="宋体" w:hAnsi="宋体" w:cs="宋体" w:eastAsia="宋体" w:hint="default"/>
                <w:sz w:val="18"/>
                <w:szCs w:val="18"/>
              </w:rPr>
            </w:pPr>
            <w:r>
              <w:rPr>
                <w:rFonts w:ascii="宋体" w:hAnsi="宋体" w:cs="宋体" w:eastAsia="宋体" w:hint="default"/>
                <w:sz w:val="18"/>
                <w:szCs w:val="18"/>
              </w:rPr>
              <w:t>票据、贷款保证金、通道交易保证金</w:t>
            </w:r>
          </w:p>
        </w:tc>
      </w:tr>
      <w:tr>
        <w:trPr>
          <w:trHeight w:val="346" w:hRule="exact"/>
        </w:trPr>
        <w:tc>
          <w:tcPr>
            <w:tcW w:w="262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446,648,304.40</w:t>
            </w:r>
          </w:p>
        </w:tc>
        <w:tc>
          <w:tcPr>
            <w:tcW w:w="3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受央行监管的客户备付金</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2624"/>
        <w:gridCol w:w="3332"/>
        <w:gridCol w:w="3685"/>
      </w:tblGrid>
      <w:tr>
        <w:trPr>
          <w:trHeight w:val="348" w:hRule="exact"/>
        </w:trPr>
        <w:tc>
          <w:tcPr>
            <w:tcW w:w="262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171,520,262.81</w:t>
            </w:r>
          </w:p>
        </w:tc>
        <w:tc>
          <w:tcPr>
            <w:tcW w:w="3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653" w:right="0"/>
              <w:jc w:val="left"/>
              <w:rPr>
                <w:rFonts w:ascii="宋体" w:hAnsi="宋体" w:cs="宋体" w:eastAsia="宋体" w:hint="default"/>
                <w:sz w:val="18"/>
                <w:szCs w:val="18"/>
              </w:rPr>
            </w:pPr>
            <w:r>
              <w:rPr>
                <w:rFonts w:ascii="宋体" w:hAnsi="宋体" w:cs="宋体" w:eastAsia="宋体" w:hint="default"/>
                <w:sz w:val="18"/>
                <w:szCs w:val="18"/>
              </w:rPr>
              <w:t>质押</w:t>
            </w:r>
          </w:p>
        </w:tc>
      </w:tr>
      <w:tr>
        <w:trPr>
          <w:trHeight w:val="346" w:hRule="exact"/>
        </w:trPr>
        <w:tc>
          <w:tcPr>
            <w:tcW w:w="262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14,703,245.37</w:t>
            </w:r>
          </w:p>
        </w:tc>
        <w:tc>
          <w:tcPr>
            <w:tcW w:w="3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653" w:right="0"/>
              <w:jc w:val="left"/>
              <w:rPr>
                <w:rFonts w:ascii="宋体" w:hAnsi="宋体" w:cs="宋体" w:eastAsia="宋体" w:hint="default"/>
                <w:sz w:val="18"/>
                <w:szCs w:val="18"/>
              </w:rPr>
            </w:pPr>
            <w:r>
              <w:rPr>
                <w:rFonts w:ascii="宋体" w:hAnsi="宋体" w:cs="宋体" w:eastAsia="宋体" w:hint="default"/>
                <w:sz w:val="18"/>
                <w:szCs w:val="18"/>
              </w:rPr>
              <w:t>抵押</w:t>
            </w:r>
          </w:p>
        </w:tc>
      </w:tr>
      <w:tr>
        <w:trPr>
          <w:trHeight w:val="348" w:hRule="exact"/>
        </w:trPr>
        <w:tc>
          <w:tcPr>
            <w:tcW w:w="262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10,568,669.33</w:t>
            </w:r>
          </w:p>
        </w:tc>
        <w:tc>
          <w:tcPr>
            <w:tcW w:w="3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653" w:right="0"/>
              <w:jc w:val="left"/>
              <w:rPr>
                <w:rFonts w:ascii="宋体" w:hAnsi="宋体" w:cs="宋体" w:eastAsia="宋体" w:hint="default"/>
                <w:sz w:val="18"/>
                <w:szCs w:val="18"/>
              </w:rPr>
            </w:pPr>
            <w:r>
              <w:rPr>
                <w:rFonts w:ascii="宋体" w:hAnsi="宋体" w:cs="宋体" w:eastAsia="宋体" w:hint="default"/>
                <w:sz w:val="18"/>
                <w:szCs w:val="18"/>
              </w:rPr>
              <w:t>抵押</w:t>
            </w:r>
          </w:p>
        </w:tc>
      </w:tr>
      <w:tr>
        <w:trPr>
          <w:trHeight w:val="348" w:hRule="exact"/>
        </w:trPr>
        <w:tc>
          <w:tcPr>
            <w:tcW w:w="262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705,071,714.11</w:t>
            </w:r>
            <w:r>
              <w:rPr>
                <w:rFonts w:ascii="Times New Roman"/>
                <w:spacing w:val="-1"/>
                <w:sz w:val="18"/>
              </w:rPr>
            </w:r>
          </w:p>
        </w:tc>
        <w:tc>
          <w:tcPr>
            <w:tcW w:w="3685"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bookmarkStart w:name="五、投资状况分析" w:id="45"/>
      <w:bookmarkEnd w:id="45"/>
      <w:r>
        <w:rPr>
          <w:b w:val="0"/>
          <w:bCs w:val="0"/>
        </w:rPr>
      </w:r>
      <w:r>
        <w:rPr/>
        <w:t>五、投资状况分析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bookmarkStart w:name="1、总体情况" w:id="46"/>
      <w:bookmarkEnd w:id="46"/>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246,545,000.00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494,648,023.79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-50.16%</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报告期内获取的重大的股权投资情况" w:id="47"/>
      <w:bookmarkEnd w:id="47"/>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3、报告期内正在进行的重大的非股权投资情况" w:id="48"/>
      <w:bookmarkEnd w:id="48"/>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bookmarkStart w:name="4、以公允价值计量的金融资产" w:id="49"/>
      <w:bookmarkEnd w:id="49"/>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5、募集资金使用情况" w:id="50"/>
      <w:bookmarkEnd w:id="50"/>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bookmarkStart w:name="（1）募集资金总体使用情况" w:id="51"/>
      <w:bookmarkEnd w:id="51"/>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7"/>
        <w:gridCol w:w="862"/>
        <w:gridCol w:w="878"/>
        <w:gridCol w:w="869"/>
        <w:gridCol w:w="871"/>
        <w:gridCol w:w="869"/>
        <w:gridCol w:w="869"/>
        <w:gridCol w:w="871"/>
        <w:gridCol w:w="869"/>
        <w:gridCol w:w="871"/>
        <w:gridCol w:w="869"/>
      </w:tblGrid>
      <w:tr>
        <w:trPr>
          <w:trHeight w:val="1337"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56" w:right="71"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0"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9"/>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1" w:right="67"/>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67"/>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922"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非公开发 行股票</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261" w:right="0"/>
              <w:jc w:val="left"/>
              <w:rPr>
                <w:rFonts w:ascii="Times New Roman" w:hAnsi="Times New Roman" w:cs="Times New Roman" w:eastAsia="Times New Roman" w:hint="default"/>
                <w:sz w:val="18"/>
                <w:szCs w:val="18"/>
              </w:rPr>
            </w:pPr>
            <w:r>
              <w:rPr>
                <w:rFonts w:ascii="Times New Roman"/>
                <w:sz w:val="18"/>
              </w:rPr>
              <w:t>187,042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206" w:right="0"/>
              <w:jc w:val="left"/>
              <w:rPr>
                <w:rFonts w:ascii="Times New Roman" w:hAnsi="Times New Roman" w:cs="Times New Roman" w:eastAsia="Times New Roman" w:hint="default"/>
                <w:sz w:val="18"/>
                <w:szCs w:val="18"/>
              </w:rPr>
            </w:pPr>
            <w:r>
              <w:rPr>
                <w:rFonts w:ascii="Times New Roman"/>
                <w:sz w:val="18"/>
              </w:rPr>
              <w:t>19,873.4</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26" w:right="0"/>
              <w:jc w:val="left"/>
              <w:rPr>
                <w:rFonts w:ascii="Times New Roman" w:hAnsi="Times New Roman" w:cs="Times New Roman" w:eastAsia="Times New Roman" w:hint="default"/>
                <w:sz w:val="18"/>
                <w:szCs w:val="18"/>
              </w:rPr>
            </w:pPr>
            <w:r>
              <w:rPr>
                <w:rFonts w:ascii="Times New Roman"/>
                <w:sz w:val="18"/>
              </w:rPr>
              <w:t>132,579.75</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117" w:right="0"/>
              <w:jc w:val="left"/>
              <w:rPr>
                <w:rFonts w:ascii="Times New Roman" w:hAnsi="Times New Roman" w:cs="Times New Roman" w:eastAsia="Times New Roman" w:hint="default"/>
                <w:sz w:val="18"/>
                <w:szCs w:val="18"/>
              </w:rPr>
            </w:pPr>
            <w:r>
              <w:rPr>
                <w:rFonts w:ascii="Times New Roman"/>
                <w:sz w:val="18"/>
              </w:rPr>
              <w:t>62,872.43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p>
          <w:p>
            <w:pPr>
              <w:pStyle w:val="TableParagraph"/>
              <w:spacing w:line="314" w:lineRule="auto" w:before="63"/>
              <w:ind w:left="26" w:right="19"/>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pacing w:val="-18"/>
                <w:sz w:val="18"/>
                <w:szCs w:val="18"/>
              </w:rPr>
              <w:t>日，本公司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尚未使用 募集资金 全部作为</w:t>
            </w:r>
          </w:p>
        </w:tc>
        <w:tc>
          <w:tcPr>
            <w:tcW w:w="8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r>
        <w:rPr/>
        <w:pict>
          <v:shape style="position:absolute;margin-left:449.5pt;margin-top:72.475983pt;width:85.2pt;height:48.9pt;mso-position-horizontal-relative:page;mso-position-vertical-relative:page;z-index:-1714168" type="#_x0000_t202" filled="false" stroked="false">
            <v:textbox inset="0,0,0,0">
              <w:txbxContent>
                <w:p>
                  <w:pPr>
                    <w:spacing w:line="240" w:lineRule="auto" w:before="7"/>
                    <w:rPr>
                      <w:rFonts w:ascii="宋体" w:hAnsi="宋体" w:cs="宋体" w:eastAsia="宋体" w:hint="default"/>
                      <w:sz w:val="24"/>
                      <w:szCs w:val="24"/>
                    </w:rPr>
                  </w:pPr>
                </w:p>
                <w:p>
                  <w:pPr>
                    <w:pStyle w:val="BodyText"/>
                    <w:spacing w:line="316" w:lineRule="auto"/>
                    <w:ind w:left="0" w:right="803"/>
                    <w:jc w:val="left"/>
                  </w:pPr>
                  <w:r>
                    <w:rPr/>
                    <w:t>专户存储、 专户管理。</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867"/>
        <w:gridCol w:w="862"/>
        <w:gridCol w:w="878"/>
        <w:gridCol w:w="869"/>
        <w:gridCol w:w="871"/>
        <w:gridCol w:w="869"/>
        <w:gridCol w:w="869"/>
        <w:gridCol w:w="871"/>
        <w:gridCol w:w="869"/>
        <w:gridCol w:w="871"/>
        <w:gridCol w:w="869"/>
      </w:tblGrid>
      <w:tr>
        <w:trPr>
          <w:trHeight w:val="987" w:hRule="exact"/>
        </w:trPr>
        <w:tc>
          <w:tcPr>
            <w:tcW w:w="867"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6"/>
              <w:jc w:val="center"/>
              <w:rPr>
                <w:rFonts w:ascii="宋体" w:hAnsi="宋体" w:cs="宋体" w:eastAsia="宋体" w:hint="default"/>
                <w:sz w:val="18"/>
                <w:szCs w:val="18"/>
              </w:rPr>
            </w:pPr>
            <w:r>
              <w:rPr>
                <w:rFonts w:ascii="宋体" w:hAnsi="宋体" w:cs="宋体" w:eastAsia="宋体" w:hint="default"/>
                <w:sz w:val="18"/>
                <w:szCs w:val="18"/>
              </w:rPr>
              <w:t>银行存款</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977" w:lineRule="exact"/>
              <w:ind w:right="-51"/>
              <w:jc w:val="left"/>
              <w:rPr>
                <w:rFonts w:ascii="宋体" w:hAnsi="宋体" w:cs="宋体" w:eastAsia="宋体" w:hint="default"/>
                <w:sz w:val="20"/>
                <w:szCs w:val="20"/>
              </w:rPr>
            </w:pPr>
            <w:r>
              <w:rPr>
                <w:rFonts w:ascii="宋体" w:hAnsi="宋体" w:cs="宋体" w:eastAsia="宋体" w:hint="default"/>
                <w:position w:val="-19"/>
                <w:sz w:val="20"/>
                <w:szCs w:val="20"/>
              </w:rPr>
              <w:pict>
                <v:group style="width:43pt;height:48.9pt;mso-position-horizontal-relative:char;mso-position-vertical-relative:line" coordorigin="0,0" coordsize="860,978">
                  <v:group style="position:absolute;left:0;top:0;width:860;height:978" coordorigin="0,0" coordsize="860,978">
                    <v:shape style="position:absolute;left:0;top:0;width:860;height:978" coordorigin="0,0" coordsize="860,978" path="m0,977l859,977,859,0,0,0,0,977xe" filled="true" fillcolor="#ffffff" stroked="false">
                      <v:path arrowok="t"/>
                      <v:fill type="solid"/>
                    </v:shape>
                  </v:group>
                </v:group>
              </w:pict>
            </w:r>
            <w:r>
              <w:rPr>
                <w:rFonts w:ascii="宋体" w:hAnsi="宋体" w:cs="宋体" w:eastAsia="宋体" w:hint="default"/>
                <w:position w:val="-19"/>
                <w:sz w:val="20"/>
                <w:szCs w:val="20"/>
              </w:rPr>
            </w:r>
          </w:p>
        </w:tc>
      </w:tr>
      <w:tr>
        <w:trPr>
          <w:trHeight w:val="401"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7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54" w:right="0"/>
              <w:jc w:val="left"/>
              <w:rPr>
                <w:rFonts w:ascii="Times New Roman" w:hAnsi="Times New Roman" w:cs="Times New Roman" w:eastAsia="Times New Roman" w:hint="default"/>
                <w:sz w:val="18"/>
                <w:szCs w:val="18"/>
              </w:rPr>
            </w:pPr>
            <w:r>
              <w:rPr>
                <w:rFonts w:ascii="Times New Roman"/>
                <w:sz w:val="18"/>
              </w:rPr>
              <w:t>187,042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6" w:right="0"/>
              <w:jc w:val="left"/>
              <w:rPr>
                <w:rFonts w:ascii="Times New Roman" w:hAnsi="Times New Roman" w:cs="Times New Roman" w:eastAsia="Times New Roman" w:hint="default"/>
                <w:sz w:val="18"/>
                <w:szCs w:val="18"/>
              </w:rPr>
            </w:pPr>
            <w:r>
              <w:rPr>
                <w:rFonts w:ascii="Times New Roman"/>
                <w:sz w:val="18"/>
              </w:rPr>
              <w:t>19,873.4</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132,579.75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4" w:right="0"/>
              <w:jc w:val="lef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62,872.43</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2626" w:hRule="exact"/>
        </w:trPr>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0"/>
              <w:jc w:val="left"/>
              <w:rPr>
                <w:rFonts w:ascii="宋体" w:hAnsi="宋体" w:cs="宋体" w:eastAsia="宋体" w:hint="default"/>
                <w:sz w:val="18"/>
                <w:szCs w:val="18"/>
              </w:rPr>
            </w:pPr>
            <w:r>
              <w:rPr>
                <w:rFonts w:ascii="宋体" w:hAnsi="宋体" w:cs="宋体" w:eastAsia="宋体" w:hint="default"/>
                <w:spacing w:val="-3"/>
                <w:sz w:val="18"/>
                <w:szCs w:val="18"/>
              </w:rPr>
              <w:t>经中国证券监督管理委员会证监许可【</w:t>
            </w:r>
            <w:r>
              <w:rPr>
                <w:rFonts w:ascii="Times New Roman" w:hAnsi="Times New Roman" w:cs="Times New Roman" w:eastAsia="Times New Roman" w:hint="default"/>
                <w:spacing w:val="-3"/>
                <w:sz w:val="18"/>
                <w:szCs w:val="18"/>
              </w:rPr>
              <w:t>2016</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1341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号《关于核准青岛海立美达股份有限公司向中国移动通讯集团公司等发 行股份购买资产并募集配套资金的批复》文件核准，本公司于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月在主承销商广发证券股份有限公司的承办下以</w:t>
            </w:r>
          </w:p>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非公开发行股票的方式发行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73,120,406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股，每股发行价格为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25.58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元，募集配套资金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1,870,419,985.48 </w:t>
            </w:r>
            <w:r>
              <w:rPr>
                <w:rFonts w:ascii="宋体" w:hAnsi="宋体" w:cs="宋体" w:eastAsia="宋体" w:hint="default"/>
                <w:sz w:val="18"/>
                <w:szCs w:val="18"/>
              </w:rPr>
              <w:t>元，扣除</w:t>
            </w:r>
          </w:p>
          <w:p>
            <w:pPr>
              <w:pStyle w:val="TableParagraph"/>
              <w:spacing w:line="300" w:lineRule="auto" w:before="63"/>
              <w:ind w:left="24" w:right="77"/>
              <w:jc w:val="left"/>
              <w:rPr>
                <w:rFonts w:ascii="宋体" w:hAnsi="宋体" w:cs="宋体" w:eastAsia="宋体" w:hint="default"/>
                <w:sz w:val="18"/>
                <w:szCs w:val="18"/>
              </w:rPr>
            </w:pPr>
            <w:r>
              <w:rPr>
                <w:rFonts w:ascii="宋体" w:hAnsi="宋体" w:cs="宋体" w:eastAsia="宋体" w:hint="default"/>
                <w:sz w:val="18"/>
                <w:szCs w:val="18"/>
              </w:rPr>
              <w:t>发行有关费用后，公司实际收到募集资金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1,835,304,525.67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元，公司已对募集资金采取了专户存储制度。上述募集资金到 位情况业经信永中和会计师事务所（特殊普通合伙）审验，并出具了 </w:t>
            </w:r>
            <w:r>
              <w:rPr>
                <w:rFonts w:ascii="Times New Roman" w:hAnsi="Times New Roman" w:cs="Times New Roman" w:eastAsia="Times New Roman" w:hint="default"/>
                <w:spacing w:val="-1"/>
                <w:w w:val="99"/>
                <w:sz w:val="18"/>
                <w:szCs w:val="18"/>
              </w:rPr>
              <w:t>XYZH/2016JNA10338</w:t>
            </w:r>
            <w:r>
              <w:rPr>
                <w:rFonts w:ascii="Times New Roman" w:hAnsi="Times New Roman" w:cs="Times New Roman" w:eastAsia="Times New Roman" w:hint="default"/>
                <w:spacing w:val="-27"/>
                <w:w w:val="99"/>
                <w:sz w:val="18"/>
                <w:szCs w:val="18"/>
              </w:rPr>
              <w:t> </w:t>
            </w:r>
            <w:r>
              <w:rPr>
                <w:rFonts w:ascii="宋体" w:hAnsi="宋体" w:cs="宋体" w:eastAsia="宋体" w:hint="default"/>
                <w:spacing w:val="-12"/>
                <w:sz w:val="18"/>
                <w:szCs w:val="18"/>
              </w:rPr>
              <w:t>号《验资报告》。</w:t>
            </w:r>
          </w:p>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日，募集资金项目已累计投入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132,579.75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万元，其中扣除发行有关费用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3,511.55 </w:t>
            </w:r>
            <w:r>
              <w:rPr>
                <w:rFonts w:ascii="宋体" w:hAnsi="宋体" w:cs="宋体" w:eastAsia="宋体" w:hint="default"/>
                <w:sz w:val="18"/>
                <w:szCs w:val="18"/>
              </w:rPr>
              <w:t>万元，置换先期自</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筹投入的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30,461.97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万元，直接投入募集资金项目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98,606.23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宋体" w:hAnsi="宋体" w:cs="宋体" w:eastAsia="宋体" w:hint="default"/>
                <w:spacing w:val="-15"/>
                <w:sz w:val="18"/>
                <w:szCs w:val="18"/>
              </w:rPr>
              <w:t> </w:t>
            </w:r>
            <w:r>
              <w:rPr>
                <w:rFonts w:ascii="宋体" w:hAnsi="宋体" w:cs="宋体" w:eastAsia="宋体" w:hint="default"/>
                <w:sz w:val="18"/>
                <w:szCs w:val="18"/>
              </w:rPr>
              <w:t>截至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日，公司非公开发行募集资金专</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户余额（含利息收入）为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62,872.43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募集资金承诺项目情况" w:id="52"/>
      <w:bookmarkEnd w:id="52"/>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72"/>
        <w:gridCol w:w="778"/>
        <w:gridCol w:w="781"/>
        <w:gridCol w:w="780"/>
        <w:gridCol w:w="780"/>
        <w:gridCol w:w="783"/>
        <w:gridCol w:w="778"/>
        <w:gridCol w:w="780"/>
        <w:gridCol w:w="853"/>
        <w:gridCol w:w="708"/>
        <w:gridCol w:w="780"/>
      </w:tblGrid>
      <w:tr>
        <w:trPr>
          <w:trHeight w:val="1339"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21" w:right="70"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49"/>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2" w:right="58"/>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7"/>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1"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7"/>
              <w:jc w:val="left"/>
              <w:rPr>
                <w:rFonts w:ascii="宋体" w:hAnsi="宋体" w:cs="宋体" w:eastAsia="宋体" w:hint="default"/>
                <w:sz w:val="18"/>
                <w:szCs w:val="18"/>
              </w:rPr>
            </w:pPr>
            <w:r>
              <w:rPr>
                <w:rFonts w:ascii="宋体" w:hAnsi="宋体" w:cs="宋体" w:eastAsia="宋体" w:hint="default"/>
                <w:sz w:val="18"/>
                <w:szCs w:val="18"/>
              </w:rPr>
              <w:t>移动互联网智能融合 支付云平台项目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85,043</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46.37</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25,386.16</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29.85%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-15,837.41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117"/>
              <w:jc w:val="left"/>
              <w:rPr>
                <w:rFonts w:ascii="宋体" w:hAnsi="宋体" w:cs="宋体" w:eastAsia="宋体" w:hint="default"/>
                <w:sz w:val="18"/>
                <w:szCs w:val="18"/>
              </w:rPr>
            </w:pPr>
            <w:r>
              <w:rPr>
                <w:rFonts w:ascii="宋体" w:hAnsi="宋体" w:cs="宋体" w:eastAsia="宋体" w:hint="default"/>
                <w:sz w:val="18"/>
                <w:szCs w:val="18"/>
              </w:rPr>
              <w:t>跨境电商综合服务平 台项目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20,241</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26.79</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6,007.15</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29.68%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475.50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联动优势支付中国移 动减资款</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上市公司补充流动资 金</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48,868</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49,057.42</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100.39%</w:t>
            </w:r>
          </w:p>
        </w:tc>
        <w:tc>
          <w:tcPr>
            <w:tcW w:w="78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支付中介机构相关费 用</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4,890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4,326.55</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88.48%</w:t>
            </w:r>
          </w:p>
        </w:tc>
        <w:tc>
          <w:tcPr>
            <w:tcW w:w="78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回购公司股份</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19,799.70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19,799.70</w:t>
            </w:r>
          </w:p>
        </w:tc>
        <w:tc>
          <w:tcPr>
            <w:tcW w:w="778"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本公司手续费支出</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0.54</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0.94</w:t>
            </w:r>
          </w:p>
        </w:tc>
        <w:tc>
          <w:tcPr>
            <w:tcW w:w="778"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7"/>
              <w:jc w:val="left"/>
              <w:rPr>
                <w:rFonts w:ascii="宋体" w:hAnsi="宋体" w:cs="宋体" w:eastAsia="宋体" w:hint="default"/>
                <w:sz w:val="18"/>
                <w:szCs w:val="18"/>
              </w:rPr>
            </w:pPr>
            <w:r>
              <w:rPr>
                <w:rFonts w:ascii="宋体" w:hAnsi="宋体" w:cs="宋体" w:eastAsia="宋体" w:hint="default"/>
                <w:sz w:val="18"/>
                <w:szCs w:val="18"/>
              </w:rPr>
              <w:t>项目结余补充流动资 金</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1.83</w:t>
            </w:r>
          </w:p>
        </w:tc>
        <w:tc>
          <w:tcPr>
            <w:tcW w:w="778"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187,042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19,873.40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9"/>
              <w:jc w:val="right"/>
              <w:rPr>
                <w:rFonts w:ascii="Times New Roman" w:hAnsi="Times New Roman" w:cs="Times New Roman" w:eastAsia="Times New Roman" w:hint="default"/>
                <w:sz w:val="18"/>
                <w:szCs w:val="18"/>
              </w:rPr>
            </w:pPr>
            <w:r>
              <w:rPr>
                <w:rFonts w:ascii="Times New Roman"/>
                <w:spacing w:val="-1"/>
                <w:sz w:val="18"/>
              </w:rPr>
              <w:t>132,579.7</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-15,361.91</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r>
        <w:rPr/>
        <w:pict>
          <v:shape style="position:absolute;margin-left:56.400002pt;margin-top:71.999985pt;width:479.3pt;height:696.5pt;mso-position-horizontal-relative:page;mso-position-vertical-relative:page;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2"/>
                    <w:gridCol w:w="772"/>
                    <w:gridCol w:w="786"/>
                    <w:gridCol w:w="780"/>
                    <w:gridCol w:w="780"/>
                    <w:gridCol w:w="783"/>
                    <w:gridCol w:w="778"/>
                    <w:gridCol w:w="780"/>
                    <w:gridCol w:w="853"/>
                    <w:gridCol w:w="708"/>
                    <w:gridCol w:w="780"/>
                  </w:tblGrid>
                  <w:tr>
                    <w:trPr>
                      <w:trHeight w:val="368"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5</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6"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3"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16"/>
                          <w:jc w:val="right"/>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86"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187,042</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19,873.40</w:t>
                        </w:r>
                      </w:p>
                    </w:tc>
                    <w:tc>
                      <w:tcPr>
                        <w:tcW w:w="78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132,579.7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8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-15,361.91</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94"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16"/>
                          <w:jc w:val="right"/>
                          <w:rPr>
                            <w:rFonts w:ascii="Times New Roman" w:hAnsi="Times New Roman" w:cs="Times New Roman" w:eastAsia="Times New Roman" w:hint="default"/>
                            <w:sz w:val="18"/>
                            <w:szCs w:val="18"/>
                          </w:rPr>
                        </w:pPr>
                        <w:r>
                          <w:rPr>
                            <w:rFonts w:ascii="Times New Roman"/>
                            <w:sz w:val="18"/>
                          </w:rPr>
                          <w:t>--</w:t>
                        </w:r>
                      </w:p>
                    </w:tc>
                    <w:tc>
                      <w:tcPr>
                        <w:tcW w:w="786" w:type="dxa"/>
                        <w:vMerge/>
                        <w:tcBorders>
                          <w:left w:val="single" w:sz="9" w:space="0" w:color="D2D2D2"/>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3"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c>
                      <w:tcPr>
                        <w:tcW w:w="853"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61"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86" w:type="dxa"/>
                        <w:vMerge/>
                        <w:tcBorders>
                          <w:left w:val="single" w:sz="9" w:space="0" w:color="D2D2D2"/>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3"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853"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469"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移动互联网智能融合支付云平台：</w:t>
                        </w:r>
                      </w:p>
                      <w:p>
                        <w:pPr>
                          <w:pStyle w:val="TableParagraph"/>
                          <w:spacing w:line="314" w:lineRule="auto" w:before="115"/>
                          <w:ind w:left="16" w:right="17"/>
                          <w:jc w:val="left"/>
                          <w:rPr>
                            <w:rFonts w:ascii="宋体" w:hAnsi="宋体" w:cs="宋体" w:eastAsia="宋体" w:hint="default"/>
                            <w:sz w:val="18"/>
                            <w:szCs w:val="18"/>
                          </w:rPr>
                        </w:pPr>
                        <w:r>
                          <w:rPr>
                            <w:rFonts w:ascii="宋体" w:hAnsi="宋体" w:cs="宋体" w:eastAsia="宋体" w:hint="default"/>
                            <w:sz w:val="18"/>
                            <w:szCs w:val="18"/>
                          </w:rPr>
                          <w:t>公司升级搭建的智能融合支付云平台系统已基本成型；公司通过线下收单业务和“惠商</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O2O</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业 务的切入，已初步建立了区域市场营销渠道，移动互联网智能融合支付云平台建设项目已初步达到 </w:t>
                        </w:r>
                        <w:r>
                          <w:rPr>
                            <w:rFonts w:ascii="宋体" w:hAnsi="宋体" w:cs="宋体" w:eastAsia="宋体" w:hint="default"/>
                            <w:spacing w:val="-2"/>
                            <w:sz w:val="18"/>
                            <w:szCs w:val="18"/>
                          </w:rPr>
                          <w:t>可使用状态。考虑到当前国内经济形势、</w:t>
                        </w:r>
                        <w:r>
                          <w:rPr>
                            <w:rFonts w:ascii="宋体" w:hAnsi="宋体" w:cs="宋体" w:eastAsia="宋体" w:hint="default"/>
                            <w:spacing w:val="-8"/>
                            <w:sz w:val="18"/>
                            <w:szCs w:val="18"/>
                          </w:rPr>
                          <w:t> </w:t>
                        </w:r>
                        <w:r>
                          <w:rPr>
                            <w:rFonts w:ascii="宋体" w:hAnsi="宋体" w:cs="宋体" w:eastAsia="宋体" w:hint="default"/>
                            <w:spacing w:val="-2"/>
                            <w:sz w:val="18"/>
                            <w:szCs w:val="18"/>
                          </w:rPr>
                          <w:t>行业政策、行业竞争程度等因素，该募投项目的实施环境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已发生变化，为保障投资者和公司整体利益，充分提高募集资金使用效率，减少不必要的投资浪费</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pacing w:val="-3"/>
                            <w:sz w:val="18"/>
                            <w:szCs w:val="18"/>
                          </w:rPr>
                          <w:t>公司将“移动互联网智能融合支付云平台”项目进行结项，停止继续投入募集资金。（公告编号：</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Times New Roman" w:hAnsi="Times New Roman" w:cs="Times New Roman" w:eastAsia="Times New Roman" w:hint="default"/>
                            <w:sz w:val="18"/>
                            <w:szCs w:val="18"/>
                          </w:rPr>
                          <w:t>2019-045</w:t>
                        </w:r>
                        <w:r>
                          <w:rPr>
                            <w:rFonts w:ascii="宋体" w:hAnsi="宋体" w:cs="宋体" w:eastAsia="宋体" w:hint="default"/>
                            <w:sz w:val="18"/>
                            <w:szCs w:val="18"/>
                          </w:rPr>
                          <w:t>）</w:t>
                        </w:r>
                      </w:p>
                      <w:p>
                        <w:pPr>
                          <w:pStyle w:val="TableParagraph"/>
                          <w:spacing w:line="338" w:lineRule="auto" w:before="42"/>
                          <w:ind w:left="16" w:right="23"/>
                          <w:jc w:val="left"/>
                          <w:rPr>
                            <w:rFonts w:ascii="宋体" w:hAnsi="宋体" w:cs="宋体" w:eastAsia="宋体" w:hint="default"/>
                            <w:sz w:val="18"/>
                            <w:szCs w:val="18"/>
                          </w:rPr>
                        </w:pPr>
                        <w:r>
                          <w:rPr>
                            <w:rFonts w:ascii="宋体" w:hAnsi="宋体" w:cs="宋体" w:eastAsia="宋体" w:hint="default"/>
                            <w:sz w:val="18"/>
                            <w:szCs w:val="18"/>
                          </w:rPr>
                          <w:t>跨境电商综合服务平台： 跨境电商综合服务平台建设已完成，营销体系已基本满足需求，募投项目“跨境电商综合服务平台 项目”已初步达到可使用状态，已基本满足公司业务需求。为保障投资者和公司整体利益，充分提</w:t>
                        </w:r>
                      </w:p>
                      <w:p>
                        <w:pPr>
                          <w:pStyle w:val="TableParagraph"/>
                          <w:spacing w:line="240" w:lineRule="auto" w:before="2"/>
                          <w:ind w:left="16" w:right="0"/>
                          <w:jc w:val="left"/>
                          <w:rPr>
                            <w:rFonts w:ascii="宋体" w:hAnsi="宋体" w:cs="宋体" w:eastAsia="宋体" w:hint="default"/>
                            <w:sz w:val="18"/>
                            <w:szCs w:val="18"/>
                          </w:rPr>
                        </w:pPr>
                        <w:r>
                          <w:rPr>
                            <w:rFonts w:ascii="宋体" w:hAnsi="宋体" w:cs="宋体" w:eastAsia="宋体" w:hint="default"/>
                            <w:sz w:val="18"/>
                            <w:szCs w:val="18"/>
                          </w:rPr>
                          <w:t>高募集资金使用效率，公司将“跨境电商综合服务平台项目”进行结项，停止继续投入募集资金。</w:t>
                        </w:r>
                      </w:p>
                      <w:p>
                        <w:pPr>
                          <w:pStyle w:val="TableParagraph"/>
                          <w:spacing w:line="240" w:lineRule="auto" w:before="76"/>
                          <w:ind w:left="16" w:right="0"/>
                          <w:jc w:val="left"/>
                          <w:rPr>
                            <w:rFonts w:ascii="宋体" w:hAnsi="宋体" w:cs="宋体" w:eastAsia="宋体" w:hint="default"/>
                            <w:sz w:val="18"/>
                            <w:szCs w:val="18"/>
                          </w:rPr>
                        </w:pP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2019-045</w:t>
                        </w:r>
                        <w:r>
                          <w:rPr>
                            <w:rFonts w:ascii="宋体" w:hAnsi="宋体" w:cs="宋体" w:eastAsia="宋体" w:hint="default"/>
                            <w:sz w:val="18"/>
                            <w:szCs w:val="18"/>
                          </w:rPr>
                          <w:t>）</w:t>
                        </w:r>
                      </w:p>
                    </w:tc>
                  </w:tr>
                  <w:tr>
                    <w:trPr>
                      <w:trHeight w:val="1016"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9" w:type="dxa"/>
                        <w:gridSpan w:val="10"/>
                        <w:vMerge/>
                        <w:tcBorders>
                          <w:left w:val="single" w:sz="10" w:space="0" w:color="D2D2D2"/>
                          <w:right w:val="single" w:sz="4" w:space="0" w:color="000000"/>
                        </w:tcBorders>
                      </w:tcPr>
                      <w:p>
                        <w:pPr/>
                      </w:p>
                    </w:tc>
                  </w:tr>
                  <w:tr>
                    <w:trPr>
                      <w:trHeight w:val="1469"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r>
                    <w:trPr>
                      <w:trHeight w:val="715"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17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4"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4" w:hRule="exact"/>
                    </w:trPr>
                    <w:tc>
                      <w:tcPr>
                        <w:tcW w:w="1772" w:type="dxa"/>
                        <w:vMerge/>
                        <w:tcBorders>
                          <w:left w:val="single" w:sz="4" w:space="0" w:color="000000"/>
                          <w:bottom w:val="single" w:sz="4" w:space="0" w:color="000000"/>
                          <w:right w:val="single" w:sz="4" w:space="0" w:color="000000"/>
                        </w:tcBorders>
                        <w:shd w:val="clear" w:color="auto" w:fill="D2D2D2"/>
                      </w:tcPr>
                      <w:p>
                        <w:pPr/>
                      </w:p>
                    </w:tc>
                    <w:tc>
                      <w:tcPr>
                        <w:tcW w:w="7799" w:type="dxa"/>
                        <w:gridSpan w:val="10"/>
                        <w:tcBorders>
                          <w:top w:val="single" w:sz="4" w:space="0" w:color="000000"/>
                          <w:left w:val="single" w:sz="10" w:space="0" w:color="D2D2D2"/>
                          <w:bottom w:val="single" w:sz="4" w:space="0" w:color="000000"/>
                          <w:right w:val="single" w:sz="4" w:space="0" w:color="000000"/>
                        </w:tcBorders>
                      </w:tcPr>
                      <w:p>
                        <w:pPr/>
                      </w:p>
                    </w:tc>
                  </w:tr>
                  <w:tr>
                    <w:trPr>
                      <w:trHeight w:val="250"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77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 w:right="115"/>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9" w:type="dxa"/>
                        <w:gridSpan w:val="10"/>
                        <w:vMerge/>
                        <w:tcBorders>
                          <w:left w:val="single" w:sz="10" w:space="0" w:color="D2D2D2"/>
                          <w:bottom w:val="single" w:sz="4" w:space="0" w:color="000000"/>
                          <w:right w:val="single" w:sz="4" w:space="0" w:color="000000"/>
                        </w:tcBorders>
                      </w:tcPr>
                      <w:p>
                        <w:pPr/>
                      </w:p>
                    </w:tc>
                  </w:tr>
                  <w:tr>
                    <w:trPr>
                      <w:trHeight w:val="403" w:hRule="exact"/>
                    </w:trPr>
                    <w:tc>
                      <w:tcPr>
                        <w:tcW w:w="1772" w:type="dxa"/>
                        <w:vMerge/>
                        <w:tcBorders>
                          <w:left w:val="single" w:sz="4" w:space="0" w:color="000000"/>
                          <w:right w:val="single" w:sz="4" w:space="0" w:color="000000"/>
                        </w:tcBorders>
                        <w:shd w:val="clear" w:color="auto" w:fill="D2D2D2"/>
                      </w:tcPr>
                      <w:p>
                        <w:pPr/>
                      </w:p>
                    </w:tc>
                    <w:tc>
                      <w:tcPr>
                        <w:tcW w:w="7799" w:type="dxa"/>
                        <w:gridSpan w:val="10"/>
                        <w:tcBorders>
                          <w:top w:val="single" w:sz="4" w:space="0" w:color="000000"/>
                          <w:left w:val="single" w:sz="10" w:space="0" w:color="D2D2D2"/>
                          <w:bottom w:val="single" w:sz="4" w:space="0" w:color="000000"/>
                          <w:right w:val="single" w:sz="4" w:space="0" w:color="000000"/>
                        </w:tcBorders>
                      </w:tcPr>
                      <w:p>
                        <w:pPr/>
                      </w:p>
                    </w:tc>
                  </w:tr>
                  <w:tr>
                    <w:trPr>
                      <w:trHeight w:val="151" w:hRule="exact"/>
                    </w:trPr>
                    <w:tc>
                      <w:tcPr>
                        <w:tcW w:w="1772" w:type="dxa"/>
                        <w:vMerge/>
                        <w:tcBorders>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
                    </w:tc>
                  </w:tr>
                  <w:tr>
                    <w:trPr>
                      <w:trHeight w:val="250"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r>
                    <w:trPr>
                      <w:trHeight w:val="252"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77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9" w:type="dxa"/>
                        <w:gridSpan w:val="10"/>
                        <w:vMerge/>
                        <w:tcBorders>
                          <w:left w:val="single" w:sz="10" w:space="0" w:color="D2D2D2"/>
                          <w:bottom w:val="single" w:sz="4" w:space="0" w:color="000000"/>
                          <w:right w:val="single" w:sz="4" w:space="0" w:color="000000"/>
                        </w:tcBorders>
                      </w:tcPr>
                      <w:p>
                        <w:pPr/>
                      </w:p>
                    </w:tc>
                  </w:tr>
                  <w:tr>
                    <w:trPr>
                      <w:trHeight w:val="401" w:hRule="exact"/>
                    </w:trPr>
                    <w:tc>
                      <w:tcPr>
                        <w:tcW w:w="1772" w:type="dxa"/>
                        <w:vMerge/>
                        <w:tcBorders>
                          <w:left w:val="single" w:sz="4" w:space="0" w:color="000000"/>
                          <w:right w:val="single" w:sz="4" w:space="0" w:color="000000"/>
                        </w:tcBorders>
                        <w:shd w:val="clear" w:color="auto" w:fill="D2D2D2"/>
                      </w:tcPr>
                      <w:p>
                        <w:pPr/>
                      </w:p>
                    </w:tc>
                    <w:tc>
                      <w:tcPr>
                        <w:tcW w:w="7799" w:type="dxa"/>
                        <w:gridSpan w:val="10"/>
                        <w:tcBorders>
                          <w:top w:val="single" w:sz="4" w:space="0" w:color="000000"/>
                          <w:left w:val="single" w:sz="10" w:space="0" w:color="D2D2D2"/>
                          <w:bottom w:val="single" w:sz="4" w:space="0" w:color="000000"/>
                          <w:right w:val="single" w:sz="4" w:space="0" w:color="000000"/>
                        </w:tcBorders>
                      </w:tcPr>
                      <w:p>
                        <w:pPr/>
                      </w:p>
                    </w:tc>
                  </w:tr>
                  <w:tr>
                    <w:trPr>
                      <w:trHeight w:val="151" w:hRule="exact"/>
                    </w:trPr>
                    <w:tc>
                      <w:tcPr>
                        <w:tcW w:w="1772" w:type="dxa"/>
                        <w:vMerge/>
                        <w:tcBorders>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
                    </w:tc>
                  </w:tr>
                  <w:tr>
                    <w:trPr>
                      <w:trHeight w:val="252"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r>
                    <w:trPr>
                      <w:trHeight w:val="401" w:hRule="exact"/>
                    </w:trPr>
                    <w:tc>
                      <w:tcPr>
                        <w:tcW w:w="1772" w:type="dxa"/>
                        <w:vMerge w:val="restart"/>
                        <w:tcBorders>
                          <w:top w:val="single" w:sz="4" w:space="0" w:color="000000"/>
                          <w:left w:val="single" w:sz="4" w:space="0" w:color="000000"/>
                          <w:right w:val="single" w:sz="4" w:space="0" w:color="000000"/>
                        </w:tcBorders>
                        <w:shd w:val="clear" w:color="auto" w:fill="D2D2D2"/>
                      </w:tcPr>
                      <w:p>
                        <w:pP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74" w:hRule="exact"/>
                    </w:trPr>
                    <w:tc>
                      <w:tcPr>
                        <w:tcW w:w="1772" w:type="dxa"/>
                        <w:vMerge/>
                        <w:tcBorders>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240" w:lineRule="auto" w:before="49"/>
                          <w:ind w:left="16" w:right="0"/>
                          <w:jc w:val="both"/>
                          <w:rPr>
                            <w:rFonts w:ascii="宋体" w:hAnsi="宋体" w:cs="宋体" w:eastAsia="宋体" w:hint="default"/>
                            <w:sz w:val="18"/>
                            <w:szCs w:val="18"/>
                          </w:rPr>
                        </w:pPr>
                        <w:r>
                          <w:rPr>
                            <w:rFonts w:ascii="宋体" w:hAnsi="宋体" w:cs="宋体" w:eastAsia="宋体" w:hint="default"/>
                            <w:sz w:val="18"/>
                            <w:szCs w:val="18"/>
                          </w:rPr>
                          <w:t>非公开发行募集资金到位前，本公司对中介机构相关费用已先期投入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万元，联动优势电子商务</w:t>
                        </w:r>
                      </w:p>
                      <w:p>
                        <w:pPr>
                          <w:pStyle w:val="TableParagraph"/>
                          <w:spacing w:line="240" w:lineRule="auto" w:before="63"/>
                          <w:ind w:left="16" w:right="0"/>
                          <w:jc w:val="both"/>
                          <w:rPr>
                            <w:rFonts w:ascii="宋体" w:hAnsi="宋体" w:cs="宋体" w:eastAsia="宋体" w:hint="default"/>
                            <w:sz w:val="18"/>
                            <w:szCs w:val="18"/>
                          </w:rPr>
                        </w:pPr>
                        <w:r>
                          <w:rPr>
                            <w:rFonts w:ascii="宋体" w:hAnsi="宋体" w:cs="宋体" w:eastAsia="宋体" w:hint="default"/>
                            <w:sz w:val="18"/>
                            <w:szCs w:val="18"/>
                          </w:rPr>
                          <w:t>有限公司实施的移动互联网智能融合支付云平台项目利用自筹资金已先期投入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1,646.97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万元，联动</w:t>
                        </w:r>
                      </w:p>
                      <w:p>
                        <w:pPr>
                          <w:pStyle w:val="TableParagraph"/>
                          <w:spacing w:line="309" w:lineRule="auto" w:before="63"/>
                          <w:ind w:left="16" w:right="20"/>
                          <w:jc w:val="both"/>
                          <w:rPr>
                            <w:rFonts w:ascii="宋体" w:hAnsi="宋体" w:cs="宋体" w:eastAsia="宋体" w:hint="default"/>
                            <w:sz w:val="18"/>
                            <w:szCs w:val="18"/>
                          </w:rPr>
                        </w:pPr>
                        <w:r>
                          <w:rPr>
                            <w:rFonts w:ascii="宋体" w:hAnsi="宋体" w:cs="宋体" w:eastAsia="宋体" w:hint="default"/>
                            <w:sz w:val="18"/>
                            <w:szCs w:val="18"/>
                          </w:rPr>
                          <w:t>优势科技有限公司对实施的支付中国移动减资款已先期投入</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28,000</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万元。募集资金到位后，根据本</w:t>
                        </w:r>
                        <w:r>
                          <w:rPr>
                            <w:rFonts w:ascii="宋体" w:hAnsi="宋体" w:cs="宋体" w:eastAsia="宋体" w:hint="default"/>
                            <w:sz w:val="18"/>
                            <w:szCs w:val="18"/>
                          </w:rPr>
                          <w:t> 公司第三届董事会第十四次（临时）会议审议通过的《关于使用募集资金置换预先投入募投项目自 </w:t>
                        </w:r>
                        <w:r>
                          <w:rPr>
                            <w:rFonts w:ascii="宋体" w:hAnsi="宋体" w:cs="宋体" w:eastAsia="宋体" w:hint="default"/>
                            <w:spacing w:val="-3"/>
                            <w:sz w:val="18"/>
                            <w:szCs w:val="18"/>
                          </w:rPr>
                          <w:t>筹资金的议案》，以募集资金置换预先投入募投项目的自筹资金合计</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30,461.97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w:t>
                        </w:r>
                      </w:p>
                    </w:tc>
                  </w:tr>
                  <w:tr>
                    <w:trPr>
                      <w:trHeight w:val="704"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9" w:type="dxa"/>
                        <w:gridSpan w:val="10"/>
                        <w:vMerge/>
                        <w:tcBorders>
                          <w:left w:val="single" w:sz="10" w:space="0" w:color="D2D2D2"/>
                          <w:right w:val="single" w:sz="4" w:space="0" w:color="000000"/>
                        </w:tcBorders>
                      </w:tcPr>
                      <w:p>
                        <w:pPr/>
                      </w:p>
                    </w:tc>
                  </w:tr>
                  <w:tr>
                    <w:trPr>
                      <w:trHeight w:val="674"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r>
                    <w:trPr>
                      <w:trHeight w:val="401" w:hRule="exact"/>
                    </w:trPr>
                    <w:tc>
                      <w:tcPr>
                        <w:tcW w:w="1772" w:type="dxa"/>
                        <w:vMerge w:val="restart"/>
                        <w:tcBorders>
                          <w:top w:val="single" w:sz="4" w:space="0" w:color="000000"/>
                          <w:left w:val="single" w:sz="4" w:space="0" w:color="000000"/>
                          <w:right w:val="single" w:sz="4" w:space="0" w:color="000000"/>
                        </w:tcBorders>
                        <w:shd w:val="clear" w:color="auto" w:fill="D2D2D2"/>
                      </w:tcPr>
                      <w:p>
                        <w:pP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96" w:hRule="exact"/>
                    </w:trPr>
                    <w:tc>
                      <w:tcPr>
                        <w:tcW w:w="1772" w:type="dxa"/>
                        <w:vMerge/>
                        <w:tcBorders>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300" w:lineRule="auto" w:before="49"/>
                          <w:ind w:left="16" w:right="31"/>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月，经第三届董事会第十四次（临时）会议和第三届监事会第十三次（临时）会议审议 </w:t>
                        </w:r>
                        <w:r>
                          <w:rPr>
                            <w:rFonts w:ascii="宋体" w:hAnsi="宋体" w:cs="宋体" w:eastAsia="宋体" w:hint="default"/>
                            <w:spacing w:val="-3"/>
                            <w:sz w:val="18"/>
                            <w:szCs w:val="18"/>
                          </w:rPr>
                          <w:t>通过了《关于使用节余募集资金暂时补充流动资金的议案》，将单项募投项目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上市公司支付中介机</w:t>
                        </w:r>
                        <w:r>
                          <w:rPr>
                            <w:rFonts w:ascii="宋体" w:hAnsi="宋体" w:cs="宋体" w:eastAsia="宋体" w:hint="default"/>
                            <w:spacing w:val="-49"/>
                            <w:sz w:val="18"/>
                            <w:szCs w:val="18"/>
                          </w:rPr>
                          <w:t> </w:t>
                        </w:r>
                        <w:r>
                          <w:rPr>
                            <w:rFonts w:ascii="宋体" w:hAnsi="宋体" w:cs="宋体" w:eastAsia="宋体" w:hint="default"/>
                            <w:spacing w:val="-1"/>
                            <w:w w:val="100"/>
                            <w:sz w:val="18"/>
                            <w:szCs w:val="18"/>
                          </w:rPr>
                          <w:t>构相关费用</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中节余的募集配套资金</w:t>
                        </w:r>
                        <w:r>
                          <w:rPr>
                            <w:rFonts w:ascii="宋体" w:hAnsi="宋体" w:cs="宋体" w:eastAsia="宋体" w:hint="default"/>
                            <w:spacing w:val="-43"/>
                            <w:w w:val="100"/>
                            <w:sz w:val="18"/>
                            <w:szCs w:val="18"/>
                          </w:rPr>
                          <w:t> </w:t>
                        </w:r>
                        <w:r>
                          <w:rPr>
                            <w:rFonts w:ascii="Times New Roman" w:hAnsi="Times New Roman" w:cs="Times New Roman" w:eastAsia="Times New Roman" w:hint="default"/>
                            <w:spacing w:val="-1"/>
                            <w:sz w:val="18"/>
                            <w:szCs w:val="18"/>
                          </w:rPr>
                          <w:t>5,634,540.19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元暂时补充流动资金，若因募集资金项目发展需要</w:t>
                        </w:r>
                      </w:p>
                      <w:p>
                        <w:pPr>
                          <w:pStyle w:val="TableParagraph"/>
                          <w:spacing w:line="240" w:lineRule="auto" w:before="13"/>
                          <w:ind w:left="16" w:right="0"/>
                          <w:jc w:val="both"/>
                          <w:rPr>
                            <w:rFonts w:ascii="宋体" w:hAnsi="宋体" w:cs="宋体" w:eastAsia="宋体" w:hint="default"/>
                            <w:sz w:val="18"/>
                            <w:szCs w:val="18"/>
                          </w:rPr>
                        </w:pPr>
                        <w:r>
                          <w:rPr>
                            <w:rFonts w:ascii="宋体" w:hAnsi="宋体" w:cs="宋体" w:eastAsia="宋体" w:hint="default"/>
                            <w:spacing w:val="-3"/>
                            <w:sz w:val="18"/>
                            <w:szCs w:val="18"/>
                          </w:rPr>
                          <w:t>本公司将随时利用自有资金及银行贷款及时归还，以确保项目进度。该资金使用期限不超过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w:t>
                        </w:r>
                      </w:p>
                    </w:tc>
                  </w:tr>
                  <w:tr>
                    <w:trPr>
                      <w:trHeight w:val="706"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9" w:type="dxa"/>
                        <w:gridSpan w:val="10"/>
                        <w:vMerge/>
                        <w:tcBorders>
                          <w:left w:val="single" w:sz="10" w:space="0" w:color="D2D2D2"/>
                          <w:right w:val="single" w:sz="4" w:space="0" w:color="000000"/>
                        </w:tcBorders>
                      </w:tcPr>
                      <w:p>
                        <w:pPr/>
                      </w:p>
                    </w:tc>
                  </w:tr>
                  <w:tr>
                    <w:trPr>
                      <w:trHeight w:val="497"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BodyText"/>
        <w:spacing w:line="240" w:lineRule="auto" w:before="44"/>
        <w:ind w:left="0" w:right="1137"/>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8"/>
          <w:szCs w:val="18"/>
        </w:rPr>
      </w:pPr>
    </w:p>
    <w:p>
      <w:pPr>
        <w:pStyle w:val="BodyText"/>
        <w:spacing w:line="240" w:lineRule="auto" w:before="44"/>
        <w:ind w:left="0" w:right="1136"/>
        <w:jc w:val="right"/>
      </w:pPr>
      <w:r>
        <w:rPr/>
        <w:t>，</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6"/>
          <w:szCs w:val="26"/>
        </w:rPr>
      </w:pPr>
    </w:p>
    <w:p>
      <w:pPr>
        <w:pStyle w:val="BodyText"/>
        <w:spacing w:line="240" w:lineRule="auto" w:before="44"/>
        <w:ind w:left="0" w:right="1137"/>
        <w:jc w:val="right"/>
      </w:pPr>
      <w:r>
        <w:rPr/>
        <w:pict>
          <v:shape style="position:absolute;margin-left:56.459999pt;margin-top:1.311738pt;width:479.2pt;height:288.3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9"/>
                  </w:tblGrid>
                  <w:tr>
                    <w:trPr>
                      <w:trHeight w:val="675"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（即</w:t>
                        </w:r>
                        <w:r>
                          <w:rPr>
                            <w:rFonts w:ascii="宋体" w:hAnsi="宋体" w:cs="宋体" w:eastAsia="宋体" w:hint="default"/>
                            <w:spacing w:val="-52"/>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日至</w:t>
                        </w:r>
                        <w:r>
                          <w:rPr>
                            <w:rFonts w:ascii="宋体" w:hAnsi="宋体" w:cs="宋体" w:eastAsia="宋体" w:hint="default"/>
                            <w:spacing w:val="-52"/>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r>
                          <w:rPr>
                            <w:rFonts w:ascii="宋体" w:hAnsi="宋体" w:cs="宋体" w:eastAsia="宋体" w:hint="default"/>
                            <w:spacing w:val="-92"/>
                            <w:sz w:val="18"/>
                            <w:szCs w:val="18"/>
                          </w:rPr>
                          <w:t>），</w:t>
                        </w:r>
                        <w:r>
                          <w:rPr>
                            <w:rFonts w:ascii="宋体" w:hAnsi="宋体" w:cs="宋体" w:eastAsia="宋体" w:hint="default"/>
                            <w:sz w:val="18"/>
                            <w:szCs w:val="18"/>
                          </w:rPr>
                          <w:t>到期本公司将以自有资金归还至募集资金专用账户</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w:t>
                        </w:r>
                        <w:r>
                          <w:rPr>
                            <w:rFonts w:ascii="宋体" w:hAnsi="宋体" w:cs="宋体" w:eastAsia="宋体" w:hint="default"/>
                            <w:spacing w:val="-3"/>
                            <w:sz w:val="18"/>
                            <w:szCs w:val="18"/>
                          </w:rPr>
                          <w:t>如</w:t>
                        </w:r>
                        <w:r>
                          <w:rPr>
                            <w:rFonts w:ascii="宋体" w:hAnsi="宋体" w:cs="宋体" w:eastAsia="宋体" w:hint="default"/>
                            <w:sz w:val="18"/>
                            <w:szCs w:val="18"/>
                          </w:rPr>
                          <w:t>数归还上述</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40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r>
                          <w:rPr>
                            <w:rFonts w:ascii="宋体" w:hAnsi="宋体" w:cs="宋体" w:eastAsia="宋体" w:hint="default"/>
                            <w:spacing w:val="-3"/>
                            <w:sz w:val="18"/>
                            <w:szCs w:val="18"/>
                          </w:rPr>
                          <w:t>并</w:t>
                        </w:r>
                        <w:r>
                          <w:rPr>
                            <w:rFonts w:ascii="宋体" w:hAnsi="宋体" w:cs="宋体" w:eastAsia="宋体" w:hint="default"/>
                            <w:sz w:val="18"/>
                            <w:szCs w:val="18"/>
                          </w:rPr>
                          <w:t>于当日公告（公告编号：</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127</w:t>
                        </w:r>
                        <w:r>
                          <w:rPr>
                            <w:rFonts w:ascii="宋体" w:hAnsi="宋体" w:cs="宋体" w:eastAsia="宋体" w:hint="default"/>
                            <w:spacing w:val="-92"/>
                            <w:sz w:val="18"/>
                            <w:szCs w:val="18"/>
                          </w:rPr>
                          <w:t>）。</w:t>
                        </w:r>
                        <w:r>
                          <w:rPr>
                            <w:rFonts w:ascii="宋体" w:hAnsi="宋体" w:cs="宋体" w:eastAsia="宋体" w:hint="default"/>
                            <w:sz w:val="18"/>
                            <w:szCs w:val="18"/>
                          </w:rPr>
                        </w: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938"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月，根据公司第三届董事会第十四次（临时）会议审议通过的《关于使用募集资金置 </w:t>
                        </w:r>
                        <w:r>
                          <w:rPr>
                            <w:rFonts w:ascii="宋体" w:hAnsi="宋体" w:cs="宋体" w:eastAsia="宋体" w:hint="default"/>
                            <w:spacing w:val="-5"/>
                            <w:sz w:val="18"/>
                            <w:szCs w:val="18"/>
                          </w:rPr>
                          <w:t>换预先投入募投项目自筹资金的议案》，公司以募集资金对先期支付中国移动通信集团公司减资款的</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自筹资金</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亿元进行了置换，置换金额为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亿元，置换完成后，该募集资金专项账户利息余额 也一并转出。</w:t>
                        </w:r>
                      </w:p>
                      <w:p>
                        <w:pPr>
                          <w:pStyle w:val="TableParagraph"/>
                          <w:spacing w:line="300" w:lineRule="auto" w:before="67"/>
                          <w:ind w:left="24"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日召开的第四届董事会第四次会议和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年度股东大会审 </w:t>
                        </w:r>
                        <w:r>
                          <w:rPr>
                            <w:rFonts w:ascii="宋体" w:hAnsi="宋体" w:cs="宋体" w:eastAsia="宋体" w:hint="default"/>
                            <w:spacing w:val="-3"/>
                            <w:sz w:val="18"/>
                            <w:szCs w:val="18"/>
                          </w:rPr>
                          <w:t>议通过了《关于募投项目结项暨使用部分节余募集资金回购公司股份的议案》，同意募投项目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移动</w:t>
                        </w:r>
                        <w:r>
                          <w:rPr>
                            <w:rFonts w:ascii="宋体" w:hAnsi="宋体" w:cs="宋体" w:eastAsia="宋体" w:hint="default"/>
                            <w:spacing w:val="-49"/>
                            <w:sz w:val="18"/>
                            <w:szCs w:val="18"/>
                          </w:rPr>
                          <w:t> </w:t>
                        </w:r>
                        <w:r>
                          <w:rPr>
                            <w:rFonts w:ascii="宋体" w:hAnsi="宋体" w:cs="宋体" w:eastAsia="宋体" w:hint="default"/>
                            <w:sz w:val="18"/>
                            <w:szCs w:val="18"/>
                          </w:rPr>
                          <w:t>互联网智能融合支付云平台</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跨境电商综合服务平台</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支付本次交易中介机构相关费用</w:t>
                        </w:r>
                        <w:r>
                          <w:rPr>
                            <w:rFonts w:ascii="Times New Roman" w:hAnsi="Times New Roman" w:cs="Times New Roman" w:eastAsia="Times New Roman" w:hint="default"/>
                            <w:sz w:val="18"/>
                            <w:szCs w:val="18"/>
                          </w:rPr>
                          <w:t>”</w:t>
                        </w:r>
                        <w:r>
                          <w:rPr>
                            <w:rFonts w:ascii="宋体" w:hAnsi="宋体" w:cs="宋体" w:eastAsia="宋体" w:hint="default"/>
                            <w:sz w:val="18"/>
                            <w:szCs w:val="18"/>
                          </w:rPr>
                          <w:t>的结 项。结项后，节余募集资金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80,841.25 </w:t>
                        </w:r>
                        <w:r>
                          <w:rPr>
                            <w:rFonts w:ascii="宋体" w:hAnsi="宋体" w:cs="宋体" w:eastAsia="宋体" w:hint="default"/>
                            <w:sz w:val="18"/>
                            <w:szCs w:val="18"/>
                          </w:rPr>
                          <w:t>万元，其中</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40,000 </w:t>
                        </w:r>
                        <w:r>
                          <w:rPr>
                            <w:rFonts w:ascii="宋体" w:hAnsi="宋体" w:cs="宋体" w:eastAsia="宋体" w:hint="default"/>
                            <w:sz w:val="18"/>
                            <w:szCs w:val="18"/>
                          </w:rPr>
                          <w:t>万元将用于回购公司股份，其他节余募集</w:t>
                        </w:r>
                      </w:p>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40,841.25 </w:t>
                        </w:r>
                        <w:r>
                          <w:rPr>
                            <w:rFonts w:ascii="宋体" w:hAnsi="宋体" w:cs="宋体" w:eastAsia="宋体" w:hint="default"/>
                            <w:sz w:val="18"/>
                            <w:szCs w:val="18"/>
                          </w:rPr>
                          <w:t>万元将继续存放于公司募集资金专用账户中。</w:t>
                        </w:r>
                      </w:p>
                    </w:tc>
                  </w:tr>
                  <w:tr>
                    <w:trPr>
                      <w:trHeight w:val="715"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日，本公司尚未使用募集资金全部作为银行存款专户存储、专户管理。</w:t>
                        </w:r>
                      </w:p>
                    </w:tc>
                  </w:tr>
                  <w:tr>
                    <w:trPr>
                      <w:trHeight w:val="102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Heading3"/>
        <w:spacing w:line="240" w:lineRule="auto" w:before="36"/>
        <w:ind w:right="1133"/>
        <w:jc w:val="left"/>
        <w:rPr>
          <w:b w:val="0"/>
          <w:bCs w:val="0"/>
        </w:rPr>
      </w:pPr>
      <w:bookmarkStart w:name="（3）募集资金变更项目情况" w:id="53"/>
      <w:bookmarkEnd w:id="53"/>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73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公司报告期不存在募集资金变更项目情况。</w:t>
      </w:r>
    </w:p>
    <w:p>
      <w:pPr>
        <w:spacing w:line="240" w:lineRule="auto" w:before="7"/>
        <w:rPr>
          <w:rFonts w:ascii="宋体" w:hAnsi="宋体" w:cs="宋体" w:eastAsia="宋体" w:hint="default"/>
          <w:sz w:val="19"/>
          <w:szCs w:val="19"/>
        </w:rPr>
      </w:pPr>
    </w:p>
    <w:p>
      <w:pPr>
        <w:pStyle w:val="Heading2"/>
        <w:spacing w:line="240" w:lineRule="auto"/>
        <w:ind w:right="1133"/>
        <w:jc w:val="left"/>
        <w:rPr>
          <w:b w:val="0"/>
          <w:bCs w:val="0"/>
        </w:rPr>
      </w:pPr>
      <w:bookmarkStart w:name="六、重大资产和股权出售" w:id="54"/>
      <w:bookmarkEnd w:id="54"/>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bookmarkStart w:name="1、出售重大资产情况" w:id="55"/>
      <w:bookmarkEnd w:id="55"/>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line="240" w:lineRule="auto" w:before="3"/>
        <w:rPr>
          <w:rFonts w:ascii="宋体" w:hAnsi="宋体" w:cs="宋体" w:eastAsia="宋体" w:hint="default"/>
          <w:sz w:val="21"/>
          <w:szCs w:val="21"/>
        </w:rPr>
      </w:pPr>
    </w:p>
    <w:p>
      <w:pPr>
        <w:pStyle w:val="Heading3"/>
        <w:spacing w:line="240" w:lineRule="auto"/>
        <w:ind w:right="1133"/>
        <w:jc w:val="left"/>
        <w:rPr>
          <w:b w:val="0"/>
          <w:bCs w:val="0"/>
        </w:rPr>
      </w:pPr>
      <w:bookmarkStart w:name="2、出售重大股权情况" w:id="56"/>
      <w:bookmarkEnd w:id="56"/>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bookmarkStart w:name="七、主要控股参股公司分析" w:id="57"/>
      <w:bookmarkEnd w:id="57"/>
      <w:r>
        <w:rPr>
          <w:b w:val="0"/>
          <w:bCs w:val="0"/>
        </w:rPr>
      </w: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5" w:footer="980" w:top="1060" w:bottom="1160" w:left="980" w:right="0"/>
        </w:sectPr>
      </w:pPr>
    </w:p>
    <w:p>
      <w:pPr>
        <w:pStyle w:val="BodyText"/>
        <w:spacing w:line="240" w:lineRule="auto" w:before="44"/>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right="-18"/>
        <w:jc w:val="left"/>
      </w:pPr>
      <w:r>
        <w:rPr/>
        <w:t>主要子公司及对公司净利润影响达</w:t>
      </w:r>
      <w:r>
        <w:rPr>
          <w:spacing w:val="-44"/>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4851" w:space="4069"/>
            <w:col w:w="201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5"/>
        <w:gridCol w:w="1044"/>
        <w:gridCol w:w="1047"/>
        <w:gridCol w:w="1046"/>
        <w:gridCol w:w="1044"/>
        <w:gridCol w:w="1045"/>
        <w:gridCol w:w="1046"/>
      </w:tblGrid>
      <w:tr>
        <w:trPr>
          <w:trHeight w:val="401"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71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联动优势科 技有限公司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24" w:right="110"/>
              <w:jc w:val="left"/>
              <w:rPr>
                <w:rFonts w:ascii="宋体" w:hAnsi="宋体" w:cs="宋体" w:eastAsia="宋体" w:hint="default"/>
                <w:sz w:val="18"/>
                <w:szCs w:val="18"/>
              </w:rPr>
            </w:pPr>
            <w:r>
              <w:rPr>
                <w:rFonts w:ascii="宋体" w:hAnsi="宋体" w:cs="宋体" w:eastAsia="宋体" w:hint="default"/>
                <w:sz w:val="18"/>
                <w:szCs w:val="18"/>
              </w:rPr>
              <w:t>互联网信息 服务业务；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38"/>
              <w:jc w:val="center"/>
              <w:rPr>
                <w:rFonts w:ascii="Times New Roman" w:hAnsi="Times New Roman" w:cs="Times New Roman" w:eastAsia="Times New Roman" w:hint="default"/>
                <w:sz w:val="18"/>
                <w:szCs w:val="18"/>
              </w:rPr>
            </w:pPr>
            <w:r>
              <w:rPr>
                <w:rFonts w:ascii="Times New Roman"/>
                <w:sz w:val="18"/>
              </w:rPr>
              <w:t>715,697,284.</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1,643,190,04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9.65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800,470,962.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955,370,463.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-415,740,381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-405,979,728</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z w:val="18"/>
              </w:rPr>
              <w:t>.57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5"/>
        <w:gridCol w:w="1044"/>
        <w:gridCol w:w="1047"/>
        <w:gridCol w:w="1046"/>
        <w:gridCol w:w="1044"/>
        <w:gridCol w:w="1045"/>
        <w:gridCol w:w="1046"/>
      </w:tblGrid>
      <w:tr>
        <w:trPr>
          <w:trHeight w:val="987"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10"/>
              <w:jc w:val="both"/>
              <w:rPr>
                <w:rFonts w:ascii="宋体" w:hAnsi="宋体" w:cs="宋体" w:eastAsia="宋体" w:hint="default"/>
                <w:sz w:val="18"/>
                <w:szCs w:val="18"/>
              </w:rPr>
            </w:pPr>
            <w:r>
              <w:rPr>
                <w:rFonts w:ascii="宋体" w:hAnsi="宋体" w:cs="宋体" w:eastAsia="宋体" w:hint="default"/>
                <w:sz w:val="18"/>
                <w:szCs w:val="18"/>
              </w:rPr>
              <w:t>移动网增值 电信业务业 务专项</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00</w:t>
            </w:r>
          </w:p>
        </w:tc>
        <w:tc>
          <w:tcPr>
            <w:tcW w:w="104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报告期内取得和处置子公司的情况</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辉海（上海）科技服务有限公司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新设、注销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5"/>
              <w:jc w:val="left"/>
              <w:rPr>
                <w:rFonts w:ascii="宋体" w:hAnsi="宋体" w:cs="宋体" w:eastAsia="宋体" w:hint="default"/>
                <w:sz w:val="18"/>
                <w:szCs w:val="18"/>
              </w:rPr>
            </w:pPr>
            <w:r>
              <w:rPr>
                <w:rFonts w:ascii="宋体" w:hAnsi="宋体" w:cs="宋体" w:eastAsia="宋体" w:hint="default"/>
                <w:sz w:val="18"/>
                <w:szCs w:val="18"/>
              </w:rPr>
              <w:t>符合公司整体战略布局，未对公司整体 生产经营和业绩造成较大影响。</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青岛中金卓越商业保理有限公司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企业合并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符合公司整体战略布局，未对公司整体 生产经营和业绩造成较大影响。</w:t>
            </w:r>
          </w:p>
        </w:tc>
      </w:tr>
      <w:tr>
        <w:trPr>
          <w:trHeight w:val="71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宁波康拓企业管理有限公司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4"/>
              <w:jc w:val="left"/>
              <w:rPr>
                <w:rFonts w:ascii="宋体" w:hAnsi="宋体" w:cs="宋体" w:eastAsia="宋体" w:hint="default"/>
                <w:sz w:val="18"/>
                <w:szCs w:val="18"/>
              </w:rPr>
            </w:pPr>
            <w:r>
              <w:rPr>
                <w:rFonts w:ascii="宋体" w:hAnsi="宋体" w:cs="宋体" w:eastAsia="宋体" w:hint="default"/>
                <w:sz w:val="18"/>
                <w:szCs w:val="18"/>
              </w:rPr>
              <w:t>符合公司整体战略布局，未对公司整体 生产经营和业绩造成较大影响。</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北京玖联金通科技有限责任公司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符合公司整体战略布局，未对公司整体 生产经营和业绩造成较大影响。</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江苏盛世通钢铁供应链管理有限公司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4"/>
              <w:jc w:val="left"/>
              <w:rPr>
                <w:rFonts w:ascii="宋体" w:hAnsi="宋体" w:cs="宋体" w:eastAsia="宋体" w:hint="default"/>
                <w:sz w:val="18"/>
                <w:szCs w:val="18"/>
              </w:rPr>
            </w:pPr>
            <w:r>
              <w:rPr>
                <w:rFonts w:ascii="宋体" w:hAnsi="宋体" w:cs="宋体" w:eastAsia="宋体" w:hint="default"/>
                <w:sz w:val="18"/>
                <w:szCs w:val="18"/>
              </w:rPr>
              <w:t>符合公司整体战略布局，未对公司整体 生产经营和业绩造成较大影响。</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青岛中安美达技术有限公司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5"/>
              <w:jc w:val="left"/>
              <w:rPr>
                <w:rFonts w:ascii="宋体" w:hAnsi="宋体" w:cs="宋体" w:eastAsia="宋体" w:hint="default"/>
                <w:sz w:val="18"/>
                <w:szCs w:val="18"/>
              </w:rPr>
            </w:pPr>
            <w:r>
              <w:rPr>
                <w:rFonts w:ascii="宋体" w:hAnsi="宋体" w:cs="宋体" w:eastAsia="宋体" w:hint="default"/>
                <w:sz w:val="18"/>
                <w:szCs w:val="18"/>
              </w:rPr>
              <w:t>符合公司整体战略布局，未对公司整体 生产经营和业绩造成较大影响。</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济南广盈商业保理有限公司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企业合并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4"/>
              <w:jc w:val="left"/>
              <w:rPr>
                <w:rFonts w:ascii="宋体" w:hAnsi="宋体" w:cs="宋体" w:eastAsia="宋体" w:hint="default"/>
                <w:sz w:val="18"/>
                <w:szCs w:val="18"/>
              </w:rPr>
            </w:pPr>
            <w:r>
              <w:rPr>
                <w:rFonts w:ascii="宋体" w:hAnsi="宋体" w:cs="宋体" w:eastAsia="宋体" w:hint="default"/>
                <w:sz w:val="18"/>
                <w:szCs w:val="18"/>
              </w:rPr>
              <w:t>符合公司整体战略布局，未对公司整体 生产经营和业绩造成较大影响。</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联动优势（北京）数字科技有限公司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符合公司整体战略布局，未对公司整体 生产经营和业绩造成较大影响。</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北京金玉联汇科技有限公司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4"/>
              <w:jc w:val="left"/>
              <w:rPr>
                <w:rFonts w:ascii="宋体" w:hAnsi="宋体" w:cs="宋体" w:eastAsia="宋体" w:hint="default"/>
                <w:sz w:val="18"/>
                <w:szCs w:val="18"/>
              </w:rPr>
            </w:pPr>
            <w:r>
              <w:rPr>
                <w:rFonts w:ascii="宋体" w:hAnsi="宋体" w:cs="宋体" w:eastAsia="宋体" w:hint="default"/>
                <w:sz w:val="18"/>
                <w:szCs w:val="18"/>
              </w:rPr>
              <w:t>符合公司整体战略布局，未对公司整体 生产经营和业绩造成较大影响。</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bookmarkStart w:name="八、公司控制的结构化主体情况" w:id="58"/>
      <w:bookmarkEnd w:id="58"/>
      <w:r>
        <w:rPr>
          <w:b w:val="0"/>
          <w:bCs w:val="0"/>
        </w:rPr>
      </w:r>
      <w:r>
        <w:rPr/>
        <w:t>八、公司控制的结构化主体情况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bookmarkStart w:name="九、公司未来发展的展望" w:id="59"/>
      <w:bookmarkEnd w:id="59"/>
      <w:r>
        <w:rPr>
          <w:b w:val="0"/>
          <w:bCs w:val="0"/>
        </w:rPr>
      </w:r>
      <w:r>
        <w:rPr/>
        <w:t>九、公司未来发展的展望</w:t>
      </w:r>
      <w:r>
        <w:rPr>
          <w:b w:val="0"/>
          <w:bCs w:val="0"/>
        </w:rPr>
      </w:r>
    </w:p>
    <w:p>
      <w:pPr>
        <w:spacing w:line="240" w:lineRule="auto" w:before="6"/>
        <w:rPr>
          <w:rFonts w:ascii="宋体" w:hAnsi="宋体" w:cs="宋体" w:eastAsia="宋体" w:hint="default"/>
          <w:b/>
          <w:bCs/>
          <w:sz w:val="26"/>
          <w:szCs w:val="26"/>
        </w:rPr>
      </w:pPr>
    </w:p>
    <w:p>
      <w:pPr>
        <w:pStyle w:val="BodyText"/>
        <w:spacing w:line="309" w:lineRule="auto"/>
        <w:ind w:right="1033" w:firstLine="360"/>
        <w:jc w:val="left"/>
      </w:pPr>
      <w:r>
        <w:rPr>
          <w:rFonts w:ascii="Times New Roman" w:hAnsi="Times New Roman" w:cs="Times New Roman" w:eastAsia="Times New Roman" w:hint="default"/>
          <w:b/>
          <w:bCs/>
        </w:rPr>
        <w:t>1</w:t>
      </w:r>
      <w:r>
        <w:rPr>
          <w:rFonts w:ascii="宋体" w:hAnsi="宋体" w:cs="宋体" w:eastAsia="宋体" w:hint="default"/>
          <w:b/>
          <w:bCs/>
        </w:rPr>
        <w:t>、第三方支付：</w:t>
      </w:r>
      <w:r>
        <w:rPr>
          <w:rFonts w:ascii="Times New Roman" w:hAnsi="Times New Roman" w:cs="Times New Roman" w:eastAsia="Times New Roman" w:hint="default"/>
        </w:rPr>
        <w:t>2020</w:t>
      </w:r>
      <w:r>
        <w:rPr/>
        <w:t>年，公司将以支付为基础，通过为商户提供产品及服务获取价值，并成为公司主要流量来源；通 </w:t>
      </w:r>
      <w:r>
        <w:rPr>
          <w:spacing w:val="-2"/>
        </w:rPr>
        <w:t>过提供以支付为基础的产品，同时利用集团化优势，与其他板块一起为商户提供金融、风控、营销等服务。聚焦</w:t>
      </w:r>
      <w:r>
        <w:rPr>
          <w:rFonts w:ascii="Times New Roman" w:hAnsi="Times New Roman" w:cs="Times New Roman" w:eastAsia="Times New Roman" w:hint="default"/>
          <w:spacing w:val="-2"/>
        </w:rPr>
        <w:t>“</w:t>
      </w:r>
      <w:r>
        <w:rPr>
          <w:spacing w:val="-2"/>
        </w:rPr>
        <w:t>交通出行、</w:t>
      </w:r>
      <w:r>
        <w:rPr>
          <w:spacing w:val="-54"/>
        </w:rPr>
        <w:t> </w:t>
      </w:r>
      <w:r>
        <w:rPr>
          <w:rFonts w:ascii="Times New Roman" w:hAnsi="Times New Roman" w:cs="Times New Roman" w:eastAsia="Times New Roman" w:hint="default"/>
        </w:rPr>
        <w:t>B2B</w:t>
      </w:r>
      <w:r>
        <w:rPr/>
        <w:t>产业互联网、金融业、医美教育、线下实体经济场景</w:t>
      </w:r>
      <w:r>
        <w:rPr>
          <w:rFonts w:ascii="Times New Roman" w:hAnsi="Times New Roman" w:cs="Times New Roman" w:eastAsia="Times New Roman" w:hint="default"/>
        </w:rPr>
        <w:t>”</w:t>
      </w:r>
      <w:r>
        <w:rPr/>
        <w:t>等领域，为客户提供</w:t>
      </w:r>
      <w:r>
        <w:rPr>
          <w:rFonts w:ascii="Times New Roman" w:hAnsi="Times New Roman" w:cs="Times New Roman" w:eastAsia="Times New Roman" w:hint="default"/>
        </w:rPr>
        <w:t>“</w:t>
      </w:r>
      <w:r>
        <w:rPr/>
        <w:t>支付</w:t>
      </w:r>
      <w:r>
        <w:rPr>
          <w:rFonts w:ascii="Times New Roman" w:hAnsi="Times New Roman" w:cs="Times New Roman" w:eastAsia="Times New Roman" w:hint="default"/>
        </w:rPr>
        <w:t>+”</w:t>
      </w:r>
      <w:r>
        <w:rPr/>
        <w:t>的定制化综合解决方案。公司未来将 </w:t>
      </w:r>
      <w:r>
        <w:rPr>
          <w:spacing w:val="-2"/>
        </w:rPr>
        <w:t>提升市场服务资源整合能力及面向个人消费与投资的服务水平，业务发展主导策略是聚焦企业服务市场，深耕细分行业。在</w:t>
      </w:r>
      <w:r>
        <w:rPr>
          <w:spacing w:val="-63"/>
        </w:rPr>
        <w:t> </w:t>
      </w:r>
      <w:r>
        <w:rPr>
          <w:spacing w:val="-63"/>
        </w:rPr>
      </w:r>
      <w:r>
        <w:rPr>
          <w:spacing w:val="-2"/>
        </w:rPr>
        <w:t>商户拓展上围绕垂直电商、医美教育、保险行业、消费金融、交通出行业务等五大主要方向开展，在产品能力上根据行业痛</w:t>
      </w:r>
      <w:r>
        <w:rPr>
          <w:spacing w:val="-67"/>
        </w:rPr>
        <w:t> </w:t>
      </w:r>
      <w:r>
        <w:rPr>
          <w:spacing w:val="-67"/>
        </w:rPr>
      </w:r>
      <w:r>
        <w:rPr>
          <w:spacing w:val="-2"/>
        </w:rPr>
        <w:t>点精准定制，打造差异化优势，在运营服务上通过更强大的系统和工具提升服务水平和响应速度，为公司持续发展创造新的</w:t>
      </w:r>
      <w:r>
        <w:rPr>
          <w:spacing w:val="-62"/>
        </w:rPr>
        <w:t> </w:t>
      </w:r>
      <w:r>
        <w:rPr>
          <w:spacing w:val="-62"/>
        </w:rPr>
      </w:r>
      <w:r>
        <w:rPr/>
        <w:t>盈利空间。</w:t>
      </w:r>
    </w:p>
    <w:p>
      <w:pPr>
        <w:pStyle w:val="BodyText"/>
        <w:spacing w:line="309" w:lineRule="auto" w:before="24"/>
        <w:ind w:right="1131" w:firstLine="360"/>
        <w:jc w:val="both"/>
      </w:pPr>
      <w:r>
        <w:rPr>
          <w:rFonts w:ascii="Times New Roman" w:hAnsi="Times New Roman" w:cs="Times New Roman" w:eastAsia="Times New Roman" w:hint="default"/>
          <w:b/>
          <w:bCs/>
        </w:rPr>
        <w:t>2</w:t>
      </w:r>
      <w:r>
        <w:rPr>
          <w:rFonts w:ascii="宋体" w:hAnsi="宋体" w:cs="宋体" w:eastAsia="宋体" w:hint="default"/>
          <w:b/>
          <w:bCs/>
        </w:rPr>
        <w:t>、数字科技</w:t>
      </w:r>
      <w:r>
        <w:rPr/>
        <w:t>：随着合规要求趋紧，单纯数据源市场呈现加速衰退趋势，以数字为基础，与业务深度结合的数字科技服 </w:t>
      </w:r>
      <w:r>
        <w:rPr>
          <w:spacing w:val="-2"/>
        </w:rPr>
        <w:t>务能力输出，成为未来的发展趋势。联动优势将依托已在业内领先的区块链、大数据等技术能力，构建开放式数字金融生态</w:t>
      </w:r>
      <w:r>
        <w:rPr>
          <w:spacing w:val="-65"/>
        </w:rPr>
        <w:t> </w:t>
      </w:r>
      <w:r>
        <w:rPr>
          <w:spacing w:val="-65"/>
        </w:rPr>
      </w:r>
      <w:r>
        <w:rPr>
          <w:spacing w:val="-2"/>
        </w:rPr>
        <w:t>体系，为金融机构、产业互联网和电子商务赋能，助力普惠金融和实体经济发展，建立全方位数字科技服务形态，使数据在</w:t>
      </w:r>
    </w:p>
    <w:p>
      <w:pPr>
        <w:spacing w:after="0" w:line="309"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4" w:lineRule="auto" w:before="44"/>
        <w:ind w:right="0"/>
        <w:jc w:val="left"/>
      </w:pPr>
      <w:r>
        <w:rPr>
          <w:spacing w:val="-4"/>
        </w:rPr>
        <w:t>业务中产生闭环应用，提供整体解决方案，吸引更多合作伙伴。同时实现虚拟与现实的数据化创新、结合金融机构业务场景，</w:t>
      </w:r>
      <w:r>
        <w:rPr>
          <w:spacing w:val="-46"/>
        </w:rPr>
        <w:t> </w:t>
      </w:r>
      <w:r>
        <w:rPr>
          <w:spacing w:val="-46"/>
        </w:rPr>
      </w:r>
      <w:r>
        <w:rPr>
          <w:spacing w:val="-2"/>
        </w:rPr>
        <w:t>提供风控全流程整体服务。</w:t>
      </w:r>
      <w:r>
        <w:rPr>
          <w:rFonts w:ascii="Times New Roman" w:hAnsi="Times New Roman" w:cs="Times New Roman" w:eastAsia="Times New Roman" w:hint="default"/>
          <w:spacing w:val="-2"/>
        </w:rPr>
        <w:t>2020</w:t>
      </w:r>
      <w:r>
        <w:rPr>
          <w:spacing w:val="-2"/>
        </w:rPr>
        <w:t>年，公司数字科技将更加聚焦在智能风控、智慧营销和监管科技等方面打磨，整合已有的清</w:t>
      </w:r>
      <w:r>
        <w:rPr>
          <w:spacing w:val="-61"/>
        </w:rPr>
        <w:t> </w:t>
      </w:r>
      <w:r>
        <w:rPr>
          <w:spacing w:val="-61"/>
        </w:rPr>
      </w:r>
      <w:r>
        <w:rPr>
          <w:spacing w:val="-2"/>
        </w:rPr>
        <w:t>结算能力，信息服务等能力，为合作伙伴提供更加综合闭环的解决方案，加大与单一客户的合作深度及广度。通过帮助合作</w:t>
      </w:r>
      <w:r>
        <w:rPr>
          <w:spacing w:val="-64"/>
        </w:rPr>
        <w:t> </w:t>
      </w:r>
      <w:r>
        <w:rPr>
          <w:spacing w:val="-64"/>
        </w:rPr>
      </w:r>
      <w:r>
        <w:rPr>
          <w:spacing w:val="-2"/>
        </w:rPr>
        <w:t>伙伴建立用户全生命周期的主动管理系统，实现业务合作的长效化，提升业务的稳定和持续性。在区块链方面，公司将在已</w:t>
      </w:r>
      <w:r>
        <w:rPr>
          <w:spacing w:val="-64"/>
        </w:rPr>
        <w:t> </w:t>
      </w:r>
      <w:r>
        <w:rPr>
          <w:spacing w:val="-64"/>
        </w:rPr>
      </w:r>
      <w:r>
        <w:rPr/>
        <w:t>有自主知识产权底层链技术的基础上，大力拓展应用场景，实现区块链从技术到产品和业务的转化，逐步提高盈利能力。</w:t>
      </w:r>
    </w:p>
    <w:p>
      <w:pPr>
        <w:pStyle w:val="BodyText"/>
        <w:spacing w:line="307" w:lineRule="auto" w:before="20"/>
        <w:ind w:right="1129" w:firstLine="360"/>
        <w:jc w:val="both"/>
      </w:pPr>
      <w:r>
        <w:rPr>
          <w:rFonts w:ascii="Times New Roman" w:hAnsi="Times New Roman" w:cs="Times New Roman" w:eastAsia="Times New Roman" w:hint="default"/>
          <w:b/>
          <w:bCs/>
        </w:rPr>
        <w:t>3</w:t>
      </w:r>
      <w:r>
        <w:rPr>
          <w:rFonts w:ascii="宋体" w:hAnsi="宋体" w:cs="宋体" w:eastAsia="宋体" w:hint="default"/>
          <w:b/>
          <w:bCs/>
        </w:rPr>
        <w:t>、移动信息：</w:t>
      </w:r>
      <w:r>
        <w:rPr/>
        <w:t>信息服务将结合公司整体战略，以金融机构、类金融机构为拓展目标，通过对存量业务的深耕及客户行 业的拓展来扩大市场份额，同时抓住国家大力发展新基建，全面推广</w:t>
      </w:r>
      <w:r>
        <w:rPr>
          <w:rFonts w:ascii="Times New Roman" w:hAnsi="Times New Roman" w:cs="Times New Roman" w:eastAsia="Times New Roman" w:hint="default"/>
        </w:rPr>
        <w:t>5G</w:t>
      </w:r>
      <w:r>
        <w:rPr/>
        <w:t>应用落地的机遇，加大对</w:t>
      </w:r>
      <w:r>
        <w:rPr>
          <w:rFonts w:ascii="Times New Roman" w:hAnsi="Times New Roman" w:cs="Times New Roman" w:eastAsia="Times New Roman" w:hint="default"/>
        </w:rPr>
        <w:t>5G</w:t>
      </w:r>
      <w:r>
        <w:rPr/>
        <w:t>消息产品的研发投入，</w:t>
      </w:r>
      <w:r>
        <w:rPr>
          <w:spacing w:val="-73"/>
        </w:rPr>
        <w:t> </w:t>
      </w:r>
      <w:r>
        <w:rPr>
          <w:spacing w:val="-73"/>
        </w:rPr>
      </w:r>
      <w:r>
        <w:rPr>
          <w:spacing w:val="-2"/>
        </w:rPr>
        <w:t>形成新一代的互动消息产品，为客户提供核心价值的沟通平台，满足客户的多样化需求，增强与客户的粘性，同时实现公司</w:t>
      </w:r>
      <w:r>
        <w:rPr>
          <w:spacing w:val="-64"/>
        </w:rPr>
        <w:t> </w:t>
      </w:r>
      <w:r>
        <w:rPr>
          <w:spacing w:val="-64"/>
        </w:rPr>
      </w:r>
      <w:r>
        <w:rPr/>
        <w:t>产品的升级和业务的持续创新发展。</w:t>
      </w:r>
    </w:p>
    <w:p>
      <w:pPr>
        <w:pStyle w:val="BodyText"/>
        <w:spacing w:line="312" w:lineRule="auto" w:before="26"/>
        <w:ind w:right="1132" w:firstLine="360"/>
        <w:jc w:val="both"/>
      </w:pPr>
      <w:r>
        <w:rPr>
          <w:rFonts w:ascii="Times New Roman" w:hAnsi="Times New Roman" w:cs="Times New Roman" w:eastAsia="Times New Roman" w:hint="default"/>
          <w:b/>
          <w:bCs/>
          <w:spacing w:val="-1"/>
        </w:rPr>
        <w:t>4</w:t>
      </w:r>
      <w:r>
        <w:rPr>
          <w:rFonts w:ascii="宋体" w:hAnsi="宋体" w:cs="宋体" w:eastAsia="宋体" w:hint="default"/>
          <w:b/>
          <w:bCs/>
          <w:spacing w:val="-1"/>
        </w:rPr>
        <w:t>、跨境支付：</w:t>
      </w:r>
      <w:r>
        <w:rPr>
          <w:spacing w:val="-1"/>
        </w:rPr>
        <w:t>在稳定发展国内团队业务发展的同时，围绕香港</w:t>
      </w:r>
      <w:r>
        <w:rPr>
          <w:rFonts w:ascii="Times New Roman" w:hAnsi="Times New Roman" w:cs="Times New Roman" w:eastAsia="Times New Roman" w:hint="default"/>
          <w:spacing w:val="-1"/>
        </w:rPr>
        <w:t>MSO</w:t>
      </w:r>
      <w:r>
        <w:rPr>
          <w:spacing w:val="-1"/>
        </w:rPr>
        <w:t>牌照搭建境外金融服务体系，加强海外公司运营体</w:t>
      </w:r>
      <w:r>
        <w:rPr/>
        <w:t> </w:t>
      </w:r>
      <w:r>
        <w:rPr>
          <w:spacing w:val="-2"/>
        </w:rPr>
        <w:t>系建设。继续以国内、国外金融监管为基础，顺应国家一带一路策略，通过产品创新、渠道创新、技术创新，为国内外中小</w:t>
      </w:r>
      <w:r>
        <w:rPr>
          <w:spacing w:val="-73"/>
        </w:rPr>
        <w:t> </w:t>
      </w:r>
      <w:r>
        <w:rPr>
          <w:spacing w:val="-73"/>
        </w:rPr>
      </w:r>
      <w:r>
        <w:rPr>
          <w:spacing w:val="-2"/>
        </w:rPr>
        <w:t>型跨境贸易企业提供完整的跨境支付解决方案，并针对跨境电商进出口零售业，从其供应链金融方面做出全方位的金融解决</w:t>
      </w:r>
      <w:r>
        <w:rPr>
          <w:spacing w:val="-64"/>
        </w:rPr>
        <w:t> </w:t>
      </w:r>
      <w:r>
        <w:rPr>
          <w:spacing w:val="-64"/>
        </w:rPr>
      </w:r>
      <w:r>
        <w:rPr/>
        <w:t>方案，为其实现一站式金融服务。未来将持续完善跨境金融服务链条，打造公司国际品牌。</w:t>
      </w:r>
    </w:p>
    <w:p>
      <w:pPr>
        <w:pStyle w:val="BodyText"/>
        <w:spacing w:line="312" w:lineRule="auto" w:before="22"/>
        <w:ind w:right="1034" w:firstLine="360"/>
        <w:jc w:val="left"/>
      </w:pPr>
      <w:r>
        <w:rPr>
          <w:rFonts w:ascii="Times New Roman" w:hAnsi="Times New Roman" w:cs="Times New Roman" w:eastAsia="Times New Roman" w:hint="default"/>
          <w:b/>
          <w:bCs/>
        </w:rPr>
        <w:t>5</w:t>
      </w:r>
      <w:r>
        <w:rPr>
          <w:rFonts w:ascii="宋体" w:hAnsi="宋体" w:cs="宋体" w:eastAsia="宋体" w:hint="default"/>
          <w:b/>
          <w:bCs/>
        </w:rPr>
        <w:t>、运营商计费结算服务：</w:t>
      </w:r>
      <w:r>
        <w:rPr/>
        <w:t>互联网营销是公司运营商计费结算服务未来发展的重点。加强产品创新，打造权益智能组合 与交换平台，搭建高效的营销渠道发布体系；打造营销生态，实现运营商、互联网巨头和银行的权益组合与营销交叉互动， </w:t>
      </w:r>
      <w:r>
        <w:rPr>
          <w:spacing w:val="-2"/>
        </w:rPr>
        <w:t>并深度组织和发布营销活动；建设渠道合伙人，通过整合线下运营商营业厅、商户门店、店员资源，形成高效的线下渠道推</w:t>
      </w:r>
      <w:r>
        <w:rPr>
          <w:spacing w:val="-67"/>
        </w:rPr>
        <w:t> </w:t>
      </w:r>
      <w:r>
        <w:rPr>
          <w:spacing w:val="-67"/>
        </w:rPr>
      </w:r>
      <w:r>
        <w:rPr/>
        <w:t>广体系，完善公众号用户标签，实现在线推广。加快互联营销权益及场景互动营销等新业务的发展，形成新的盈利点。</w:t>
      </w:r>
    </w:p>
    <w:p>
      <w:pPr>
        <w:pStyle w:val="BodyText"/>
        <w:spacing w:line="309" w:lineRule="auto" w:before="22"/>
        <w:ind w:right="1132" w:firstLine="360"/>
        <w:jc w:val="both"/>
      </w:pPr>
      <w:r>
        <w:rPr>
          <w:rFonts w:ascii="Times New Roman" w:hAnsi="Times New Roman" w:cs="Times New Roman" w:eastAsia="Times New Roman" w:hint="default"/>
          <w:b/>
          <w:bCs/>
        </w:rPr>
        <w:t>6</w:t>
      </w:r>
      <w:r>
        <w:rPr>
          <w:rFonts w:ascii="宋体" w:hAnsi="宋体" w:cs="宋体" w:eastAsia="宋体" w:hint="default"/>
          <w:b/>
          <w:bCs/>
        </w:rPr>
        <w:t>、继续深化乘用车配件产业发展：</w:t>
      </w:r>
      <w:r>
        <w:rPr>
          <w:rFonts w:ascii="Times New Roman" w:hAnsi="Times New Roman" w:cs="Times New Roman" w:eastAsia="Times New Roman" w:hint="default"/>
        </w:rPr>
        <w:t>2020</w:t>
      </w:r>
      <w:r>
        <w:rPr/>
        <w:t>年公司乘用车配件业务将坚持客户导向，洞察客户需求，为客户创造价值，成 </w:t>
      </w:r>
      <w:r>
        <w:rPr>
          <w:spacing w:val="-2"/>
        </w:rPr>
        <w:t>为客户可信赖的核心供应商；坚持研发驱动，为客户提高解决方案；坚持组织扁平化、柔性化建设，实施人才驱动，打造自</w:t>
      </w:r>
      <w:r>
        <w:rPr>
          <w:spacing w:val="-68"/>
        </w:rPr>
        <w:t> </w:t>
      </w:r>
      <w:r>
        <w:rPr>
          <w:spacing w:val="-68"/>
        </w:rPr>
      </w:r>
      <w:r>
        <w:rPr/>
        <w:t>主经营的无边界团队。通过</w:t>
      </w:r>
      <w:r>
        <w:rPr>
          <w:rFonts w:ascii="Times New Roman" w:hAnsi="Times New Roman" w:cs="Times New Roman" w:eastAsia="Times New Roman" w:hint="default"/>
        </w:rPr>
        <w:t>“</w:t>
      </w:r>
      <w:r>
        <w:rPr/>
        <w:t>三坚持</w:t>
      </w:r>
      <w:r>
        <w:rPr>
          <w:rFonts w:ascii="Times New Roman" w:hAnsi="Times New Roman" w:cs="Times New Roman" w:eastAsia="Times New Roman" w:hint="default"/>
        </w:rPr>
        <w:t>”</w:t>
      </w:r>
      <w:r>
        <w:rPr/>
        <w:t>，在行业危机中寻求进一步发展，提高市场份额。</w:t>
      </w:r>
    </w:p>
    <w:p>
      <w:pPr>
        <w:spacing w:line="300" w:lineRule="auto" w:before="5"/>
        <w:ind w:left="152" w:right="1132" w:firstLine="360"/>
        <w:jc w:val="both"/>
        <w:rPr>
          <w:rFonts w:ascii="宋体" w:hAnsi="宋体" w:cs="宋体" w:eastAsia="宋体" w:hint="default"/>
          <w:sz w:val="18"/>
          <w:szCs w:val="18"/>
        </w:rPr>
      </w:pPr>
      <w:r>
        <w:rPr>
          <w:rFonts w:ascii="Times New Roman" w:hAnsi="Times New Roman" w:cs="Times New Roman" w:eastAsia="Times New Roman" w:hint="default"/>
          <w:b/>
          <w:bCs/>
          <w:w w:val="95"/>
          <w:sz w:val="18"/>
          <w:szCs w:val="18"/>
        </w:rPr>
        <w:t>7</w:t>
      </w:r>
      <w:r>
        <w:rPr>
          <w:rFonts w:ascii="宋体" w:hAnsi="宋体" w:cs="宋体" w:eastAsia="宋体" w:hint="default"/>
          <w:b/>
          <w:bCs/>
          <w:w w:val="95"/>
          <w:sz w:val="18"/>
          <w:szCs w:val="18"/>
        </w:rPr>
        <w:t>、持续优化原有产品结构，提升产品竞争力：</w:t>
      </w:r>
      <w:r>
        <w:rPr>
          <w:rFonts w:ascii="Times New Roman" w:hAnsi="Times New Roman" w:cs="Times New Roman" w:eastAsia="Times New Roman" w:hint="default"/>
          <w:w w:val="95"/>
          <w:sz w:val="18"/>
          <w:szCs w:val="18"/>
        </w:rPr>
        <w:t>2020</w:t>
      </w:r>
      <w:r>
        <w:rPr>
          <w:rFonts w:ascii="宋体" w:hAnsi="宋体" w:cs="宋体" w:eastAsia="宋体" w:hint="default"/>
          <w:w w:val="95"/>
          <w:sz w:val="18"/>
          <w:szCs w:val="18"/>
        </w:rPr>
        <w:t>年，公司在聚焦技术含量高、产品附加值高的冷箱专用车及汽车总</w:t>
      </w:r>
      <w:r>
        <w:rPr>
          <w:rFonts w:ascii="宋体" w:hAnsi="宋体" w:cs="宋体" w:eastAsia="宋体" w:hint="default"/>
          <w:spacing w:val="6"/>
          <w:w w:val="95"/>
          <w:sz w:val="18"/>
          <w:szCs w:val="18"/>
        </w:rPr>
        <w:t> </w:t>
      </w:r>
      <w:r>
        <w:rPr>
          <w:rFonts w:ascii="宋体" w:hAnsi="宋体" w:cs="宋体" w:eastAsia="宋体" w:hint="default"/>
          <w:spacing w:val="6"/>
          <w:w w:val="95"/>
          <w:sz w:val="18"/>
          <w:szCs w:val="18"/>
        </w:rPr>
      </w:r>
      <w:r>
        <w:rPr>
          <w:rFonts w:ascii="宋体" w:hAnsi="宋体" w:cs="宋体" w:eastAsia="宋体" w:hint="default"/>
          <w:sz w:val="18"/>
          <w:szCs w:val="18"/>
        </w:rPr>
        <w:t>成业务的同时，提高汽车功能性电机的研发、生产及销售力度，进一步提升高附加值产品的比重。</w:t>
      </w:r>
    </w:p>
    <w:p>
      <w:pPr>
        <w:pStyle w:val="BodyText"/>
        <w:spacing w:line="300" w:lineRule="auto" w:before="31"/>
        <w:ind w:right="1132" w:firstLine="360"/>
        <w:jc w:val="both"/>
      </w:pPr>
      <w:r>
        <w:rPr>
          <w:rFonts w:ascii="Times New Roman" w:hAnsi="Times New Roman" w:cs="Times New Roman" w:eastAsia="Times New Roman" w:hint="default"/>
          <w:b/>
          <w:bCs/>
        </w:rPr>
        <w:t>8</w:t>
      </w:r>
      <w:r>
        <w:rPr>
          <w:rFonts w:ascii="宋体" w:hAnsi="宋体" w:cs="宋体" w:eastAsia="宋体" w:hint="default"/>
          <w:b/>
          <w:bCs/>
        </w:rPr>
        <w:t>、积极布局智能化工厂：</w:t>
      </w:r>
      <w:r>
        <w:rPr/>
        <w:t>新冠疫情的爆发，更加坚定了公司继续推进智能化工厂建设的决心。公司将继续引进全自动 生产线，同时进行信息化升级，提高生产效率，降低对人的依赖。</w:t>
      </w:r>
    </w:p>
    <w:p>
      <w:pPr>
        <w:pStyle w:val="BodyText"/>
        <w:spacing w:line="309" w:lineRule="auto" w:before="72"/>
        <w:ind w:right="1131" w:firstLine="360"/>
        <w:jc w:val="both"/>
      </w:pPr>
      <w:r>
        <w:rPr>
          <w:rFonts w:ascii="Times New Roman" w:hAnsi="Times New Roman" w:cs="Times New Roman" w:eastAsia="Times New Roman" w:hint="default"/>
          <w:b/>
          <w:bCs/>
          <w:w w:val="95"/>
        </w:rPr>
        <w:t>9</w:t>
      </w:r>
      <w:r>
        <w:rPr>
          <w:rFonts w:ascii="宋体" w:hAnsi="宋体" w:cs="宋体" w:eastAsia="宋体" w:hint="default"/>
          <w:b/>
          <w:bCs/>
          <w:w w:val="95"/>
        </w:rPr>
        <w:t>、继续加强内部控制建设，提升公司抗风险能力：</w:t>
      </w:r>
      <w:r>
        <w:rPr>
          <w:w w:val="95"/>
        </w:rPr>
        <w:t>新冠病毒疫情的爆发，使得国内经济将继续下行，部分企业尤其是</w:t>
      </w:r>
      <w:r>
        <w:rPr>
          <w:spacing w:val="5"/>
          <w:w w:val="95"/>
        </w:rPr>
        <w:t> </w:t>
      </w:r>
      <w:r>
        <w:rPr>
          <w:spacing w:val="5"/>
          <w:w w:val="95"/>
        </w:rPr>
      </w:r>
      <w:r>
        <w:rPr>
          <w:spacing w:val="-2"/>
        </w:rPr>
        <w:t>中小企业存在着巨大的经营风险。通过全面推进内部控制培训，强化业务部门的风险防范意识。通过问责、管理及以上各环</w:t>
      </w:r>
      <w:r>
        <w:rPr>
          <w:spacing w:val="-64"/>
        </w:rPr>
        <w:t> </w:t>
      </w:r>
      <w:r>
        <w:rPr>
          <w:spacing w:val="-64"/>
        </w:rPr>
      </w:r>
      <w:r>
        <w:rPr/>
        <w:t>节的衔接，将公司各类风险控制在最小损失范围内，提升公司整体抗风险能力。</w:t>
      </w:r>
    </w:p>
    <w:p>
      <w:pPr>
        <w:spacing w:line="240" w:lineRule="auto" w:before="1"/>
        <w:rPr>
          <w:rFonts w:ascii="宋体" w:hAnsi="宋体" w:cs="宋体" w:eastAsia="宋体" w:hint="default"/>
          <w:sz w:val="21"/>
          <w:szCs w:val="21"/>
        </w:rPr>
      </w:pPr>
    </w:p>
    <w:p>
      <w:pPr>
        <w:pStyle w:val="Heading2"/>
        <w:spacing w:line="240" w:lineRule="auto"/>
        <w:ind w:right="1133"/>
        <w:jc w:val="left"/>
        <w:rPr>
          <w:b w:val="0"/>
          <w:bCs w:val="0"/>
        </w:rPr>
      </w:pPr>
      <w:bookmarkStart w:name="十、接待调研、沟通、采访等活动" w:id="60"/>
      <w:bookmarkEnd w:id="60"/>
      <w:r>
        <w:rPr>
          <w:b w:val="0"/>
          <w:bCs w:val="0"/>
        </w:rPr>
      </w:r>
      <w:r>
        <w:rPr/>
        <w:t>十、接待调研、沟通、采访等活动</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报告期内接待调研、沟通、采访等活动登记表" w:id="61"/>
      <w:bookmarkEnd w:id="61"/>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6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公司报告期内未发生接待调研、沟通、采访等活动。</w:t>
      </w:r>
    </w:p>
    <w:p>
      <w:pPr>
        <w:spacing w:after="0" w:line="338"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491"/>
        <w:jc w:val="center"/>
        <w:rPr>
          <w:b w:val="0"/>
          <w:bCs w:val="0"/>
        </w:rPr>
      </w:pPr>
      <w:bookmarkStart w:name="第五节重要事项" w:id="62"/>
      <w:bookmarkEnd w:id="62"/>
      <w:r>
        <w:rPr>
          <w:b w:val="0"/>
          <w:bCs w:val="0"/>
        </w:rPr>
      </w:r>
      <w:bookmarkStart w:name="_bookmark4" w:id="63"/>
      <w:bookmarkEnd w:id="63"/>
      <w:r>
        <w:rPr>
          <w:b w:val="0"/>
          <w:bCs w:val="0"/>
        </w:rPr>
      </w:r>
      <w:r>
        <w:rPr/>
        <w:t>第五节重要事项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33"/>
        <w:jc w:val="left"/>
        <w:rPr>
          <w:b w:val="0"/>
          <w:bCs w:val="0"/>
        </w:rPr>
      </w:pPr>
      <w:bookmarkStart w:name="一、公司普通股利润分配及资本公积金转增股本情况" w:id="64"/>
      <w:bookmarkEnd w:id="64"/>
      <w:r>
        <w:rPr>
          <w:b w:val="0"/>
          <w:bCs w:val="0"/>
        </w:rPr>
      </w: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报告期内普通股利润分配政策，特别是现金分红政策的制定、执行或调整情况</w:t>
      </w:r>
    </w:p>
    <w:p>
      <w:pPr>
        <w:pStyle w:val="BodyText"/>
        <w:spacing w:line="338" w:lineRule="auto" w:before="117"/>
        <w:ind w:right="4994"/>
        <w:jc w:val="left"/>
      </w:pPr>
      <w:r>
        <w:rPr/>
        <w:pict>
          <v:shape style="position:absolute;margin-left:57pt;margin-top:38.621704pt;width:478.7pt;height:172.45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61"/>
                    <w:gridCol w:w="4797"/>
                  </w:tblGrid>
                  <w:tr>
                    <w:trPr>
                      <w:trHeight w:val="397"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7"/>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57"/>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p>
              </w:txbxContent>
            </v:textbox>
            <w10:wrap type="none"/>
          </v:shape>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w:t>
      </w:r>
      <w:r>
        <w:rPr>
          <w:rFonts w:ascii="Times New Roman" w:hAnsi="Times New Roman" w:cs="Times New Roman" w:eastAsia="Times New Roman" w:hint="default"/>
        </w:rPr>
        <w:t>2019</w:t>
      </w:r>
      <w:r>
        <w:rPr/>
        <w:t>年度拟不派发现金红利，不送红股，不以资本公积金转增股本。</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BodyText"/>
        <w:spacing w:line="240" w:lineRule="auto" w:before="44"/>
        <w:ind w:right="1133"/>
        <w:jc w:val="left"/>
      </w:pPr>
      <w:r>
        <w:rPr/>
        <w:t>公司近</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w:t>
      </w:r>
      <w:r>
        <w:rPr>
          <w:spacing w:val="-3"/>
        </w:rPr>
        <w:t>）</w:t>
      </w:r>
      <w:r>
        <w:rPr/>
        <w:t>的普通股股利分配方案（预案</w:t>
      </w:r>
      <w:r>
        <w:rPr>
          <w:spacing w:val="-89"/>
        </w:rPr>
        <w:t>）</w:t>
      </w:r>
      <w:r>
        <w:rPr/>
        <w:t>、资本公积金转增股本方案（预案）情况</w:t>
      </w:r>
    </w:p>
    <w:p>
      <w:pPr>
        <w:pStyle w:val="BodyText"/>
        <w:spacing w:line="240" w:lineRule="auto" w:before="101"/>
        <w:ind w:right="1133"/>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2019</w:t>
      </w:r>
      <w:r>
        <w:rPr/>
        <w:t>年度拟不派发现金红利，不送红股，不以资本公积金转增股本。</w:t>
      </w:r>
    </w:p>
    <w:p>
      <w:pPr>
        <w:pStyle w:val="BodyText"/>
        <w:spacing w:line="300" w:lineRule="auto" w:before="63"/>
        <w:ind w:right="1124"/>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年度，以公司总股本为</w:t>
      </w:r>
      <w:r>
        <w:rPr>
          <w:rFonts w:ascii="Times New Roman" w:hAnsi="Times New Roman" w:cs="Times New Roman" w:eastAsia="Times New Roman" w:hint="default"/>
        </w:rPr>
        <w:t>1,247,335,239</w:t>
      </w:r>
      <w:r>
        <w:rPr/>
        <w:t>股扣除回购专户</w:t>
      </w:r>
      <w:r>
        <w:rPr>
          <w:rFonts w:ascii="Times New Roman" w:hAnsi="Times New Roman" w:cs="Times New Roman" w:eastAsia="Times New Roman" w:hint="default"/>
        </w:rPr>
        <w:t>52,147,394</w:t>
      </w:r>
      <w:r>
        <w:rPr/>
        <w:t>股后的</w:t>
      </w:r>
      <w:r>
        <w:rPr>
          <w:rFonts w:ascii="Times New Roman" w:hAnsi="Times New Roman" w:cs="Times New Roman" w:eastAsia="Times New Roman" w:hint="default"/>
        </w:rPr>
        <w:t>1,195,187,845</w:t>
      </w:r>
      <w:r>
        <w:rPr/>
        <w:t>股为基数，以未分配利润向全 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0.505910</w:t>
      </w:r>
      <w:r>
        <w:rPr/>
        <w:t>元（含税），不送红股，不以公积金转增股本。</w:t>
      </w:r>
    </w:p>
    <w:p>
      <w:pPr>
        <w:pStyle w:val="BodyText"/>
        <w:spacing w:line="319" w:lineRule="auto" w:before="13"/>
        <w:ind w:right="1133"/>
        <w:jc w:val="left"/>
      </w:pPr>
      <w:r>
        <w:rPr>
          <w:spacing w:val="-2"/>
        </w:rPr>
        <w:t>（</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2017</w:t>
      </w:r>
      <w:r>
        <w:rPr>
          <w:spacing w:val="-2"/>
        </w:rPr>
        <w:t>年度，以公司总股本为</w:t>
      </w:r>
      <w:r>
        <w:rPr>
          <w:rFonts w:ascii="Times New Roman" w:hAnsi="Times New Roman" w:cs="Times New Roman" w:eastAsia="Times New Roman" w:hint="default"/>
          <w:spacing w:val="-2"/>
        </w:rPr>
        <w:t>1,251,350,095</w:t>
      </w:r>
      <w:r>
        <w:rPr>
          <w:spacing w:val="-2"/>
        </w:rPr>
        <w:t>股扣除回购专户</w:t>
      </w:r>
      <w:r>
        <w:rPr>
          <w:rFonts w:ascii="Times New Roman" w:hAnsi="Times New Roman" w:cs="Times New Roman" w:eastAsia="Times New Roman" w:hint="default"/>
          <w:spacing w:val="-2"/>
        </w:rPr>
        <w:t>8,361,376</w:t>
      </w:r>
      <w:r>
        <w:rPr>
          <w:spacing w:val="-2"/>
        </w:rPr>
        <w:t>股后的</w:t>
      </w:r>
      <w:r>
        <w:rPr>
          <w:rFonts w:ascii="Times New Roman" w:hAnsi="Times New Roman" w:cs="Times New Roman" w:eastAsia="Times New Roman" w:hint="default"/>
          <w:spacing w:val="-2"/>
        </w:rPr>
        <w:t>1,242,988,719</w:t>
      </w:r>
      <w:r>
        <w:rPr>
          <w:spacing w:val="-2"/>
        </w:rPr>
        <w:t>股为基数，以未分配利润向全体</w:t>
      </w:r>
      <w:r>
        <w:rPr>
          <w:spacing w:val="-37"/>
        </w:rPr>
        <w:t> </w:t>
      </w:r>
      <w:r>
        <w:rPr>
          <w:spacing w:val="-37"/>
        </w:rPr>
      </w:r>
      <w:r>
        <w:rPr/>
        <w:t>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0.501682</w:t>
      </w:r>
      <w:r>
        <w:rPr/>
        <w:t>元（含税），不送红股，不以公积金转增股本。 公司近三年（包括本报告期）普通股现金分红情况表</w:t>
      </w:r>
    </w:p>
    <w:p>
      <w:pPr>
        <w:pStyle w:val="BodyText"/>
        <w:spacing w:line="240" w:lineRule="auto" w:before="58"/>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6"/>
        <w:gridCol w:w="1195"/>
        <w:gridCol w:w="1448"/>
        <w:gridCol w:w="932"/>
        <w:gridCol w:w="1209"/>
        <w:gridCol w:w="1184"/>
        <w:gridCol w:w="1208"/>
        <w:gridCol w:w="1184"/>
      </w:tblGrid>
      <w:tr>
        <w:trPr>
          <w:trHeight w:val="163" w:hRule="exact"/>
        </w:trPr>
        <w:tc>
          <w:tcPr>
            <w:tcW w:w="1186" w:type="dxa"/>
            <w:vMerge w:val="restart"/>
            <w:tcBorders>
              <w:top w:val="single" w:sz="4" w:space="0" w:color="000000"/>
              <w:left w:val="single" w:sz="4" w:space="0" w:color="000000"/>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
        </w:tc>
        <w:tc>
          <w:tcPr>
            <w:tcW w:w="1448" w:type="dxa"/>
            <w:vMerge w:val="restart"/>
            <w:tcBorders>
              <w:top w:val="single" w:sz="4" w:space="0" w:color="000000"/>
              <w:left w:val="single" w:sz="4" w:space="0" w:color="000000"/>
              <w:right w:val="single" w:sz="4" w:space="0" w:color="000000"/>
            </w:tcBorders>
            <w:shd w:val="clear" w:color="auto" w:fill="D2D2D2"/>
          </w:tcPr>
          <w:p>
            <w:pP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8"/>
              <w:jc w:val="center"/>
              <w:rPr>
                <w:rFonts w:ascii="宋体" w:hAnsi="宋体" w:cs="宋体" w:eastAsia="宋体" w:hint="default"/>
                <w:sz w:val="18"/>
                <w:szCs w:val="18"/>
              </w:rPr>
            </w:pPr>
            <w:r>
              <w:rPr>
                <w:rFonts w:ascii="宋体" w:hAnsi="宋体" w:cs="宋体" w:eastAsia="宋体" w:hint="default"/>
                <w:sz w:val="18"/>
                <w:szCs w:val="18"/>
              </w:rPr>
              <w:t>现金分红金 额占合并报 表中归属于 上市公司普 通股股东的 净利润的比 率</w:t>
            </w:r>
          </w:p>
        </w:tc>
        <w:tc>
          <w:tcPr>
            <w:tcW w:w="1209" w:type="dxa"/>
            <w:vMerge w:val="restart"/>
            <w:tcBorders>
              <w:top w:val="single" w:sz="4" w:space="0" w:color="000000"/>
              <w:left w:val="single" w:sz="4" w:space="0" w:color="000000"/>
              <w:right w:val="single" w:sz="4" w:space="0" w:color="000000"/>
            </w:tcBorders>
            <w:shd w:val="clear" w:color="auto" w:fill="D2D2D2"/>
          </w:tcPr>
          <w:p>
            <w:pPr/>
          </w:p>
        </w:tc>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vMerge w:val="restart"/>
            <w:tcBorders>
              <w:top w:val="single" w:sz="4" w:space="0" w:color="000000"/>
              <w:left w:val="single" w:sz="4" w:space="0" w:color="000000"/>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4"/>
              <w:ind w:left="51" w:right="41" w:firstLine="2"/>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312"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448"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right w:val="single" w:sz="4" w:space="0" w:color="000000"/>
            </w:tcBorders>
            <w:shd w:val="clear" w:color="auto" w:fill="D2D2D2"/>
          </w:tcPr>
          <w:p>
            <w:pPr/>
          </w:p>
        </w:tc>
        <w:tc>
          <w:tcPr>
            <w:tcW w:w="1209"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41"/>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44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83" w:right="92"/>
              <w:jc w:val="center"/>
              <w:rPr>
                <w:rFonts w:ascii="宋体" w:hAnsi="宋体" w:cs="宋体" w:eastAsia="宋体" w:hint="default"/>
                <w:sz w:val="18"/>
                <w:szCs w:val="18"/>
              </w:rPr>
            </w:pPr>
            <w:r>
              <w:rPr>
                <w:rFonts w:ascii="宋体" w:hAnsi="宋体" w:cs="宋体" w:eastAsia="宋体" w:hint="default"/>
                <w:sz w:val="18"/>
                <w:szCs w:val="18"/>
              </w:rPr>
              <w:t>分红年度合并报 表中归属于上市 公司普通股股东 的净利润</w:t>
            </w:r>
          </w:p>
        </w:tc>
        <w:tc>
          <w:tcPr>
            <w:tcW w:w="932" w:type="dxa"/>
            <w:vMerge/>
            <w:tcBorders>
              <w:left w:val="single" w:sz="4" w:space="0" w:color="000000"/>
              <w:right w:val="single" w:sz="4" w:space="0" w:color="000000"/>
            </w:tcBorders>
            <w:shd w:val="clear" w:color="auto" w:fill="D2D2D2"/>
          </w:tcPr>
          <w:p>
            <w:pPr/>
          </w:p>
        </w:tc>
        <w:tc>
          <w:tcPr>
            <w:tcW w:w="12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4"/>
              <w:ind w:left="63" w:right="53" w:firstLine="2"/>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448" w:type="dxa"/>
            <w:vMerge/>
            <w:tcBorders>
              <w:left w:val="single" w:sz="4" w:space="0" w:color="000000"/>
              <w:right w:val="single" w:sz="4" w:space="0" w:color="000000"/>
            </w:tcBorders>
            <w:shd w:val="clear" w:color="auto" w:fill="D2D2D2"/>
          </w:tcPr>
          <w:p>
            <w:pPr/>
          </w:p>
        </w:tc>
        <w:tc>
          <w:tcPr>
            <w:tcW w:w="932" w:type="dxa"/>
            <w:vMerge/>
            <w:tcBorders>
              <w:left w:val="single" w:sz="4" w:space="0" w:color="000000"/>
              <w:right w:val="single" w:sz="4" w:space="0" w:color="000000"/>
            </w:tcBorders>
            <w:shd w:val="clear" w:color="auto" w:fill="D2D2D2"/>
          </w:tcPr>
          <w:p>
            <w:pPr/>
          </w:p>
        </w:tc>
        <w:tc>
          <w:tcPr>
            <w:tcW w:w="1209"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4"/>
              <w:ind w:left="423" w:right="141" w:hanging="269"/>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448" w:type="dxa"/>
            <w:vMerge/>
            <w:tcBorders>
              <w:left w:val="single" w:sz="4" w:space="0" w:color="000000"/>
              <w:right w:val="single" w:sz="4" w:space="0" w:color="000000"/>
            </w:tcBorders>
            <w:shd w:val="clear" w:color="auto" w:fill="D2D2D2"/>
          </w:tcPr>
          <w:p>
            <w:pPr/>
          </w:p>
        </w:tc>
        <w:tc>
          <w:tcPr>
            <w:tcW w:w="932" w:type="dxa"/>
            <w:vMerge/>
            <w:tcBorders>
              <w:left w:val="single" w:sz="4" w:space="0" w:color="000000"/>
              <w:right w:val="single" w:sz="4" w:space="0" w:color="000000"/>
            </w:tcBorders>
            <w:shd w:val="clear" w:color="auto" w:fill="D2D2D2"/>
          </w:tcPr>
          <w:p>
            <w:pPr/>
          </w:p>
        </w:tc>
        <w:tc>
          <w:tcPr>
            <w:tcW w:w="1209"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391" w:hRule="exact"/>
        </w:trPr>
        <w:tc>
          <w:tcPr>
            <w:tcW w:w="11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21"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5" w:type="dxa"/>
            <w:vMerge/>
            <w:tcBorders>
              <w:left w:val="single" w:sz="4" w:space="0" w:color="000000"/>
              <w:right w:val="single" w:sz="4" w:space="0" w:color="000000"/>
            </w:tcBorders>
            <w:shd w:val="clear" w:color="auto" w:fill="D2D2D2"/>
          </w:tcPr>
          <w:p>
            <w:pPr/>
          </w:p>
        </w:tc>
        <w:tc>
          <w:tcPr>
            <w:tcW w:w="1448" w:type="dxa"/>
            <w:vMerge/>
            <w:tcBorders>
              <w:left w:val="single" w:sz="4" w:space="0" w:color="000000"/>
              <w:right w:val="single" w:sz="4" w:space="0" w:color="000000"/>
            </w:tcBorders>
            <w:shd w:val="clear" w:color="auto" w:fill="D2D2D2"/>
          </w:tcPr>
          <w:p>
            <w:pPr/>
          </w:p>
        </w:tc>
        <w:tc>
          <w:tcPr>
            <w:tcW w:w="932" w:type="dxa"/>
            <w:vMerge/>
            <w:tcBorders>
              <w:left w:val="single" w:sz="4" w:space="0" w:color="000000"/>
              <w:right w:val="single" w:sz="4" w:space="0" w:color="000000"/>
            </w:tcBorders>
            <w:shd w:val="clear" w:color="auto" w:fill="D2D2D2"/>
          </w:tcPr>
          <w:p>
            <w:pPr/>
          </w:p>
        </w:tc>
        <w:tc>
          <w:tcPr>
            <w:tcW w:w="1209"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val="restart"/>
            <w:tcBorders>
              <w:top w:val="nil" w:sz="6" w:space="0" w:color="auto"/>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448" w:type="dxa"/>
            <w:vMerge/>
            <w:tcBorders>
              <w:left w:val="single" w:sz="4" w:space="0" w:color="000000"/>
              <w:right w:val="single" w:sz="4" w:space="0" w:color="000000"/>
            </w:tcBorders>
            <w:shd w:val="clear" w:color="auto" w:fill="D2D2D2"/>
          </w:tcPr>
          <w:p>
            <w:pPr/>
          </w:p>
        </w:tc>
        <w:tc>
          <w:tcPr>
            <w:tcW w:w="932" w:type="dxa"/>
            <w:vMerge/>
            <w:tcBorders>
              <w:left w:val="single" w:sz="4" w:space="0" w:color="000000"/>
              <w:right w:val="single" w:sz="4" w:space="0" w:color="000000"/>
            </w:tcBorders>
            <w:shd w:val="clear" w:color="auto" w:fill="D2D2D2"/>
          </w:tcPr>
          <w:p>
            <w:pPr/>
          </w:p>
        </w:tc>
        <w:tc>
          <w:tcPr>
            <w:tcW w:w="1209"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
        </w:tc>
        <w:tc>
          <w:tcPr>
            <w:tcW w:w="1448" w:type="dxa"/>
            <w:vMerge/>
            <w:tcBorders>
              <w:left w:val="single" w:sz="4" w:space="0" w:color="000000"/>
              <w:right w:val="single" w:sz="4" w:space="0" w:color="000000"/>
            </w:tcBorders>
            <w:shd w:val="clear" w:color="auto" w:fill="D2D2D2"/>
          </w:tcPr>
          <w:p>
            <w:pPr/>
          </w:p>
        </w:tc>
        <w:tc>
          <w:tcPr>
            <w:tcW w:w="932" w:type="dxa"/>
            <w:vMerge/>
            <w:tcBorders>
              <w:left w:val="single" w:sz="4" w:space="0" w:color="000000"/>
              <w:right w:val="single" w:sz="4" w:space="0" w:color="000000"/>
            </w:tcBorders>
            <w:shd w:val="clear" w:color="auto" w:fill="D2D2D2"/>
          </w:tcPr>
          <w:p>
            <w:pPr/>
          </w:p>
        </w:tc>
        <w:tc>
          <w:tcPr>
            <w:tcW w:w="1209"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448"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right w:val="single" w:sz="4" w:space="0" w:color="000000"/>
            </w:tcBorders>
            <w:shd w:val="clear" w:color="auto" w:fill="D2D2D2"/>
          </w:tcPr>
          <w:p>
            <w:pPr/>
          </w:p>
        </w:tc>
        <w:tc>
          <w:tcPr>
            <w:tcW w:w="1209"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313"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448" w:type="dxa"/>
            <w:vMerge w:val="restart"/>
            <w:tcBorders>
              <w:top w:val="nil" w:sz="6" w:space="0" w:color="auto"/>
              <w:left w:val="single" w:sz="4" w:space="0" w:color="000000"/>
              <w:right w:val="single" w:sz="4" w:space="0" w:color="000000"/>
            </w:tcBorders>
            <w:shd w:val="clear" w:color="auto" w:fill="D2D2D2"/>
          </w:tcPr>
          <w:p>
            <w:pPr/>
          </w:p>
        </w:tc>
        <w:tc>
          <w:tcPr>
            <w:tcW w:w="932" w:type="dxa"/>
            <w:vMerge/>
            <w:tcBorders>
              <w:left w:val="single" w:sz="4" w:space="0" w:color="000000"/>
              <w:right w:val="single" w:sz="4" w:space="0" w:color="000000"/>
            </w:tcBorders>
            <w:shd w:val="clear" w:color="auto" w:fill="D2D2D2"/>
          </w:tcPr>
          <w:p>
            <w:pPr/>
          </w:p>
        </w:tc>
        <w:tc>
          <w:tcPr>
            <w:tcW w:w="1209"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61" w:hRule="exact"/>
        </w:trPr>
        <w:tc>
          <w:tcPr>
            <w:tcW w:w="118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448" w:type="dxa"/>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c>
          <w:tcPr>
            <w:tcW w:w="1209" w:type="dxa"/>
            <w:vMerge/>
            <w:tcBorders>
              <w:left w:val="single" w:sz="4" w:space="0" w:color="000000"/>
              <w:bottom w:val="single" w:sz="4" w:space="0" w:color="000000"/>
              <w:right w:val="single" w:sz="4" w:space="0" w:color="000000"/>
            </w:tcBorders>
            <w:shd w:val="clear" w:color="auto" w:fill="D2D2D2"/>
          </w:tcPr>
          <w:p>
            <w:pPr/>
          </w:p>
        </w:tc>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-2,455,867,198.03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227,051,856.23</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-9.25%</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227,051,856.23</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-9.25%</w:t>
            </w:r>
          </w:p>
        </w:tc>
      </w:tr>
      <w:tr>
        <w:trPr>
          <w:trHeight w:val="403"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60,465,807.25</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1"/>
              <w:jc w:val="right"/>
              <w:rPr>
                <w:rFonts w:ascii="Times New Roman" w:hAnsi="Times New Roman" w:cs="Times New Roman" w:eastAsia="Times New Roman" w:hint="default"/>
                <w:sz w:val="18"/>
                <w:szCs w:val="18"/>
              </w:rPr>
            </w:pPr>
            <w:r>
              <w:rPr>
                <w:rFonts w:ascii="Times New Roman"/>
                <w:spacing w:val="-1"/>
                <w:sz w:val="18"/>
              </w:rPr>
              <w:t>133,239,222.45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Times New Roman" w:hAnsi="Times New Roman" w:cs="Times New Roman" w:eastAsia="Times New Roman" w:hint="default"/>
                <w:sz w:val="18"/>
                <w:szCs w:val="18"/>
              </w:rPr>
            </w:pPr>
            <w:r>
              <w:rPr>
                <w:rFonts w:ascii="Times New Roman"/>
                <w:sz w:val="18"/>
              </w:rPr>
              <w:t>45.38%</w:t>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514,410,942.48</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pacing w:val="-1"/>
                <w:sz w:val="18"/>
              </w:rPr>
              <w:t>386.08%</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574,876,749.73</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pacing w:val="-1"/>
                <w:sz w:val="18"/>
              </w:rPr>
              <w:t>431.46%</w:t>
            </w:r>
          </w:p>
        </w:tc>
      </w:tr>
      <w:tr>
        <w:trPr>
          <w:trHeight w:val="403"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62,358,519.75</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1"/>
              <w:jc w:val="right"/>
              <w:rPr>
                <w:rFonts w:ascii="Times New Roman" w:hAnsi="Times New Roman" w:cs="Times New Roman" w:eastAsia="Times New Roman" w:hint="default"/>
                <w:sz w:val="18"/>
                <w:szCs w:val="18"/>
              </w:rPr>
            </w:pPr>
            <w:r>
              <w:rPr>
                <w:rFonts w:ascii="Times New Roman"/>
                <w:spacing w:val="-1"/>
                <w:sz w:val="18"/>
              </w:rPr>
              <w:t>413,945,815.86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
              <w:jc w:val="right"/>
              <w:rPr>
                <w:rFonts w:ascii="Times New Roman" w:hAnsi="Times New Roman" w:cs="Times New Roman" w:eastAsia="Times New Roman" w:hint="default"/>
                <w:sz w:val="18"/>
                <w:szCs w:val="18"/>
              </w:rPr>
            </w:pPr>
            <w:r>
              <w:rPr>
                <w:rFonts w:ascii="Times New Roman"/>
                <w:sz w:val="18"/>
              </w:rPr>
              <w:t>15.06%</w:t>
            </w:r>
          </w:p>
        </w:tc>
        <w:tc>
          <w:tcPr>
            <w:tcW w:w="1209"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62,358,519.75</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15.06%</w:t>
            </w:r>
          </w:p>
        </w:tc>
      </w:tr>
    </w:tbl>
    <w:p>
      <w:pPr>
        <w:pStyle w:val="BodyText"/>
        <w:spacing w:line="240" w:lineRule="auto" w:before="49"/>
        <w:ind w:right="1133"/>
        <w:jc w:val="left"/>
      </w:pPr>
      <w:r>
        <w:rPr/>
        <w:t>公司报告期内盈利且母公司可供普通股股东分配利润为正但未提出普通股现金红利分配预案</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bookmarkStart w:name="二、本报告期利润分配及资本公积金转增股本情况" w:id="65"/>
      <w:bookmarkEnd w:id="65"/>
      <w:r>
        <w:rPr>
          <w:b w:val="0"/>
          <w:bCs w:val="0"/>
        </w:rPr>
      </w:r>
      <w:r>
        <w:rPr/>
        <w:t>二、本报告期利润分配及资本公积金转增股本情况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773"/>
        <w:gridCol w:w="5786"/>
      </w:tblGrid>
      <w:tr>
        <w:trPr>
          <w:trHeight w:val="403"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1,174,016,745</w:t>
            </w:r>
          </w:p>
        </w:tc>
      </w:tr>
      <w:tr>
        <w:trPr>
          <w:trHeight w:val="403"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7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786" w:type="dxa"/>
            <w:tcBorders>
              <w:top w:val="single" w:sz="4" w:space="0" w:color="000000"/>
              <w:left w:val="single" w:sz="2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227,051,856.23</w:t>
            </w:r>
          </w:p>
        </w:tc>
      </w:tr>
      <w:tr>
        <w:trPr>
          <w:trHeight w:val="403"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227,051,856.23</w:t>
            </w:r>
          </w:p>
        </w:tc>
      </w:tr>
      <w:tr>
        <w:trPr>
          <w:trHeight w:val="401"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940,450,150.22</w:t>
            </w:r>
          </w:p>
        </w:tc>
      </w:tr>
      <w:tr>
        <w:trPr>
          <w:trHeight w:val="715"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2"/>
                <w:sz w:val="18"/>
                <w:szCs w:val="18"/>
              </w:rPr>
              <w:t>现金分红总额（含其他方式）占利润分配总额的</w:t>
            </w:r>
            <w:r>
              <w:rPr>
                <w:rFonts w:ascii="宋体" w:hAnsi="宋体" w:cs="宋体" w:eastAsia="宋体" w:hint="default"/>
                <w:sz w:val="18"/>
                <w:szCs w:val="18"/>
              </w:rPr>
              <w:t> 比例</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24.14%</w:t>
            </w:r>
          </w:p>
        </w:tc>
      </w:tr>
      <w:tr>
        <w:trPr>
          <w:trHeight w:val="40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2"/>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7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403"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年度拟不派发现金红利，不送红股，不以资本公积金转增股本。</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bookmarkStart w:name="三、承诺事项履行情况" w:id="66"/>
      <w:bookmarkEnd w:id="66"/>
      <w:r>
        <w:rPr>
          <w:b w:val="0"/>
          <w:bCs w:val="0"/>
        </w:rPr>
      </w:r>
      <w:r>
        <w:rPr/>
        <w:t>三、承诺事项履行情况</w:t>
      </w:r>
      <w:r>
        <w:rPr>
          <w:b w:val="0"/>
          <w:bCs w:val="0"/>
        </w:rPr>
      </w:r>
    </w:p>
    <w:p>
      <w:pPr>
        <w:spacing w:line="240" w:lineRule="auto" w:before="10"/>
        <w:rPr>
          <w:rFonts w:ascii="宋体" w:hAnsi="宋体" w:cs="宋体" w:eastAsia="宋体" w:hint="default"/>
          <w:b/>
          <w:bCs/>
          <w:sz w:val="24"/>
          <w:szCs w:val="24"/>
        </w:rPr>
      </w:pPr>
    </w:p>
    <w:p>
      <w:pPr>
        <w:pStyle w:val="Heading3"/>
        <w:spacing w:line="259" w:lineRule="auto"/>
        <w:ind w:right="1133"/>
        <w:jc w:val="left"/>
        <w:rPr>
          <w:b w:val="0"/>
          <w:bCs w:val="0"/>
        </w:rPr>
      </w:pPr>
      <w:bookmarkStart w:name="1、公司实际控制人、股东、关联方、收购人以及公司等承诺相关方在报告期内履行完毕及" w:id="67"/>
      <w:bookmarkEnd w:id="67"/>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838"/>
        <w:gridCol w:w="1123"/>
        <w:gridCol w:w="1128"/>
        <w:gridCol w:w="1126"/>
        <w:gridCol w:w="1126"/>
        <w:gridCol w:w="1121"/>
        <w:gridCol w:w="1106"/>
      </w:tblGrid>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9"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1"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23" w:type="dxa"/>
            <w:tcBorders>
              <w:top w:val="single" w:sz="4" w:space="0" w:color="000000"/>
              <w:left w:val="single" w:sz="13" w:space="0" w:color="D2D2D2"/>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2"/>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3" w:type="dxa"/>
            <w:tcBorders>
              <w:top w:val="single" w:sz="4" w:space="0" w:color="000000"/>
              <w:left w:val="single" w:sz="13" w:space="0" w:color="D2D2D2"/>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1544" w:hRule="exact"/>
        </w:trPr>
        <w:tc>
          <w:tcPr>
            <w:tcW w:w="28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3"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博升优势</w:t>
            </w:r>
          </w:p>
        </w:tc>
        <w:tc>
          <w:tcPr>
            <w:tcW w:w="11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316" w:lineRule="auto"/>
              <w:ind w:left="26" w:right="191"/>
              <w:jc w:val="both"/>
              <w:rPr>
                <w:rFonts w:ascii="宋体" w:hAnsi="宋体" w:cs="宋体" w:eastAsia="宋体" w:hint="default"/>
                <w:sz w:val="18"/>
                <w:szCs w:val="18"/>
              </w:rPr>
            </w:pPr>
            <w:r>
              <w:rPr>
                <w:rFonts w:ascii="宋体" w:hAnsi="宋体" w:cs="宋体" w:eastAsia="宋体" w:hint="default"/>
                <w:sz w:val="18"/>
                <w:szCs w:val="18"/>
              </w:rPr>
              <w:t>关于股份锁 定期的承诺 函</w:t>
            </w:r>
          </w:p>
        </w:tc>
        <w:tc>
          <w:tcPr>
            <w:tcW w:w="1126" w:type="dxa"/>
            <w:vMerge w:val="restart"/>
            <w:tcBorders>
              <w:top w:val="single" w:sz="4" w:space="0" w:color="000000"/>
              <w:left w:val="single" w:sz="4" w:space="0" w:color="000000"/>
              <w:right w:val="single" w:sz="4" w:space="0" w:color="000000"/>
            </w:tcBorders>
          </w:tcPr>
          <w:p>
            <w:pPr>
              <w:pStyle w:val="TableParagraph"/>
              <w:spacing w:line="312" w:lineRule="auto" w:before="49"/>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、因本次上 市取得的海 立美达的股 </w:t>
            </w:r>
            <w:r>
              <w:rPr>
                <w:rFonts w:ascii="宋体" w:hAnsi="宋体" w:cs="宋体" w:eastAsia="宋体" w:hint="default"/>
                <w:spacing w:val="-2"/>
                <w:sz w:val="18"/>
                <w:szCs w:val="18"/>
              </w:rPr>
              <w:t>份，自股份上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市之日起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个月内不转 让。</w:t>
            </w:r>
            <w:r>
              <w:rPr>
                <w:rFonts w:ascii="Times New Roman" w:hAnsi="Times New Roman" w:cs="Times New Roman" w:eastAsia="Times New Roman" w:hint="default"/>
                <w:sz w:val="18"/>
                <w:szCs w:val="18"/>
              </w:rPr>
              <w:t>2</w:t>
            </w:r>
            <w:r>
              <w:rPr>
                <w:rFonts w:ascii="宋体" w:hAnsi="宋体" w:cs="宋体" w:eastAsia="宋体" w:hint="default"/>
                <w:sz w:val="18"/>
                <w:szCs w:val="18"/>
              </w:rPr>
              <w:t>、根据</w:t>
            </w:r>
          </w:p>
          <w:p>
            <w:pPr>
              <w:pStyle w:val="TableParagraph"/>
              <w:spacing w:line="316" w:lineRule="auto" w:before="3"/>
              <w:ind w:left="23" w:right="10"/>
              <w:jc w:val="left"/>
              <w:rPr>
                <w:rFonts w:ascii="宋体" w:hAnsi="宋体" w:cs="宋体" w:eastAsia="宋体" w:hint="default"/>
                <w:sz w:val="18"/>
                <w:szCs w:val="18"/>
              </w:rPr>
            </w:pPr>
            <w:r>
              <w:rPr>
                <w:rFonts w:ascii="宋体" w:hAnsi="宋体" w:cs="宋体" w:eastAsia="宋体" w:hint="default"/>
                <w:sz w:val="18"/>
                <w:szCs w:val="18"/>
              </w:rPr>
              <w:t>《业绩补偿 </w:t>
            </w:r>
            <w:r>
              <w:rPr>
                <w:rFonts w:ascii="宋体" w:hAnsi="宋体" w:cs="宋体" w:eastAsia="宋体" w:hint="default"/>
                <w:spacing w:val="-16"/>
                <w:sz w:val="18"/>
                <w:szCs w:val="18"/>
              </w:rPr>
              <w:t>协议》，为保</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障业绩补偿 承诺的履行，</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394" w:hRule="exact"/>
        </w:trPr>
        <w:tc>
          <w:tcPr>
            <w:tcW w:w="28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3" w:type="dxa"/>
            <w:vMerge/>
            <w:tcBorders>
              <w:left w:val="single" w:sz="10" w:space="0" w:color="D2D2D2"/>
              <w:right w:val="single" w:sz="4" w:space="0" w:color="000000"/>
            </w:tcBorders>
          </w:tcPr>
          <w:p>
            <w:pP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1546" w:hRule="exact"/>
        </w:trPr>
        <w:tc>
          <w:tcPr>
            <w:tcW w:w="28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3" w:type="dxa"/>
            <w:vMerge/>
            <w:tcBorders>
              <w:left w:val="single" w:sz="10" w:space="0" w:color="D2D2D2"/>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2859"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自股份上市 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w:t>
            </w:r>
            <w:r>
              <w:rPr>
                <w:rFonts w:ascii="宋体" w:hAnsi="宋体" w:cs="宋体" w:eastAsia="宋体" w:hint="default"/>
                <w:spacing w:val="-2"/>
                <w:sz w:val="18"/>
                <w:szCs w:val="18"/>
              </w:rPr>
              <w:t>月后，将根据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业绩承诺完 成情况承诺 相应数量的 股份在业绩 承诺完成前 不转让。</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10972"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博升优势</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6" w:right="191"/>
              <w:jc w:val="both"/>
              <w:rPr>
                <w:rFonts w:ascii="宋体" w:hAnsi="宋体" w:cs="宋体" w:eastAsia="宋体" w:hint="default"/>
                <w:sz w:val="18"/>
                <w:szCs w:val="18"/>
              </w:rPr>
            </w:pPr>
            <w:r>
              <w:rPr>
                <w:rFonts w:ascii="宋体" w:hAnsi="宋体" w:cs="宋体" w:eastAsia="宋体" w:hint="default"/>
                <w:sz w:val="18"/>
                <w:szCs w:val="18"/>
              </w:rPr>
              <w:t>关于避免同 业竞争的承 诺函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、本公司目 前运营的达 拉苏通信账 户计费服务 平台将于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6" w:lineRule="auto" w:before="1"/>
              <w:ind w:left="23"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日前终止 全部为第三 方提供通信 账户计费服 务业务。</w:t>
            </w:r>
            <w:r>
              <w:rPr>
                <w:rFonts w:ascii="Times New Roman" w:hAnsi="Times New Roman" w:cs="Times New Roman" w:eastAsia="Times New Roman" w:hint="default"/>
                <w:sz w:val="18"/>
                <w:szCs w:val="18"/>
              </w:rPr>
              <w:t>2</w:t>
            </w:r>
            <w:r>
              <w:rPr>
                <w:rFonts w:ascii="宋体" w:hAnsi="宋体" w:cs="宋体" w:eastAsia="宋体" w:hint="default"/>
                <w:sz w:val="18"/>
                <w:szCs w:val="18"/>
              </w:rPr>
              <w:t>、 本公司在作 为海立美达 的股东期间， 除为本公司 自有产品提 供通信账户 计费服务外， 本公司及本 公司控制的 其他企业将 不直接或间 接从事任何 与海立美达 及其下属控 股企业相同 或相似且构 成或可能构 成竞争关系 的业务。</w:t>
            </w:r>
            <w:r>
              <w:rPr>
                <w:rFonts w:ascii="Times New Roman" w:hAnsi="Times New Roman" w:cs="Times New Roman" w:eastAsia="Times New Roman" w:hint="default"/>
                <w:sz w:val="18"/>
                <w:szCs w:val="18"/>
              </w:rPr>
              <w:t>3</w:t>
            </w:r>
            <w:r>
              <w:rPr>
                <w:rFonts w:ascii="宋体" w:hAnsi="宋体" w:cs="宋体" w:eastAsia="宋体" w:hint="default"/>
                <w:sz w:val="18"/>
                <w:szCs w:val="18"/>
              </w:rPr>
              <w:t>、 本公司若违 反上述承诺， 将承担因此 而给海立美 达及其下属</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367.630005pt;margin-top:709.776001pt;width:54.75pt;height:36.4pt;mso-position-horizontal-relative:page;mso-position-vertical-relative:page;z-index:-1714072" coordorigin="7353,14196" coordsize="1095,728">
            <v:group style="position:absolute;left:7365;top:14208;width:2;height:704" coordorigin="7365,14208" coordsize="2,704">
              <v:shape style="position:absolute;left:7365;top:14208;width:2;height:704" coordorigin="7365,14208" coordsize="0,704" path="m7365,14208l7365,14911e" filled="false" stroked="true" strokeweight="1.2pt" strokecolor="#ffffff">
                <v:path arrowok="t"/>
              </v:shape>
            </v:group>
            <v:group style="position:absolute;left:7377;top:14208;width:1071;height:353" coordorigin="7377,14208" coordsize="1071,353">
              <v:shape style="position:absolute;left:7377;top:14208;width:1071;height:353" coordorigin="7377,14208" coordsize="1071,353" path="m7377,14560l8447,14560,8447,14208,7377,14208,7377,14560xe" filled="true" fillcolor="#ffffff" stroked="false">
                <v:path arrowok="t"/>
                <v:fill type="solid"/>
              </v:shape>
            </v:group>
            <v:group style="position:absolute;left:7377;top:14560;width:1071;height:351" coordorigin="7377,14560" coordsize="1071,351">
              <v:shape style="position:absolute;left:7377;top:14560;width:1071;height:351" coordorigin="7377,14560" coordsize="1071,351" path="m7377,14911l8447,14911,8447,14560,7377,14560,7377,14911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控股企业造</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成的一切损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60"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失。</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r>
        <w:trPr>
          <w:trHeight w:val="360"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、本次交易</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完成后，本公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司及本公司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控制的企业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将尽量减少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并规范与海</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立美达的关</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联交易。</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本次交易完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成后，对于无</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法避免或有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合理原因而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发生的与海</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立美达之间</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的关联交易，</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本公司及本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公司控制的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629"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9"/>
              <w:jc w:val="left"/>
              <w:rPr>
                <w:rFonts w:ascii="宋体" w:hAnsi="宋体" w:cs="宋体" w:eastAsia="宋体" w:hint="default"/>
                <w:sz w:val="18"/>
                <w:szCs w:val="18"/>
              </w:rPr>
            </w:pPr>
            <w:r>
              <w:rPr>
                <w:rFonts w:ascii="宋体" w:hAnsi="宋体" w:cs="宋体" w:eastAsia="宋体" w:hint="default"/>
                <w:spacing w:val="-3"/>
                <w:sz w:val="18"/>
                <w:szCs w:val="18"/>
              </w:rPr>
              <w:t>博升优势、银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联商务</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6" w:right="191"/>
              <w:jc w:val="left"/>
              <w:rPr>
                <w:rFonts w:ascii="宋体" w:hAnsi="宋体" w:cs="宋体" w:eastAsia="宋体" w:hint="default"/>
                <w:sz w:val="18"/>
                <w:szCs w:val="18"/>
              </w:rPr>
            </w:pPr>
            <w:r>
              <w:rPr>
                <w:rFonts w:ascii="宋体" w:hAnsi="宋体" w:cs="宋体" w:eastAsia="宋体" w:hint="default"/>
                <w:sz w:val="18"/>
                <w:szCs w:val="18"/>
              </w:rPr>
              <w:t>规范关联交 易的承诺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90"/>
              <w:jc w:val="left"/>
              <w:rPr>
                <w:rFonts w:ascii="宋体" w:hAnsi="宋体" w:cs="宋体" w:eastAsia="宋体" w:hint="default"/>
                <w:sz w:val="18"/>
                <w:szCs w:val="18"/>
              </w:rPr>
            </w:pPr>
            <w:r>
              <w:rPr>
                <w:rFonts w:ascii="宋体" w:hAnsi="宋体" w:cs="宋体" w:eastAsia="宋体" w:hint="default"/>
                <w:sz w:val="18"/>
                <w:szCs w:val="18"/>
              </w:rPr>
              <w:t>企业将遵循 市场原则以</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vMerge/>
            <w:tcBorders>
              <w:left w:val="single" w:sz="4" w:space="0" w:color="000000"/>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公允、合理的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市场价格进</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行交易，根据</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有关法律、法</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规及规范性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文件的规定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履行关联交</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易决策程序，</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依法履行信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息披露义务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和办理有关</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报批程序，不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利用股东地</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位损害海立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美达及其他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股东的合法</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权益。</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tcBorders>
              <w:top w:val="nil" w:sz="6" w:space="0" w:color="auto"/>
              <w:left w:val="single" w:sz="4" w:space="0" w:color="000000"/>
              <w:bottom w:val="single" w:sz="4" w:space="0" w:color="000000"/>
              <w:right w:val="single" w:sz="4" w:space="0" w:color="000000"/>
            </w:tcBorders>
          </w:tcPr>
          <w:p>
            <w:pPr/>
          </w:p>
        </w:tc>
      </w:tr>
      <w:tr>
        <w:trPr>
          <w:trHeight w:val="1610"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z w:val="18"/>
                <w:szCs w:val="18"/>
              </w:rPr>
              <w:t>海立控股及 其一致行动 </w:t>
            </w:r>
            <w:r>
              <w:rPr>
                <w:rFonts w:ascii="宋体" w:hAnsi="宋体" w:cs="宋体" w:eastAsia="宋体" w:hint="default"/>
                <w:spacing w:val="-3"/>
                <w:sz w:val="18"/>
                <w:szCs w:val="18"/>
              </w:rPr>
              <w:t>人、实际控制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人</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6" w:lineRule="auto"/>
              <w:ind w:left="26" w:right="191"/>
              <w:jc w:val="both"/>
              <w:rPr>
                <w:rFonts w:ascii="宋体" w:hAnsi="宋体" w:cs="宋体" w:eastAsia="宋体" w:hint="default"/>
                <w:sz w:val="18"/>
                <w:szCs w:val="18"/>
              </w:rPr>
            </w:pPr>
            <w:r>
              <w:rPr>
                <w:rFonts w:ascii="宋体" w:hAnsi="宋体" w:cs="宋体" w:eastAsia="宋体" w:hint="default"/>
                <w:sz w:val="18"/>
                <w:szCs w:val="18"/>
              </w:rPr>
              <w:t>关于不放弃 上市公司控 制权的相关 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、自本次交 易完成之日 起</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个月内 承诺人不会 主动放弃承</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1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149" w:lineRule="exact"/>
              <w:ind w:left="-12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0"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166"/>
              <w:jc w:val="center"/>
              <w:rPr>
                <w:rFonts w:ascii="宋体" w:hAnsi="宋体" w:cs="宋体" w:eastAsia="宋体" w:hint="default"/>
                <w:sz w:val="18"/>
                <w:szCs w:val="18"/>
              </w:rPr>
            </w:pPr>
            <w:r>
              <w:rPr>
                <w:rFonts w:ascii="宋体" w:hAnsi="宋体" w:cs="宋体" w:eastAsia="宋体" w:hint="default"/>
                <w:sz w:val="18"/>
                <w:szCs w:val="18"/>
              </w:rPr>
              <w:t>诺人在海立</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美达董事会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及股东大会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的表决权，也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不会协助任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何其他方谋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求海立美达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控股股东及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实际控制人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的地位。</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自本次交易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完成之日起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7"/>
                <w:sz w:val="18"/>
                <w:szCs w:val="18"/>
              </w:rPr>
              <w:t> </w:t>
            </w:r>
            <w:r>
              <w:rPr>
                <w:rFonts w:ascii="宋体" w:hAnsi="宋体" w:cs="宋体" w:eastAsia="宋体" w:hint="default"/>
                <w:spacing w:val="-12"/>
                <w:sz w:val="18"/>
                <w:szCs w:val="18"/>
              </w:rPr>
              <w:t>个月内，承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诺人将根据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资本市场情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况与实际需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要，通过采取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包括增持股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份等合法合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规措施，以保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持对上市公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司的实际控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制，维护上市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公司控制权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的稳定。</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如果本次交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易触发调价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机制，刘国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平、孙刚有义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务自己或促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使其关联方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在不晚于本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次交易完成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2"/>
              <w:jc w:val="center"/>
              <w:rPr>
                <w:rFonts w:ascii="宋体" w:hAnsi="宋体" w:cs="宋体" w:eastAsia="宋体" w:hint="default"/>
                <w:sz w:val="18"/>
                <w:szCs w:val="18"/>
              </w:rPr>
            </w:pPr>
            <w:r>
              <w:rPr>
                <w:rFonts w:ascii="宋体" w:hAnsi="宋体" w:cs="宋体" w:eastAsia="宋体" w:hint="default"/>
                <w:sz w:val="18"/>
                <w:szCs w:val="18"/>
              </w:rPr>
              <w:t>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增持上市公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司股份，确保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海立控股及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其一致行动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人合计持有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上市公司的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股权比例比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博升优势及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其一致行动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人合计持股</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630005pt;margin-top:577.276001pt;width:61.8pt;height:186.3pt;mso-position-horizontal-relative:page;mso-position-vertical-relative:page;z-index:-171404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6"/>
                      <w:szCs w:val="26"/>
                    </w:rPr>
                  </w:pPr>
                </w:p>
                <w:p>
                  <w:pPr>
                    <w:pStyle w:val="BodyText"/>
                    <w:spacing w:line="240" w:lineRule="auto"/>
                    <w:ind w:left="0" w:right="0"/>
                    <w:jc w:val="left"/>
                  </w:pPr>
                  <w:r>
                    <w:rPr/>
                    <w:t>、</w:t>
                  </w:r>
                </w:p>
              </w:txbxContent>
            </v:textbox>
            <w10:wrap type="none"/>
          </v:shape>
        </w:pict>
      </w:r>
      <w:r>
        <w:rPr/>
        <w:pict>
          <v:group style="position:absolute;margin-left:367.630005pt;margin-top:577.276001pt;width:55.8pt;height:186.3pt;mso-position-horizontal-relative:page;mso-position-vertical-relative:page;z-index:-1714024" coordorigin="7353,11546" coordsize="1116,3726">
            <v:shape style="position:absolute;left:7353;top:11546;width:1116;height:3726" coordorigin="7353,11546" coordsize="1116,3726" path="m7353,15271l8469,15271,8469,11546,7353,11546,7353,15271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比例高出</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3.43%</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、本</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次交易完成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后，海立美达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董事会拟由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九名董事组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成（包括三名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独立董事</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为推动本次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交易，海立控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股及其一致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行动人拟在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本次交易完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成后三十六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个月内向海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立美达推荐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四名非独立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60"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r>
        <w:trPr>
          <w:trHeight w:val="360"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、本次交易</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6"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完成后三十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六个月内，不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会以本次交</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易取得的海</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立美达股份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单独或共同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谋求海立美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达的实际控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制权，亦不会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以通过二级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6" w:right="0"/>
              <w:jc w:val="left"/>
              <w:rPr>
                <w:rFonts w:ascii="宋体" w:hAnsi="宋体" w:cs="宋体" w:eastAsia="宋体" w:hint="default"/>
                <w:sz w:val="18"/>
                <w:szCs w:val="18"/>
              </w:rPr>
            </w:pPr>
            <w:r>
              <w:rPr>
                <w:rFonts w:ascii="宋体" w:hAnsi="宋体" w:cs="宋体" w:eastAsia="宋体" w:hint="default"/>
                <w:sz w:val="18"/>
                <w:szCs w:val="18"/>
              </w:rPr>
              <w:t>关于不谋求</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市场增持海</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博升优势</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6" w:right="191"/>
              <w:jc w:val="left"/>
              <w:rPr>
                <w:rFonts w:ascii="宋体" w:hAnsi="宋体" w:cs="宋体" w:eastAsia="宋体" w:hint="default"/>
                <w:sz w:val="18"/>
                <w:szCs w:val="18"/>
              </w:rPr>
            </w:pPr>
            <w:r>
              <w:rPr>
                <w:rFonts w:ascii="宋体" w:hAnsi="宋体" w:cs="宋体" w:eastAsia="宋体" w:hint="default"/>
                <w:sz w:val="18"/>
                <w:szCs w:val="18"/>
              </w:rPr>
              <w:t>上市公司控 制权的相关</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21"/>
              <w:ind w:left="23" w:right="19"/>
              <w:jc w:val="left"/>
              <w:rPr>
                <w:rFonts w:ascii="宋体" w:hAnsi="宋体" w:cs="宋体" w:eastAsia="宋体" w:hint="default"/>
                <w:sz w:val="18"/>
                <w:szCs w:val="18"/>
              </w:rPr>
            </w:pPr>
            <w:r>
              <w:rPr>
                <w:rFonts w:ascii="宋体" w:hAnsi="宋体" w:cs="宋体" w:eastAsia="宋体" w:hint="default"/>
                <w:sz w:val="18"/>
                <w:szCs w:val="18"/>
              </w:rPr>
              <w:t>立美达股票 </w:t>
            </w:r>
            <w:r>
              <w:rPr>
                <w:rFonts w:ascii="宋体" w:hAnsi="宋体" w:cs="宋体" w:eastAsia="宋体" w:hint="default"/>
                <w:spacing w:val="-2"/>
                <w:sz w:val="18"/>
                <w:szCs w:val="18"/>
              </w:rPr>
              <w:t>的方式，或以</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323"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6"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委托、征集投</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票权、协议等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任何方式联</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合其他股东</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谋求海立美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达控制权。</w:t>
            </w:r>
            <w:r>
              <w:rPr>
                <w:rFonts w:ascii="Times New Roman" w:hAnsi="Times New Roman" w:cs="Times New Roman" w:eastAsia="Times New Roman" w:hint="default"/>
                <w:sz w:val="18"/>
                <w:szCs w:val="18"/>
              </w:rPr>
              <w:t>2</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本次交易完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成后，海立美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达董事会拟</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由九名董事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组成（包括三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名独立董</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223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
              <w:jc w:val="left"/>
              <w:rPr>
                <w:rFonts w:ascii="宋体" w:hAnsi="宋体" w:cs="宋体" w:eastAsia="宋体" w:hint="default"/>
                <w:sz w:val="18"/>
                <w:szCs w:val="18"/>
              </w:rPr>
            </w:pPr>
            <w:r>
              <w:rPr>
                <w:rFonts w:ascii="宋体" w:hAnsi="宋体" w:cs="宋体" w:eastAsia="宋体" w:hint="default"/>
                <w:spacing w:val="-16"/>
                <w:sz w:val="18"/>
                <w:szCs w:val="18"/>
              </w:rPr>
              <w:t>事），博升优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势拟在本次 交易完成后 三十六个月 内向海立美 达推荐一名 非独立董事。</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6018"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海立控股</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6" w:lineRule="auto"/>
              <w:ind w:left="26" w:right="191"/>
              <w:jc w:val="both"/>
              <w:rPr>
                <w:rFonts w:ascii="宋体" w:hAnsi="宋体" w:cs="宋体" w:eastAsia="宋体" w:hint="default"/>
                <w:sz w:val="18"/>
                <w:szCs w:val="18"/>
              </w:rPr>
            </w:pPr>
            <w:r>
              <w:rPr>
                <w:rFonts w:ascii="宋体" w:hAnsi="宋体" w:cs="宋体" w:eastAsia="宋体" w:hint="default"/>
                <w:sz w:val="18"/>
                <w:szCs w:val="18"/>
              </w:rPr>
              <w:t>关于履行业 绩补偿义务 的承诺函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
              <w:jc w:val="left"/>
              <w:rPr>
                <w:rFonts w:ascii="宋体" w:hAnsi="宋体" w:cs="宋体" w:eastAsia="宋体" w:hint="default"/>
                <w:sz w:val="18"/>
                <w:szCs w:val="18"/>
              </w:rPr>
            </w:pPr>
            <w:r>
              <w:rPr>
                <w:rFonts w:ascii="宋体" w:hAnsi="宋体" w:cs="宋体" w:eastAsia="宋体" w:hint="default"/>
                <w:sz w:val="18"/>
                <w:szCs w:val="18"/>
              </w:rPr>
              <w:t>如海立控股 须履行《业绩 补偿协议》项 下的业绩补 偿义务时，海 立控股将通 过处置除海 立美达股份 以外的其他 资产、贷款融 资等多种手 段获取现金 以履行业绩 补偿义务，确 保不会通过 减持其持有 的海立美达 股份履行业 绩补偿义务。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5667"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319" w:lineRule="auto"/>
              <w:ind w:left="23" w:right="187"/>
              <w:jc w:val="left"/>
              <w:rPr>
                <w:rFonts w:ascii="宋体" w:hAnsi="宋体" w:cs="宋体" w:eastAsia="宋体" w:hint="default"/>
                <w:sz w:val="18"/>
                <w:szCs w:val="18"/>
              </w:rPr>
            </w:pPr>
            <w:r>
              <w:rPr>
                <w:rFonts w:ascii="宋体" w:hAnsi="宋体" w:cs="宋体" w:eastAsia="宋体" w:hint="default"/>
                <w:sz w:val="18"/>
                <w:szCs w:val="18"/>
              </w:rPr>
              <w:t>海立控股实 际控制人</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19" w:lineRule="auto"/>
              <w:ind w:left="26" w:right="191"/>
              <w:jc w:val="both"/>
              <w:rPr>
                <w:rFonts w:ascii="宋体" w:hAnsi="宋体" w:cs="宋体" w:eastAsia="宋体" w:hint="default"/>
                <w:sz w:val="18"/>
                <w:szCs w:val="18"/>
              </w:rPr>
            </w:pPr>
            <w:r>
              <w:rPr>
                <w:rFonts w:ascii="宋体" w:hAnsi="宋体" w:cs="宋体" w:eastAsia="宋体" w:hint="default"/>
                <w:sz w:val="18"/>
                <w:szCs w:val="18"/>
              </w:rPr>
              <w:t>关于为海立 控股业绩补 偿承诺提供 担保的承诺 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如海立控股 </w:t>
            </w:r>
            <w:r>
              <w:rPr>
                <w:rFonts w:ascii="宋体" w:hAnsi="宋体" w:cs="宋体" w:eastAsia="宋体" w:hint="default"/>
                <w:spacing w:val="-2"/>
                <w:sz w:val="18"/>
                <w:szCs w:val="18"/>
              </w:rPr>
              <w:t>需履行《业绩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补偿协议》项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下的业绩补 </w:t>
            </w:r>
            <w:r>
              <w:rPr>
                <w:rFonts w:ascii="宋体" w:hAnsi="宋体" w:cs="宋体" w:eastAsia="宋体" w:hint="default"/>
                <w:spacing w:val="-2"/>
                <w:sz w:val="18"/>
                <w:szCs w:val="18"/>
              </w:rPr>
              <w:t>偿义务，本保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证人承诺如 海立控股在 不减持海立 美达股份的 情况下没有 能力进行足 额现金补偿 </w:t>
            </w:r>
            <w:r>
              <w:rPr>
                <w:rFonts w:ascii="宋体" w:hAnsi="宋体" w:cs="宋体" w:eastAsia="宋体" w:hint="default"/>
                <w:spacing w:val="-2"/>
                <w:sz w:val="18"/>
                <w:szCs w:val="18"/>
              </w:rPr>
              <w:t>的，本保证人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将向海立控 股提供资金 支持或承担 差额部分的 </w:t>
            </w:r>
            <w:r>
              <w:rPr>
                <w:rFonts w:ascii="宋体" w:hAnsi="宋体" w:cs="宋体" w:eastAsia="宋体" w:hint="default"/>
                <w:spacing w:val="-2"/>
                <w:sz w:val="18"/>
                <w:szCs w:val="18"/>
              </w:rPr>
              <w:t>补偿义务，以</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1299"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90"/>
              <w:jc w:val="both"/>
              <w:rPr>
                <w:rFonts w:ascii="宋体" w:hAnsi="宋体" w:cs="宋体" w:eastAsia="宋体" w:hint="default"/>
                <w:sz w:val="18"/>
                <w:szCs w:val="18"/>
              </w:rPr>
            </w:pPr>
            <w:r>
              <w:rPr>
                <w:rFonts w:ascii="宋体" w:hAnsi="宋体" w:cs="宋体" w:eastAsia="宋体" w:hint="default"/>
                <w:sz w:val="18"/>
                <w:szCs w:val="18"/>
              </w:rPr>
              <w:t>保证海立控 股能够按约 定履行业绩 补偿义务。</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12532"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宋体" w:hAnsi="宋体" w:cs="宋体" w:eastAsia="宋体" w:hint="default"/>
                <w:sz w:val="18"/>
                <w:szCs w:val="18"/>
              </w:rPr>
              <w:t>博升优势</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4" w:lineRule="auto"/>
              <w:ind w:left="26" w:right="191"/>
              <w:jc w:val="left"/>
              <w:rPr>
                <w:rFonts w:ascii="宋体" w:hAnsi="宋体" w:cs="宋体" w:eastAsia="宋体" w:hint="default"/>
                <w:sz w:val="18"/>
                <w:szCs w:val="18"/>
              </w:rPr>
            </w:pPr>
            <w:r>
              <w:rPr>
                <w:rFonts w:ascii="宋体" w:hAnsi="宋体" w:cs="宋体" w:eastAsia="宋体" w:hint="default"/>
                <w:sz w:val="18"/>
                <w:szCs w:val="18"/>
              </w:rPr>
              <w:t>业绩承诺及 补偿安排</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6"/>
              <w:jc w:val="both"/>
              <w:rPr>
                <w:rFonts w:ascii="宋体" w:hAnsi="宋体" w:cs="宋体" w:eastAsia="宋体" w:hint="default"/>
                <w:sz w:val="18"/>
                <w:szCs w:val="18"/>
              </w:rPr>
            </w:pPr>
            <w:r>
              <w:rPr>
                <w:rFonts w:ascii="宋体" w:hAnsi="宋体" w:cs="宋体" w:eastAsia="宋体" w:hint="default"/>
                <w:sz w:val="18"/>
                <w:szCs w:val="18"/>
              </w:rPr>
              <w:t>博升优势承 诺联动优势 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8"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年和</w:t>
            </w:r>
          </w:p>
          <w:p>
            <w:pPr>
              <w:pStyle w:val="TableParagraph"/>
              <w:spacing w:line="309" w:lineRule="auto" w:before="63"/>
              <w:ind w:left="23" w:right="1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年的净 利润分别不 低于 </w:t>
            </w:r>
            <w:r>
              <w:rPr>
                <w:rFonts w:ascii="Times New Roman" w:hAnsi="Times New Roman" w:cs="Times New Roman" w:eastAsia="Times New Roman" w:hint="default"/>
                <w:sz w:val="18"/>
                <w:szCs w:val="18"/>
              </w:rPr>
              <w:t>22,063.53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 </w:t>
            </w:r>
            <w:r>
              <w:rPr>
                <w:rFonts w:ascii="宋体" w:hAnsi="宋体" w:cs="宋体" w:eastAsia="宋体" w:hint="default"/>
                <w:spacing w:val="-1"/>
                <w:sz w:val="18"/>
                <w:szCs w:val="18"/>
              </w:rPr>
              <w:t>元、</w:t>
            </w:r>
            <w:r>
              <w:rPr>
                <w:rFonts w:ascii="Times New Roman" w:hAnsi="Times New Roman" w:cs="Times New Roman" w:eastAsia="Times New Roman" w:hint="default"/>
                <w:spacing w:val="-1"/>
                <w:sz w:val="18"/>
                <w:szCs w:val="18"/>
              </w:rPr>
              <w:t>26,365.92</w:t>
            </w:r>
          </w:p>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万元和</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32,167.32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316" w:lineRule="auto" w:before="63"/>
              <w:ind w:left="23" w:right="19"/>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元，累计不低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80,596.77</w:t>
            </w: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pacing w:val="-2"/>
                <w:sz w:val="18"/>
                <w:szCs w:val="18"/>
              </w:rPr>
              <w:t>万元，净利润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指合并财务 报表口径的 扣除非经常 性损益后的 归属于母公 司所有者净 </w:t>
            </w:r>
            <w:r>
              <w:rPr>
                <w:rFonts w:ascii="宋体" w:hAnsi="宋体" w:cs="宋体" w:eastAsia="宋体" w:hint="default"/>
                <w:spacing w:val="-2"/>
                <w:sz w:val="18"/>
                <w:szCs w:val="18"/>
              </w:rPr>
              <w:t>利润。业绩承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诺期满后，依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据联动优势 专项审核报 </w:t>
            </w:r>
            <w:r>
              <w:rPr>
                <w:rFonts w:ascii="宋体" w:hAnsi="宋体" w:cs="宋体" w:eastAsia="宋体" w:hint="default"/>
                <w:spacing w:val="-2"/>
                <w:sz w:val="18"/>
                <w:szCs w:val="18"/>
              </w:rPr>
              <w:t>告，若联动优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势于业绩承 诺期间累计 实现的联动 优势实际净 利润低于累 计的联动优 势承诺净利 </w:t>
            </w:r>
            <w:r>
              <w:rPr>
                <w:rFonts w:ascii="宋体" w:hAnsi="宋体" w:cs="宋体" w:eastAsia="宋体" w:hint="default"/>
                <w:spacing w:val="-2"/>
                <w:sz w:val="18"/>
                <w:szCs w:val="18"/>
              </w:rPr>
              <w:t>润数，则差额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部分由博升 优势以现金 方式在联动 优势</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专项审核报 告出具之日 起三个月内</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6291"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一次性对上 市公司进行 </w:t>
            </w:r>
            <w:r>
              <w:rPr>
                <w:rFonts w:ascii="宋体" w:hAnsi="宋体" w:cs="宋体" w:eastAsia="宋体" w:hint="default"/>
                <w:spacing w:val="-2"/>
                <w:sz w:val="18"/>
                <w:szCs w:val="18"/>
              </w:rPr>
              <w:t>补偿。若博升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优势未能按 照前述约定 在联动优势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年专项 审核报告出 具之日起三 个月内对公 司进行现金 </w:t>
            </w:r>
            <w:r>
              <w:rPr>
                <w:rFonts w:ascii="宋体" w:hAnsi="宋体" w:cs="宋体" w:eastAsia="宋体" w:hint="default"/>
                <w:spacing w:val="-2"/>
                <w:sz w:val="18"/>
                <w:szCs w:val="18"/>
              </w:rPr>
              <w:t>补偿，则博升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优势应在公 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 度报告出具 之日起四个 月内通过减 持公司股份 所得现金进 行补偿。</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9" w:lineRule="auto"/>
              <w:ind w:left="23" w:right="7"/>
              <w:jc w:val="left"/>
              <w:rPr>
                <w:rFonts w:ascii="宋体" w:hAnsi="宋体" w:cs="宋体" w:eastAsia="宋体" w:hint="default"/>
                <w:sz w:val="18"/>
                <w:szCs w:val="18"/>
              </w:rPr>
            </w:pPr>
            <w:r>
              <w:rPr>
                <w:rFonts w:ascii="宋体" w:hAnsi="宋体" w:cs="宋体" w:eastAsia="宋体" w:hint="default"/>
                <w:sz w:val="18"/>
                <w:szCs w:val="18"/>
              </w:rPr>
              <w:t>青岛海立控 股有限公司、 </w:t>
            </w:r>
            <w:r>
              <w:rPr>
                <w:rFonts w:ascii="宋体" w:hAnsi="宋体" w:cs="宋体" w:eastAsia="宋体" w:hint="default"/>
                <w:spacing w:val="-3"/>
                <w:sz w:val="18"/>
                <w:szCs w:val="18"/>
              </w:rPr>
              <w:t>孙刚、刘国平</w:t>
            </w: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《关于避免 同业竞争的 </w:t>
            </w:r>
            <w:r>
              <w:rPr>
                <w:rFonts w:ascii="宋体" w:hAnsi="宋体" w:cs="宋体" w:eastAsia="宋体" w:hint="default"/>
                <w:spacing w:val="-28"/>
                <w:sz w:val="18"/>
                <w:szCs w:val="18"/>
              </w:rPr>
              <w:t>承诺函》；《关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于规范关联 交易的承诺 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9" w:lineRule="auto"/>
              <w:ind w:left="23" w:right="185"/>
              <w:jc w:val="left"/>
              <w:rPr>
                <w:rFonts w:ascii="宋体" w:hAnsi="宋体" w:cs="宋体" w:eastAsia="宋体" w:hint="default"/>
                <w:sz w:val="18"/>
                <w:szCs w:val="18"/>
              </w:rPr>
            </w:pPr>
            <w:r>
              <w:rPr>
                <w:rFonts w:ascii="宋体" w:hAnsi="宋体" w:cs="宋体" w:eastAsia="宋体" w:hint="default"/>
                <w:sz w:val="18"/>
                <w:szCs w:val="18"/>
              </w:rPr>
              <w:t>严格履行上 述承诺</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403"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02"/>
              <w:jc w:val="both"/>
              <w:rPr>
                <w:rFonts w:ascii="宋体" w:hAnsi="宋体" w:cs="宋体" w:eastAsia="宋体" w:hint="default"/>
                <w:sz w:val="18"/>
                <w:szCs w:val="18"/>
              </w:rPr>
            </w:pPr>
            <w:r>
              <w:rPr>
                <w:rFonts w:ascii="宋体" w:hAnsi="宋体" w:cs="宋体" w:eastAsia="宋体" w:hint="default"/>
                <w:sz w:val="18"/>
                <w:szCs w:val="18"/>
              </w:rPr>
              <w:t>如承诺超期未履行完毕的，应当详 细说明未完成履行的具体原因及下 一步的工作计划</w:t>
            </w:r>
          </w:p>
        </w:tc>
        <w:tc>
          <w:tcPr>
            <w:tcW w:w="67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6"/>
        <w:ind w:right="1133"/>
        <w:jc w:val="left"/>
        <w:rPr>
          <w:b w:val="0"/>
          <w:bCs w:val="0"/>
        </w:rPr>
      </w:pPr>
      <w:bookmarkStart w:name="2、公司资产或项目存在盈利预测，且报告期仍处在盈利预测期间，公司就资产或项目达到" w:id="68"/>
      <w:bookmarkEnd w:id="68"/>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bookmarkStart w:name="四、控股股东及其关联方对上市公司的非经营性占用资金情况" w:id="69"/>
      <w:bookmarkEnd w:id="69"/>
      <w:r>
        <w:rPr>
          <w:b w:val="0"/>
          <w:bCs w:val="0"/>
        </w:rPr>
      </w:r>
      <w:r>
        <w:rPr/>
        <w:t>四、控股股东及其关联方对上市公司的非经营性占用资金情况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4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after="0" w:line="340"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五、董事会、监事会、独立董事（如有）对会计师事务所本报告期“非标准审计报告”的说" w:id="70"/>
      <w:bookmarkEnd w:id="70"/>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bookmarkStart w:name="六、与上年度财务报告相比，会计政策、会计估计和核算方法发生变化的情况说明" w:id="71"/>
      <w:bookmarkEnd w:id="71"/>
      <w:r>
        <w:rPr>
          <w:b w:val="0"/>
          <w:bCs w:val="0"/>
        </w:rPr>
      </w:r>
      <w:r>
        <w:rPr/>
        <w:t>六、与上年度财务报告相比，会计政策、会计估计和核算方法发生变化的情况说明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1"/>
        <w:rPr>
          <w:rFonts w:ascii="宋体" w:hAnsi="宋体" w:cs="宋体" w:eastAsia="宋体" w:hint="default"/>
          <w:sz w:val="20"/>
          <w:szCs w:val="20"/>
        </w:rPr>
      </w:pPr>
    </w:p>
    <w:p>
      <w:pPr>
        <w:pStyle w:val="BodyText"/>
        <w:spacing w:line="240" w:lineRule="auto"/>
        <w:ind w:left="592" w:right="1133"/>
        <w:jc w:val="left"/>
      </w:pPr>
      <w:r>
        <w:rPr>
          <w:rFonts w:ascii="宋体" w:hAnsi="宋体" w:cs="宋体" w:eastAsia="宋体" w:hint="default"/>
          <w:sz w:val="22"/>
          <w:szCs w:val="22"/>
        </w:rPr>
        <w:t>1</w:t>
      </w:r>
      <w:r>
        <w:rPr/>
        <w:t>、重要会计政策变更</w:t>
      </w:r>
    </w:p>
    <w:p>
      <w:pPr>
        <w:spacing w:line="240" w:lineRule="auto" w:before="3"/>
        <w:rPr>
          <w:rFonts w:ascii="宋体" w:hAnsi="宋体" w:cs="宋体" w:eastAsia="宋体" w:hint="default"/>
          <w:sz w:val="11"/>
          <w:szCs w:val="11"/>
        </w:rPr>
      </w:pPr>
    </w:p>
    <w:tbl>
      <w:tblPr>
        <w:tblW w:w="0" w:type="auto"/>
        <w:jc w:val="left"/>
        <w:tblInd w:w="145" w:type="dxa"/>
        <w:tblLayout w:type="fixed"/>
        <w:tblCellMar>
          <w:top w:w="0" w:type="dxa"/>
          <w:left w:w="0" w:type="dxa"/>
          <w:bottom w:w="0" w:type="dxa"/>
          <w:right w:w="0" w:type="dxa"/>
        </w:tblCellMar>
        <w:tblLook w:val="01E0"/>
      </w:tblPr>
      <w:tblGrid>
        <w:gridCol w:w="4787"/>
        <w:gridCol w:w="3013"/>
        <w:gridCol w:w="1841"/>
      </w:tblGrid>
      <w:tr>
        <w:trPr>
          <w:trHeight w:val="346" w:hRule="exact"/>
        </w:trPr>
        <w:tc>
          <w:tcPr>
            <w:tcW w:w="478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b/>
                <w:bCs/>
                <w:sz w:val="18"/>
                <w:szCs w:val="18"/>
              </w:rPr>
              <w:t>变更的内容和原因</w:t>
            </w:r>
            <w:r>
              <w:rPr>
                <w:rFonts w:ascii="宋体" w:hAnsi="宋体" w:cs="宋体" w:eastAsia="宋体" w:hint="default"/>
                <w:sz w:val="18"/>
                <w:szCs w:val="18"/>
              </w:rPr>
            </w:r>
          </w:p>
        </w:tc>
        <w:tc>
          <w:tcPr>
            <w:tcW w:w="301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审批程序</w:t>
            </w:r>
            <w:r>
              <w:rPr>
                <w:rFonts w:ascii="宋体" w:hAnsi="宋体" w:cs="宋体" w:eastAsia="宋体" w:hint="default"/>
                <w:sz w:val="18"/>
                <w:szCs w:val="18"/>
              </w:rPr>
            </w:r>
          </w:p>
        </w:tc>
        <w:tc>
          <w:tcPr>
            <w:tcW w:w="184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1285" w:hRule="exact"/>
        </w:trPr>
        <w:tc>
          <w:tcPr>
            <w:tcW w:w="478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83"/>
              <w:jc w:val="both"/>
              <w:rPr>
                <w:rFonts w:ascii="宋体" w:hAnsi="宋体" w:cs="宋体" w:eastAsia="宋体" w:hint="default"/>
                <w:sz w:val="18"/>
                <w:szCs w:val="18"/>
              </w:rPr>
            </w:pPr>
            <w:r>
              <w:rPr>
                <w:rFonts w:ascii="宋体" w:hAnsi="宋体" w:cs="宋体" w:eastAsia="宋体" w:hint="default"/>
                <w:sz w:val="18"/>
                <w:szCs w:val="18"/>
              </w:rPr>
              <w:t>《企业会计准则第</w:t>
            </w:r>
            <w:r>
              <w:rPr>
                <w:rFonts w:ascii="Times New Roman" w:hAnsi="Times New Roman" w:cs="Times New Roman" w:eastAsia="Times New Roman" w:hint="default"/>
                <w:sz w:val="18"/>
                <w:szCs w:val="18"/>
              </w:rPr>
              <w:t>22</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金融工具确认和计量》、《企业 会计准则第</w:t>
            </w:r>
            <w:r>
              <w:rPr>
                <w:rFonts w:ascii="Times New Roman" w:hAnsi="Times New Roman" w:cs="Times New Roman" w:eastAsia="Times New Roman" w:hint="default"/>
                <w:sz w:val="18"/>
                <w:szCs w:val="18"/>
              </w:rPr>
              <w:t>23</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金融资产转移（修订）》、《企业会计 准则第</w:t>
            </w:r>
            <w:r>
              <w:rPr>
                <w:rFonts w:ascii="Times New Roman" w:hAnsi="Times New Roman" w:cs="Times New Roman" w:eastAsia="Times New Roman" w:hint="default"/>
                <w:sz w:val="18"/>
                <w:szCs w:val="18"/>
              </w:rPr>
              <w:t>24</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套期会计（修订）》及《企业会计准则第</w:t>
            </w:r>
            <w:r>
              <w:rPr>
                <w:rFonts w:ascii="Times New Roman" w:hAnsi="Times New Roman" w:cs="Times New Roman" w:eastAsia="Times New Roman" w:hint="default"/>
                <w:sz w:val="18"/>
                <w:szCs w:val="18"/>
              </w:rPr>
              <w:t>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金融工具列报（修订）》</w:t>
            </w:r>
            <w:r>
              <w:rPr>
                <w:rFonts w:ascii="Times New Roman" w:hAnsi="Times New Roman" w:cs="Times New Roman" w:eastAsia="Times New Roman" w:hint="default"/>
                <w:sz w:val="18"/>
                <w:szCs w:val="18"/>
              </w:rPr>
              <w:t>(</w:t>
            </w:r>
            <w:r>
              <w:rPr>
                <w:rFonts w:ascii="宋体" w:hAnsi="宋体" w:cs="宋体" w:eastAsia="宋体" w:hint="default"/>
                <w:sz w:val="18"/>
                <w:szCs w:val="18"/>
              </w:rPr>
              <w:t>统称</w:t>
            </w:r>
            <w:r>
              <w:rPr>
                <w:rFonts w:ascii="Times New Roman" w:hAnsi="Times New Roman" w:cs="Times New Roman" w:eastAsia="Times New Roman" w:hint="default"/>
                <w:sz w:val="18"/>
                <w:szCs w:val="18"/>
              </w:rPr>
              <w:t>“</w:t>
            </w:r>
            <w:r>
              <w:rPr>
                <w:rFonts w:ascii="宋体" w:hAnsi="宋体" w:cs="宋体" w:eastAsia="宋体" w:hint="default"/>
                <w:sz w:val="18"/>
                <w:szCs w:val="18"/>
              </w:rPr>
              <w:t>新金融工具准则</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w:t>
            </w:r>
          </w:p>
        </w:tc>
        <w:tc>
          <w:tcPr>
            <w:tcW w:w="3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319" w:lineRule="auto"/>
              <w:ind w:left="4" w:right="-4"/>
              <w:jc w:val="left"/>
              <w:rPr>
                <w:rFonts w:ascii="宋体" w:hAnsi="宋体" w:cs="宋体" w:eastAsia="宋体" w:hint="default"/>
                <w:sz w:val="18"/>
                <w:szCs w:val="18"/>
              </w:rPr>
            </w:pPr>
            <w:r>
              <w:rPr>
                <w:rFonts w:ascii="宋体" w:hAnsi="宋体" w:cs="宋体" w:eastAsia="宋体" w:hint="default"/>
                <w:spacing w:val="7"/>
                <w:sz w:val="18"/>
                <w:szCs w:val="18"/>
              </w:rPr>
              <w:t>相关会计政策变更已经本公司第四届 </w:t>
            </w:r>
            <w:r>
              <w:rPr>
                <w:rFonts w:ascii="宋体" w:hAnsi="宋体" w:cs="宋体" w:eastAsia="宋体" w:hint="default"/>
                <w:sz w:val="18"/>
                <w:szCs w:val="18"/>
              </w:rPr>
              <w:t>董事会第四次会议通过</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日起执行</w:t>
            </w:r>
          </w:p>
        </w:tc>
      </w:tr>
      <w:tr>
        <w:trPr>
          <w:trHeight w:val="658" w:hRule="exact"/>
        </w:trPr>
        <w:tc>
          <w:tcPr>
            <w:tcW w:w="478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0"/>
              <w:jc w:val="left"/>
              <w:rPr>
                <w:rFonts w:ascii="宋体" w:hAnsi="宋体" w:cs="宋体" w:eastAsia="宋体" w:hint="default"/>
                <w:sz w:val="18"/>
                <w:szCs w:val="18"/>
              </w:rPr>
            </w:pPr>
            <w:r>
              <w:rPr>
                <w:rFonts w:ascii="宋体" w:hAnsi="宋体" w:cs="宋体" w:eastAsia="宋体" w:hint="default"/>
                <w:spacing w:val="-4"/>
                <w:sz w:val="18"/>
                <w:szCs w:val="18"/>
              </w:rPr>
              <w:t>《关于修订印发</w:t>
            </w:r>
            <w:r>
              <w:rPr>
                <w:rFonts w:ascii="Times New Roman" w:hAnsi="Times New Roman" w:cs="Times New Roman" w:eastAsia="Times New Roman" w:hint="default"/>
                <w:spacing w:val="-4"/>
                <w:sz w:val="18"/>
                <w:szCs w:val="18"/>
              </w:rPr>
              <w:t>2019</w:t>
            </w:r>
            <w:r>
              <w:rPr>
                <w:rFonts w:ascii="宋体" w:hAnsi="宋体" w:cs="宋体" w:eastAsia="宋体" w:hint="default"/>
                <w:spacing w:val="-4"/>
                <w:sz w:val="18"/>
                <w:szCs w:val="18"/>
              </w:rPr>
              <w:t>年度一般企业财务报表格式的通知》（财</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会〔</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号）</w:t>
            </w:r>
          </w:p>
        </w:tc>
        <w:tc>
          <w:tcPr>
            <w:tcW w:w="301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4"/>
              <w:jc w:val="left"/>
              <w:rPr>
                <w:rFonts w:ascii="宋体" w:hAnsi="宋体" w:cs="宋体" w:eastAsia="宋体" w:hint="default"/>
                <w:sz w:val="18"/>
                <w:szCs w:val="18"/>
              </w:rPr>
            </w:pPr>
            <w:r>
              <w:rPr>
                <w:rFonts w:ascii="宋体" w:hAnsi="宋体" w:cs="宋体" w:eastAsia="宋体" w:hint="default"/>
                <w:spacing w:val="7"/>
                <w:sz w:val="18"/>
                <w:szCs w:val="18"/>
              </w:rPr>
              <w:t>相关会计政策变更已经本公司第四届 </w:t>
            </w:r>
            <w:r>
              <w:rPr>
                <w:rFonts w:ascii="宋体" w:hAnsi="宋体" w:cs="宋体" w:eastAsia="宋体" w:hint="default"/>
                <w:sz w:val="18"/>
                <w:szCs w:val="18"/>
              </w:rPr>
              <w:t>董事会第九次（临时）会议通过</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日起执行</w:t>
            </w:r>
          </w:p>
        </w:tc>
      </w:tr>
      <w:tr>
        <w:trPr>
          <w:trHeight w:val="660" w:hRule="exact"/>
        </w:trPr>
        <w:tc>
          <w:tcPr>
            <w:tcW w:w="478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0"/>
              <w:jc w:val="left"/>
              <w:rPr>
                <w:rFonts w:ascii="宋体" w:hAnsi="宋体" w:cs="宋体" w:eastAsia="宋体" w:hint="default"/>
                <w:sz w:val="18"/>
                <w:szCs w:val="18"/>
              </w:rPr>
            </w:pPr>
            <w:r>
              <w:rPr>
                <w:rFonts w:ascii="宋体" w:hAnsi="宋体" w:cs="宋体" w:eastAsia="宋体" w:hint="default"/>
                <w:spacing w:val="-4"/>
                <w:sz w:val="18"/>
                <w:szCs w:val="18"/>
              </w:rPr>
              <w:t>《企业会计准则第</w:t>
            </w:r>
            <w:r>
              <w:rPr>
                <w:rFonts w:ascii="Times New Roman" w:hAnsi="Times New Roman" w:cs="Times New Roman" w:eastAsia="Times New Roman" w:hint="default"/>
                <w:spacing w:val="-4"/>
                <w:sz w:val="18"/>
                <w:szCs w:val="18"/>
              </w:rPr>
              <w:t>7</w:t>
            </w:r>
            <w:r>
              <w:rPr>
                <w:rFonts w:ascii="宋体" w:hAnsi="宋体" w:cs="宋体" w:eastAsia="宋体" w:hint="default"/>
                <w:spacing w:val="-4"/>
                <w:sz w:val="18"/>
                <w:szCs w:val="18"/>
              </w:rPr>
              <w:t>号</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非货币性资产交换（修订）》（</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新</w:t>
            </w:r>
            <w:r>
              <w:rPr>
                <w:rFonts w:ascii="宋体" w:hAnsi="宋体" w:cs="宋体" w:eastAsia="宋体" w:hint="default"/>
                <w:spacing w:val="-65"/>
                <w:sz w:val="18"/>
                <w:szCs w:val="18"/>
              </w:rPr>
              <w:t> </w:t>
            </w:r>
            <w:r>
              <w:rPr>
                <w:rFonts w:ascii="宋体" w:hAnsi="宋体" w:cs="宋体" w:eastAsia="宋体" w:hint="default"/>
                <w:sz w:val="18"/>
                <w:szCs w:val="18"/>
              </w:rPr>
              <w:t>非货币性资产交换准则</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01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4"/>
              <w:jc w:val="left"/>
              <w:rPr>
                <w:rFonts w:ascii="宋体" w:hAnsi="宋体" w:cs="宋体" w:eastAsia="宋体" w:hint="default"/>
                <w:sz w:val="18"/>
                <w:szCs w:val="18"/>
              </w:rPr>
            </w:pPr>
            <w:r>
              <w:rPr>
                <w:rFonts w:ascii="宋体" w:hAnsi="宋体" w:cs="宋体" w:eastAsia="宋体" w:hint="default"/>
                <w:spacing w:val="7"/>
                <w:sz w:val="18"/>
                <w:szCs w:val="18"/>
              </w:rPr>
              <w:t>相关会计政策变更已经本公司第四届 </w:t>
            </w:r>
            <w:r>
              <w:rPr>
                <w:rFonts w:ascii="宋体" w:hAnsi="宋体" w:cs="宋体" w:eastAsia="宋体" w:hint="default"/>
                <w:sz w:val="18"/>
                <w:szCs w:val="18"/>
              </w:rPr>
              <w:t>董事会第十一次（临时）会议通过</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日起执行</w:t>
            </w:r>
          </w:p>
        </w:tc>
      </w:tr>
      <w:tr>
        <w:trPr>
          <w:trHeight w:val="660" w:hRule="exact"/>
        </w:trPr>
        <w:tc>
          <w:tcPr>
            <w:tcW w:w="478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5"/>
              <w:jc w:val="left"/>
              <w:rPr>
                <w:rFonts w:ascii="宋体" w:hAnsi="宋体" w:cs="宋体" w:eastAsia="宋体" w:hint="default"/>
                <w:sz w:val="18"/>
                <w:szCs w:val="18"/>
              </w:rPr>
            </w:pPr>
            <w:r>
              <w:rPr>
                <w:rFonts w:ascii="宋体" w:hAnsi="宋体" w:cs="宋体" w:eastAsia="宋体" w:hint="default"/>
                <w:sz w:val="18"/>
                <w:szCs w:val="18"/>
              </w:rPr>
              <w:t>《企业会计准则第</w:t>
            </w:r>
            <w:r>
              <w:rPr>
                <w:rFonts w:ascii="Times New Roman" w:hAnsi="Times New Roman" w:cs="Times New Roman" w:eastAsia="Times New Roman" w:hint="default"/>
                <w:sz w:val="18"/>
                <w:szCs w:val="18"/>
              </w:rPr>
              <w:t>12</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债务重组（修订）》（</w:t>
            </w:r>
            <w:r>
              <w:rPr>
                <w:rFonts w:ascii="Times New Roman" w:hAnsi="Times New Roman" w:cs="Times New Roman" w:eastAsia="Times New Roman" w:hint="default"/>
                <w:sz w:val="18"/>
                <w:szCs w:val="18"/>
              </w:rPr>
              <w:t>“</w:t>
            </w:r>
            <w:r>
              <w:rPr>
                <w:rFonts w:ascii="宋体" w:hAnsi="宋体" w:cs="宋体" w:eastAsia="宋体" w:hint="default"/>
                <w:sz w:val="18"/>
                <w:szCs w:val="18"/>
              </w:rPr>
              <w:t>新债务重 组准则</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01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4"/>
              <w:jc w:val="left"/>
              <w:rPr>
                <w:rFonts w:ascii="宋体" w:hAnsi="宋体" w:cs="宋体" w:eastAsia="宋体" w:hint="default"/>
                <w:sz w:val="18"/>
                <w:szCs w:val="18"/>
              </w:rPr>
            </w:pPr>
            <w:r>
              <w:rPr>
                <w:rFonts w:ascii="宋体" w:hAnsi="宋体" w:cs="宋体" w:eastAsia="宋体" w:hint="default"/>
                <w:spacing w:val="7"/>
                <w:sz w:val="18"/>
                <w:szCs w:val="18"/>
              </w:rPr>
              <w:t>相关会计政策变更已经本公司第四届 </w:t>
            </w:r>
            <w:r>
              <w:rPr>
                <w:rFonts w:ascii="宋体" w:hAnsi="宋体" w:cs="宋体" w:eastAsia="宋体" w:hint="default"/>
                <w:sz w:val="18"/>
                <w:szCs w:val="18"/>
              </w:rPr>
              <w:t>董事会第十一次（临时）会议通过</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日起执行</w:t>
            </w:r>
          </w:p>
        </w:tc>
      </w:tr>
    </w:tbl>
    <w:p>
      <w:pPr>
        <w:spacing w:line="240" w:lineRule="auto" w:before="5"/>
        <w:rPr>
          <w:rFonts w:ascii="宋体" w:hAnsi="宋体" w:cs="宋体" w:eastAsia="宋体" w:hint="default"/>
          <w:sz w:val="6"/>
          <w:szCs w:val="6"/>
        </w:rPr>
      </w:pPr>
    </w:p>
    <w:p>
      <w:pPr>
        <w:pStyle w:val="BodyText"/>
        <w:spacing w:line="240" w:lineRule="auto" w:before="44"/>
        <w:ind w:left="513" w:right="1133"/>
        <w:jc w:val="left"/>
      </w:pPr>
      <w:r>
        <w:rPr/>
        <w:t>①执行新金融工具准则</w:t>
      </w:r>
    </w:p>
    <w:p>
      <w:pPr>
        <w:spacing w:line="240" w:lineRule="auto" w:before="0"/>
        <w:rPr>
          <w:rFonts w:ascii="宋体" w:hAnsi="宋体" w:cs="宋体" w:eastAsia="宋体" w:hint="default"/>
          <w:sz w:val="15"/>
          <w:szCs w:val="15"/>
        </w:rPr>
      </w:pPr>
    </w:p>
    <w:p>
      <w:pPr>
        <w:pStyle w:val="BodyText"/>
        <w:spacing w:line="312" w:lineRule="auto"/>
        <w:ind w:right="1131" w:firstLine="360"/>
        <w:jc w:val="both"/>
      </w:pPr>
      <w:r>
        <w:rPr>
          <w:spacing w:val="-2"/>
        </w:rPr>
        <w:t>本公司于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日起执行财政部于</w:t>
      </w:r>
      <w:r>
        <w:rPr>
          <w:rFonts w:ascii="Times New Roman" w:hAnsi="Times New Roman" w:cs="Times New Roman" w:eastAsia="Times New Roman" w:hint="default"/>
          <w:spacing w:val="-2"/>
        </w:rPr>
        <w:t>2017</w:t>
      </w:r>
      <w:r>
        <w:rPr>
          <w:spacing w:val="-2"/>
        </w:rPr>
        <w:t>年修订的《企业会计准则第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金融工具确认和计量》、《企业会计准则</w:t>
      </w:r>
      <w:r>
        <w:rPr/>
        <w:t> </w:t>
      </w:r>
      <w:r>
        <w:rPr>
          <w:spacing w:val="-1"/>
        </w:rPr>
        <w:t>第</w:t>
      </w:r>
      <w:r>
        <w:rPr>
          <w:rFonts w:ascii="Times New Roman" w:hAnsi="Times New Roman" w:cs="Times New Roman" w:eastAsia="Times New Roman" w:hint="default"/>
          <w:spacing w:val="-1"/>
        </w:rPr>
        <w:t>23</w:t>
      </w:r>
      <w:r>
        <w:rPr>
          <w:spacing w:val="-1"/>
        </w:rPr>
        <w:t>号</w:t>
      </w:r>
      <w:r>
        <w:rPr>
          <w:rFonts w:ascii="Times New Roman" w:hAnsi="Times New Roman" w:cs="Times New Roman" w:eastAsia="Times New Roman" w:hint="default"/>
          <w:spacing w:val="-1"/>
        </w:rPr>
        <w:t>—</w:t>
      </w:r>
      <w:r>
        <w:rPr>
          <w:spacing w:val="-1"/>
        </w:rPr>
        <w:t>金融资产转移》、《企业会计准则第</w:t>
      </w:r>
      <w:r>
        <w:rPr>
          <w:rFonts w:ascii="Times New Roman" w:hAnsi="Times New Roman" w:cs="Times New Roman" w:eastAsia="Times New Roman" w:hint="default"/>
          <w:spacing w:val="-1"/>
        </w:rPr>
        <w:t>24</w:t>
      </w:r>
      <w:r>
        <w:rPr>
          <w:spacing w:val="-1"/>
        </w:rPr>
        <w:t>号</w:t>
      </w:r>
      <w:r>
        <w:rPr>
          <w:rFonts w:ascii="Times New Roman" w:hAnsi="Times New Roman" w:cs="Times New Roman" w:eastAsia="Times New Roman" w:hint="default"/>
          <w:spacing w:val="-1"/>
        </w:rPr>
        <w:t>—</w:t>
      </w:r>
      <w:r>
        <w:rPr>
          <w:spacing w:val="-1"/>
        </w:rPr>
        <w:t>套期会计》和《企业会计准则第</w:t>
      </w:r>
      <w:r>
        <w:rPr>
          <w:rFonts w:ascii="Times New Roman" w:hAnsi="Times New Roman" w:cs="Times New Roman" w:eastAsia="Times New Roman" w:hint="default"/>
          <w:spacing w:val="-1"/>
        </w:rPr>
        <w:t>37</w:t>
      </w:r>
      <w:r>
        <w:rPr>
          <w:spacing w:val="-1"/>
        </w:rPr>
        <w:t>号</w:t>
      </w:r>
      <w:r>
        <w:rPr>
          <w:rFonts w:ascii="Times New Roman" w:hAnsi="Times New Roman" w:cs="Times New Roman" w:eastAsia="Times New Roman" w:hint="default"/>
          <w:spacing w:val="-1"/>
        </w:rPr>
        <w:t>—</w:t>
      </w:r>
      <w:r>
        <w:rPr>
          <w:spacing w:val="-1"/>
        </w:rPr>
        <w:t>金融工具列报》</w:t>
      </w:r>
      <w:r>
        <w:rPr>
          <w:rFonts w:ascii="Times New Roman" w:hAnsi="Times New Roman" w:cs="Times New Roman" w:eastAsia="Times New Roman" w:hint="default"/>
          <w:spacing w:val="-1"/>
        </w:rPr>
        <w:t>(</w:t>
      </w:r>
      <w:r>
        <w:rPr>
          <w:spacing w:val="-1"/>
        </w:rPr>
        <w:t>以下简称</w:t>
      </w:r>
      <w:r>
        <w:rPr>
          <w:rFonts w:ascii="Times New Roman" w:hAnsi="Times New Roman" w:cs="Times New Roman" w:eastAsia="Times New Roman" w:hint="default"/>
          <w:spacing w:val="-1"/>
        </w:rPr>
        <w:t>“</w:t>
      </w:r>
      <w:r>
        <w:rPr>
          <w:spacing w:val="-1"/>
        </w:rPr>
        <w:t>新金</w:t>
      </w:r>
      <w:r>
        <w:rPr>
          <w:spacing w:val="-82"/>
        </w:rPr>
        <w:t> </w:t>
      </w:r>
      <w:r>
        <w:rPr>
          <w:spacing w:val="-1"/>
        </w:rPr>
        <w:t>融工具准则</w:t>
      </w:r>
      <w:r>
        <w:rPr>
          <w:rFonts w:ascii="Times New Roman" w:hAnsi="Times New Roman" w:cs="Times New Roman" w:eastAsia="Times New Roman" w:hint="default"/>
          <w:spacing w:val="-1"/>
        </w:rPr>
        <w:t>”</w:t>
      </w:r>
      <w:r>
        <w:rPr>
          <w:spacing w:val="-1"/>
        </w:rPr>
        <w:t>，修订前的金融工具准则简称</w:t>
      </w:r>
      <w:r>
        <w:rPr>
          <w:rFonts w:ascii="Times New Roman" w:hAnsi="Times New Roman" w:cs="Times New Roman" w:eastAsia="Times New Roman" w:hint="default"/>
          <w:spacing w:val="-1"/>
        </w:rPr>
        <w:t>“</w:t>
      </w:r>
      <w:r>
        <w:rPr>
          <w:spacing w:val="-1"/>
        </w:rPr>
        <w:t>原金融工具准则</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1"/>
        </w:rPr>
        <w:t>)</w:t>
      </w:r>
      <w:r>
        <w:rPr>
          <w:spacing w:val="-1"/>
        </w:rPr>
        <w:t>。金融资产分类与计量方面，新金融工具准则要求金融资产基</w:t>
      </w:r>
      <w:r>
        <w:rPr>
          <w:spacing w:val="-60"/>
        </w:rPr>
        <w:t> </w:t>
      </w:r>
      <w:r>
        <w:rPr>
          <w:spacing w:val="-60"/>
        </w:rPr>
      </w:r>
      <w:r>
        <w:rPr>
          <w:spacing w:val="-2"/>
          <w:w w:val="99"/>
        </w:rPr>
        <w:t>于合同现金流量特征及企业管理该等资产的业务模式分类为以摊余成本计量的金融资产、以公允价值计量且其变动计入其他</w:t>
      </w:r>
      <w:r>
        <w:rPr>
          <w:spacing w:val="-64"/>
          <w:w w:val="99"/>
        </w:rPr>
        <w:t> </w:t>
      </w:r>
      <w:r>
        <w:rPr>
          <w:spacing w:val="-64"/>
          <w:w w:val="99"/>
        </w:rPr>
      </w:r>
      <w:r>
        <w:rPr>
          <w:spacing w:val="-2"/>
        </w:rPr>
        <w:t>综合收益的金融资产和以公允价值计量且其变动计入当期损益的金融资产三大类别。取消了贷款和应收款项、持有至到期投</w:t>
      </w:r>
      <w:r>
        <w:rPr>
          <w:spacing w:val="-65"/>
        </w:rPr>
        <w:t> </w:t>
      </w:r>
      <w:r>
        <w:rPr>
          <w:spacing w:val="-65"/>
        </w:rPr>
      </w:r>
      <w:r>
        <w:rPr>
          <w:spacing w:val="-2"/>
        </w:rPr>
        <w:t>资和可供出售金融资产等原分类。权益工具投资一般分类为以公允价值计量且其变动计入当期损益的金融资产，也允许企业</w:t>
      </w:r>
      <w:r>
        <w:rPr>
          <w:spacing w:val="-63"/>
        </w:rPr>
        <w:t> </w:t>
      </w:r>
      <w:r>
        <w:rPr>
          <w:spacing w:val="-63"/>
        </w:rPr>
      </w:r>
      <w:r>
        <w:rPr>
          <w:spacing w:val="-2"/>
        </w:rPr>
        <w:t>将非交易性权益工具投资指定为以公允价值计量且其变动计入其他综合收益的金融资产，但该指定不可撤销，且在处置时不</w:t>
      </w:r>
      <w:r>
        <w:rPr>
          <w:spacing w:val="-65"/>
        </w:rPr>
        <w:t> </w:t>
      </w:r>
      <w:r>
        <w:rPr>
          <w:spacing w:val="-65"/>
        </w:rPr>
      </w:r>
      <w:r>
        <w:rPr>
          <w:spacing w:val="-2"/>
        </w:rPr>
        <w:t>得将原计入其他综合收益的累计公允价值变动额结转计入当期损益。金融资产减值方面，新金融工具准则有关减值的要求适</w:t>
      </w:r>
      <w:r>
        <w:rPr>
          <w:spacing w:val="-65"/>
        </w:rPr>
        <w:t> </w:t>
      </w:r>
      <w:r>
        <w:rPr>
          <w:spacing w:val="-65"/>
        </w:rPr>
      </w:r>
      <w:r>
        <w:rPr>
          <w:spacing w:val="-2"/>
          <w:w w:val="99"/>
        </w:rPr>
        <w:t>用于以摊余成本计量以及分类为以公允价值计量且其变动计入其他综合收益的债务工具投资、租赁应收款以及未提用的贷款</w:t>
      </w:r>
      <w:r>
        <w:rPr>
          <w:spacing w:val="-64"/>
          <w:w w:val="99"/>
        </w:rPr>
        <w:t> </w:t>
      </w:r>
      <w:r>
        <w:rPr>
          <w:spacing w:val="-64"/>
          <w:w w:val="99"/>
        </w:rPr>
      </w:r>
      <w:r>
        <w:rPr/>
        <w:t>承诺和财务担保合同等。新金融工具准则要求采用预期信用损失模型以替代原先的已发生信用损失模型。</w:t>
      </w:r>
    </w:p>
    <w:p>
      <w:pPr>
        <w:spacing w:line="240" w:lineRule="auto" w:before="1"/>
        <w:rPr>
          <w:rFonts w:ascii="宋体" w:hAnsi="宋体" w:cs="宋体" w:eastAsia="宋体" w:hint="default"/>
          <w:sz w:val="20"/>
          <w:szCs w:val="20"/>
        </w:rPr>
      </w:pPr>
    </w:p>
    <w:p>
      <w:pPr>
        <w:pStyle w:val="BodyText"/>
        <w:spacing w:line="309" w:lineRule="auto"/>
        <w:ind w:right="1131" w:firstLine="360"/>
        <w:jc w:val="both"/>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日之前的金融工具确认和计量与新金融工具准则要求不一致的，本公司按照新金融工具准则的要求进行衔接</w:t>
      </w:r>
      <w:r>
        <w:rPr/>
        <w:t> </w:t>
      </w:r>
      <w:r>
        <w:rPr>
          <w:spacing w:val="-2"/>
        </w:rPr>
        <w:t>调整。涉及前期比较财务报表数据与新金融工具准则要求不一致的，本公司不进行调整。金融工具原账面价值和在新金融工</w:t>
      </w:r>
      <w:r>
        <w:rPr>
          <w:spacing w:val="-65"/>
        </w:rPr>
        <w:t> </w:t>
      </w:r>
      <w:r>
        <w:rPr>
          <w:spacing w:val="-65"/>
        </w:rPr>
      </w:r>
      <w:r>
        <w:rPr/>
        <w:t>具准则施行日的新账面价值之间的差额，计入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日的留存收益或其他综合收益。</w:t>
      </w:r>
    </w:p>
    <w:p>
      <w:pPr>
        <w:spacing w:line="240" w:lineRule="auto" w:before="9"/>
        <w:rPr>
          <w:rFonts w:ascii="宋体" w:hAnsi="宋体" w:cs="宋体" w:eastAsia="宋体" w:hint="default"/>
          <w:sz w:val="18"/>
          <w:szCs w:val="18"/>
        </w:rPr>
      </w:pPr>
    </w:p>
    <w:p>
      <w:pPr>
        <w:pStyle w:val="BodyText"/>
        <w:spacing w:line="240" w:lineRule="auto"/>
        <w:ind w:left="513" w:right="1133"/>
        <w:jc w:val="left"/>
      </w:pPr>
      <w:r>
        <w:rPr/>
        <w:t>②采用新的财务报表格式</w:t>
      </w:r>
    </w:p>
    <w:p>
      <w:pPr>
        <w:spacing w:line="240" w:lineRule="auto" w:before="0"/>
        <w:rPr>
          <w:rFonts w:ascii="宋体" w:hAnsi="宋体" w:cs="宋体" w:eastAsia="宋体" w:hint="default"/>
          <w:sz w:val="15"/>
          <w:szCs w:val="15"/>
        </w:rPr>
      </w:pPr>
    </w:p>
    <w:p>
      <w:pPr>
        <w:pStyle w:val="BodyText"/>
        <w:spacing w:line="304" w:lineRule="auto"/>
        <w:ind w:right="1124" w:firstLine="36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日，财政部发布了《关于修订印发</w:t>
      </w:r>
      <w:r>
        <w:rPr>
          <w:rFonts w:ascii="Times New Roman" w:hAnsi="Times New Roman" w:cs="Times New Roman" w:eastAsia="Times New Roman" w:hint="default"/>
        </w:rPr>
        <w:t>2019</w:t>
      </w:r>
      <w:r>
        <w:rPr/>
        <w:t>年度一般企业财务报表格式的通知》（财会〔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6</w:t>
      </w:r>
      <w:r>
        <w:rPr/>
        <w:t>号）。</w:t>
      </w:r>
      <w:r>
        <w:rPr>
          <w:rFonts w:ascii="Times New Roman" w:hAnsi="Times New Roman" w:cs="Times New Roman" w:eastAsia="Times New Roman" w:hint="default"/>
        </w:rPr>
        <w:t>2019 </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19</w:t>
      </w:r>
      <w:r>
        <w:rPr/>
        <w:t>日，财政部发布了《关于修订印发合并财务报表格式（</w:t>
      </w:r>
      <w:r>
        <w:rPr>
          <w:rFonts w:ascii="Times New Roman" w:hAnsi="Times New Roman" w:cs="Times New Roman" w:eastAsia="Times New Roman" w:hint="default"/>
        </w:rPr>
        <w:t>2019</w:t>
      </w:r>
      <w:r>
        <w:rPr/>
        <w:t>版）的通知》（财会〔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16</w:t>
      </w:r>
      <w:r>
        <w:rPr/>
        <w:t>号）。本公司</w:t>
      </w:r>
      <w:r>
        <w:rPr>
          <w:rFonts w:ascii="Times New Roman" w:hAnsi="Times New Roman" w:cs="Times New Roman" w:eastAsia="Times New Roman" w:hint="default"/>
        </w:rPr>
        <w:t>2019</w:t>
      </w:r>
      <w:r>
        <w:rPr/>
        <w:t>年属 </w:t>
      </w:r>
      <w:r>
        <w:rPr>
          <w:spacing w:val="-2"/>
        </w:rPr>
        <w:t>于执行新金融工具准则，但未执行新收入准则和新租赁准则情形，资产负债表、利润表、现金流量表及股东权益变动表列报</w:t>
      </w:r>
      <w:r>
        <w:rPr>
          <w:spacing w:val="-66"/>
        </w:rPr>
        <w:t> </w:t>
      </w:r>
      <w:r>
        <w:rPr>
          <w:spacing w:val="-66"/>
        </w:rPr>
      </w:r>
      <w:r>
        <w:rPr>
          <w:spacing w:val="-2"/>
        </w:rPr>
        <w:t>项目的变化，主要是执新金融工具准则导致的变化，在以下执行新金融工具准则中反映。财会〔</w:t>
      </w:r>
      <w:r>
        <w:rPr>
          <w:rFonts w:ascii="Times New Roman" w:hAnsi="Times New Roman" w:cs="Times New Roman" w:eastAsia="Times New Roman" w:hint="default"/>
          <w:spacing w:val="-2"/>
        </w:rPr>
        <w:t>2019</w:t>
      </w:r>
      <w:r>
        <w:rPr>
          <w:spacing w:val="-2"/>
        </w:rPr>
        <w:t>〕</w:t>
      </w:r>
      <w:r>
        <w:rPr>
          <w:rFonts w:ascii="Times New Roman" w:hAnsi="Times New Roman" w:cs="Times New Roman" w:eastAsia="Times New Roman" w:hint="default"/>
          <w:spacing w:val="-2"/>
        </w:rPr>
        <w:t>6</w:t>
      </w:r>
      <w:r>
        <w:rPr>
          <w:spacing w:val="-2"/>
        </w:rPr>
        <w:t>号中还将</w:t>
      </w:r>
      <w:r>
        <w:rPr>
          <w:rFonts w:ascii="Times New Roman" w:hAnsi="Times New Roman" w:cs="Times New Roman" w:eastAsia="Times New Roman" w:hint="default"/>
          <w:spacing w:val="-2"/>
        </w:rPr>
        <w:t>“</w:t>
      </w:r>
      <w:r>
        <w:rPr>
          <w:spacing w:val="-2"/>
        </w:rPr>
        <w:t>应收票据</w:t>
      </w:r>
      <w:r>
        <w:rPr>
          <w:spacing w:val="-51"/>
        </w:rPr>
        <w:t> </w:t>
      </w:r>
      <w:r>
        <w:rPr>
          <w:spacing w:val="-51"/>
        </w:rPr>
      </w:r>
      <w:r>
        <w:rPr/>
        <w:t>及应收账款</w:t>
      </w:r>
      <w:r>
        <w:rPr>
          <w:rFonts w:ascii="Times New Roman" w:hAnsi="Times New Roman" w:cs="Times New Roman" w:eastAsia="Times New Roman" w:hint="default"/>
        </w:rPr>
        <w:t>”</w:t>
      </w:r>
      <w:r>
        <w:rPr/>
        <w:t>拆分为</w:t>
      </w:r>
      <w:r>
        <w:rPr>
          <w:rFonts w:ascii="Times New Roman" w:hAnsi="Times New Roman" w:cs="Times New Roman" w:eastAsia="Times New Roman" w:hint="default"/>
        </w:rPr>
        <w:t>“</w:t>
      </w:r>
      <w:r>
        <w:rPr/>
        <w:t>应收票据</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应收账款</w:t>
      </w:r>
      <w:r>
        <w:rPr>
          <w:rFonts w:ascii="Times New Roman" w:hAnsi="Times New Roman" w:cs="Times New Roman" w:eastAsia="Times New Roman" w:hint="default"/>
        </w:rPr>
        <w:t>”</w:t>
      </w:r>
      <w:r>
        <w:rPr/>
        <w:t>，将</w:t>
      </w:r>
      <w:r>
        <w:rPr>
          <w:rFonts w:ascii="Times New Roman" w:hAnsi="Times New Roman" w:cs="Times New Roman" w:eastAsia="Times New Roman" w:hint="default"/>
        </w:rPr>
        <w:t>“</w:t>
      </w:r>
      <w:r>
        <w:rPr/>
        <w:t>应付票据及应付账款</w:t>
      </w:r>
      <w:r>
        <w:rPr>
          <w:rFonts w:ascii="Times New Roman" w:hAnsi="Times New Roman" w:cs="Times New Roman" w:eastAsia="Times New Roman" w:hint="default"/>
        </w:rPr>
        <w:t>”</w:t>
      </w:r>
      <w:r>
        <w:rPr/>
        <w:t>拆分为</w:t>
      </w:r>
      <w:r>
        <w:rPr>
          <w:rFonts w:ascii="Times New Roman" w:hAnsi="Times New Roman" w:cs="Times New Roman" w:eastAsia="Times New Roman" w:hint="default"/>
        </w:rPr>
        <w:t>“</w:t>
      </w:r>
      <w:r>
        <w:rPr/>
        <w:t>应付票据</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应付账款</w:t>
      </w:r>
      <w:r>
        <w:rPr>
          <w:rFonts w:ascii="Times New Roman" w:hAnsi="Times New Roman" w:cs="Times New Roman" w:eastAsia="Times New Roman" w:hint="default"/>
        </w:rPr>
        <w:t>”</w:t>
      </w:r>
      <w:r>
        <w:rPr/>
        <w:t>，分别列示。</w:t>
      </w:r>
    </w:p>
    <w:p>
      <w:pPr>
        <w:spacing w:after="0" w:line="304"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513" w:right="1133"/>
        <w:jc w:val="left"/>
      </w:pPr>
      <w:r>
        <w:rPr/>
        <w:t>③执行修订后的非货币性资产交换会计准则</w:t>
      </w:r>
    </w:p>
    <w:p>
      <w:pPr>
        <w:spacing w:line="240" w:lineRule="auto" w:before="3"/>
        <w:rPr>
          <w:rFonts w:ascii="宋体" w:hAnsi="宋体" w:cs="宋体" w:eastAsia="宋体" w:hint="default"/>
          <w:sz w:val="24"/>
          <w:szCs w:val="24"/>
        </w:rPr>
      </w:pPr>
    </w:p>
    <w:p>
      <w:pPr>
        <w:pStyle w:val="BodyText"/>
        <w:spacing w:line="300" w:lineRule="auto"/>
        <w:ind w:right="1124" w:firstLine="36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日，财政部发布了《关于印发修订</w:t>
      </w:r>
      <w:r>
        <w:rPr>
          <w:rFonts w:ascii="Times New Roman" w:hAnsi="Times New Roman" w:cs="Times New Roman" w:eastAsia="Times New Roman" w:hint="default"/>
        </w:rPr>
        <w:t>&lt;</w:t>
      </w:r>
      <w:r>
        <w:rPr/>
        <w:t>企业会计准则第</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w:t>
      </w:r>
      <w:r>
        <w:rPr/>
        <w:t>非货币性资产交换</w:t>
      </w:r>
      <w:r>
        <w:rPr>
          <w:rFonts w:ascii="Times New Roman" w:hAnsi="Times New Roman" w:cs="Times New Roman" w:eastAsia="Times New Roman" w:hint="default"/>
        </w:rPr>
        <w:t>&gt;</w:t>
      </w:r>
      <w:r>
        <w:rPr/>
        <w:t>的通知》（财会【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8 </w:t>
      </w:r>
      <w:r>
        <w:rPr/>
        <w:t>号），对非货币性资产交换的确认、计量和披露作出修订。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日至该准则施行日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10</w:t>
      </w:r>
      <w:r>
        <w:rPr/>
        <w:t>日之间发生的非货币</w:t>
      </w:r>
      <w:r>
        <w:rPr>
          <w:spacing w:val="-86"/>
        </w:rPr>
        <w:t> </w:t>
      </w:r>
      <w:r>
        <w:rPr/>
        <w:t>性资产交换，应根据该准则的规定进行调整；</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日之前发生的非货币性资产交换，不需进行追溯调整。</w:t>
      </w:r>
    </w:p>
    <w:p>
      <w:pPr>
        <w:spacing w:line="240" w:lineRule="auto" w:before="4"/>
        <w:rPr>
          <w:rFonts w:ascii="宋体" w:hAnsi="宋体" w:cs="宋体" w:eastAsia="宋体" w:hint="default"/>
          <w:sz w:val="19"/>
          <w:szCs w:val="19"/>
        </w:rPr>
      </w:pPr>
    </w:p>
    <w:p>
      <w:pPr>
        <w:pStyle w:val="BodyText"/>
        <w:spacing w:line="240" w:lineRule="auto"/>
        <w:ind w:left="513" w:right="1133"/>
        <w:jc w:val="left"/>
      </w:pPr>
      <w:r>
        <w:rPr/>
        <w:t>④执行修订后的债务重组会计准则</w:t>
      </w:r>
    </w:p>
    <w:p>
      <w:pPr>
        <w:spacing w:line="240" w:lineRule="auto" w:before="2"/>
        <w:rPr>
          <w:rFonts w:ascii="宋体" w:hAnsi="宋体" w:cs="宋体" w:eastAsia="宋体" w:hint="default"/>
          <w:sz w:val="24"/>
          <w:szCs w:val="24"/>
        </w:rPr>
      </w:pPr>
    </w:p>
    <w:p>
      <w:pPr>
        <w:pStyle w:val="BodyText"/>
        <w:spacing w:line="300" w:lineRule="auto"/>
        <w:ind w:right="1124" w:firstLine="36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日，财政部发布了《关于印发修订</w:t>
      </w:r>
      <w:r>
        <w:rPr>
          <w:rFonts w:ascii="Times New Roman" w:hAnsi="Times New Roman" w:cs="Times New Roman" w:eastAsia="Times New Roman" w:hint="default"/>
        </w:rPr>
        <w:t>&lt;</w:t>
      </w:r>
      <w:r>
        <w:rPr/>
        <w:t>企业会计准则第</w:t>
      </w:r>
      <w:r>
        <w:rPr>
          <w:rFonts w:ascii="Times New Roman" w:hAnsi="Times New Roman" w:cs="Times New Roman" w:eastAsia="Times New Roman" w:hint="default"/>
        </w:rPr>
        <w:t>12</w:t>
      </w:r>
      <w:r>
        <w:rPr/>
        <w:t>号</w:t>
      </w:r>
      <w:r>
        <w:rPr>
          <w:rFonts w:ascii="Times New Roman" w:hAnsi="Times New Roman" w:cs="Times New Roman" w:eastAsia="Times New Roman" w:hint="default"/>
        </w:rPr>
        <w:t>——</w:t>
      </w:r>
      <w:r>
        <w:rPr/>
        <w:t>债务重组</w:t>
      </w:r>
      <w:r>
        <w:rPr>
          <w:rFonts w:ascii="Times New Roman" w:hAnsi="Times New Roman" w:cs="Times New Roman" w:eastAsia="Times New Roman" w:hint="default"/>
        </w:rPr>
        <w:t>&gt;</w:t>
      </w:r>
      <w:r>
        <w:rPr/>
        <w:t>的通知》（财会【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9</w:t>
      </w:r>
      <w:r>
        <w:rPr/>
        <w:t>号）， 对债务重组的确认、计量和披露作出修订。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日至该准则施行日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17</w:t>
      </w:r>
      <w:r>
        <w:rPr/>
        <w:t>日之间发生的债务重组，应根据该准 则的规定进行调整；</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日之前发生的债务重组，不需进行追溯调整。</w:t>
      </w:r>
    </w:p>
    <w:p>
      <w:pPr>
        <w:spacing w:line="240" w:lineRule="auto" w:before="4"/>
        <w:rPr>
          <w:rFonts w:ascii="宋体" w:hAnsi="宋体" w:cs="宋体" w:eastAsia="宋体" w:hint="default"/>
          <w:sz w:val="19"/>
          <w:szCs w:val="19"/>
        </w:rPr>
      </w:pPr>
    </w:p>
    <w:p>
      <w:pPr>
        <w:pStyle w:val="BodyText"/>
        <w:spacing w:line="240" w:lineRule="auto"/>
        <w:ind w:right="1133"/>
        <w:jc w:val="left"/>
      </w:pPr>
      <w:r>
        <w:rPr/>
        <w:t>本集团根据新财务报表格式编制</w:t>
      </w:r>
      <w:r>
        <w:rPr>
          <w:rFonts w:ascii="Times New Roman" w:hAnsi="Times New Roman" w:cs="Times New Roman" w:eastAsia="Times New Roman" w:hint="default"/>
        </w:rPr>
        <w:t>2019</w:t>
      </w:r>
      <w:r>
        <w:rPr/>
        <w:t>年度财务报表和调整比较财务报表，调整相关财务报表列报如下</w:t>
      </w:r>
    </w:p>
    <w:p>
      <w:pPr>
        <w:spacing w:line="240" w:lineRule="auto" w:before="2"/>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2835"/>
        <w:gridCol w:w="2129"/>
        <w:gridCol w:w="2408"/>
        <w:gridCol w:w="2269"/>
      </w:tblGrid>
      <w:tr>
        <w:trPr>
          <w:trHeight w:val="349" w:hRule="exact"/>
        </w:trPr>
        <w:tc>
          <w:tcPr>
            <w:tcW w:w="2835"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869" w:right="0"/>
              <w:jc w:val="left"/>
              <w:rPr>
                <w:rFonts w:ascii="宋体" w:hAnsi="宋体" w:cs="宋体" w:eastAsia="宋体" w:hint="default"/>
                <w:sz w:val="18"/>
                <w:szCs w:val="18"/>
              </w:rPr>
            </w:pPr>
            <w:r>
              <w:rPr>
                <w:rFonts w:ascii="宋体" w:hAnsi="宋体" w:cs="宋体" w:eastAsia="宋体" w:hint="default"/>
                <w:b/>
                <w:bCs/>
                <w:sz w:val="18"/>
                <w:szCs w:val="18"/>
              </w:rPr>
              <w:t>受影响的项目</w:t>
            </w:r>
            <w:r>
              <w:rPr>
                <w:rFonts w:ascii="宋体" w:hAnsi="宋体" w:cs="宋体" w:eastAsia="宋体" w:hint="default"/>
                <w:sz w:val="18"/>
                <w:szCs w:val="18"/>
              </w:rPr>
            </w:r>
          </w:p>
        </w:tc>
        <w:tc>
          <w:tcPr>
            <w:tcW w:w="6805"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8"/>
              <w:ind w:left="1655" w:right="0"/>
              <w:jc w:val="left"/>
              <w:rPr>
                <w:rFonts w:ascii="宋体" w:hAnsi="宋体" w:cs="宋体" w:eastAsia="宋体" w:hint="default"/>
                <w:sz w:val="18"/>
                <w:szCs w:val="18"/>
              </w:rPr>
            </w:pPr>
            <w:r>
              <w:rPr>
                <w:rFonts w:ascii="宋体" w:hAnsi="宋体" w:cs="宋体" w:eastAsia="宋体" w:hint="default"/>
                <w:b/>
                <w:bCs/>
                <w:sz w:val="18"/>
                <w:szCs w:val="18"/>
              </w:rPr>
              <w:t>合并财务报表（</w:t>
            </w:r>
            <w:r>
              <w:rPr>
                <w:rFonts w:ascii="Times New Roman" w:hAnsi="Times New Roman" w:cs="Times New Roman" w:eastAsia="Times New Roman" w:hint="default"/>
                <w:b/>
                <w:bCs/>
                <w:sz w:val="18"/>
                <w:szCs w:val="18"/>
              </w:rPr>
              <w:t>2018</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31</w:t>
            </w:r>
            <w:r>
              <w:rPr>
                <w:rFonts w:ascii="宋体" w:hAnsi="宋体" w:cs="宋体" w:eastAsia="宋体" w:hint="default"/>
                <w:b/>
                <w:bCs/>
                <w:sz w:val="18"/>
                <w:szCs w:val="18"/>
              </w:rPr>
              <w:t>日</w:t>
            </w:r>
            <w:r>
              <w:rPr>
                <w:rFonts w:ascii="Times New Roman" w:hAnsi="Times New Roman" w:cs="Times New Roman" w:eastAsia="Times New Roman" w:hint="default"/>
                <w:b/>
                <w:bCs/>
                <w:sz w:val="18"/>
                <w:szCs w:val="18"/>
              </w:rPr>
              <w:t>/2018</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346" w:hRule="exact"/>
        </w:trPr>
        <w:tc>
          <w:tcPr>
            <w:tcW w:w="2835" w:type="dxa"/>
            <w:vMerge/>
            <w:tcBorders>
              <w:left w:val="single" w:sz="6" w:space="0" w:color="000000"/>
              <w:bottom w:val="single" w:sz="6" w:space="0" w:color="000000"/>
              <w:right w:val="single" w:sz="6" w:space="0" w:color="000000"/>
            </w:tcBorders>
            <w:shd w:val="clear" w:color="auto" w:fill="D9D9D9"/>
          </w:tcPr>
          <w:p>
            <w:pPr/>
          </w:p>
        </w:tc>
        <w:tc>
          <w:tcPr>
            <w:tcW w:w="212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240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926" w:right="0"/>
              <w:jc w:val="left"/>
              <w:rPr>
                <w:rFonts w:ascii="宋体" w:hAnsi="宋体" w:cs="宋体" w:eastAsia="宋体" w:hint="default"/>
                <w:sz w:val="18"/>
                <w:szCs w:val="18"/>
              </w:rPr>
            </w:pPr>
            <w:r>
              <w:rPr>
                <w:rFonts w:ascii="宋体" w:hAnsi="宋体" w:cs="宋体" w:eastAsia="宋体" w:hint="default"/>
                <w:sz w:val="18"/>
                <w:szCs w:val="18"/>
              </w:rPr>
              <w:t>调整数</w:t>
            </w:r>
          </w:p>
        </w:tc>
        <w:tc>
          <w:tcPr>
            <w:tcW w:w="22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859"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348"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1,270,235,310.75</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-1,270,235,310.75</w:t>
            </w:r>
          </w:p>
        </w:tc>
        <w:tc>
          <w:tcPr>
            <w:tcW w:w="2269"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129" w:type="dxa"/>
            <w:tcBorders>
              <w:top w:val="single" w:sz="6" w:space="0" w:color="000000"/>
              <w:left w:val="single" w:sz="6" w:space="0" w:color="000000"/>
              <w:bottom w:val="single" w:sz="6" w:space="0" w:color="000000"/>
              <w:right w:val="single" w:sz="6" w:space="0" w:color="000000"/>
            </w:tcBorders>
          </w:tcPr>
          <w:p>
            <w:pP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343,711,117.06</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343,711,117.06</w:t>
            </w:r>
          </w:p>
        </w:tc>
      </w:tr>
      <w:tr>
        <w:trPr>
          <w:trHeight w:val="348"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129" w:type="dxa"/>
            <w:tcBorders>
              <w:top w:val="single" w:sz="6" w:space="0" w:color="000000"/>
              <w:left w:val="single" w:sz="6" w:space="0" w:color="000000"/>
              <w:bottom w:val="single" w:sz="6" w:space="0" w:color="000000"/>
              <w:right w:val="single" w:sz="6" w:space="0" w:color="000000"/>
            </w:tcBorders>
          </w:tcPr>
          <w:p>
            <w:pP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926,524,193.69</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926,524,193.69</w:t>
            </w:r>
          </w:p>
        </w:tc>
      </w:tr>
      <w:tr>
        <w:trPr>
          <w:trHeight w:val="346"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195,026,566.52</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-195,026,566.52</w:t>
            </w:r>
          </w:p>
        </w:tc>
        <w:tc>
          <w:tcPr>
            <w:tcW w:w="2269"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129" w:type="dxa"/>
            <w:tcBorders>
              <w:top w:val="single" w:sz="6" w:space="0" w:color="000000"/>
              <w:left w:val="single" w:sz="6" w:space="0" w:color="000000"/>
              <w:bottom w:val="single" w:sz="6" w:space="0" w:color="000000"/>
              <w:right w:val="single" w:sz="6" w:space="0" w:color="000000"/>
            </w:tcBorders>
          </w:tcPr>
          <w:p>
            <w:pP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195,026,566.52</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195,026,566.52</w:t>
            </w:r>
          </w:p>
        </w:tc>
      </w:tr>
      <w:tr>
        <w:trPr>
          <w:trHeight w:val="348"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1,083,430,096.90</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-1,083,430,096.90</w:t>
            </w:r>
          </w:p>
        </w:tc>
        <w:tc>
          <w:tcPr>
            <w:tcW w:w="2269"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129" w:type="dxa"/>
            <w:tcBorders>
              <w:top w:val="single" w:sz="6" w:space="0" w:color="000000"/>
              <w:left w:val="single" w:sz="6" w:space="0" w:color="000000"/>
              <w:bottom w:val="single" w:sz="6" w:space="0" w:color="000000"/>
              <w:right w:val="single" w:sz="6" w:space="0" w:color="000000"/>
            </w:tcBorders>
          </w:tcPr>
          <w:p>
            <w:pP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506,491,412.49</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506,491,412.49</w:t>
            </w:r>
          </w:p>
        </w:tc>
      </w:tr>
      <w:tr>
        <w:trPr>
          <w:trHeight w:val="348"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129" w:type="dxa"/>
            <w:tcBorders>
              <w:top w:val="single" w:sz="6" w:space="0" w:color="000000"/>
              <w:left w:val="single" w:sz="6" w:space="0" w:color="000000"/>
              <w:bottom w:val="single" w:sz="6" w:space="0" w:color="000000"/>
              <w:right w:val="single" w:sz="6" w:space="0" w:color="000000"/>
            </w:tcBorders>
          </w:tcPr>
          <w:p>
            <w:pP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576,938,684.41</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576,938,684.41</w:t>
            </w:r>
          </w:p>
        </w:tc>
      </w:tr>
      <w:tr>
        <w:trPr>
          <w:trHeight w:val="346"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减：资产减值损失</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324,539,651.43</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-324,539,651.43</w:t>
            </w:r>
          </w:p>
        </w:tc>
        <w:tc>
          <w:tcPr>
            <w:tcW w:w="2269"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加：资产减值损失（损失以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列示</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07" w:right="0"/>
              <w:jc w:val="left"/>
              <w:rPr>
                <w:rFonts w:ascii="宋体" w:hAnsi="宋体" w:cs="宋体" w:eastAsia="宋体" w:hint="default"/>
                <w:sz w:val="18"/>
                <w:szCs w:val="18"/>
              </w:rPr>
            </w:pPr>
            <w:r>
              <w:rPr>
                <w:rFonts w:ascii="宋体" w:hAnsi="宋体" w:cs="宋体" w:eastAsia="宋体" w:hint="default"/>
                <w:sz w:val="18"/>
                <w:szCs w:val="18"/>
              </w:rPr>
              <w:t>）</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-324,539,651.43</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-324,539,651.43</w:t>
            </w:r>
          </w:p>
        </w:tc>
      </w:tr>
      <w:tr>
        <w:trPr>
          <w:trHeight w:val="348" w:hRule="exact"/>
        </w:trPr>
        <w:tc>
          <w:tcPr>
            <w:tcW w:w="2835"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869" w:right="0"/>
              <w:jc w:val="left"/>
              <w:rPr>
                <w:rFonts w:ascii="宋体" w:hAnsi="宋体" w:cs="宋体" w:eastAsia="宋体" w:hint="default"/>
                <w:sz w:val="18"/>
                <w:szCs w:val="18"/>
              </w:rPr>
            </w:pPr>
            <w:r>
              <w:rPr>
                <w:rFonts w:ascii="宋体" w:hAnsi="宋体" w:cs="宋体" w:eastAsia="宋体" w:hint="default"/>
                <w:b/>
                <w:bCs/>
                <w:sz w:val="18"/>
                <w:szCs w:val="18"/>
              </w:rPr>
              <w:t>受影响的项目</w:t>
            </w:r>
            <w:r>
              <w:rPr>
                <w:rFonts w:ascii="宋体" w:hAnsi="宋体" w:cs="宋体" w:eastAsia="宋体" w:hint="default"/>
                <w:sz w:val="18"/>
                <w:szCs w:val="18"/>
              </w:rPr>
            </w:r>
          </w:p>
        </w:tc>
        <w:tc>
          <w:tcPr>
            <w:tcW w:w="6805"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1564" w:right="0"/>
              <w:jc w:val="left"/>
              <w:rPr>
                <w:rFonts w:ascii="宋体" w:hAnsi="宋体" w:cs="宋体" w:eastAsia="宋体" w:hint="default"/>
                <w:sz w:val="18"/>
                <w:szCs w:val="18"/>
              </w:rPr>
            </w:pPr>
            <w:r>
              <w:rPr>
                <w:rFonts w:ascii="宋体" w:hAnsi="宋体" w:cs="宋体" w:eastAsia="宋体" w:hint="default"/>
                <w:b/>
                <w:bCs/>
                <w:sz w:val="18"/>
                <w:szCs w:val="18"/>
              </w:rPr>
              <w:t>母公司财务报表（</w:t>
            </w:r>
            <w:r>
              <w:rPr>
                <w:rFonts w:ascii="Times New Roman" w:hAnsi="Times New Roman" w:cs="Times New Roman" w:eastAsia="Times New Roman" w:hint="default"/>
                <w:b/>
                <w:bCs/>
                <w:sz w:val="18"/>
                <w:szCs w:val="18"/>
              </w:rPr>
              <w:t>2018</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31</w:t>
            </w:r>
            <w:r>
              <w:rPr>
                <w:rFonts w:ascii="宋体" w:hAnsi="宋体" w:cs="宋体" w:eastAsia="宋体" w:hint="default"/>
                <w:b/>
                <w:bCs/>
                <w:sz w:val="18"/>
                <w:szCs w:val="18"/>
              </w:rPr>
              <w:t>日</w:t>
            </w:r>
            <w:r>
              <w:rPr>
                <w:rFonts w:ascii="Times New Roman" w:hAnsi="Times New Roman" w:cs="Times New Roman" w:eastAsia="Times New Roman" w:hint="default"/>
                <w:b/>
                <w:bCs/>
                <w:sz w:val="18"/>
                <w:szCs w:val="18"/>
              </w:rPr>
              <w:t>/2018</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346" w:hRule="exact"/>
        </w:trPr>
        <w:tc>
          <w:tcPr>
            <w:tcW w:w="2835" w:type="dxa"/>
            <w:vMerge/>
            <w:tcBorders>
              <w:left w:val="single" w:sz="6" w:space="0" w:color="000000"/>
              <w:bottom w:val="single" w:sz="6" w:space="0" w:color="000000"/>
              <w:right w:val="single" w:sz="6" w:space="0" w:color="000000"/>
            </w:tcBorders>
            <w:shd w:val="clear" w:color="auto" w:fill="D9D9D9"/>
          </w:tcPr>
          <w:p>
            <w:pPr/>
          </w:p>
        </w:tc>
        <w:tc>
          <w:tcPr>
            <w:tcW w:w="212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240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926" w:right="0"/>
              <w:jc w:val="left"/>
              <w:rPr>
                <w:rFonts w:ascii="宋体" w:hAnsi="宋体" w:cs="宋体" w:eastAsia="宋体" w:hint="default"/>
                <w:sz w:val="18"/>
                <w:szCs w:val="18"/>
              </w:rPr>
            </w:pPr>
            <w:r>
              <w:rPr>
                <w:rFonts w:ascii="宋体" w:hAnsi="宋体" w:cs="宋体" w:eastAsia="宋体" w:hint="default"/>
                <w:sz w:val="18"/>
                <w:szCs w:val="18"/>
              </w:rPr>
              <w:t>调整数</w:t>
            </w:r>
          </w:p>
        </w:tc>
        <w:tc>
          <w:tcPr>
            <w:tcW w:w="22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859"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348"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280,549,941.61</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-280,549,941.61</w:t>
            </w:r>
          </w:p>
        </w:tc>
        <w:tc>
          <w:tcPr>
            <w:tcW w:w="2269"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129" w:type="dxa"/>
            <w:tcBorders>
              <w:top w:val="single" w:sz="6" w:space="0" w:color="000000"/>
              <w:left w:val="single" w:sz="6" w:space="0" w:color="000000"/>
              <w:bottom w:val="single" w:sz="6" w:space="0" w:color="000000"/>
              <w:right w:val="single" w:sz="6" w:space="0" w:color="000000"/>
            </w:tcBorders>
          </w:tcPr>
          <w:p>
            <w:pP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85,812,409.06</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85,812,409.06</w:t>
            </w:r>
          </w:p>
        </w:tc>
      </w:tr>
      <w:tr>
        <w:trPr>
          <w:trHeight w:val="348"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129" w:type="dxa"/>
            <w:tcBorders>
              <w:top w:val="single" w:sz="6" w:space="0" w:color="000000"/>
              <w:left w:val="single" w:sz="6" w:space="0" w:color="000000"/>
              <w:bottom w:val="single" w:sz="6" w:space="0" w:color="000000"/>
              <w:right w:val="single" w:sz="6" w:space="0" w:color="000000"/>
            </w:tcBorders>
          </w:tcPr>
          <w:p>
            <w:pP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194,737,532.55</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194,737,532.55</w:t>
            </w:r>
          </w:p>
        </w:tc>
      </w:tr>
      <w:tr>
        <w:trPr>
          <w:trHeight w:val="348"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153,200,000.00</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-153,200,000.00</w:t>
            </w:r>
          </w:p>
        </w:tc>
        <w:tc>
          <w:tcPr>
            <w:tcW w:w="2269"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129" w:type="dxa"/>
            <w:tcBorders>
              <w:top w:val="single" w:sz="6" w:space="0" w:color="000000"/>
              <w:left w:val="single" w:sz="6" w:space="0" w:color="000000"/>
              <w:bottom w:val="single" w:sz="6" w:space="0" w:color="000000"/>
              <w:right w:val="single" w:sz="6" w:space="0" w:color="000000"/>
            </w:tcBorders>
          </w:tcPr>
          <w:p>
            <w:pP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153,200,000.00</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153,200,000.00</w:t>
            </w:r>
          </w:p>
        </w:tc>
      </w:tr>
      <w:tr>
        <w:trPr>
          <w:trHeight w:val="348"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375,930,959.95</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-375,930,959.95</w:t>
            </w:r>
          </w:p>
        </w:tc>
        <w:tc>
          <w:tcPr>
            <w:tcW w:w="2269"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129" w:type="dxa"/>
            <w:tcBorders>
              <w:top w:val="single" w:sz="6" w:space="0" w:color="000000"/>
              <w:left w:val="single" w:sz="6" w:space="0" w:color="000000"/>
              <w:bottom w:val="single" w:sz="6" w:space="0" w:color="000000"/>
              <w:right w:val="single" w:sz="6" w:space="0" w:color="000000"/>
            </w:tcBorders>
          </w:tcPr>
          <w:p>
            <w:pP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319,259,761.22</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319,259,761.22</w:t>
            </w:r>
          </w:p>
        </w:tc>
      </w:tr>
      <w:tr>
        <w:trPr>
          <w:trHeight w:val="348"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129" w:type="dxa"/>
            <w:tcBorders>
              <w:top w:val="single" w:sz="6" w:space="0" w:color="000000"/>
              <w:left w:val="single" w:sz="6" w:space="0" w:color="000000"/>
              <w:bottom w:val="single" w:sz="6" w:space="0" w:color="000000"/>
              <w:right w:val="single" w:sz="6" w:space="0" w:color="000000"/>
            </w:tcBorders>
          </w:tcPr>
          <w:p>
            <w:pP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56,671,198.73</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56,671,198.73</w:t>
            </w:r>
          </w:p>
        </w:tc>
      </w:tr>
      <w:tr>
        <w:trPr>
          <w:trHeight w:val="346"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减：资产减值损失</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3,780,708.14</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-3,780,708.14</w:t>
            </w:r>
          </w:p>
        </w:tc>
        <w:tc>
          <w:tcPr>
            <w:tcW w:w="2269"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加：资产减值损失（损失以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列示</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07" w:right="0"/>
              <w:jc w:val="left"/>
              <w:rPr>
                <w:rFonts w:ascii="宋体" w:hAnsi="宋体" w:cs="宋体" w:eastAsia="宋体" w:hint="default"/>
                <w:sz w:val="18"/>
                <w:szCs w:val="18"/>
              </w:rPr>
            </w:pPr>
            <w:r>
              <w:rPr>
                <w:rFonts w:ascii="宋体" w:hAnsi="宋体" w:cs="宋体" w:eastAsia="宋体" w:hint="default"/>
                <w:sz w:val="18"/>
                <w:szCs w:val="18"/>
              </w:rPr>
              <w:t>）</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-3,780,708.14</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-3,780,708.14</w:t>
            </w:r>
          </w:p>
        </w:tc>
      </w:tr>
    </w:tbl>
    <w:p>
      <w:pPr>
        <w:spacing w:line="240" w:lineRule="auto" w:before="7"/>
        <w:rPr>
          <w:rFonts w:ascii="宋体" w:hAnsi="宋体" w:cs="宋体" w:eastAsia="宋体" w:hint="default"/>
          <w:sz w:val="15"/>
          <w:szCs w:val="15"/>
        </w:rPr>
      </w:pPr>
    </w:p>
    <w:p>
      <w:pPr>
        <w:pStyle w:val="BodyText"/>
        <w:spacing w:line="532" w:lineRule="auto" w:before="44"/>
        <w:ind w:left="513" w:right="7513"/>
        <w:jc w:val="left"/>
      </w:pPr>
      <w:r>
        <w:rPr>
          <w:rFonts w:ascii="Times New Roman" w:hAnsi="Times New Roman" w:cs="Times New Roman" w:eastAsia="Times New Roman" w:hint="default"/>
        </w:rPr>
        <w:t>2</w:t>
      </w:r>
      <w:r>
        <w:rPr/>
        <w:t>、重要会计估计变更 本报告期未发生会计估计变更事项。</w:t>
      </w:r>
    </w:p>
    <w:p>
      <w:pPr>
        <w:spacing w:after="0" w:line="532"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bookmarkStart w:name="七、报告期内发生重大会计差错更正需追溯重述的情况说明" w:id="72"/>
      <w:bookmarkEnd w:id="72"/>
      <w:r>
        <w:rPr>
          <w:b w:val="0"/>
          <w:bCs w:val="0"/>
        </w:rPr>
      </w:r>
      <w:r>
        <w:rPr/>
        <w:t>七、报告期内发生重大会计差错更正需追溯重述的情况说明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6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公司报告期无重大会计差错更正需追溯重述的情况。</w:t>
      </w:r>
    </w:p>
    <w:p>
      <w:pPr>
        <w:spacing w:line="240" w:lineRule="auto" w:before="8"/>
        <w:rPr>
          <w:rFonts w:ascii="宋体" w:hAnsi="宋体" w:cs="宋体" w:eastAsia="宋体" w:hint="default"/>
          <w:sz w:val="19"/>
          <w:szCs w:val="19"/>
        </w:rPr>
      </w:pPr>
    </w:p>
    <w:p>
      <w:pPr>
        <w:pStyle w:val="Heading2"/>
        <w:spacing w:line="240" w:lineRule="auto"/>
        <w:ind w:right="1133"/>
        <w:jc w:val="left"/>
        <w:rPr>
          <w:b w:val="0"/>
          <w:bCs w:val="0"/>
        </w:rPr>
      </w:pPr>
      <w:bookmarkStart w:name="八、与上年度财务报告相比，合并报表范围发生变化的情况说明" w:id="73"/>
      <w:bookmarkEnd w:id="73"/>
      <w:r>
        <w:rPr>
          <w:b w:val="0"/>
          <w:bCs w:val="0"/>
        </w:rPr>
      </w:r>
      <w:r>
        <w:rPr/>
        <w:t>八、与上年度财务报告相比，合并报表范围发生变化的情况说明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701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详见第十二节</w:t>
      </w:r>
      <w:r>
        <w:rPr>
          <w:rFonts w:ascii="Times New Roman" w:hAnsi="Times New Roman" w:cs="Times New Roman" w:eastAsia="Times New Roman" w:hint="default"/>
        </w:rPr>
        <w:t>“</w:t>
      </w:r>
      <w:r>
        <w:rPr/>
        <w:t>财务报告</w:t>
      </w:r>
      <w:r>
        <w:rPr>
          <w:rFonts w:ascii="Times New Roman" w:hAnsi="Times New Roman" w:cs="Times New Roman" w:eastAsia="Times New Roman" w:hint="default"/>
        </w:rPr>
        <w:t>”</w:t>
      </w:r>
      <w:r>
        <w:rPr/>
        <w:t>之八</w:t>
      </w:r>
      <w:r>
        <w:rPr>
          <w:rFonts w:ascii="Times New Roman" w:hAnsi="Times New Roman" w:cs="Times New Roman" w:eastAsia="Times New Roman" w:hint="default"/>
        </w:rPr>
        <w:t>“</w:t>
      </w:r>
      <w:r>
        <w:rPr/>
        <w:t>合并范围的变更</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Heading2"/>
        <w:spacing w:line="240" w:lineRule="auto" w:before="133"/>
        <w:ind w:right="1133"/>
        <w:jc w:val="left"/>
        <w:rPr>
          <w:b w:val="0"/>
          <w:bCs w:val="0"/>
        </w:rPr>
      </w:pPr>
      <w:bookmarkStart w:name="九、聘任、解聘会计师事务所情况" w:id="74"/>
      <w:bookmarkEnd w:id="74"/>
      <w:r>
        <w:rPr>
          <w:b w:val="0"/>
          <w:bCs w:val="0"/>
        </w:rPr>
      </w:r>
      <w:r>
        <w:rPr/>
        <w:t>九、聘任、解聘会计师事务所情况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现聘任的会计师事务所</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200</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刘玉显、王萍</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w:t>
            </w:r>
          </w:p>
        </w:tc>
      </w:tr>
    </w:tbl>
    <w:p>
      <w:pPr>
        <w:pStyle w:val="BodyText"/>
        <w:spacing w:line="240" w:lineRule="auto" w:before="49"/>
        <w:ind w:right="1133"/>
        <w:jc w:val="left"/>
      </w:pPr>
      <w:r>
        <w:rPr/>
        <w:t>当期是否改聘会计师事务所</w:t>
      </w:r>
    </w:p>
    <w:p>
      <w:pPr>
        <w:pStyle w:val="BodyText"/>
        <w:spacing w:line="338" w:lineRule="auto" w:before="117"/>
        <w:ind w:right="62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bookmarkStart w:name="十、年度报告披露后面临暂停上市和终止上市情况" w:id="75"/>
      <w:bookmarkEnd w:id="75"/>
      <w:r>
        <w:rPr>
          <w:b w:val="0"/>
          <w:bCs w:val="0"/>
        </w:rPr>
      </w:r>
      <w:r>
        <w:rPr/>
        <w:t>十、年度报告披露后面临暂停上市和终止上市情况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bookmarkStart w:name="十一、破产重整相关事项" w:id="76"/>
      <w:bookmarkEnd w:id="76"/>
      <w:r>
        <w:rPr>
          <w:b w:val="0"/>
          <w:bCs w:val="0"/>
        </w:rPr>
      </w:r>
      <w:r>
        <w:rPr/>
        <w:t>十一、破产重整相关事项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4"/>
        <w:rPr>
          <w:rFonts w:ascii="宋体" w:hAnsi="宋体" w:cs="宋体" w:eastAsia="宋体" w:hint="default"/>
          <w:sz w:val="19"/>
          <w:szCs w:val="19"/>
        </w:rPr>
      </w:pPr>
    </w:p>
    <w:p>
      <w:pPr>
        <w:pStyle w:val="Heading2"/>
        <w:spacing w:line="240" w:lineRule="auto"/>
        <w:ind w:right="1133"/>
        <w:jc w:val="left"/>
        <w:rPr>
          <w:b w:val="0"/>
          <w:bCs w:val="0"/>
        </w:rPr>
      </w:pPr>
      <w:bookmarkStart w:name="十二、重大诉讼、仲裁事项" w:id="77"/>
      <w:bookmarkEnd w:id="77"/>
      <w:r>
        <w:rPr>
          <w:b w:val="0"/>
          <w:bCs w:val="0"/>
        </w:rPr>
      </w:r>
      <w:r>
        <w:rPr/>
        <w:t>十二、重大诉讼、仲裁事项</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本报告期公司无重大诉讼、仲裁事项。</w:t>
      </w:r>
    </w:p>
    <w:p>
      <w:pPr>
        <w:spacing w:line="240" w:lineRule="auto" w:before="6"/>
        <w:rPr>
          <w:rFonts w:ascii="宋体" w:hAnsi="宋体" w:cs="宋体" w:eastAsia="宋体" w:hint="default"/>
          <w:sz w:val="19"/>
          <w:szCs w:val="19"/>
        </w:rPr>
      </w:pPr>
    </w:p>
    <w:p>
      <w:pPr>
        <w:pStyle w:val="Heading2"/>
        <w:spacing w:line="240" w:lineRule="auto"/>
        <w:ind w:right="1133"/>
        <w:jc w:val="left"/>
        <w:rPr>
          <w:b w:val="0"/>
          <w:bCs w:val="0"/>
        </w:rPr>
      </w:pPr>
      <w:bookmarkStart w:name="十三、处罚及整改情况" w:id="78"/>
      <w:bookmarkEnd w:id="78"/>
      <w:r>
        <w:rPr>
          <w:b w:val="0"/>
          <w:bCs w:val="0"/>
        </w:rPr>
      </w:r>
      <w:r>
        <w:rPr/>
        <w:t>十三、处罚及整改情况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after="0" w:line="340"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bookmarkStart w:name="十四、公司及其控股股东、实际控制人的诚信状况" w:id="79"/>
      <w:bookmarkEnd w:id="79"/>
      <w:r>
        <w:rPr>
          <w:b w:val="0"/>
          <w:bCs w:val="0"/>
        </w:rPr>
      </w:r>
      <w:r>
        <w:rPr/>
        <w:t>十四、公司及其控股股东、实际控制人的诚信状况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17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报告期内，公司及其控股股东、实际控制人不存在未履行法院生效判决、所负数额较大的债务到期未清偿等情况。</w:t>
      </w:r>
    </w:p>
    <w:p>
      <w:pPr>
        <w:spacing w:line="240" w:lineRule="auto" w:before="8"/>
        <w:rPr>
          <w:rFonts w:ascii="宋体" w:hAnsi="宋体" w:cs="宋体" w:eastAsia="宋体" w:hint="default"/>
          <w:sz w:val="19"/>
          <w:szCs w:val="19"/>
        </w:rPr>
      </w:pPr>
    </w:p>
    <w:p>
      <w:pPr>
        <w:pStyle w:val="Heading2"/>
        <w:spacing w:line="240" w:lineRule="auto"/>
        <w:ind w:right="1133"/>
        <w:jc w:val="left"/>
        <w:rPr>
          <w:b w:val="0"/>
          <w:bCs w:val="0"/>
        </w:rPr>
      </w:pPr>
      <w:bookmarkStart w:name="十五、公司股权激励计划、员工持股计划或其他员工激励措施的实施情况" w:id="80"/>
      <w:bookmarkEnd w:id="80"/>
      <w:r>
        <w:rPr>
          <w:b w:val="0"/>
          <w:bCs w:val="0"/>
        </w:rPr>
      </w:r>
      <w:r>
        <w:rPr/>
        <w:t>十五、公司股权激励计划、员工持股计划或其他员工激励措施的实施情况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2" w:lineRule="auto" w:before="101"/>
        <w:ind w:right="1104" w:firstLine="360"/>
        <w:jc w:val="right"/>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15</w:t>
      </w:r>
      <w:r>
        <w:rPr>
          <w:spacing w:val="-2"/>
        </w:rPr>
        <w:t>日，公司第四届董事会第四次会议和公司第四届监事会第四次会议通过了《关于回购注销未达到第一个</w:t>
      </w:r>
      <w:r>
        <w:rPr/>
        <w:t> 解除限售期条件的限制性股票的议案》，同意公司对已授予但未达第一期解除限售期条件的</w:t>
      </w:r>
      <w:r>
        <w:rPr>
          <w:rFonts w:ascii="Times New Roman" w:hAnsi="Times New Roman" w:cs="Times New Roman" w:eastAsia="Times New Roman" w:hint="default"/>
        </w:rPr>
        <w:t>380</w:t>
      </w:r>
      <w:r>
        <w:rPr/>
        <w:t>万股限制性股票进行回购注 </w:t>
      </w:r>
      <w:r>
        <w:rPr>
          <w:spacing w:val="-2"/>
        </w:rPr>
        <w:t>销，并就回购注销事宜提请股东大会审议。公司独立董事对此发表了同意的独立意见，上海市联合律师事务所出具了法律意</w:t>
      </w:r>
      <w:r>
        <w:rPr/>
        <w:t> 见书。详细信息见公司于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16</w:t>
      </w:r>
      <w:r>
        <w:rPr/>
        <w:t>日披露于《证券时报》、《上海证券报》、《中国证券报》、《证券日报》、巨潮资 </w:t>
      </w:r>
      <w:r>
        <w:rPr>
          <w:spacing w:val="-7"/>
          <w:w w:val="99"/>
        </w:rPr>
        <w:t>讯网（</w:t>
      </w:r>
      <w:hyperlink r:id="rId13">
        <w:r>
          <w:rPr>
            <w:rFonts w:ascii="Times New Roman" w:hAnsi="Times New Roman" w:cs="Times New Roman" w:eastAsia="Times New Roman" w:hint="default"/>
            <w:spacing w:val="-7"/>
            <w:w w:val="99"/>
          </w:rPr>
          <w:t>http://www.cninfo.com.cn</w:t>
        </w:r>
      </w:hyperlink>
      <w:r>
        <w:rPr>
          <w:spacing w:val="-7"/>
          <w:w w:val="99"/>
        </w:rPr>
        <w:t>）《关于回购注销未达到第一个解除限售期条件的限制性股票的公告》（公告编号：</w:t>
      </w:r>
      <w:r>
        <w:rPr>
          <w:rFonts w:ascii="Times New Roman" w:hAnsi="Times New Roman" w:cs="Times New Roman" w:eastAsia="Times New Roman" w:hint="default"/>
          <w:spacing w:val="-7"/>
          <w:w w:val="99"/>
        </w:rPr>
        <w:t>2019-046</w:t>
      </w:r>
      <w:r>
        <w:rPr>
          <w:spacing w:val="-7"/>
          <w:w w:val="99"/>
        </w:rPr>
        <w:t>）。</w:t>
      </w:r>
      <w:r>
        <w:rPr>
          <w:spacing w:val="-84"/>
          <w:w w:val="99"/>
        </w:rPr>
        <w:t> </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10</w:t>
      </w:r>
      <w:r>
        <w:rPr>
          <w:spacing w:val="-2"/>
        </w:rPr>
        <w:t>日，公司召开</w:t>
      </w:r>
      <w:r>
        <w:rPr>
          <w:rFonts w:ascii="Times New Roman" w:hAnsi="Times New Roman" w:cs="Times New Roman" w:eastAsia="Times New Roman" w:hint="default"/>
          <w:spacing w:val="-2"/>
        </w:rPr>
        <w:t>2018</w:t>
      </w:r>
      <w:r>
        <w:rPr>
          <w:spacing w:val="-2"/>
        </w:rPr>
        <w:t>年度股东大会，审议通过了《关于回购注销未达到第一个解除限售期条件的限制性股</w:t>
      </w:r>
      <w:r>
        <w:rPr/>
        <w:t> 票的议案》。详细信息见公司于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11</w:t>
      </w:r>
      <w:r>
        <w:rPr/>
        <w:t>日披露于《证券时报》、《上海证券报》、《中国证券报》、《证券日报》、</w:t>
      </w:r>
    </w:p>
    <w:p>
      <w:pPr>
        <w:pStyle w:val="BodyText"/>
        <w:spacing w:line="240" w:lineRule="auto" w:before="11"/>
        <w:ind w:right="1133"/>
        <w:jc w:val="left"/>
      </w:pPr>
      <w:r>
        <w:rPr/>
        <w:t>巨潮资讯网（</w:t>
      </w:r>
      <w:hyperlink r:id="rId13">
        <w:r>
          <w:rPr>
            <w:rFonts w:ascii="Times New Roman" w:hAnsi="Times New Roman" w:cs="Times New Roman" w:eastAsia="Times New Roman" w:hint="default"/>
          </w:rPr>
          <w:t>http://www.cninfo.com.cn</w:t>
        </w:r>
      </w:hyperlink>
      <w:r>
        <w:rPr/>
        <w:t>）《</w:t>
      </w:r>
      <w:r>
        <w:rPr>
          <w:rFonts w:ascii="Times New Roman" w:hAnsi="Times New Roman" w:cs="Times New Roman" w:eastAsia="Times New Roman" w:hint="default"/>
        </w:rPr>
        <w:t>2018</w:t>
      </w:r>
      <w:r>
        <w:rPr/>
        <w:t>年度股东大会决议公告》（公告编号：</w:t>
      </w:r>
      <w:r>
        <w:rPr>
          <w:rFonts w:ascii="Times New Roman" w:hAnsi="Times New Roman" w:cs="Times New Roman" w:eastAsia="Times New Roman" w:hint="default"/>
        </w:rPr>
        <w:t>2019-053</w:t>
      </w:r>
      <w:r>
        <w:rPr/>
        <w:t>）。</w:t>
      </w:r>
    </w:p>
    <w:p>
      <w:pPr>
        <w:pStyle w:val="BodyText"/>
        <w:spacing w:line="300" w:lineRule="auto" w:before="63"/>
        <w:ind w:right="1040" w:firstLine="36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10</w:t>
      </w:r>
      <w:r>
        <w:rPr/>
        <w:t>日，公司未达第一期解除限售条件的</w:t>
      </w:r>
      <w:r>
        <w:rPr>
          <w:rFonts w:ascii="Times New Roman" w:hAnsi="Times New Roman" w:cs="Times New Roman" w:eastAsia="Times New Roman" w:hint="default"/>
        </w:rPr>
        <w:t>380</w:t>
      </w:r>
      <w:r>
        <w:rPr/>
        <w:t>万股限制性股票已在中国证券登记结算有限责任公司深圳分公 </w:t>
      </w:r>
      <w:r>
        <w:rPr>
          <w:spacing w:val="-5"/>
        </w:rPr>
        <w:t>司完成注销手续。详细信息见公司于</w:t>
      </w: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7</w:t>
      </w:r>
      <w:r>
        <w:rPr>
          <w:spacing w:val="-5"/>
        </w:rPr>
        <w:t>月</w:t>
      </w:r>
      <w:r>
        <w:rPr>
          <w:rFonts w:ascii="Times New Roman" w:hAnsi="Times New Roman" w:cs="Times New Roman" w:eastAsia="Times New Roman" w:hint="default"/>
          <w:spacing w:val="-5"/>
        </w:rPr>
        <w:t>12</w:t>
      </w:r>
      <w:r>
        <w:rPr>
          <w:spacing w:val="-5"/>
        </w:rPr>
        <w:t>日披露于《证券时报》、《上海证券报》、《中国证券报》、《证券日报》、</w:t>
      </w:r>
      <w:r>
        <w:rPr>
          <w:spacing w:val="-62"/>
        </w:rPr>
        <w:t> </w:t>
      </w:r>
      <w:r>
        <w:rPr>
          <w:spacing w:val="-62"/>
        </w:rPr>
      </w:r>
      <w:r>
        <w:rPr/>
        <w:t>巨潮资讯网（</w:t>
      </w:r>
      <w:hyperlink r:id="rId13">
        <w:r>
          <w:rPr>
            <w:rFonts w:ascii="Times New Roman" w:hAnsi="Times New Roman" w:cs="Times New Roman" w:eastAsia="Times New Roman" w:hint="default"/>
          </w:rPr>
          <w:t>http://www.cninfo.com.cn</w:t>
        </w:r>
      </w:hyperlink>
      <w:r>
        <w:rPr/>
        <w:t>）《关于部分限制性股票回购注销完成的公告》（公告编号：</w:t>
      </w:r>
      <w:r>
        <w:rPr>
          <w:rFonts w:ascii="Times New Roman" w:hAnsi="Times New Roman" w:cs="Times New Roman" w:eastAsia="Times New Roman" w:hint="default"/>
        </w:rPr>
        <w:t>2019-080</w:t>
      </w:r>
      <w:r>
        <w:rPr/>
        <w:t>）。</w:t>
      </w:r>
    </w:p>
    <w:p>
      <w:pPr>
        <w:spacing w:line="240" w:lineRule="auto" w:before="5"/>
        <w:rPr>
          <w:rFonts w:ascii="宋体" w:hAnsi="宋体" w:cs="宋体" w:eastAsia="宋体" w:hint="default"/>
          <w:sz w:val="20"/>
          <w:szCs w:val="20"/>
        </w:rPr>
      </w:pPr>
    </w:p>
    <w:p>
      <w:pPr>
        <w:pStyle w:val="Heading2"/>
        <w:spacing w:line="240" w:lineRule="auto"/>
        <w:ind w:right="1133"/>
        <w:jc w:val="left"/>
        <w:rPr>
          <w:b w:val="0"/>
          <w:bCs w:val="0"/>
        </w:rPr>
      </w:pPr>
      <w:bookmarkStart w:name="十六、重大关联交易" w:id="81"/>
      <w:bookmarkEnd w:id="81"/>
      <w:r>
        <w:rPr>
          <w:b w:val="0"/>
          <w:bCs w:val="0"/>
        </w:rPr>
      </w:r>
      <w:r>
        <w:rPr/>
        <w:t>十六、重大关联交易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与日常经营相关的关联交易" w:id="82"/>
      <w:bookmarkEnd w:id="82"/>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00"/>
        <w:gridCol w:w="677"/>
        <w:gridCol w:w="679"/>
        <w:gridCol w:w="704"/>
        <w:gridCol w:w="682"/>
        <w:gridCol w:w="672"/>
        <w:gridCol w:w="674"/>
        <w:gridCol w:w="675"/>
        <w:gridCol w:w="674"/>
        <w:gridCol w:w="674"/>
        <w:gridCol w:w="674"/>
        <w:gridCol w:w="673"/>
        <w:gridCol w:w="672"/>
        <w:gridCol w:w="641"/>
      </w:tblGrid>
      <w:tr>
        <w:trPr>
          <w:trHeight w:val="1339"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05" w:right="32"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4" w:right="60"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7" w:right="60"/>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76" w:right="75"/>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4" w:right="65"/>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2" w:right="59"/>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4" w:right="59"/>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16" w:lineRule="auto" w:before="19"/>
              <w:ind w:left="153" w:right="149"/>
              <w:jc w:val="left"/>
              <w:rPr>
                <w:rFonts w:ascii="宋体" w:hAnsi="宋体" w:cs="宋体" w:eastAsia="宋体" w:hint="default"/>
                <w:sz w:val="18"/>
                <w:szCs w:val="18"/>
              </w:rPr>
            </w:pPr>
            <w:r>
              <w:rPr>
                <w:rFonts w:ascii="宋体" w:hAnsi="宋体" w:cs="宋体" w:eastAsia="宋体" w:hint="default"/>
                <w:sz w:val="18"/>
                <w:szCs w:val="18"/>
              </w:rPr>
              <w:t>（万 元）</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60"/>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60"/>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2" w:right="60"/>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2" w:right="60"/>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58"/>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2"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5" w:right="43"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4731"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316" w:lineRule="auto"/>
              <w:ind w:left="24" w:right="44"/>
              <w:jc w:val="both"/>
              <w:rPr>
                <w:rFonts w:ascii="宋体" w:hAnsi="宋体" w:cs="宋体" w:eastAsia="宋体" w:hint="default"/>
                <w:sz w:val="18"/>
                <w:szCs w:val="18"/>
              </w:rPr>
            </w:pPr>
            <w:r>
              <w:rPr>
                <w:rFonts w:ascii="宋体" w:hAnsi="宋体" w:cs="宋体" w:eastAsia="宋体" w:hint="default"/>
                <w:sz w:val="18"/>
                <w:szCs w:val="18"/>
              </w:rPr>
              <w:t>中国银联 股份有限 公司（含 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sz w:val="18"/>
                <w:szCs w:val="18"/>
              </w:rPr>
              <w:t>持股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 股东的 控股股 东方及 其子公 司</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26" w:right="101"/>
              <w:jc w:val="both"/>
              <w:rPr>
                <w:rFonts w:ascii="宋体" w:hAnsi="宋体" w:cs="宋体" w:eastAsia="宋体" w:hint="default"/>
                <w:sz w:val="18"/>
                <w:szCs w:val="18"/>
              </w:rPr>
            </w:pPr>
            <w:r>
              <w:rPr>
                <w:rFonts w:ascii="宋体" w:hAnsi="宋体" w:cs="宋体" w:eastAsia="宋体" w:hint="default"/>
                <w:sz w:val="18"/>
                <w:szCs w:val="18"/>
              </w:rPr>
              <w:t>采购商 品、接 受劳务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23" w:right="128"/>
              <w:jc w:val="left"/>
              <w:rPr>
                <w:rFonts w:ascii="宋体" w:hAnsi="宋体" w:cs="宋体" w:eastAsia="宋体" w:hint="default"/>
                <w:sz w:val="18"/>
                <w:szCs w:val="18"/>
              </w:rPr>
            </w:pPr>
            <w:r>
              <w:rPr>
                <w:rFonts w:ascii="宋体" w:hAnsi="宋体" w:cs="宋体" w:eastAsia="宋体" w:hint="default"/>
                <w:sz w:val="18"/>
                <w:szCs w:val="18"/>
              </w:rPr>
              <w:t>支付服 务</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316" w:lineRule="auto"/>
              <w:ind w:left="23" w:right="107"/>
              <w:jc w:val="both"/>
              <w:rPr>
                <w:rFonts w:ascii="宋体" w:hAnsi="宋体" w:cs="宋体" w:eastAsia="宋体" w:hint="default"/>
                <w:sz w:val="18"/>
                <w:szCs w:val="18"/>
              </w:rPr>
            </w:pPr>
            <w:r>
              <w:rPr>
                <w:rFonts w:ascii="宋体" w:hAnsi="宋体" w:cs="宋体" w:eastAsia="宋体" w:hint="default"/>
                <w:sz w:val="18"/>
                <w:szCs w:val="18"/>
              </w:rPr>
              <w:t>严格符 合监管 部门的 各项规 范和要 求，交 易定价 公允</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5,928.0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86" w:right="0"/>
              <w:jc w:val="left"/>
              <w:rPr>
                <w:rFonts w:ascii="Times New Roman" w:hAnsi="Times New Roman" w:cs="Times New Roman" w:eastAsia="Times New Roman" w:hint="default"/>
                <w:sz w:val="18"/>
                <w:szCs w:val="18"/>
              </w:rPr>
            </w:pPr>
            <w:r>
              <w:rPr>
                <w:rFonts w:ascii="Times New Roman"/>
                <w:sz w:val="18"/>
              </w:rPr>
              <w:t>20.09%</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40,746.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银行转 账</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09" w:lineRule="auto" w:before="63"/>
              <w:ind w:left="26" w:right="2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日、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5"/>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5"/>
              <w:jc w:val="both"/>
              <w:rPr>
                <w:rFonts w:ascii="宋体" w:hAnsi="宋体" w:cs="宋体" w:eastAsia="宋体" w:hint="default"/>
                <w:sz w:val="18"/>
                <w:szCs w:val="18"/>
              </w:rPr>
            </w:pPr>
            <w:r>
              <w:rPr>
                <w:rFonts w:ascii="宋体" w:hAnsi="宋体" w:cs="宋体" w:eastAsia="宋体" w:hint="default"/>
                <w:sz w:val="18"/>
                <w:szCs w:val="18"/>
              </w:rPr>
              <w:t>中国证 券报、 上海证 券报、 证券时 报、证 券日报 及巨潮 资讯网 上的关 于公司 全资子 公司与 中国银 联及银</w:t>
            </w:r>
          </w:p>
        </w:tc>
      </w:tr>
    </w:tbl>
    <w:p>
      <w:pPr>
        <w:spacing w:after="0" w:line="316" w:lineRule="auto"/>
        <w:jc w:val="both"/>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800"/>
        <w:gridCol w:w="677"/>
        <w:gridCol w:w="679"/>
        <w:gridCol w:w="704"/>
        <w:gridCol w:w="682"/>
        <w:gridCol w:w="672"/>
        <w:gridCol w:w="674"/>
        <w:gridCol w:w="675"/>
        <w:gridCol w:w="674"/>
        <w:gridCol w:w="674"/>
        <w:gridCol w:w="674"/>
        <w:gridCol w:w="673"/>
        <w:gridCol w:w="672"/>
        <w:gridCol w:w="641"/>
      </w:tblGrid>
      <w:tr>
        <w:trPr>
          <w:trHeight w:val="5667" w:hRule="exact"/>
        </w:trPr>
        <w:tc>
          <w:tcPr>
            <w:tcW w:w="800"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65"/>
              <w:jc w:val="both"/>
              <w:rPr>
                <w:rFonts w:ascii="宋体" w:hAnsi="宋体" w:cs="宋体" w:eastAsia="宋体" w:hint="default"/>
                <w:sz w:val="18"/>
                <w:szCs w:val="18"/>
              </w:rPr>
            </w:pPr>
            <w:r>
              <w:rPr>
                <w:rFonts w:ascii="宋体" w:hAnsi="宋体" w:cs="宋体" w:eastAsia="宋体" w:hint="default"/>
                <w:sz w:val="18"/>
                <w:szCs w:val="18"/>
              </w:rPr>
              <w:t>联商务 日常交 易的公 告</w:t>
            </w:r>
          </w:p>
          <w:p>
            <w:pPr>
              <w:pStyle w:val="TableParagraph"/>
              <w:spacing w:line="240" w:lineRule="auto" w:before="17"/>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p>
          <w:p>
            <w:pPr>
              <w:pStyle w:val="TableParagraph"/>
              <w:spacing w:line="316" w:lineRule="auto" w:before="63"/>
              <w:ind w:left="23" w:right="65"/>
              <w:jc w:val="both"/>
              <w:rPr>
                <w:rFonts w:ascii="宋体" w:hAnsi="宋体" w:cs="宋体" w:eastAsia="宋体" w:hint="default"/>
                <w:sz w:val="18"/>
                <w:szCs w:val="18"/>
              </w:rPr>
            </w:pPr>
            <w:r>
              <w:rPr>
                <w:rFonts w:ascii="Times New Roman" w:hAnsi="Times New Roman" w:cs="Times New Roman" w:eastAsia="Times New Roman" w:hint="default"/>
                <w:spacing w:val="-31"/>
                <w:w w:val="99"/>
                <w:sz w:val="18"/>
                <w:szCs w:val="18"/>
              </w:rPr>
              <w:t>-037</w:t>
            </w:r>
            <w:r>
              <w:rPr>
                <w:rFonts w:ascii="宋体" w:hAnsi="宋体" w:cs="宋体" w:eastAsia="宋体" w:hint="default"/>
                <w:spacing w:val="-31"/>
                <w:w w:val="99"/>
                <w:sz w:val="18"/>
                <w:szCs w:val="18"/>
              </w:rPr>
              <w:t>）、</w:t>
            </w:r>
            <w:r>
              <w:rPr>
                <w:rFonts w:ascii="宋体" w:hAnsi="宋体" w:cs="宋体" w:eastAsia="宋体" w:hint="default"/>
                <w:spacing w:val="-88"/>
                <w:w w:val="99"/>
                <w:sz w:val="18"/>
                <w:szCs w:val="18"/>
              </w:rPr>
              <w:t> </w:t>
            </w:r>
            <w:r>
              <w:rPr>
                <w:rFonts w:ascii="宋体" w:hAnsi="宋体" w:cs="宋体" w:eastAsia="宋体" w:hint="default"/>
                <w:sz w:val="18"/>
                <w:szCs w:val="18"/>
              </w:rPr>
              <w:t>关于公</w:t>
            </w:r>
            <w:r>
              <w:rPr>
                <w:rFonts w:ascii="宋体" w:hAnsi="宋体" w:cs="宋体" w:eastAsia="宋体" w:hint="default"/>
                <w:w w:val="99"/>
                <w:sz w:val="18"/>
                <w:szCs w:val="18"/>
              </w:rPr>
              <w:t> </w:t>
            </w:r>
            <w:r>
              <w:rPr>
                <w:rFonts w:ascii="宋体" w:hAnsi="宋体" w:cs="宋体" w:eastAsia="宋体" w:hint="default"/>
                <w:sz w:val="18"/>
                <w:szCs w:val="18"/>
              </w:rPr>
              <w:t>司全资</w:t>
            </w:r>
            <w:r>
              <w:rPr>
                <w:rFonts w:ascii="宋体" w:hAnsi="宋体" w:cs="宋体" w:eastAsia="宋体" w:hint="default"/>
                <w:w w:val="99"/>
                <w:sz w:val="18"/>
                <w:szCs w:val="18"/>
              </w:rPr>
              <w:t> </w:t>
            </w:r>
            <w:r>
              <w:rPr>
                <w:rFonts w:ascii="宋体" w:hAnsi="宋体" w:cs="宋体" w:eastAsia="宋体" w:hint="default"/>
                <w:sz w:val="18"/>
                <w:szCs w:val="18"/>
              </w:rPr>
              <w:t>子公司</w:t>
            </w:r>
            <w:r>
              <w:rPr>
                <w:rFonts w:ascii="宋体" w:hAnsi="宋体" w:cs="宋体" w:eastAsia="宋体" w:hint="default"/>
                <w:w w:val="99"/>
                <w:sz w:val="18"/>
                <w:szCs w:val="18"/>
              </w:rPr>
              <w:t> </w:t>
            </w:r>
            <w:r>
              <w:rPr>
                <w:rFonts w:ascii="宋体" w:hAnsi="宋体" w:cs="宋体" w:eastAsia="宋体" w:hint="default"/>
                <w:sz w:val="18"/>
                <w:szCs w:val="18"/>
              </w:rPr>
              <w:t>与中国</w:t>
            </w:r>
            <w:r>
              <w:rPr>
                <w:rFonts w:ascii="宋体" w:hAnsi="宋体" w:cs="宋体" w:eastAsia="宋体" w:hint="default"/>
                <w:w w:val="99"/>
                <w:sz w:val="18"/>
                <w:szCs w:val="18"/>
              </w:rPr>
              <w:t> </w:t>
            </w:r>
            <w:r>
              <w:rPr>
                <w:rFonts w:ascii="宋体" w:hAnsi="宋体" w:cs="宋体" w:eastAsia="宋体" w:hint="default"/>
                <w:sz w:val="18"/>
                <w:szCs w:val="18"/>
              </w:rPr>
              <w:t>银联及</w:t>
            </w:r>
            <w:r>
              <w:rPr>
                <w:rFonts w:ascii="宋体" w:hAnsi="宋体" w:cs="宋体" w:eastAsia="宋体" w:hint="default"/>
                <w:w w:val="99"/>
                <w:sz w:val="18"/>
                <w:szCs w:val="18"/>
              </w:rPr>
              <w:t> </w:t>
            </w:r>
            <w:r>
              <w:rPr>
                <w:rFonts w:ascii="宋体" w:hAnsi="宋体" w:cs="宋体" w:eastAsia="宋体" w:hint="default"/>
                <w:sz w:val="18"/>
                <w:szCs w:val="18"/>
              </w:rPr>
              <w:t>银联商</w:t>
            </w:r>
            <w:r>
              <w:rPr>
                <w:rFonts w:ascii="宋体" w:hAnsi="宋体" w:cs="宋体" w:eastAsia="宋体" w:hint="default"/>
                <w:w w:val="99"/>
                <w:sz w:val="18"/>
                <w:szCs w:val="18"/>
              </w:rPr>
              <w:t> </w:t>
            </w:r>
            <w:r>
              <w:rPr>
                <w:rFonts w:ascii="宋体" w:hAnsi="宋体" w:cs="宋体" w:eastAsia="宋体" w:hint="default"/>
                <w:sz w:val="18"/>
                <w:szCs w:val="18"/>
              </w:rPr>
              <w:t>务日常</w:t>
            </w:r>
            <w:r>
              <w:rPr>
                <w:rFonts w:ascii="宋体" w:hAnsi="宋体" w:cs="宋体" w:eastAsia="宋体" w:hint="default"/>
                <w:w w:val="99"/>
                <w:sz w:val="18"/>
                <w:szCs w:val="18"/>
              </w:rPr>
              <w:t> </w:t>
            </w:r>
            <w:r>
              <w:rPr>
                <w:rFonts w:ascii="宋体" w:hAnsi="宋体" w:cs="宋体" w:eastAsia="宋体" w:hint="default"/>
                <w:sz w:val="18"/>
                <w:szCs w:val="18"/>
              </w:rPr>
              <w:t>关联交</w:t>
            </w:r>
            <w:r>
              <w:rPr>
                <w:rFonts w:ascii="宋体" w:hAnsi="宋体" w:cs="宋体" w:eastAsia="宋体" w:hint="default"/>
                <w:w w:val="99"/>
                <w:sz w:val="18"/>
                <w:szCs w:val="18"/>
              </w:rPr>
              <w:t> </w:t>
            </w:r>
            <w:r>
              <w:rPr>
                <w:rFonts w:ascii="宋体" w:hAnsi="宋体" w:cs="宋体" w:eastAsia="宋体" w:hint="default"/>
                <w:sz w:val="18"/>
                <w:szCs w:val="18"/>
              </w:rPr>
              <w:t>易的公</w:t>
            </w:r>
            <w:r>
              <w:rPr>
                <w:rFonts w:ascii="宋体" w:hAnsi="宋体" w:cs="宋体" w:eastAsia="宋体" w:hint="default"/>
                <w:w w:val="99"/>
                <w:sz w:val="18"/>
                <w:szCs w:val="18"/>
              </w:rPr>
              <w:t> </w:t>
            </w:r>
            <w:r>
              <w:rPr>
                <w:rFonts w:ascii="宋体" w:hAnsi="宋体" w:cs="宋体" w:eastAsia="宋体" w:hint="default"/>
                <w:sz w:val="18"/>
                <w:szCs w:val="18"/>
              </w:rPr>
              <w:t>告</w:t>
            </w:r>
          </w:p>
          <w:p>
            <w:pPr>
              <w:pStyle w:val="TableParagraph"/>
              <w:spacing w:line="240" w:lineRule="auto" w:before="19"/>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p>
          <w:p>
            <w:pPr>
              <w:pStyle w:val="TableParagraph"/>
              <w:spacing w:line="240" w:lineRule="auto" w:before="6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-038</w:t>
            </w:r>
            <w:r>
              <w:rPr>
                <w:rFonts w:ascii="宋体" w:hAnsi="宋体" w:cs="宋体" w:eastAsia="宋体" w:hint="default"/>
                <w:sz w:val="18"/>
                <w:szCs w:val="18"/>
              </w:rPr>
              <w:t>）</w:t>
            </w:r>
          </w:p>
        </w:tc>
      </w:tr>
      <w:tr>
        <w:trPr>
          <w:trHeight w:val="6954"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4" w:right="44"/>
              <w:jc w:val="both"/>
              <w:rPr>
                <w:rFonts w:ascii="宋体" w:hAnsi="宋体" w:cs="宋体" w:eastAsia="宋体" w:hint="default"/>
                <w:sz w:val="18"/>
                <w:szCs w:val="18"/>
              </w:rPr>
            </w:pPr>
            <w:r>
              <w:rPr>
                <w:rFonts w:ascii="宋体" w:hAnsi="宋体" w:cs="宋体" w:eastAsia="宋体" w:hint="default"/>
                <w:sz w:val="18"/>
                <w:szCs w:val="18"/>
              </w:rPr>
              <w:t>北京创世 漫道科技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3" w:right="101"/>
              <w:jc w:val="left"/>
              <w:rPr>
                <w:rFonts w:ascii="宋体" w:hAnsi="宋体" w:cs="宋体" w:eastAsia="宋体" w:hint="default"/>
                <w:sz w:val="18"/>
                <w:szCs w:val="18"/>
              </w:rPr>
            </w:pPr>
            <w:r>
              <w:rPr>
                <w:rFonts w:ascii="宋体" w:hAnsi="宋体" w:cs="宋体" w:eastAsia="宋体" w:hint="default"/>
                <w:sz w:val="18"/>
                <w:szCs w:val="18"/>
              </w:rPr>
              <w:t>其他关 联方</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6" w:right="101"/>
              <w:jc w:val="both"/>
              <w:rPr>
                <w:rFonts w:ascii="宋体" w:hAnsi="宋体" w:cs="宋体" w:eastAsia="宋体" w:hint="default"/>
                <w:sz w:val="18"/>
                <w:szCs w:val="18"/>
              </w:rPr>
            </w:pPr>
            <w:r>
              <w:rPr>
                <w:rFonts w:ascii="宋体" w:hAnsi="宋体" w:cs="宋体" w:eastAsia="宋体" w:hint="default"/>
                <w:sz w:val="18"/>
                <w:szCs w:val="18"/>
              </w:rPr>
              <w:t>采购商 品、接 受劳务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3" w:right="128"/>
              <w:jc w:val="left"/>
              <w:rPr>
                <w:rFonts w:ascii="宋体" w:hAnsi="宋体" w:cs="宋体" w:eastAsia="宋体" w:hint="default"/>
                <w:sz w:val="18"/>
                <w:szCs w:val="18"/>
              </w:rPr>
            </w:pPr>
            <w:r>
              <w:rPr>
                <w:rFonts w:ascii="宋体" w:hAnsi="宋体" w:cs="宋体" w:eastAsia="宋体" w:hint="default"/>
                <w:sz w:val="18"/>
                <w:szCs w:val="18"/>
              </w:rPr>
              <w:t>短信服 务</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3" w:right="107"/>
              <w:jc w:val="both"/>
              <w:rPr>
                <w:rFonts w:ascii="宋体" w:hAnsi="宋体" w:cs="宋体" w:eastAsia="宋体" w:hint="default"/>
                <w:sz w:val="18"/>
                <w:szCs w:val="18"/>
              </w:rPr>
            </w:pPr>
            <w:r>
              <w:rPr>
                <w:rFonts w:ascii="宋体" w:hAnsi="宋体" w:cs="宋体" w:eastAsia="宋体" w:hint="default"/>
                <w:sz w:val="18"/>
                <w:szCs w:val="18"/>
              </w:rPr>
              <w:t>严格符 合监管 部门的 各项规 范和要 求，交 易定价 公允</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0.39</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100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银行转 账</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5"/>
              <w:jc w:val="both"/>
              <w:rPr>
                <w:rFonts w:ascii="宋体" w:hAnsi="宋体" w:cs="宋体" w:eastAsia="宋体" w:hint="default"/>
                <w:sz w:val="18"/>
                <w:szCs w:val="18"/>
              </w:rPr>
            </w:pPr>
            <w:r>
              <w:rPr>
                <w:rFonts w:ascii="宋体" w:hAnsi="宋体" w:cs="宋体" w:eastAsia="宋体" w:hint="default"/>
                <w:sz w:val="18"/>
                <w:szCs w:val="18"/>
              </w:rPr>
              <w:t>中国证 券报、 上海证 券报、 证券时 报、证 券日报 及巨潮 资讯网 上的关 于公司 全资子 公司与 北京创 世漫道 科技有 限公司 日常关 联交易 的公告</w:t>
            </w:r>
          </w:p>
          <w:p>
            <w:pPr>
              <w:pStyle w:val="TableParagraph"/>
              <w:spacing w:line="240" w:lineRule="auto" w:before="19"/>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p>
          <w:p>
            <w:pPr>
              <w:pStyle w:val="TableParagraph"/>
              <w:spacing w:line="240" w:lineRule="auto" w:before="6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-039</w:t>
            </w:r>
            <w:r>
              <w:rPr>
                <w:rFonts w:ascii="宋体" w:hAnsi="宋体" w:cs="宋体" w:eastAsia="宋体" w:hint="default"/>
                <w:sz w:val="18"/>
                <w:szCs w:val="18"/>
              </w:rPr>
              <w:t>）</w:t>
            </w:r>
          </w:p>
        </w:tc>
      </w:tr>
      <w:tr>
        <w:trPr>
          <w:trHeight w:val="129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6" w:lineRule="auto"/>
              <w:ind w:left="24" w:right="44"/>
              <w:jc w:val="both"/>
              <w:rPr>
                <w:rFonts w:ascii="宋体" w:hAnsi="宋体" w:cs="宋体" w:eastAsia="宋体" w:hint="default"/>
                <w:sz w:val="18"/>
                <w:szCs w:val="18"/>
              </w:rPr>
            </w:pPr>
            <w:r>
              <w:rPr>
                <w:rFonts w:ascii="宋体" w:hAnsi="宋体" w:cs="宋体" w:eastAsia="宋体" w:hint="default"/>
                <w:sz w:val="18"/>
                <w:szCs w:val="18"/>
              </w:rPr>
              <w:t>北京创世 漫道科技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4"/>
              <w:ind w:left="23" w:right="101"/>
              <w:jc w:val="left"/>
              <w:rPr>
                <w:rFonts w:ascii="宋体" w:hAnsi="宋体" w:cs="宋体" w:eastAsia="宋体" w:hint="default"/>
                <w:sz w:val="18"/>
                <w:szCs w:val="18"/>
              </w:rPr>
            </w:pPr>
            <w:r>
              <w:rPr>
                <w:rFonts w:ascii="宋体" w:hAnsi="宋体" w:cs="宋体" w:eastAsia="宋体" w:hint="default"/>
                <w:sz w:val="18"/>
                <w:szCs w:val="18"/>
              </w:rPr>
              <w:t>其他关 联方</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6" w:lineRule="auto"/>
              <w:ind w:left="26" w:right="101"/>
              <w:jc w:val="both"/>
              <w:rPr>
                <w:rFonts w:ascii="宋体" w:hAnsi="宋体" w:cs="宋体" w:eastAsia="宋体" w:hint="default"/>
                <w:sz w:val="18"/>
                <w:szCs w:val="18"/>
              </w:rPr>
            </w:pPr>
            <w:r>
              <w:rPr>
                <w:rFonts w:ascii="宋体" w:hAnsi="宋体" w:cs="宋体" w:eastAsia="宋体" w:hint="default"/>
                <w:sz w:val="18"/>
                <w:szCs w:val="18"/>
              </w:rPr>
              <w:t>采购商 品、接 受劳务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4"/>
              <w:ind w:left="23" w:right="128"/>
              <w:jc w:val="left"/>
              <w:rPr>
                <w:rFonts w:ascii="宋体" w:hAnsi="宋体" w:cs="宋体" w:eastAsia="宋体" w:hint="default"/>
                <w:sz w:val="18"/>
                <w:szCs w:val="18"/>
              </w:rPr>
            </w:pPr>
            <w:r>
              <w:rPr>
                <w:rFonts w:ascii="宋体" w:hAnsi="宋体" w:cs="宋体" w:eastAsia="宋体" w:hint="default"/>
                <w:sz w:val="18"/>
                <w:szCs w:val="18"/>
              </w:rPr>
              <w:t>通道服 务</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both"/>
              <w:rPr>
                <w:rFonts w:ascii="宋体" w:hAnsi="宋体" w:cs="宋体" w:eastAsia="宋体" w:hint="default"/>
                <w:sz w:val="18"/>
                <w:szCs w:val="18"/>
              </w:rPr>
            </w:pPr>
            <w:r>
              <w:rPr>
                <w:rFonts w:ascii="宋体" w:hAnsi="宋体" w:cs="宋体" w:eastAsia="宋体" w:hint="default"/>
                <w:sz w:val="18"/>
                <w:szCs w:val="18"/>
              </w:rPr>
              <w:t>严格符 合监管 部门的 各项规</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pacing w:val="-1"/>
                <w:sz w:val="18"/>
              </w:rPr>
              <w:t>315.42</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21"/>
              <w:jc w:val="right"/>
              <w:rPr>
                <w:rFonts w:ascii="Times New Roman" w:hAnsi="Times New Roman" w:cs="Times New Roman" w:eastAsia="Times New Roman" w:hint="default"/>
                <w:sz w:val="18"/>
                <w:szCs w:val="18"/>
              </w:rPr>
            </w:pPr>
            <w:r>
              <w:rPr>
                <w:rFonts w:ascii="Times New Roman"/>
                <w:sz w:val="18"/>
              </w:rPr>
              <w:t>1.33%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5,311.7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4"/>
              <w:ind w:left="23" w:right="98"/>
              <w:jc w:val="left"/>
              <w:rPr>
                <w:rFonts w:ascii="宋体" w:hAnsi="宋体" w:cs="宋体" w:eastAsia="宋体" w:hint="default"/>
                <w:sz w:val="18"/>
                <w:szCs w:val="18"/>
              </w:rPr>
            </w:pPr>
            <w:r>
              <w:rPr>
                <w:rFonts w:ascii="宋体" w:hAnsi="宋体" w:cs="宋体" w:eastAsia="宋体" w:hint="default"/>
                <w:sz w:val="18"/>
                <w:szCs w:val="18"/>
              </w:rPr>
              <w:t>银行转 账</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09" w:lineRule="auto" w:before="63"/>
              <w:ind w:left="26" w:right="2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日、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5"/>
              <w:jc w:val="both"/>
              <w:rPr>
                <w:rFonts w:ascii="宋体" w:hAnsi="宋体" w:cs="宋体" w:eastAsia="宋体" w:hint="default"/>
                <w:sz w:val="18"/>
                <w:szCs w:val="18"/>
              </w:rPr>
            </w:pPr>
            <w:r>
              <w:rPr>
                <w:rFonts w:ascii="宋体" w:hAnsi="宋体" w:cs="宋体" w:eastAsia="宋体" w:hint="default"/>
                <w:sz w:val="18"/>
                <w:szCs w:val="18"/>
              </w:rPr>
              <w:t>中国证 券报、 上海证 券报、</w:t>
            </w:r>
          </w:p>
        </w:tc>
      </w:tr>
    </w:tbl>
    <w:p>
      <w:pPr>
        <w:spacing w:after="0" w:line="316" w:lineRule="auto"/>
        <w:jc w:val="both"/>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800"/>
        <w:gridCol w:w="677"/>
        <w:gridCol w:w="679"/>
        <w:gridCol w:w="704"/>
        <w:gridCol w:w="682"/>
        <w:gridCol w:w="672"/>
        <w:gridCol w:w="674"/>
        <w:gridCol w:w="675"/>
        <w:gridCol w:w="674"/>
        <w:gridCol w:w="674"/>
        <w:gridCol w:w="674"/>
        <w:gridCol w:w="673"/>
        <w:gridCol w:w="672"/>
        <w:gridCol w:w="641"/>
      </w:tblGrid>
      <w:tr>
        <w:trPr>
          <w:trHeight w:val="9724" w:hRule="exact"/>
        </w:trPr>
        <w:tc>
          <w:tcPr>
            <w:tcW w:w="800"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07"/>
              <w:jc w:val="both"/>
              <w:rPr>
                <w:rFonts w:ascii="宋体" w:hAnsi="宋体" w:cs="宋体" w:eastAsia="宋体" w:hint="default"/>
                <w:sz w:val="18"/>
                <w:szCs w:val="18"/>
              </w:rPr>
            </w:pPr>
            <w:r>
              <w:rPr>
                <w:rFonts w:ascii="宋体" w:hAnsi="宋体" w:cs="宋体" w:eastAsia="宋体" w:hint="default"/>
                <w:sz w:val="18"/>
                <w:szCs w:val="18"/>
              </w:rPr>
              <w:t>范和要 求，交 易定价 公允</w:t>
            </w:r>
          </w:p>
        </w:tc>
        <w:tc>
          <w:tcPr>
            <w:tcW w:w="672"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65"/>
              <w:jc w:val="both"/>
              <w:rPr>
                <w:rFonts w:ascii="宋体" w:hAnsi="宋体" w:cs="宋体" w:eastAsia="宋体" w:hint="default"/>
                <w:sz w:val="18"/>
                <w:szCs w:val="18"/>
              </w:rPr>
            </w:pPr>
            <w:r>
              <w:rPr>
                <w:rFonts w:ascii="宋体" w:hAnsi="宋体" w:cs="宋体" w:eastAsia="宋体" w:hint="default"/>
                <w:sz w:val="18"/>
                <w:szCs w:val="18"/>
              </w:rPr>
              <w:t>证券时 报、证 券日报 及巨潮 资讯网 上的关 于公司 全资子 公司与 北京创 世漫道 科技有 限公司 日常关 联交易 的公告</w:t>
            </w:r>
          </w:p>
          <w:p>
            <w:pPr>
              <w:pStyle w:val="TableParagraph"/>
              <w:spacing w:line="240" w:lineRule="auto" w:before="19"/>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p>
          <w:p>
            <w:pPr>
              <w:pStyle w:val="TableParagraph"/>
              <w:spacing w:line="316" w:lineRule="auto" w:before="63"/>
              <w:ind w:left="23" w:right="65"/>
              <w:jc w:val="both"/>
              <w:rPr>
                <w:rFonts w:ascii="宋体" w:hAnsi="宋体" w:cs="宋体" w:eastAsia="宋体" w:hint="default"/>
                <w:sz w:val="18"/>
                <w:szCs w:val="18"/>
              </w:rPr>
            </w:pPr>
            <w:r>
              <w:rPr>
                <w:rFonts w:ascii="Times New Roman" w:hAnsi="Times New Roman" w:cs="Times New Roman" w:eastAsia="Times New Roman" w:hint="default"/>
                <w:spacing w:val="-31"/>
                <w:w w:val="99"/>
                <w:sz w:val="18"/>
                <w:szCs w:val="18"/>
              </w:rPr>
              <w:t>-038</w:t>
            </w:r>
            <w:r>
              <w:rPr>
                <w:rFonts w:ascii="宋体" w:hAnsi="宋体" w:cs="宋体" w:eastAsia="宋体" w:hint="default"/>
                <w:spacing w:val="-31"/>
                <w:w w:val="99"/>
                <w:sz w:val="18"/>
                <w:szCs w:val="18"/>
              </w:rPr>
              <w:t>）、</w:t>
            </w:r>
            <w:r>
              <w:rPr>
                <w:rFonts w:ascii="宋体" w:hAnsi="宋体" w:cs="宋体" w:eastAsia="宋体" w:hint="default"/>
                <w:spacing w:val="-88"/>
                <w:w w:val="99"/>
                <w:sz w:val="18"/>
                <w:szCs w:val="18"/>
              </w:rPr>
              <w:t> </w:t>
            </w:r>
            <w:r>
              <w:rPr>
                <w:rFonts w:ascii="宋体" w:hAnsi="宋体" w:cs="宋体" w:eastAsia="宋体" w:hint="default"/>
                <w:sz w:val="18"/>
                <w:szCs w:val="18"/>
              </w:rPr>
              <w:t>关于公</w:t>
            </w:r>
            <w:r>
              <w:rPr>
                <w:rFonts w:ascii="宋体" w:hAnsi="宋体" w:cs="宋体" w:eastAsia="宋体" w:hint="default"/>
                <w:w w:val="99"/>
                <w:sz w:val="18"/>
                <w:szCs w:val="18"/>
              </w:rPr>
              <w:t> </w:t>
            </w:r>
            <w:r>
              <w:rPr>
                <w:rFonts w:ascii="宋体" w:hAnsi="宋体" w:cs="宋体" w:eastAsia="宋体" w:hint="default"/>
                <w:sz w:val="18"/>
                <w:szCs w:val="18"/>
              </w:rPr>
              <w:t>司全资</w:t>
            </w:r>
            <w:r>
              <w:rPr>
                <w:rFonts w:ascii="宋体" w:hAnsi="宋体" w:cs="宋体" w:eastAsia="宋体" w:hint="default"/>
                <w:w w:val="99"/>
                <w:sz w:val="18"/>
                <w:szCs w:val="18"/>
              </w:rPr>
              <w:t> </w:t>
            </w:r>
            <w:r>
              <w:rPr>
                <w:rFonts w:ascii="宋体" w:hAnsi="宋体" w:cs="宋体" w:eastAsia="宋体" w:hint="default"/>
                <w:sz w:val="18"/>
                <w:szCs w:val="18"/>
              </w:rPr>
              <w:t>子公司</w:t>
            </w:r>
            <w:r>
              <w:rPr>
                <w:rFonts w:ascii="宋体" w:hAnsi="宋体" w:cs="宋体" w:eastAsia="宋体" w:hint="default"/>
                <w:w w:val="99"/>
                <w:sz w:val="18"/>
                <w:szCs w:val="18"/>
              </w:rPr>
              <w:t> </w:t>
            </w:r>
            <w:r>
              <w:rPr>
                <w:rFonts w:ascii="宋体" w:hAnsi="宋体" w:cs="宋体" w:eastAsia="宋体" w:hint="default"/>
                <w:sz w:val="18"/>
                <w:szCs w:val="18"/>
              </w:rPr>
              <w:t>与北京</w:t>
            </w:r>
            <w:r>
              <w:rPr>
                <w:rFonts w:ascii="宋体" w:hAnsi="宋体" w:cs="宋体" w:eastAsia="宋体" w:hint="default"/>
                <w:w w:val="99"/>
                <w:sz w:val="18"/>
                <w:szCs w:val="18"/>
              </w:rPr>
              <w:t> </w:t>
            </w:r>
            <w:r>
              <w:rPr>
                <w:rFonts w:ascii="宋体" w:hAnsi="宋体" w:cs="宋体" w:eastAsia="宋体" w:hint="default"/>
                <w:sz w:val="18"/>
                <w:szCs w:val="18"/>
              </w:rPr>
              <w:t>创世漫</w:t>
            </w:r>
            <w:r>
              <w:rPr>
                <w:rFonts w:ascii="宋体" w:hAnsi="宋体" w:cs="宋体" w:eastAsia="宋体" w:hint="default"/>
                <w:w w:val="99"/>
                <w:sz w:val="18"/>
                <w:szCs w:val="18"/>
              </w:rPr>
              <w:t> </w:t>
            </w:r>
            <w:r>
              <w:rPr>
                <w:rFonts w:ascii="宋体" w:hAnsi="宋体" w:cs="宋体" w:eastAsia="宋体" w:hint="default"/>
                <w:sz w:val="18"/>
                <w:szCs w:val="18"/>
              </w:rPr>
              <w:t>道科技</w:t>
            </w:r>
            <w:r>
              <w:rPr>
                <w:rFonts w:ascii="宋体" w:hAnsi="宋体" w:cs="宋体" w:eastAsia="宋体" w:hint="default"/>
                <w:w w:val="99"/>
                <w:sz w:val="18"/>
                <w:szCs w:val="18"/>
              </w:rPr>
              <w:t> </w:t>
            </w:r>
            <w:r>
              <w:rPr>
                <w:rFonts w:ascii="宋体" w:hAnsi="宋体" w:cs="宋体" w:eastAsia="宋体" w:hint="default"/>
                <w:sz w:val="18"/>
                <w:szCs w:val="18"/>
              </w:rPr>
              <w:t>有限公</w:t>
            </w:r>
            <w:r>
              <w:rPr>
                <w:rFonts w:ascii="宋体" w:hAnsi="宋体" w:cs="宋体" w:eastAsia="宋体" w:hint="default"/>
                <w:w w:val="99"/>
                <w:sz w:val="18"/>
                <w:szCs w:val="18"/>
              </w:rPr>
              <w:t> </w:t>
            </w:r>
            <w:r>
              <w:rPr>
                <w:rFonts w:ascii="宋体" w:hAnsi="宋体" w:cs="宋体" w:eastAsia="宋体" w:hint="default"/>
                <w:sz w:val="18"/>
                <w:szCs w:val="18"/>
              </w:rPr>
              <w:t>司日常</w:t>
            </w:r>
            <w:r>
              <w:rPr>
                <w:rFonts w:ascii="宋体" w:hAnsi="宋体" w:cs="宋体" w:eastAsia="宋体" w:hint="default"/>
                <w:w w:val="99"/>
                <w:sz w:val="18"/>
                <w:szCs w:val="18"/>
              </w:rPr>
              <w:t> </w:t>
            </w:r>
            <w:r>
              <w:rPr>
                <w:rFonts w:ascii="宋体" w:hAnsi="宋体" w:cs="宋体" w:eastAsia="宋体" w:hint="default"/>
                <w:sz w:val="18"/>
                <w:szCs w:val="18"/>
              </w:rPr>
              <w:t>关联交</w:t>
            </w:r>
            <w:r>
              <w:rPr>
                <w:rFonts w:ascii="宋体" w:hAnsi="宋体" w:cs="宋体" w:eastAsia="宋体" w:hint="default"/>
                <w:w w:val="99"/>
                <w:sz w:val="18"/>
                <w:szCs w:val="18"/>
              </w:rPr>
              <w:t> </w:t>
            </w:r>
            <w:r>
              <w:rPr>
                <w:rFonts w:ascii="宋体" w:hAnsi="宋体" w:cs="宋体" w:eastAsia="宋体" w:hint="default"/>
                <w:sz w:val="18"/>
                <w:szCs w:val="18"/>
              </w:rPr>
              <w:t>易的公</w:t>
            </w:r>
            <w:r>
              <w:rPr>
                <w:rFonts w:ascii="宋体" w:hAnsi="宋体" w:cs="宋体" w:eastAsia="宋体" w:hint="default"/>
                <w:w w:val="99"/>
                <w:sz w:val="18"/>
                <w:szCs w:val="18"/>
              </w:rPr>
              <w:t> </w:t>
            </w:r>
            <w:r>
              <w:rPr>
                <w:rFonts w:ascii="宋体" w:hAnsi="宋体" w:cs="宋体" w:eastAsia="宋体" w:hint="default"/>
                <w:sz w:val="18"/>
                <w:szCs w:val="18"/>
              </w:rPr>
              <w:t>告</w:t>
            </w:r>
          </w:p>
          <w:p>
            <w:pPr>
              <w:pStyle w:val="TableParagraph"/>
              <w:spacing w:line="240" w:lineRule="auto" w:before="19"/>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p>
          <w:p>
            <w:pPr>
              <w:pStyle w:val="TableParagraph"/>
              <w:spacing w:line="240" w:lineRule="auto" w:before="6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-039</w:t>
            </w:r>
            <w:r>
              <w:rPr>
                <w:rFonts w:ascii="宋体" w:hAnsi="宋体" w:cs="宋体" w:eastAsia="宋体" w:hint="default"/>
                <w:sz w:val="18"/>
                <w:szCs w:val="18"/>
              </w:rPr>
              <w:t>）</w:t>
            </w:r>
          </w:p>
        </w:tc>
      </w:tr>
      <w:tr>
        <w:trPr>
          <w:trHeight w:val="410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314" w:lineRule="auto"/>
              <w:ind w:left="24" w:right="44"/>
              <w:jc w:val="left"/>
              <w:rPr>
                <w:rFonts w:ascii="宋体" w:hAnsi="宋体" w:cs="宋体" w:eastAsia="宋体" w:hint="default"/>
                <w:sz w:val="18"/>
                <w:szCs w:val="18"/>
              </w:rPr>
            </w:pPr>
            <w:r>
              <w:rPr>
                <w:rFonts w:ascii="宋体" w:hAnsi="宋体" w:cs="宋体" w:eastAsia="宋体" w:hint="default"/>
                <w:sz w:val="18"/>
                <w:szCs w:val="18"/>
              </w:rPr>
              <w:t>银联智惠 信息服务</w:t>
            </w:r>
          </w:p>
          <w:p>
            <w:pPr>
              <w:pStyle w:val="TableParagraph"/>
              <w:spacing w:line="316" w:lineRule="auto" w:before="20"/>
              <w:ind w:left="24" w:right="44"/>
              <w:jc w:val="left"/>
              <w:rPr>
                <w:rFonts w:ascii="宋体" w:hAnsi="宋体" w:cs="宋体" w:eastAsia="宋体" w:hint="default"/>
                <w:sz w:val="18"/>
                <w:szCs w:val="18"/>
              </w:rPr>
            </w:pPr>
            <w:r>
              <w:rPr>
                <w:rFonts w:ascii="宋体" w:hAnsi="宋体" w:cs="宋体" w:eastAsia="宋体" w:hint="default"/>
                <w:sz w:val="18"/>
                <w:szCs w:val="18"/>
              </w:rPr>
              <w:t>（上海）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38"/>
              <w:ind w:left="23" w:right="41"/>
              <w:jc w:val="left"/>
              <w:rPr>
                <w:rFonts w:ascii="宋体" w:hAnsi="宋体" w:cs="宋体" w:eastAsia="宋体" w:hint="default"/>
                <w:sz w:val="18"/>
                <w:szCs w:val="18"/>
              </w:rPr>
            </w:pPr>
            <w:r>
              <w:rPr>
                <w:rFonts w:ascii="宋体" w:hAnsi="宋体" w:cs="宋体" w:eastAsia="宋体" w:hint="default"/>
                <w:sz w:val="18"/>
                <w:szCs w:val="18"/>
              </w:rPr>
              <w:t>持股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 股东的 控股股 东方的 三级子 公司</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1"/>
              <w:ind w:left="26" w:right="101"/>
              <w:jc w:val="both"/>
              <w:rPr>
                <w:rFonts w:ascii="宋体" w:hAnsi="宋体" w:cs="宋体" w:eastAsia="宋体" w:hint="default"/>
                <w:sz w:val="18"/>
                <w:szCs w:val="18"/>
              </w:rPr>
            </w:pPr>
            <w:r>
              <w:rPr>
                <w:rFonts w:ascii="宋体" w:hAnsi="宋体" w:cs="宋体" w:eastAsia="宋体" w:hint="default"/>
                <w:sz w:val="18"/>
                <w:szCs w:val="18"/>
              </w:rPr>
              <w:t>销售商 品、提 供劳务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4" w:lineRule="auto"/>
              <w:ind w:left="23" w:right="128"/>
              <w:jc w:val="left"/>
              <w:rPr>
                <w:rFonts w:ascii="宋体" w:hAnsi="宋体" w:cs="宋体" w:eastAsia="宋体" w:hint="default"/>
                <w:sz w:val="18"/>
                <w:szCs w:val="18"/>
              </w:rPr>
            </w:pPr>
            <w:r>
              <w:rPr>
                <w:rFonts w:ascii="宋体" w:hAnsi="宋体" w:cs="宋体" w:eastAsia="宋体" w:hint="default"/>
                <w:sz w:val="18"/>
                <w:szCs w:val="18"/>
              </w:rPr>
              <w:t>数据分 析服务</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316" w:lineRule="auto"/>
              <w:ind w:left="23" w:right="107"/>
              <w:jc w:val="both"/>
              <w:rPr>
                <w:rFonts w:ascii="宋体" w:hAnsi="宋体" w:cs="宋体" w:eastAsia="宋体" w:hint="default"/>
                <w:sz w:val="18"/>
                <w:szCs w:val="18"/>
              </w:rPr>
            </w:pPr>
            <w:r>
              <w:rPr>
                <w:rFonts w:ascii="宋体" w:hAnsi="宋体" w:cs="宋体" w:eastAsia="宋体" w:hint="default"/>
                <w:sz w:val="18"/>
                <w:szCs w:val="18"/>
              </w:rPr>
              <w:t>严格符 合监管 部门的 各项规 范和要 求，交 易定价 公允</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328" w:right="0"/>
              <w:jc w:val="left"/>
              <w:rPr>
                <w:rFonts w:ascii="Times New Roman" w:hAnsi="Times New Roman" w:cs="Times New Roman" w:eastAsia="Times New Roman" w:hint="default"/>
                <w:sz w:val="18"/>
                <w:szCs w:val="18"/>
              </w:rPr>
            </w:pPr>
            <w:r>
              <w:rPr>
                <w:rFonts w:ascii="Times New Roman"/>
                <w:sz w:val="18"/>
              </w:rPr>
              <w:t>1.15</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0.01%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100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4" w:lineRule="auto"/>
              <w:ind w:left="23" w:right="98"/>
              <w:jc w:val="left"/>
              <w:rPr>
                <w:rFonts w:ascii="宋体" w:hAnsi="宋体" w:cs="宋体" w:eastAsia="宋体" w:hint="default"/>
                <w:sz w:val="18"/>
                <w:szCs w:val="18"/>
              </w:rPr>
            </w:pPr>
            <w:r>
              <w:rPr>
                <w:rFonts w:ascii="宋体" w:hAnsi="宋体" w:cs="宋体" w:eastAsia="宋体" w:hint="default"/>
                <w:sz w:val="18"/>
                <w:szCs w:val="18"/>
              </w:rPr>
              <w:t>银行转 账</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5"/>
              <w:jc w:val="both"/>
              <w:rPr>
                <w:rFonts w:ascii="宋体" w:hAnsi="宋体" w:cs="宋体" w:eastAsia="宋体" w:hint="default"/>
                <w:sz w:val="18"/>
                <w:szCs w:val="18"/>
              </w:rPr>
            </w:pPr>
            <w:r>
              <w:rPr>
                <w:rFonts w:ascii="宋体" w:hAnsi="宋体" w:cs="宋体" w:eastAsia="宋体" w:hint="default"/>
                <w:sz w:val="18"/>
                <w:szCs w:val="18"/>
              </w:rPr>
              <w:t>中国证 券报、 上海证 券报、 证券时 报、证 券日报 及巨潮 资讯网 上的关 于公司 全资子 公司与</w:t>
            </w:r>
          </w:p>
        </w:tc>
      </w:tr>
    </w:tbl>
    <w:p>
      <w:pPr>
        <w:spacing w:after="0" w:line="316" w:lineRule="auto"/>
        <w:jc w:val="both"/>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800"/>
        <w:gridCol w:w="677"/>
        <w:gridCol w:w="679"/>
        <w:gridCol w:w="704"/>
        <w:gridCol w:w="682"/>
        <w:gridCol w:w="672"/>
        <w:gridCol w:w="674"/>
        <w:gridCol w:w="675"/>
        <w:gridCol w:w="674"/>
        <w:gridCol w:w="674"/>
        <w:gridCol w:w="674"/>
        <w:gridCol w:w="673"/>
        <w:gridCol w:w="672"/>
        <w:gridCol w:w="641"/>
      </w:tblGrid>
      <w:tr>
        <w:trPr>
          <w:trHeight w:val="2547" w:hRule="exact"/>
        </w:trPr>
        <w:tc>
          <w:tcPr>
            <w:tcW w:w="800"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65"/>
              <w:jc w:val="both"/>
              <w:rPr>
                <w:rFonts w:ascii="宋体" w:hAnsi="宋体" w:cs="宋体" w:eastAsia="宋体" w:hint="default"/>
                <w:sz w:val="18"/>
                <w:szCs w:val="18"/>
              </w:rPr>
            </w:pPr>
            <w:r>
              <w:rPr>
                <w:rFonts w:ascii="宋体" w:hAnsi="宋体" w:cs="宋体" w:eastAsia="宋体" w:hint="default"/>
                <w:sz w:val="18"/>
                <w:szCs w:val="18"/>
              </w:rPr>
              <w:t>中国银 联及银 联商务 日常关 联交易 的公告</w:t>
            </w:r>
          </w:p>
          <w:p>
            <w:pPr>
              <w:pStyle w:val="TableParagraph"/>
              <w:spacing w:line="240" w:lineRule="auto" w:before="19"/>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p>
          <w:p>
            <w:pPr>
              <w:pStyle w:val="TableParagraph"/>
              <w:spacing w:line="240" w:lineRule="auto" w:before="6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-038</w:t>
            </w:r>
            <w:r>
              <w:rPr>
                <w:rFonts w:ascii="宋体" w:hAnsi="宋体" w:cs="宋体" w:eastAsia="宋体" w:hint="default"/>
                <w:sz w:val="18"/>
                <w:szCs w:val="18"/>
              </w:rPr>
              <w:t>）</w:t>
            </w:r>
          </w:p>
        </w:tc>
      </w:tr>
      <w:tr>
        <w:trPr>
          <w:trHeight w:val="1038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319" w:lineRule="auto"/>
              <w:ind w:left="24" w:right="44"/>
              <w:jc w:val="both"/>
              <w:rPr>
                <w:rFonts w:ascii="宋体" w:hAnsi="宋体" w:cs="宋体" w:eastAsia="宋体" w:hint="default"/>
                <w:sz w:val="18"/>
                <w:szCs w:val="18"/>
              </w:rPr>
            </w:pPr>
            <w:r>
              <w:rPr>
                <w:rFonts w:ascii="宋体" w:hAnsi="宋体" w:cs="宋体" w:eastAsia="宋体" w:hint="default"/>
                <w:sz w:val="18"/>
                <w:szCs w:val="18"/>
              </w:rPr>
              <w:t>银联商务 股份有限 公司（含 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309" w:lineRule="auto"/>
              <w:ind w:left="23" w:right="41"/>
              <w:jc w:val="left"/>
              <w:rPr>
                <w:rFonts w:ascii="宋体" w:hAnsi="宋体" w:cs="宋体" w:eastAsia="宋体" w:hint="default"/>
                <w:sz w:val="18"/>
                <w:szCs w:val="18"/>
              </w:rPr>
            </w:pPr>
            <w:r>
              <w:rPr>
                <w:rFonts w:ascii="宋体" w:hAnsi="宋体" w:cs="宋体" w:eastAsia="宋体" w:hint="default"/>
                <w:sz w:val="18"/>
                <w:szCs w:val="18"/>
              </w:rPr>
              <w:t>持股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 股东</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316" w:lineRule="auto"/>
              <w:ind w:left="26" w:right="101"/>
              <w:jc w:val="both"/>
              <w:rPr>
                <w:rFonts w:ascii="宋体" w:hAnsi="宋体" w:cs="宋体" w:eastAsia="宋体" w:hint="default"/>
                <w:sz w:val="18"/>
                <w:szCs w:val="18"/>
              </w:rPr>
            </w:pPr>
            <w:r>
              <w:rPr>
                <w:rFonts w:ascii="宋体" w:hAnsi="宋体" w:cs="宋体" w:eastAsia="宋体" w:hint="default"/>
                <w:sz w:val="18"/>
                <w:szCs w:val="18"/>
              </w:rPr>
              <w:t>采购商 品、接 受劳务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5"/>
              <w:ind w:left="23" w:right="128"/>
              <w:jc w:val="left"/>
              <w:rPr>
                <w:rFonts w:ascii="宋体" w:hAnsi="宋体" w:cs="宋体" w:eastAsia="宋体" w:hint="default"/>
                <w:sz w:val="18"/>
                <w:szCs w:val="18"/>
              </w:rPr>
            </w:pPr>
            <w:r>
              <w:rPr>
                <w:rFonts w:ascii="宋体" w:hAnsi="宋体" w:cs="宋体" w:eastAsia="宋体" w:hint="default"/>
                <w:sz w:val="18"/>
                <w:szCs w:val="18"/>
              </w:rPr>
              <w:t>支付服 务</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23" w:right="107"/>
              <w:jc w:val="both"/>
              <w:rPr>
                <w:rFonts w:ascii="宋体" w:hAnsi="宋体" w:cs="宋体" w:eastAsia="宋体" w:hint="default"/>
                <w:sz w:val="18"/>
                <w:szCs w:val="18"/>
              </w:rPr>
            </w:pPr>
            <w:r>
              <w:rPr>
                <w:rFonts w:ascii="宋体" w:hAnsi="宋体" w:cs="宋体" w:eastAsia="宋体" w:hint="default"/>
                <w:sz w:val="18"/>
                <w:szCs w:val="18"/>
              </w:rPr>
              <w:t>严格符 合监管 部门的 各项规 范和要 求，交 易定价 公允</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8"/>
              <w:jc w:val="right"/>
              <w:rPr>
                <w:rFonts w:ascii="Times New Roman" w:hAnsi="Times New Roman" w:cs="Times New Roman" w:eastAsia="Times New Roman" w:hint="default"/>
                <w:sz w:val="18"/>
                <w:szCs w:val="18"/>
              </w:rPr>
            </w:pPr>
            <w:r>
              <w:rPr>
                <w:rFonts w:ascii="Times New Roman"/>
                <w:spacing w:val="-2"/>
                <w:sz w:val="18"/>
              </w:rPr>
              <w:t>54.11</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21"/>
              <w:jc w:val="right"/>
              <w:rPr>
                <w:rFonts w:ascii="Times New Roman" w:hAnsi="Times New Roman" w:cs="Times New Roman" w:eastAsia="Times New Roman" w:hint="default"/>
                <w:sz w:val="18"/>
                <w:szCs w:val="18"/>
              </w:rPr>
            </w:pPr>
            <w:r>
              <w:rPr>
                <w:rFonts w:ascii="Times New Roman"/>
                <w:sz w:val="18"/>
              </w:rPr>
              <w:t>0.18%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1,087.7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5"/>
              <w:ind w:left="23" w:right="98"/>
              <w:jc w:val="left"/>
              <w:rPr>
                <w:rFonts w:ascii="宋体" w:hAnsi="宋体" w:cs="宋体" w:eastAsia="宋体" w:hint="default"/>
                <w:sz w:val="18"/>
                <w:szCs w:val="18"/>
              </w:rPr>
            </w:pPr>
            <w:r>
              <w:rPr>
                <w:rFonts w:ascii="宋体" w:hAnsi="宋体" w:cs="宋体" w:eastAsia="宋体" w:hint="default"/>
                <w:sz w:val="18"/>
                <w:szCs w:val="18"/>
              </w:rPr>
              <w:t>银行转 账</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09" w:lineRule="auto" w:before="63"/>
              <w:ind w:left="26" w:right="2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日、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5"/>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5"/>
              <w:jc w:val="both"/>
              <w:rPr>
                <w:rFonts w:ascii="宋体" w:hAnsi="宋体" w:cs="宋体" w:eastAsia="宋体" w:hint="default"/>
                <w:sz w:val="18"/>
                <w:szCs w:val="18"/>
              </w:rPr>
            </w:pPr>
            <w:r>
              <w:rPr>
                <w:rFonts w:ascii="宋体" w:hAnsi="宋体" w:cs="宋体" w:eastAsia="宋体" w:hint="default"/>
                <w:sz w:val="18"/>
                <w:szCs w:val="18"/>
              </w:rPr>
              <w:t>中国证 券报、 上海证 券报、 证券时 报、证 券日报 及巨潮 资讯网 上的关 于公司 全资子 公司与 中国银 联及银 联商务 日常交 易的公 告</w:t>
            </w:r>
          </w:p>
          <w:p>
            <w:pPr>
              <w:pStyle w:val="TableParagraph"/>
              <w:spacing w:line="240" w:lineRule="auto" w:before="19"/>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p>
          <w:p>
            <w:pPr>
              <w:pStyle w:val="TableParagraph"/>
              <w:spacing w:line="316" w:lineRule="auto" w:before="63"/>
              <w:ind w:left="23" w:right="65"/>
              <w:jc w:val="both"/>
              <w:rPr>
                <w:rFonts w:ascii="宋体" w:hAnsi="宋体" w:cs="宋体" w:eastAsia="宋体" w:hint="default"/>
                <w:sz w:val="18"/>
                <w:szCs w:val="18"/>
              </w:rPr>
            </w:pPr>
            <w:r>
              <w:rPr>
                <w:rFonts w:ascii="Times New Roman" w:hAnsi="Times New Roman" w:cs="Times New Roman" w:eastAsia="Times New Roman" w:hint="default"/>
                <w:spacing w:val="-31"/>
                <w:w w:val="99"/>
                <w:sz w:val="18"/>
                <w:szCs w:val="18"/>
              </w:rPr>
              <w:t>-037</w:t>
            </w:r>
            <w:r>
              <w:rPr>
                <w:rFonts w:ascii="宋体" w:hAnsi="宋体" w:cs="宋体" w:eastAsia="宋体" w:hint="default"/>
                <w:spacing w:val="-31"/>
                <w:w w:val="99"/>
                <w:sz w:val="18"/>
                <w:szCs w:val="18"/>
              </w:rPr>
              <w:t>）、</w:t>
            </w:r>
            <w:r>
              <w:rPr>
                <w:rFonts w:ascii="宋体" w:hAnsi="宋体" w:cs="宋体" w:eastAsia="宋体" w:hint="default"/>
                <w:spacing w:val="-88"/>
                <w:w w:val="99"/>
                <w:sz w:val="18"/>
                <w:szCs w:val="18"/>
              </w:rPr>
              <w:t> </w:t>
            </w:r>
            <w:r>
              <w:rPr>
                <w:rFonts w:ascii="宋体" w:hAnsi="宋体" w:cs="宋体" w:eastAsia="宋体" w:hint="default"/>
                <w:sz w:val="18"/>
                <w:szCs w:val="18"/>
              </w:rPr>
              <w:t>关于公</w:t>
            </w:r>
            <w:r>
              <w:rPr>
                <w:rFonts w:ascii="宋体" w:hAnsi="宋体" w:cs="宋体" w:eastAsia="宋体" w:hint="default"/>
                <w:w w:val="99"/>
                <w:sz w:val="18"/>
                <w:szCs w:val="18"/>
              </w:rPr>
              <w:t> </w:t>
            </w:r>
            <w:r>
              <w:rPr>
                <w:rFonts w:ascii="宋体" w:hAnsi="宋体" w:cs="宋体" w:eastAsia="宋体" w:hint="default"/>
                <w:sz w:val="18"/>
                <w:szCs w:val="18"/>
              </w:rPr>
              <w:t>司全资</w:t>
            </w:r>
            <w:r>
              <w:rPr>
                <w:rFonts w:ascii="宋体" w:hAnsi="宋体" w:cs="宋体" w:eastAsia="宋体" w:hint="default"/>
                <w:w w:val="99"/>
                <w:sz w:val="18"/>
                <w:szCs w:val="18"/>
              </w:rPr>
              <w:t> </w:t>
            </w:r>
            <w:r>
              <w:rPr>
                <w:rFonts w:ascii="宋体" w:hAnsi="宋体" w:cs="宋体" w:eastAsia="宋体" w:hint="default"/>
                <w:sz w:val="18"/>
                <w:szCs w:val="18"/>
              </w:rPr>
              <w:t>子公司</w:t>
            </w:r>
            <w:r>
              <w:rPr>
                <w:rFonts w:ascii="宋体" w:hAnsi="宋体" w:cs="宋体" w:eastAsia="宋体" w:hint="default"/>
                <w:w w:val="99"/>
                <w:sz w:val="18"/>
                <w:szCs w:val="18"/>
              </w:rPr>
              <w:t> </w:t>
            </w:r>
            <w:r>
              <w:rPr>
                <w:rFonts w:ascii="宋体" w:hAnsi="宋体" w:cs="宋体" w:eastAsia="宋体" w:hint="default"/>
                <w:sz w:val="18"/>
                <w:szCs w:val="18"/>
              </w:rPr>
              <w:t>与中国</w:t>
            </w:r>
            <w:r>
              <w:rPr>
                <w:rFonts w:ascii="宋体" w:hAnsi="宋体" w:cs="宋体" w:eastAsia="宋体" w:hint="default"/>
                <w:w w:val="99"/>
                <w:sz w:val="18"/>
                <w:szCs w:val="18"/>
              </w:rPr>
              <w:t> </w:t>
            </w:r>
            <w:r>
              <w:rPr>
                <w:rFonts w:ascii="宋体" w:hAnsi="宋体" w:cs="宋体" w:eastAsia="宋体" w:hint="default"/>
                <w:sz w:val="18"/>
                <w:szCs w:val="18"/>
              </w:rPr>
              <w:t>银联及</w:t>
            </w:r>
            <w:r>
              <w:rPr>
                <w:rFonts w:ascii="宋体" w:hAnsi="宋体" w:cs="宋体" w:eastAsia="宋体" w:hint="default"/>
                <w:w w:val="99"/>
                <w:sz w:val="18"/>
                <w:szCs w:val="18"/>
              </w:rPr>
              <w:t> </w:t>
            </w:r>
            <w:r>
              <w:rPr>
                <w:rFonts w:ascii="宋体" w:hAnsi="宋体" w:cs="宋体" w:eastAsia="宋体" w:hint="default"/>
                <w:sz w:val="18"/>
                <w:szCs w:val="18"/>
              </w:rPr>
              <w:t>银联商</w:t>
            </w:r>
            <w:r>
              <w:rPr>
                <w:rFonts w:ascii="宋体" w:hAnsi="宋体" w:cs="宋体" w:eastAsia="宋体" w:hint="default"/>
                <w:w w:val="99"/>
                <w:sz w:val="18"/>
                <w:szCs w:val="18"/>
              </w:rPr>
              <w:t> </w:t>
            </w:r>
            <w:r>
              <w:rPr>
                <w:rFonts w:ascii="宋体" w:hAnsi="宋体" w:cs="宋体" w:eastAsia="宋体" w:hint="default"/>
                <w:sz w:val="18"/>
                <w:szCs w:val="18"/>
              </w:rPr>
              <w:t>务日常</w:t>
            </w:r>
            <w:r>
              <w:rPr>
                <w:rFonts w:ascii="宋体" w:hAnsi="宋体" w:cs="宋体" w:eastAsia="宋体" w:hint="default"/>
                <w:w w:val="99"/>
                <w:sz w:val="18"/>
                <w:szCs w:val="18"/>
              </w:rPr>
              <w:t> </w:t>
            </w:r>
            <w:r>
              <w:rPr>
                <w:rFonts w:ascii="宋体" w:hAnsi="宋体" w:cs="宋体" w:eastAsia="宋体" w:hint="default"/>
                <w:sz w:val="18"/>
                <w:szCs w:val="18"/>
              </w:rPr>
              <w:t>关联交</w:t>
            </w:r>
            <w:r>
              <w:rPr>
                <w:rFonts w:ascii="宋体" w:hAnsi="宋体" w:cs="宋体" w:eastAsia="宋体" w:hint="default"/>
                <w:w w:val="99"/>
                <w:sz w:val="18"/>
                <w:szCs w:val="18"/>
              </w:rPr>
              <w:t> </w:t>
            </w:r>
            <w:r>
              <w:rPr>
                <w:rFonts w:ascii="宋体" w:hAnsi="宋体" w:cs="宋体" w:eastAsia="宋体" w:hint="default"/>
                <w:sz w:val="18"/>
                <w:szCs w:val="18"/>
              </w:rPr>
              <w:t>易的公</w:t>
            </w:r>
            <w:r>
              <w:rPr>
                <w:rFonts w:ascii="宋体" w:hAnsi="宋体" w:cs="宋体" w:eastAsia="宋体" w:hint="default"/>
                <w:w w:val="99"/>
                <w:sz w:val="18"/>
                <w:szCs w:val="18"/>
              </w:rPr>
              <w:t> </w:t>
            </w:r>
            <w:r>
              <w:rPr>
                <w:rFonts w:ascii="宋体" w:hAnsi="宋体" w:cs="宋体" w:eastAsia="宋体" w:hint="default"/>
                <w:sz w:val="18"/>
                <w:szCs w:val="18"/>
              </w:rPr>
              <w:t>告</w:t>
            </w:r>
          </w:p>
          <w:p>
            <w:pPr>
              <w:pStyle w:val="TableParagraph"/>
              <w:spacing w:line="240" w:lineRule="auto" w:before="19"/>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p>
          <w:p>
            <w:pPr>
              <w:pStyle w:val="TableParagraph"/>
              <w:spacing w:line="240" w:lineRule="auto" w:before="6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-038</w:t>
            </w:r>
            <w:r>
              <w:rPr>
                <w:rFonts w:ascii="宋体" w:hAnsi="宋体" w:cs="宋体" w:eastAsia="宋体" w:hint="default"/>
                <w:sz w:val="18"/>
                <w:szCs w:val="18"/>
              </w:rPr>
              <w:t>）</w:t>
            </w:r>
          </w:p>
        </w:tc>
      </w:tr>
      <w:tr>
        <w:trPr>
          <w:trHeight w:val="98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44"/>
              <w:jc w:val="left"/>
              <w:rPr>
                <w:rFonts w:ascii="宋体" w:hAnsi="宋体" w:cs="宋体" w:eastAsia="宋体" w:hint="default"/>
                <w:sz w:val="18"/>
                <w:szCs w:val="18"/>
              </w:rPr>
            </w:pPr>
            <w:r>
              <w:rPr>
                <w:rFonts w:ascii="宋体" w:hAnsi="宋体" w:cs="宋体" w:eastAsia="宋体" w:hint="default"/>
                <w:sz w:val="18"/>
                <w:szCs w:val="18"/>
              </w:rPr>
              <w:t>中诚信征 信有限公</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1"/>
              <w:jc w:val="both"/>
              <w:rPr>
                <w:rFonts w:ascii="宋体" w:hAnsi="宋体" w:cs="宋体" w:eastAsia="宋体" w:hint="default"/>
                <w:sz w:val="18"/>
                <w:szCs w:val="18"/>
              </w:rPr>
            </w:pPr>
            <w:r>
              <w:rPr>
                <w:rFonts w:ascii="宋体" w:hAnsi="宋体" w:cs="宋体" w:eastAsia="宋体" w:hint="default"/>
                <w:sz w:val="18"/>
                <w:szCs w:val="18"/>
              </w:rPr>
              <w:t>本公司 董事吴 鹰先生</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6" w:right="101"/>
              <w:jc w:val="left"/>
              <w:rPr>
                <w:rFonts w:ascii="宋体" w:hAnsi="宋体" w:cs="宋体" w:eastAsia="宋体" w:hint="default"/>
                <w:sz w:val="18"/>
                <w:szCs w:val="18"/>
              </w:rPr>
            </w:pPr>
            <w:r>
              <w:rPr>
                <w:rFonts w:ascii="宋体" w:hAnsi="宋体" w:cs="宋体" w:eastAsia="宋体" w:hint="default"/>
                <w:sz w:val="18"/>
                <w:szCs w:val="18"/>
              </w:rPr>
              <w:t>销售商 品、提</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6" w:lineRule="auto"/>
              <w:ind w:left="23" w:right="128"/>
              <w:jc w:val="left"/>
              <w:rPr>
                <w:rFonts w:ascii="宋体" w:hAnsi="宋体" w:cs="宋体" w:eastAsia="宋体" w:hint="default"/>
                <w:sz w:val="18"/>
                <w:szCs w:val="18"/>
              </w:rPr>
            </w:pPr>
            <w:r>
              <w:rPr>
                <w:rFonts w:ascii="宋体" w:hAnsi="宋体" w:cs="宋体" w:eastAsia="宋体" w:hint="default"/>
                <w:sz w:val="18"/>
                <w:szCs w:val="18"/>
              </w:rPr>
              <w:t>数据分 析服务</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both"/>
              <w:rPr>
                <w:rFonts w:ascii="宋体" w:hAnsi="宋体" w:cs="宋体" w:eastAsia="宋体" w:hint="default"/>
                <w:sz w:val="18"/>
                <w:szCs w:val="18"/>
              </w:rPr>
            </w:pPr>
            <w:r>
              <w:rPr>
                <w:rFonts w:ascii="宋体" w:hAnsi="宋体" w:cs="宋体" w:eastAsia="宋体" w:hint="default"/>
                <w:sz w:val="18"/>
                <w:szCs w:val="18"/>
              </w:rPr>
              <w:t>严格符 合监管 部门的</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832.63</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1,679.7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银行转 账</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2"/>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4</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5"/>
              <w:jc w:val="both"/>
              <w:rPr>
                <w:rFonts w:ascii="宋体" w:hAnsi="宋体" w:cs="宋体" w:eastAsia="宋体" w:hint="default"/>
                <w:sz w:val="18"/>
                <w:szCs w:val="18"/>
              </w:rPr>
            </w:pPr>
            <w:r>
              <w:rPr>
                <w:rFonts w:ascii="宋体" w:hAnsi="宋体" w:cs="宋体" w:eastAsia="宋体" w:hint="default"/>
                <w:sz w:val="18"/>
                <w:szCs w:val="18"/>
              </w:rPr>
              <w:t>中国证 券报、 上海证</w:t>
            </w:r>
          </w:p>
        </w:tc>
      </w:tr>
    </w:tbl>
    <w:p>
      <w:pPr>
        <w:spacing w:after="0" w:line="316" w:lineRule="auto"/>
        <w:jc w:val="both"/>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800"/>
        <w:gridCol w:w="677"/>
        <w:gridCol w:w="679"/>
        <w:gridCol w:w="704"/>
        <w:gridCol w:w="682"/>
        <w:gridCol w:w="672"/>
        <w:gridCol w:w="674"/>
        <w:gridCol w:w="675"/>
        <w:gridCol w:w="674"/>
        <w:gridCol w:w="674"/>
        <w:gridCol w:w="674"/>
        <w:gridCol w:w="673"/>
        <w:gridCol w:w="672"/>
        <w:gridCol w:w="641"/>
      </w:tblGrid>
      <w:tr>
        <w:trPr>
          <w:trHeight w:val="1315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01"/>
              <w:jc w:val="both"/>
              <w:rPr>
                <w:rFonts w:ascii="宋体" w:hAnsi="宋体" w:cs="宋体" w:eastAsia="宋体" w:hint="default"/>
                <w:sz w:val="18"/>
                <w:szCs w:val="18"/>
              </w:rPr>
            </w:pPr>
            <w:r>
              <w:rPr>
                <w:rFonts w:ascii="宋体" w:hAnsi="宋体" w:cs="宋体" w:eastAsia="宋体" w:hint="default"/>
                <w:sz w:val="18"/>
                <w:szCs w:val="18"/>
              </w:rPr>
              <w:t>在中诚 信任董 事职务</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供劳务</w:t>
            </w:r>
          </w:p>
        </w:tc>
        <w:tc>
          <w:tcPr>
            <w:tcW w:w="70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07"/>
              <w:jc w:val="both"/>
              <w:rPr>
                <w:rFonts w:ascii="宋体" w:hAnsi="宋体" w:cs="宋体" w:eastAsia="宋体" w:hint="default"/>
                <w:sz w:val="18"/>
                <w:szCs w:val="18"/>
              </w:rPr>
            </w:pPr>
            <w:r>
              <w:rPr>
                <w:rFonts w:ascii="宋体" w:hAnsi="宋体" w:cs="宋体" w:eastAsia="宋体" w:hint="default"/>
                <w:sz w:val="18"/>
                <w:szCs w:val="18"/>
              </w:rPr>
              <w:t>各项规 范和要 求，交 易定价 公允</w:t>
            </w:r>
          </w:p>
        </w:tc>
        <w:tc>
          <w:tcPr>
            <w:tcW w:w="672"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before="76"/>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65"/>
              <w:jc w:val="both"/>
              <w:rPr>
                <w:rFonts w:ascii="宋体" w:hAnsi="宋体" w:cs="宋体" w:eastAsia="宋体" w:hint="default"/>
                <w:sz w:val="18"/>
                <w:szCs w:val="18"/>
              </w:rPr>
            </w:pPr>
            <w:r>
              <w:rPr>
                <w:rFonts w:ascii="宋体" w:hAnsi="宋体" w:cs="宋体" w:eastAsia="宋体" w:hint="default"/>
                <w:sz w:val="18"/>
                <w:szCs w:val="18"/>
              </w:rPr>
              <w:t>券报、 证券时 报、证 券日报 及巨潮 资讯网 上的关 于公司 全资子 公司与 中诚信 征信有 限公司 日常关 联交易 的公告</w:t>
            </w:r>
          </w:p>
          <w:p>
            <w:pPr>
              <w:pStyle w:val="TableParagraph"/>
              <w:spacing w:line="240" w:lineRule="auto" w:before="19"/>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p>
          <w:p>
            <w:pPr>
              <w:pStyle w:val="TableParagraph"/>
              <w:spacing w:line="316" w:lineRule="auto" w:before="63"/>
              <w:ind w:left="23" w:right="65"/>
              <w:jc w:val="both"/>
              <w:rPr>
                <w:rFonts w:ascii="宋体" w:hAnsi="宋体" w:cs="宋体" w:eastAsia="宋体" w:hint="default"/>
                <w:sz w:val="18"/>
                <w:szCs w:val="18"/>
              </w:rPr>
            </w:pPr>
            <w:r>
              <w:rPr>
                <w:rFonts w:ascii="Times New Roman" w:hAnsi="Times New Roman" w:cs="Times New Roman" w:eastAsia="Times New Roman" w:hint="default"/>
                <w:spacing w:val="-31"/>
                <w:w w:val="99"/>
                <w:sz w:val="18"/>
                <w:szCs w:val="18"/>
              </w:rPr>
              <w:t>-039</w:t>
            </w:r>
            <w:r>
              <w:rPr>
                <w:rFonts w:ascii="宋体" w:hAnsi="宋体" w:cs="宋体" w:eastAsia="宋体" w:hint="default"/>
                <w:spacing w:val="-31"/>
                <w:w w:val="99"/>
                <w:sz w:val="18"/>
                <w:szCs w:val="18"/>
              </w:rPr>
              <w:t>）、</w:t>
            </w:r>
            <w:r>
              <w:rPr>
                <w:rFonts w:ascii="宋体" w:hAnsi="宋体" w:cs="宋体" w:eastAsia="宋体" w:hint="default"/>
                <w:spacing w:val="-88"/>
                <w:w w:val="99"/>
                <w:sz w:val="18"/>
                <w:szCs w:val="18"/>
              </w:rPr>
              <w:t> </w:t>
            </w:r>
            <w:r>
              <w:rPr>
                <w:rFonts w:ascii="宋体" w:hAnsi="宋体" w:cs="宋体" w:eastAsia="宋体" w:hint="default"/>
                <w:sz w:val="18"/>
                <w:szCs w:val="18"/>
              </w:rPr>
              <w:t>关于增</w:t>
            </w:r>
            <w:r>
              <w:rPr>
                <w:rFonts w:ascii="宋体" w:hAnsi="宋体" w:cs="宋体" w:eastAsia="宋体" w:hint="default"/>
                <w:w w:val="99"/>
                <w:sz w:val="18"/>
                <w:szCs w:val="18"/>
              </w:rPr>
              <w:t> </w:t>
            </w:r>
            <w:r>
              <w:rPr>
                <w:rFonts w:ascii="宋体" w:hAnsi="宋体" w:cs="宋体" w:eastAsia="宋体" w:hint="default"/>
                <w:sz w:val="18"/>
                <w:szCs w:val="18"/>
              </w:rPr>
              <w:t>加全资</w:t>
            </w:r>
            <w:r>
              <w:rPr>
                <w:rFonts w:ascii="宋体" w:hAnsi="宋体" w:cs="宋体" w:eastAsia="宋体" w:hint="default"/>
                <w:w w:val="99"/>
                <w:sz w:val="18"/>
                <w:szCs w:val="18"/>
              </w:rPr>
              <w:t> </w:t>
            </w:r>
            <w:r>
              <w:rPr>
                <w:rFonts w:ascii="宋体" w:hAnsi="宋体" w:cs="宋体" w:eastAsia="宋体" w:hint="default"/>
                <w:sz w:val="18"/>
                <w:szCs w:val="18"/>
              </w:rPr>
              <w:t>子公司</w:t>
            </w:r>
            <w:r>
              <w:rPr>
                <w:rFonts w:ascii="宋体" w:hAnsi="宋体" w:cs="宋体" w:eastAsia="宋体" w:hint="default"/>
                <w:w w:val="99"/>
                <w:sz w:val="18"/>
                <w:szCs w:val="18"/>
              </w:rPr>
              <w:t> </w:t>
            </w:r>
            <w:r>
              <w:rPr>
                <w:rFonts w:ascii="宋体" w:hAnsi="宋体" w:cs="宋体" w:eastAsia="宋体" w:hint="default"/>
                <w:sz w:val="18"/>
                <w:szCs w:val="18"/>
              </w:rPr>
              <w:t>与中诚</w:t>
            </w:r>
            <w:r>
              <w:rPr>
                <w:rFonts w:ascii="宋体" w:hAnsi="宋体" w:cs="宋体" w:eastAsia="宋体" w:hint="default"/>
                <w:w w:val="99"/>
                <w:sz w:val="18"/>
                <w:szCs w:val="18"/>
              </w:rPr>
              <w:t> </w:t>
            </w:r>
            <w:r>
              <w:rPr>
                <w:rFonts w:ascii="宋体" w:hAnsi="宋体" w:cs="宋体" w:eastAsia="宋体" w:hint="default"/>
                <w:sz w:val="18"/>
                <w:szCs w:val="18"/>
              </w:rPr>
              <w:t>信征信</w:t>
            </w:r>
            <w:r>
              <w:rPr>
                <w:rFonts w:ascii="宋体" w:hAnsi="宋体" w:cs="宋体" w:eastAsia="宋体" w:hint="default"/>
                <w:w w:val="99"/>
                <w:sz w:val="18"/>
                <w:szCs w:val="18"/>
              </w:rPr>
              <w:t> </w:t>
            </w:r>
            <w:r>
              <w:rPr>
                <w:rFonts w:ascii="宋体" w:hAnsi="宋体" w:cs="宋体" w:eastAsia="宋体" w:hint="default"/>
                <w:sz w:val="18"/>
                <w:szCs w:val="18"/>
              </w:rPr>
              <w:t>有限公</w:t>
            </w:r>
            <w:r>
              <w:rPr>
                <w:rFonts w:ascii="宋体" w:hAnsi="宋体" w:cs="宋体" w:eastAsia="宋体" w:hint="default"/>
                <w:w w:val="99"/>
                <w:sz w:val="18"/>
                <w:szCs w:val="18"/>
              </w:rPr>
              <w:t> </w:t>
            </w:r>
            <w:r>
              <w:rPr>
                <w:rFonts w:ascii="宋体" w:hAnsi="宋体" w:cs="宋体" w:eastAsia="宋体" w:hint="default"/>
                <w:sz w:val="18"/>
                <w:szCs w:val="18"/>
              </w:rPr>
              <w:t>司日常</w:t>
            </w:r>
            <w:r>
              <w:rPr>
                <w:rFonts w:ascii="宋体" w:hAnsi="宋体" w:cs="宋体" w:eastAsia="宋体" w:hint="default"/>
                <w:w w:val="99"/>
                <w:sz w:val="18"/>
                <w:szCs w:val="18"/>
              </w:rPr>
              <w:t> </w:t>
            </w:r>
            <w:r>
              <w:rPr>
                <w:rFonts w:ascii="宋体" w:hAnsi="宋体" w:cs="宋体" w:eastAsia="宋体" w:hint="default"/>
                <w:sz w:val="18"/>
                <w:szCs w:val="18"/>
              </w:rPr>
              <w:t>关联交</w:t>
            </w:r>
            <w:r>
              <w:rPr>
                <w:rFonts w:ascii="宋体" w:hAnsi="宋体" w:cs="宋体" w:eastAsia="宋体" w:hint="default"/>
                <w:w w:val="99"/>
                <w:sz w:val="18"/>
                <w:szCs w:val="18"/>
              </w:rPr>
              <w:t> </w:t>
            </w:r>
            <w:r>
              <w:rPr>
                <w:rFonts w:ascii="宋体" w:hAnsi="宋体" w:cs="宋体" w:eastAsia="宋体" w:hint="default"/>
                <w:sz w:val="18"/>
                <w:szCs w:val="18"/>
              </w:rPr>
              <w:t>易额度</w:t>
            </w:r>
            <w:r>
              <w:rPr>
                <w:rFonts w:ascii="宋体" w:hAnsi="宋体" w:cs="宋体" w:eastAsia="宋体" w:hint="default"/>
                <w:w w:val="99"/>
                <w:sz w:val="18"/>
                <w:szCs w:val="18"/>
              </w:rPr>
              <w:t> </w:t>
            </w:r>
            <w:r>
              <w:rPr>
                <w:rFonts w:ascii="宋体" w:hAnsi="宋体" w:cs="宋体" w:eastAsia="宋体" w:hint="default"/>
                <w:sz w:val="18"/>
                <w:szCs w:val="18"/>
              </w:rPr>
              <w:t>的公告</w:t>
            </w:r>
          </w:p>
          <w:p>
            <w:pPr>
              <w:pStyle w:val="TableParagraph"/>
              <w:spacing w:line="240" w:lineRule="auto" w:before="19"/>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p>
          <w:p>
            <w:pPr>
              <w:pStyle w:val="TableParagraph"/>
              <w:spacing w:line="316" w:lineRule="auto" w:before="63"/>
              <w:ind w:left="23" w:right="65"/>
              <w:jc w:val="both"/>
              <w:rPr>
                <w:rFonts w:ascii="宋体" w:hAnsi="宋体" w:cs="宋体" w:eastAsia="宋体" w:hint="default"/>
                <w:sz w:val="18"/>
                <w:szCs w:val="18"/>
              </w:rPr>
            </w:pPr>
            <w:r>
              <w:rPr>
                <w:rFonts w:ascii="Times New Roman" w:hAnsi="Times New Roman" w:cs="Times New Roman" w:eastAsia="Times New Roman" w:hint="default"/>
                <w:spacing w:val="-31"/>
                <w:w w:val="99"/>
                <w:sz w:val="18"/>
                <w:szCs w:val="18"/>
              </w:rPr>
              <w:t>-154</w:t>
            </w:r>
            <w:r>
              <w:rPr>
                <w:rFonts w:ascii="宋体" w:hAnsi="宋体" w:cs="宋体" w:eastAsia="宋体" w:hint="default"/>
                <w:spacing w:val="-31"/>
                <w:w w:val="99"/>
                <w:sz w:val="18"/>
                <w:szCs w:val="18"/>
              </w:rPr>
              <w:t>）、</w:t>
            </w:r>
            <w:r>
              <w:rPr>
                <w:rFonts w:ascii="宋体" w:hAnsi="宋体" w:cs="宋体" w:eastAsia="宋体" w:hint="default"/>
                <w:spacing w:val="-88"/>
                <w:w w:val="99"/>
                <w:sz w:val="18"/>
                <w:szCs w:val="18"/>
              </w:rPr>
              <w:t> </w:t>
            </w:r>
            <w:r>
              <w:rPr>
                <w:rFonts w:ascii="宋体" w:hAnsi="宋体" w:cs="宋体" w:eastAsia="宋体" w:hint="default"/>
                <w:sz w:val="18"/>
                <w:szCs w:val="18"/>
              </w:rPr>
              <w:t>关于公</w:t>
            </w:r>
            <w:r>
              <w:rPr>
                <w:rFonts w:ascii="宋体" w:hAnsi="宋体" w:cs="宋体" w:eastAsia="宋体" w:hint="default"/>
                <w:w w:val="99"/>
                <w:sz w:val="18"/>
                <w:szCs w:val="18"/>
              </w:rPr>
              <w:t> </w:t>
            </w:r>
            <w:r>
              <w:rPr>
                <w:rFonts w:ascii="宋体" w:hAnsi="宋体" w:cs="宋体" w:eastAsia="宋体" w:hint="default"/>
                <w:sz w:val="18"/>
                <w:szCs w:val="18"/>
              </w:rPr>
              <w:t>司全资</w:t>
            </w:r>
            <w:r>
              <w:rPr>
                <w:rFonts w:ascii="宋体" w:hAnsi="宋体" w:cs="宋体" w:eastAsia="宋体" w:hint="default"/>
                <w:w w:val="99"/>
                <w:sz w:val="18"/>
                <w:szCs w:val="18"/>
              </w:rPr>
              <w:t> </w:t>
            </w:r>
            <w:r>
              <w:rPr>
                <w:rFonts w:ascii="宋体" w:hAnsi="宋体" w:cs="宋体" w:eastAsia="宋体" w:hint="default"/>
                <w:sz w:val="18"/>
                <w:szCs w:val="18"/>
              </w:rPr>
              <w:t>子公司</w:t>
            </w:r>
            <w:r>
              <w:rPr>
                <w:rFonts w:ascii="宋体" w:hAnsi="宋体" w:cs="宋体" w:eastAsia="宋体" w:hint="default"/>
                <w:w w:val="99"/>
                <w:sz w:val="18"/>
                <w:szCs w:val="18"/>
              </w:rPr>
              <w:t> </w:t>
            </w:r>
            <w:r>
              <w:rPr>
                <w:rFonts w:ascii="宋体" w:hAnsi="宋体" w:cs="宋体" w:eastAsia="宋体" w:hint="default"/>
                <w:sz w:val="18"/>
                <w:szCs w:val="18"/>
              </w:rPr>
              <w:t>与中诚</w:t>
            </w:r>
            <w:r>
              <w:rPr>
                <w:rFonts w:ascii="宋体" w:hAnsi="宋体" w:cs="宋体" w:eastAsia="宋体" w:hint="default"/>
                <w:w w:val="99"/>
                <w:sz w:val="18"/>
                <w:szCs w:val="18"/>
              </w:rPr>
              <w:t> </w:t>
            </w:r>
            <w:r>
              <w:rPr>
                <w:rFonts w:ascii="宋体" w:hAnsi="宋体" w:cs="宋体" w:eastAsia="宋体" w:hint="default"/>
                <w:sz w:val="18"/>
                <w:szCs w:val="18"/>
              </w:rPr>
              <w:t>信征信</w:t>
            </w:r>
            <w:r>
              <w:rPr>
                <w:rFonts w:ascii="宋体" w:hAnsi="宋体" w:cs="宋体" w:eastAsia="宋体" w:hint="default"/>
                <w:w w:val="99"/>
                <w:sz w:val="18"/>
                <w:szCs w:val="18"/>
              </w:rPr>
              <w:t> </w:t>
            </w:r>
            <w:r>
              <w:rPr>
                <w:rFonts w:ascii="宋体" w:hAnsi="宋体" w:cs="宋体" w:eastAsia="宋体" w:hint="default"/>
                <w:sz w:val="18"/>
                <w:szCs w:val="18"/>
              </w:rPr>
              <w:t>有限公</w:t>
            </w:r>
            <w:r>
              <w:rPr>
                <w:rFonts w:ascii="宋体" w:hAnsi="宋体" w:cs="宋体" w:eastAsia="宋体" w:hint="default"/>
                <w:w w:val="99"/>
                <w:sz w:val="18"/>
                <w:szCs w:val="18"/>
              </w:rPr>
              <w:t> </w:t>
            </w:r>
            <w:r>
              <w:rPr>
                <w:rFonts w:ascii="宋体" w:hAnsi="宋体" w:cs="宋体" w:eastAsia="宋体" w:hint="default"/>
                <w:sz w:val="18"/>
                <w:szCs w:val="18"/>
              </w:rPr>
              <w:t>司日常</w:t>
            </w:r>
            <w:r>
              <w:rPr>
                <w:rFonts w:ascii="宋体" w:hAnsi="宋体" w:cs="宋体" w:eastAsia="宋体" w:hint="default"/>
                <w:w w:val="99"/>
                <w:sz w:val="18"/>
                <w:szCs w:val="18"/>
              </w:rPr>
              <w:t> </w:t>
            </w:r>
            <w:r>
              <w:rPr>
                <w:rFonts w:ascii="宋体" w:hAnsi="宋体" w:cs="宋体" w:eastAsia="宋体" w:hint="default"/>
                <w:sz w:val="18"/>
                <w:szCs w:val="18"/>
              </w:rPr>
              <w:t>关联交</w:t>
            </w:r>
            <w:r>
              <w:rPr>
                <w:rFonts w:ascii="宋体" w:hAnsi="宋体" w:cs="宋体" w:eastAsia="宋体" w:hint="default"/>
                <w:w w:val="99"/>
                <w:sz w:val="18"/>
                <w:szCs w:val="18"/>
              </w:rPr>
              <w:t> </w:t>
            </w:r>
            <w:r>
              <w:rPr>
                <w:rFonts w:ascii="宋体" w:hAnsi="宋体" w:cs="宋体" w:eastAsia="宋体" w:hint="default"/>
                <w:sz w:val="18"/>
                <w:szCs w:val="18"/>
              </w:rPr>
              <w:t>易的公</w:t>
            </w:r>
            <w:r>
              <w:rPr>
                <w:rFonts w:ascii="宋体" w:hAnsi="宋体" w:cs="宋体" w:eastAsia="宋体" w:hint="default"/>
                <w:w w:val="99"/>
                <w:sz w:val="18"/>
                <w:szCs w:val="18"/>
              </w:rPr>
              <w:t> </w:t>
            </w:r>
            <w:r>
              <w:rPr>
                <w:rFonts w:ascii="宋体" w:hAnsi="宋体" w:cs="宋体" w:eastAsia="宋体" w:hint="default"/>
                <w:sz w:val="18"/>
                <w:szCs w:val="18"/>
              </w:rPr>
              <w:t>告</w:t>
            </w:r>
          </w:p>
          <w:p>
            <w:pPr>
              <w:pStyle w:val="TableParagraph"/>
              <w:spacing w:line="240" w:lineRule="auto" w:before="19"/>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p>
          <w:p>
            <w:pPr>
              <w:pStyle w:val="TableParagraph"/>
              <w:spacing w:line="240" w:lineRule="auto" w:before="6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-040</w:t>
            </w:r>
            <w:r>
              <w:rPr>
                <w:rFonts w:ascii="宋体" w:hAnsi="宋体" w:cs="宋体" w:eastAsia="宋体" w:hint="default"/>
                <w:sz w:val="18"/>
                <w:szCs w:val="18"/>
              </w:rPr>
              <w:t>）</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44"/>
              <w:jc w:val="left"/>
              <w:rPr>
                <w:rFonts w:ascii="宋体" w:hAnsi="宋体" w:cs="宋体" w:eastAsia="宋体" w:hint="default"/>
                <w:sz w:val="18"/>
                <w:szCs w:val="18"/>
              </w:rPr>
            </w:pPr>
            <w:r>
              <w:rPr>
                <w:rFonts w:ascii="宋体" w:hAnsi="宋体" w:cs="宋体" w:eastAsia="宋体" w:hint="default"/>
                <w:sz w:val="18"/>
                <w:szCs w:val="18"/>
              </w:rPr>
              <w:t>中国银联 股份有限</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持股</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以上</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6" w:right="101"/>
              <w:jc w:val="left"/>
              <w:rPr>
                <w:rFonts w:ascii="宋体" w:hAnsi="宋体" w:cs="宋体" w:eastAsia="宋体" w:hint="default"/>
                <w:sz w:val="18"/>
                <w:szCs w:val="18"/>
              </w:rPr>
            </w:pPr>
            <w:r>
              <w:rPr>
                <w:rFonts w:ascii="宋体" w:hAnsi="宋体" w:cs="宋体" w:eastAsia="宋体" w:hint="default"/>
                <w:sz w:val="18"/>
                <w:szCs w:val="18"/>
              </w:rPr>
              <w:t>销售商 品、提</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8"/>
              <w:jc w:val="left"/>
              <w:rPr>
                <w:rFonts w:ascii="宋体" w:hAnsi="宋体" w:cs="宋体" w:eastAsia="宋体" w:hint="default"/>
                <w:sz w:val="18"/>
                <w:szCs w:val="18"/>
              </w:rPr>
            </w:pPr>
            <w:r>
              <w:rPr>
                <w:rFonts w:ascii="宋体" w:hAnsi="宋体" w:cs="宋体" w:eastAsia="宋体" w:hint="default"/>
                <w:sz w:val="18"/>
                <w:szCs w:val="18"/>
              </w:rPr>
              <w:t>支付服 务</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107"/>
              <w:jc w:val="left"/>
              <w:rPr>
                <w:rFonts w:ascii="宋体" w:hAnsi="宋体" w:cs="宋体" w:eastAsia="宋体" w:hint="default"/>
                <w:sz w:val="18"/>
                <w:szCs w:val="18"/>
              </w:rPr>
            </w:pPr>
            <w:r>
              <w:rPr>
                <w:rFonts w:ascii="宋体" w:hAnsi="宋体" w:cs="宋体" w:eastAsia="宋体" w:hint="default"/>
                <w:sz w:val="18"/>
                <w:szCs w:val="18"/>
              </w:rPr>
              <w:t>严格符 合监管</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17" w:right="0"/>
              <w:jc w:val="left"/>
              <w:rPr>
                <w:rFonts w:ascii="Times New Roman" w:hAnsi="Times New Roman" w:cs="Times New Roman" w:eastAsia="Times New Roman" w:hint="default"/>
                <w:sz w:val="18"/>
                <w:szCs w:val="18"/>
              </w:rPr>
            </w:pPr>
            <w:r>
              <w:rPr>
                <w:rFonts w:ascii="Times New Roman"/>
                <w:sz w:val="18"/>
              </w:rPr>
              <w:t>8.2</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0.02%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948.7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银行转 账</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04</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65"/>
              <w:jc w:val="left"/>
              <w:rPr>
                <w:rFonts w:ascii="宋体" w:hAnsi="宋体" w:cs="宋体" w:eastAsia="宋体" w:hint="default"/>
                <w:sz w:val="18"/>
                <w:szCs w:val="18"/>
              </w:rPr>
            </w:pPr>
            <w:r>
              <w:rPr>
                <w:rFonts w:ascii="宋体" w:hAnsi="宋体" w:cs="宋体" w:eastAsia="宋体" w:hint="default"/>
                <w:sz w:val="18"/>
                <w:szCs w:val="18"/>
              </w:rPr>
              <w:t>中国证 券报、</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800"/>
        <w:gridCol w:w="677"/>
        <w:gridCol w:w="679"/>
        <w:gridCol w:w="704"/>
        <w:gridCol w:w="682"/>
        <w:gridCol w:w="672"/>
        <w:gridCol w:w="674"/>
        <w:gridCol w:w="675"/>
        <w:gridCol w:w="674"/>
        <w:gridCol w:w="674"/>
        <w:gridCol w:w="674"/>
        <w:gridCol w:w="673"/>
        <w:gridCol w:w="672"/>
        <w:gridCol w:w="641"/>
      </w:tblGrid>
      <w:tr>
        <w:trPr>
          <w:trHeight w:val="5979"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44"/>
              <w:jc w:val="left"/>
              <w:rPr>
                <w:rFonts w:ascii="宋体" w:hAnsi="宋体" w:cs="宋体" w:eastAsia="宋体" w:hint="default"/>
                <w:sz w:val="18"/>
                <w:szCs w:val="18"/>
              </w:rPr>
            </w:pPr>
            <w:r>
              <w:rPr>
                <w:rFonts w:ascii="宋体" w:hAnsi="宋体" w:cs="宋体" w:eastAsia="宋体" w:hint="default"/>
                <w:sz w:val="18"/>
                <w:szCs w:val="18"/>
              </w:rPr>
              <w:t>公司（含 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01"/>
              <w:jc w:val="both"/>
              <w:rPr>
                <w:rFonts w:ascii="宋体" w:hAnsi="宋体" w:cs="宋体" w:eastAsia="宋体" w:hint="default"/>
                <w:sz w:val="18"/>
                <w:szCs w:val="18"/>
              </w:rPr>
            </w:pPr>
            <w:r>
              <w:rPr>
                <w:rFonts w:ascii="宋体" w:hAnsi="宋体" w:cs="宋体" w:eastAsia="宋体" w:hint="default"/>
                <w:sz w:val="18"/>
                <w:szCs w:val="18"/>
              </w:rPr>
              <w:t>股东的 控股股 东方及 其子公 司</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供劳务</w:t>
            </w:r>
          </w:p>
        </w:tc>
        <w:tc>
          <w:tcPr>
            <w:tcW w:w="70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7"/>
              <w:jc w:val="both"/>
              <w:rPr>
                <w:rFonts w:ascii="宋体" w:hAnsi="宋体" w:cs="宋体" w:eastAsia="宋体" w:hint="default"/>
                <w:sz w:val="18"/>
                <w:szCs w:val="18"/>
              </w:rPr>
            </w:pPr>
            <w:r>
              <w:rPr>
                <w:rFonts w:ascii="宋体" w:hAnsi="宋体" w:cs="宋体" w:eastAsia="宋体" w:hint="default"/>
                <w:sz w:val="18"/>
                <w:szCs w:val="18"/>
              </w:rPr>
              <w:t>部门的 各项规 范和要 求，交 易定价 公允</w:t>
            </w:r>
          </w:p>
        </w:tc>
        <w:tc>
          <w:tcPr>
            <w:tcW w:w="672"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65"/>
              <w:jc w:val="both"/>
              <w:rPr>
                <w:rFonts w:ascii="宋体" w:hAnsi="宋体" w:cs="宋体" w:eastAsia="宋体" w:hint="default"/>
                <w:sz w:val="18"/>
                <w:szCs w:val="18"/>
              </w:rPr>
            </w:pPr>
            <w:r>
              <w:rPr>
                <w:rFonts w:ascii="宋体" w:hAnsi="宋体" w:cs="宋体" w:eastAsia="宋体" w:hint="default"/>
                <w:sz w:val="18"/>
                <w:szCs w:val="18"/>
              </w:rPr>
              <w:t>上海证 券报、 证券时 报、证 券日报 及巨潮 资讯网 上的关 于公司 全资子 公司与 中国银 联及银 联商务 日常交 易的公 告</w:t>
            </w:r>
          </w:p>
          <w:p>
            <w:pPr>
              <w:pStyle w:val="TableParagraph"/>
              <w:spacing w:line="240" w:lineRule="auto" w:before="19"/>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p>
          <w:p>
            <w:pPr>
              <w:pStyle w:val="TableParagraph"/>
              <w:spacing w:line="240" w:lineRule="auto" w:before="6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-037</w:t>
            </w:r>
            <w:r>
              <w:rPr>
                <w:rFonts w:ascii="宋体" w:hAnsi="宋体" w:cs="宋体" w:eastAsia="宋体" w:hint="default"/>
                <w:sz w:val="18"/>
                <w:szCs w:val="18"/>
              </w:rPr>
              <w:t>）</w:t>
            </w:r>
          </w:p>
        </w:tc>
      </w:tr>
      <w:tr>
        <w:trPr>
          <w:trHeight w:val="258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9" w:lineRule="auto"/>
              <w:ind w:left="24" w:right="44"/>
              <w:jc w:val="both"/>
              <w:rPr>
                <w:rFonts w:ascii="宋体" w:hAnsi="宋体" w:cs="宋体" w:eastAsia="宋体" w:hint="default"/>
                <w:sz w:val="18"/>
                <w:szCs w:val="18"/>
              </w:rPr>
            </w:pPr>
            <w:r>
              <w:rPr>
                <w:rFonts w:ascii="宋体" w:hAnsi="宋体" w:cs="宋体" w:eastAsia="宋体" w:hint="default"/>
                <w:sz w:val="18"/>
                <w:szCs w:val="18"/>
              </w:rPr>
              <w:t>银联商务 股份有限 公司（含 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9" w:lineRule="auto"/>
              <w:ind w:left="23" w:right="41"/>
              <w:jc w:val="left"/>
              <w:rPr>
                <w:rFonts w:ascii="宋体" w:hAnsi="宋体" w:cs="宋体" w:eastAsia="宋体" w:hint="default"/>
                <w:sz w:val="18"/>
                <w:szCs w:val="18"/>
              </w:rPr>
            </w:pPr>
            <w:r>
              <w:rPr>
                <w:rFonts w:ascii="宋体" w:hAnsi="宋体" w:cs="宋体" w:eastAsia="宋体" w:hint="default"/>
                <w:sz w:val="18"/>
                <w:szCs w:val="18"/>
              </w:rPr>
              <w:t>持股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 股东</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6" w:right="101"/>
              <w:jc w:val="both"/>
              <w:rPr>
                <w:rFonts w:ascii="宋体" w:hAnsi="宋体" w:cs="宋体" w:eastAsia="宋体" w:hint="default"/>
                <w:sz w:val="18"/>
                <w:szCs w:val="18"/>
              </w:rPr>
            </w:pPr>
            <w:r>
              <w:rPr>
                <w:rFonts w:ascii="宋体" w:hAnsi="宋体" w:cs="宋体" w:eastAsia="宋体" w:hint="default"/>
                <w:sz w:val="18"/>
                <w:szCs w:val="18"/>
              </w:rPr>
              <w:t>销售商 品、提 供劳务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7"/>
              <w:ind w:left="23" w:right="128"/>
              <w:jc w:val="left"/>
              <w:rPr>
                <w:rFonts w:ascii="宋体" w:hAnsi="宋体" w:cs="宋体" w:eastAsia="宋体" w:hint="default"/>
                <w:sz w:val="18"/>
                <w:szCs w:val="18"/>
              </w:rPr>
            </w:pPr>
            <w:r>
              <w:rPr>
                <w:rFonts w:ascii="宋体" w:hAnsi="宋体" w:cs="宋体" w:eastAsia="宋体" w:hint="default"/>
                <w:sz w:val="18"/>
                <w:szCs w:val="18"/>
              </w:rPr>
              <w:t>移动信 息服务</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both"/>
              <w:rPr>
                <w:rFonts w:ascii="宋体" w:hAnsi="宋体" w:cs="宋体" w:eastAsia="宋体" w:hint="default"/>
                <w:sz w:val="18"/>
                <w:szCs w:val="18"/>
              </w:rPr>
            </w:pPr>
            <w:r>
              <w:rPr>
                <w:rFonts w:ascii="宋体" w:hAnsi="宋体" w:cs="宋体" w:eastAsia="宋体" w:hint="default"/>
                <w:sz w:val="18"/>
                <w:szCs w:val="18"/>
              </w:rPr>
              <w:t>严格符 合监管 部门的 各项规 范和要 求，交 易定价 公允</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0</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300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7"/>
              <w:ind w:left="23" w:right="98"/>
              <w:jc w:val="left"/>
              <w:rPr>
                <w:rFonts w:ascii="宋体" w:hAnsi="宋体" w:cs="宋体" w:eastAsia="宋体" w:hint="default"/>
                <w:sz w:val="18"/>
                <w:szCs w:val="18"/>
              </w:rPr>
            </w:pPr>
            <w:r>
              <w:rPr>
                <w:rFonts w:ascii="宋体" w:hAnsi="宋体" w:cs="宋体" w:eastAsia="宋体" w:hint="default"/>
                <w:sz w:val="18"/>
                <w:szCs w:val="18"/>
              </w:rPr>
              <w:t>银行转 账</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258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4" w:right="44"/>
              <w:jc w:val="both"/>
              <w:rPr>
                <w:rFonts w:ascii="宋体" w:hAnsi="宋体" w:cs="宋体" w:eastAsia="宋体" w:hint="default"/>
                <w:sz w:val="18"/>
                <w:szCs w:val="18"/>
              </w:rPr>
            </w:pPr>
            <w:r>
              <w:rPr>
                <w:rFonts w:ascii="宋体" w:hAnsi="宋体" w:cs="宋体" w:eastAsia="宋体" w:hint="default"/>
                <w:sz w:val="18"/>
                <w:szCs w:val="18"/>
              </w:rPr>
              <w:t>银联商务 股份有限 公司（含 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9" w:lineRule="auto"/>
              <w:ind w:left="23" w:right="41"/>
              <w:jc w:val="left"/>
              <w:rPr>
                <w:rFonts w:ascii="宋体" w:hAnsi="宋体" w:cs="宋体" w:eastAsia="宋体" w:hint="default"/>
                <w:sz w:val="18"/>
                <w:szCs w:val="18"/>
              </w:rPr>
            </w:pPr>
            <w:r>
              <w:rPr>
                <w:rFonts w:ascii="宋体" w:hAnsi="宋体" w:cs="宋体" w:eastAsia="宋体" w:hint="default"/>
                <w:sz w:val="18"/>
                <w:szCs w:val="18"/>
              </w:rPr>
              <w:t>持股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 股东</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6" w:right="101"/>
              <w:jc w:val="both"/>
              <w:rPr>
                <w:rFonts w:ascii="宋体" w:hAnsi="宋体" w:cs="宋体" w:eastAsia="宋体" w:hint="default"/>
                <w:sz w:val="18"/>
                <w:szCs w:val="18"/>
              </w:rPr>
            </w:pPr>
            <w:r>
              <w:rPr>
                <w:rFonts w:ascii="宋体" w:hAnsi="宋体" w:cs="宋体" w:eastAsia="宋体" w:hint="default"/>
                <w:sz w:val="18"/>
                <w:szCs w:val="18"/>
              </w:rPr>
              <w:t>销售商 品、提 供劳务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28"/>
              <w:jc w:val="left"/>
              <w:rPr>
                <w:rFonts w:ascii="宋体" w:hAnsi="宋体" w:cs="宋体" w:eastAsia="宋体" w:hint="default"/>
                <w:sz w:val="18"/>
                <w:szCs w:val="18"/>
              </w:rPr>
            </w:pPr>
            <w:r>
              <w:rPr>
                <w:rFonts w:ascii="宋体" w:hAnsi="宋体" w:cs="宋体" w:eastAsia="宋体" w:hint="default"/>
                <w:sz w:val="18"/>
                <w:szCs w:val="18"/>
              </w:rPr>
              <w:t>数据分 析服务</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both"/>
              <w:rPr>
                <w:rFonts w:ascii="宋体" w:hAnsi="宋体" w:cs="宋体" w:eastAsia="宋体" w:hint="default"/>
                <w:sz w:val="18"/>
                <w:szCs w:val="18"/>
              </w:rPr>
            </w:pPr>
            <w:r>
              <w:rPr>
                <w:rFonts w:ascii="宋体" w:hAnsi="宋体" w:cs="宋体" w:eastAsia="宋体" w:hint="default"/>
                <w:sz w:val="18"/>
                <w:szCs w:val="18"/>
              </w:rPr>
              <w:t>严格符 合监管 部门的 各项规 范和要 求，交 易定价 公允</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pacing w:val="-1"/>
                <w:sz w:val="18"/>
              </w:rPr>
              <w:t>-0.78</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-0.01%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300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98"/>
              <w:jc w:val="left"/>
              <w:rPr>
                <w:rFonts w:ascii="宋体" w:hAnsi="宋体" w:cs="宋体" w:eastAsia="宋体" w:hint="default"/>
                <w:sz w:val="18"/>
                <w:szCs w:val="18"/>
              </w:rPr>
            </w:pPr>
            <w:r>
              <w:rPr>
                <w:rFonts w:ascii="宋体" w:hAnsi="宋体" w:cs="宋体" w:eastAsia="宋体" w:hint="default"/>
                <w:sz w:val="18"/>
                <w:szCs w:val="18"/>
              </w:rPr>
              <w:t>银行转 账</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258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4" w:right="44"/>
              <w:jc w:val="both"/>
              <w:rPr>
                <w:rFonts w:ascii="宋体" w:hAnsi="宋体" w:cs="宋体" w:eastAsia="宋体" w:hint="default"/>
                <w:sz w:val="18"/>
                <w:szCs w:val="18"/>
              </w:rPr>
            </w:pPr>
            <w:r>
              <w:rPr>
                <w:rFonts w:ascii="宋体" w:hAnsi="宋体" w:cs="宋体" w:eastAsia="宋体" w:hint="default"/>
                <w:sz w:val="18"/>
                <w:szCs w:val="18"/>
              </w:rPr>
              <w:t>中诚信征 信有限公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01"/>
              <w:jc w:val="both"/>
              <w:rPr>
                <w:rFonts w:ascii="宋体" w:hAnsi="宋体" w:cs="宋体" w:eastAsia="宋体" w:hint="default"/>
                <w:sz w:val="18"/>
                <w:szCs w:val="18"/>
              </w:rPr>
            </w:pPr>
            <w:r>
              <w:rPr>
                <w:rFonts w:ascii="宋体" w:hAnsi="宋体" w:cs="宋体" w:eastAsia="宋体" w:hint="default"/>
                <w:sz w:val="18"/>
                <w:szCs w:val="18"/>
              </w:rPr>
              <w:t>本公司 董事吴 鹰先生 在中诚 信任董 事职务</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6" w:right="101"/>
              <w:jc w:val="both"/>
              <w:rPr>
                <w:rFonts w:ascii="宋体" w:hAnsi="宋体" w:cs="宋体" w:eastAsia="宋体" w:hint="default"/>
                <w:sz w:val="18"/>
                <w:szCs w:val="18"/>
              </w:rPr>
            </w:pPr>
            <w:r>
              <w:rPr>
                <w:rFonts w:ascii="宋体" w:hAnsi="宋体" w:cs="宋体" w:eastAsia="宋体" w:hint="default"/>
                <w:sz w:val="18"/>
                <w:szCs w:val="18"/>
              </w:rPr>
              <w:t>采购商 品、接 受劳务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28"/>
              <w:jc w:val="left"/>
              <w:rPr>
                <w:rFonts w:ascii="宋体" w:hAnsi="宋体" w:cs="宋体" w:eastAsia="宋体" w:hint="default"/>
                <w:sz w:val="18"/>
                <w:szCs w:val="18"/>
              </w:rPr>
            </w:pPr>
            <w:r>
              <w:rPr>
                <w:rFonts w:ascii="宋体" w:hAnsi="宋体" w:cs="宋体" w:eastAsia="宋体" w:hint="default"/>
                <w:sz w:val="18"/>
                <w:szCs w:val="18"/>
              </w:rPr>
              <w:t>支付服 务</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both"/>
              <w:rPr>
                <w:rFonts w:ascii="宋体" w:hAnsi="宋体" w:cs="宋体" w:eastAsia="宋体" w:hint="default"/>
                <w:sz w:val="18"/>
                <w:szCs w:val="18"/>
              </w:rPr>
            </w:pPr>
            <w:r>
              <w:rPr>
                <w:rFonts w:ascii="宋体" w:hAnsi="宋体" w:cs="宋体" w:eastAsia="宋体" w:hint="default"/>
                <w:sz w:val="18"/>
                <w:szCs w:val="18"/>
              </w:rPr>
              <w:t>严格符 合监管 部门的 各项规 范和要 求，交 易定价 公允</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pacing w:val="-1"/>
                <w:sz w:val="18"/>
              </w:rPr>
              <w:t>7.12</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0.02%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300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98"/>
              <w:jc w:val="left"/>
              <w:rPr>
                <w:rFonts w:ascii="宋体" w:hAnsi="宋体" w:cs="宋体" w:eastAsia="宋体" w:hint="default"/>
                <w:sz w:val="18"/>
                <w:szCs w:val="18"/>
              </w:rPr>
            </w:pPr>
            <w:r>
              <w:rPr>
                <w:rFonts w:ascii="宋体" w:hAnsi="宋体" w:cs="宋体" w:eastAsia="宋体" w:hint="default"/>
                <w:sz w:val="18"/>
                <w:szCs w:val="18"/>
              </w:rPr>
              <w:t>银行转 账</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800"/>
        <w:gridCol w:w="677"/>
        <w:gridCol w:w="679"/>
        <w:gridCol w:w="704"/>
        <w:gridCol w:w="682"/>
        <w:gridCol w:w="672"/>
        <w:gridCol w:w="674"/>
        <w:gridCol w:w="675"/>
        <w:gridCol w:w="674"/>
        <w:gridCol w:w="674"/>
        <w:gridCol w:w="674"/>
        <w:gridCol w:w="673"/>
        <w:gridCol w:w="672"/>
        <w:gridCol w:w="641"/>
      </w:tblGrid>
      <w:tr>
        <w:trPr>
          <w:trHeight w:val="258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4" w:right="44"/>
              <w:jc w:val="both"/>
              <w:rPr>
                <w:rFonts w:ascii="宋体" w:hAnsi="宋体" w:cs="宋体" w:eastAsia="宋体" w:hint="default"/>
                <w:sz w:val="18"/>
                <w:szCs w:val="18"/>
              </w:rPr>
            </w:pPr>
            <w:r>
              <w:rPr>
                <w:rFonts w:ascii="宋体" w:hAnsi="宋体" w:cs="宋体" w:eastAsia="宋体" w:hint="default"/>
                <w:sz w:val="18"/>
                <w:szCs w:val="18"/>
              </w:rPr>
              <w:t>西藏大川 信息科技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sz w:val="18"/>
                <w:szCs w:val="18"/>
              </w:rPr>
              <w:t>持股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 的股东 的控股 股东方 及其子 公司</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6" w:right="101"/>
              <w:jc w:val="both"/>
              <w:rPr>
                <w:rFonts w:ascii="宋体" w:hAnsi="宋体" w:cs="宋体" w:eastAsia="宋体" w:hint="default"/>
                <w:sz w:val="18"/>
                <w:szCs w:val="18"/>
              </w:rPr>
            </w:pPr>
            <w:r>
              <w:rPr>
                <w:rFonts w:ascii="宋体" w:hAnsi="宋体" w:cs="宋体" w:eastAsia="宋体" w:hint="default"/>
                <w:sz w:val="18"/>
                <w:szCs w:val="18"/>
              </w:rPr>
              <w:t>销售商 品、提 供劳务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28"/>
              <w:jc w:val="left"/>
              <w:rPr>
                <w:rFonts w:ascii="宋体" w:hAnsi="宋体" w:cs="宋体" w:eastAsia="宋体" w:hint="default"/>
                <w:sz w:val="18"/>
                <w:szCs w:val="18"/>
              </w:rPr>
            </w:pPr>
            <w:r>
              <w:rPr>
                <w:rFonts w:ascii="宋体" w:hAnsi="宋体" w:cs="宋体" w:eastAsia="宋体" w:hint="default"/>
                <w:sz w:val="18"/>
                <w:szCs w:val="18"/>
              </w:rPr>
              <w:t>支付服 务</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both"/>
              <w:rPr>
                <w:rFonts w:ascii="宋体" w:hAnsi="宋体" w:cs="宋体" w:eastAsia="宋体" w:hint="default"/>
                <w:sz w:val="18"/>
                <w:szCs w:val="18"/>
              </w:rPr>
            </w:pPr>
            <w:r>
              <w:rPr>
                <w:rFonts w:ascii="宋体" w:hAnsi="宋体" w:cs="宋体" w:eastAsia="宋体" w:hint="default"/>
                <w:sz w:val="18"/>
                <w:szCs w:val="18"/>
              </w:rPr>
              <w:t>严格符 合监管 部门的 各项规 范和要 求，交 易定价 公允</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z w:val="18"/>
              </w:rPr>
              <w:t>29.82</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0.08%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300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98"/>
              <w:jc w:val="left"/>
              <w:rPr>
                <w:rFonts w:ascii="宋体" w:hAnsi="宋体" w:cs="宋体" w:eastAsia="宋体" w:hint="default"/>
                <w:sz w:val="18"/>
                <w:szCs w:val="18"/>
              </w:rPr>
            </w:pPr>
            <w:r>
              <w:rPr>
                <w:rFonts w:ascii="宋体" w:hAnsi="宋体" w:cs="宋体" w:eastAsia="宋体" w:hint="default"/>
                <w:sz w:val="18"/>
                <w:szCs w:val="18"/>
              </w:rPr>
              <w:t>银行转 账</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695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24" w:right="44"/>
              <w:jc w:val="both"/>
              <w:rPr>
                <w:rFonts w:ascii="宋体" w:hAnsi="宋体" w:cs="宋体" w:eastAsia="宋体" w:hint="default"/>
                <w:sz w:val="18"/>
                <w:szCs w:val="18"/>
              </w:rPr>
            </w:pPr>
            <w:r>
              <w:rPr>
                <w:rFonts w:ascii="宋体" w:hAnsi="宋体" w:cs="宋体" w:eastAsia="宋体" w:hint="default"/>
                <w:sz w:val="18"/>
                <w:szCs w:val="18"/>
              </w:rPr>
              <w:t>北京创世 漫道科技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14" w:lineRule="auto"/>
              <w:ind w:left="23" w:right="101"/>
              <w:jc w:val="left"/>
              <w:rPr>
                <w:rFonts w:ascii="宋体" w:hAnsi="宋体" w:cs="宋体" w:eastAsia="宋体" w:hint="default"/>
                <w:sz w:val="18"/>
                <w:szCs w:val="18"/>
              </w:rPr>
            </w:pPr>
            <w:r>
              <w:rPr>
                <w:rFonts w:ascii="宋体" w:hAnsi="宋体" w:cs="宋体" w:eastAsia="宋体" w:hint="default"/>
                <w:sz w:val="18"/>
                <w:szCs w:val="18"/>
              </w:rPr>
              <w:t>其他关 联方</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26" w:right="101"/>
              <w:jc w:val="both"/>
              <w:rPr>
                <w:rFonts w:ascii="宋体" w:hAnsi="宋体" w:cs="宋体" w:eastAsia="宋体" w:hint="default"/>
                <w:sz w:val="18"/>
                <w:szCs w:val="18"/>
              </w:rPr>
            </w:pPr>
            <w:r>
              <w:rPr>
                <w:rFonts w:ascii="宋体" w:hAnsi="宋体" w:cs="宋体" w:eastAsia="宋体" w:hint="default"/>
                <w:sz w:val="18"/>
                <w:szCs w:val="18"/>
              </w:rPr>
              <w:t>销售商 品、提 供劳务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14" w:lineRule="auto"/>
              <w:ind w:left="23" w:right="128"/>
              <w:jc w:val="left"/>
              <w:rPr>
                <w:rFonts w:ascii="宋体" w:hAnsi="宋体" w:cs="宋体" w:eastAsia="宋体" w:hint="default"/>
                <w:sz w:val="18"/>
                <w:szCs w:val="18"/>
              </w:rPr>
            </w:pPr>
            <w:r>
              <w:rPr>
                <w:rFonts w:ascii="宋体" w:hAnsi="宋体" w:cs="宋体" w:eastAsia="宋体" w:hint="default"/>
                <w:sz w:val="18"/>
                <w:szCs w:val="18"/>
              </w:rPr>
              <w:t>移动信 息服务</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107"/>
              <w:jc w:val="both"/>
              <w:rPr>
                <w:rFonts w:ascii="宋体" w:hAnsi="宋体" w:cs="宋体" w:eastAsia="宋体" w:hint="default"/>
                <w:sz w:val="18"/>
                <w:szCs w:val="18"/>
              </w:rPr>
            </w:pPr>
            <w:r>
              <w:rPr>
                <w:rFonts w:ascii="宋体" w:hAnsi="宋体" w:cs="宋体" w:eastAsia="宋体" w:hint="default"/>
                <w:sz w:val="18"/>
                <w:szCs w:val="18"/>
              </w:rPr>
              <w:t>严格符 合监管 部门的 各项规 范和要 求，交 易定价 公允</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10.66</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0.04%</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14" w:lineRule="auto"/>
              <w:ind w:left="23" w:right="98"/>
              <w:jc w:val="left"/>
              <w:rPr>
                <w:rFonts w:ascii="宋体" w:hAnsi="宋体" w:cs="宋体" w:eastAsia="宋体" w:hint="default"/>
                <w:sz w:val="18"/>
                <w:szCs w:val="18"/>
              </w:rPr>
            </w:pPr>
            <w:r>
              <w:rPr>
                <w:rFonts w:ascii="宋体" w:hAnsi="宋体" w:cs="宋体" w:eastAsia="宋体" w:hint="default"/>
                <w:sz w:val="18"/>
                <w:szCs w:val="18"/>
              </w:rPr>
              <w:t>银行转 账</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5"/>
              <w:jc w:val="both"/>
              <w:rPr>
                <w:rFonts w:ascii="宋体" w:hAnsi="宋体" w:cs="宋体" w:eastAsia="宋体" w:hint="default"/>
                <w:sz w:val="18"/>
                <w:szCs w:val="18"/>
              </w:rPr>
            </w:pPr>
            <w:r>
              <w:rPr>
                <w:rFonts w:ascii="宋体" w:hAnsi="宋体" w:cs="宋体" w:eastAsia="宋体" w:hint="default"/>
                <w:sz w:val="18"/>
                <w:szCs w:val="18"/>
              </w:rPr>
              <w:t>中国证 券报、 上海证 券报、 证券时 报、证 券日报 及巨潮 资讯网 上的关 于公司 全资子 公司与 北京创 世漫道 科技有 限公司 日常关 联交易 的公告</w:t>
            </w:r>
          </w:p>
          <w:p>
            <w:pPr>
              <w:pStyle w:val="TableParagraph"/>
              <w:spacing w:line="240" w:lineRule="auto" w:before="19"/>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p>
          <w:p>
            <w:pPr>
              <w:pStyle w:val="TableParagraph"/>
              <w:spacing w:line="240" w:lineRule="auto" w:before="6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-039</w:t>
            </w:r>
            <w:r>
              <w:rPr>
                <w:rFonts w:ascii="宋体" w:hAnsi="宋体" w:cs="宋体" w:eastAsia="宋体" w:hint="default"/>
                <w:sz w:val="18"/>
                <w:szCs w:val="18"/>
              </w:rPr>
              <w:t>）</w:t>
            </w:r>
          </w:p>
        </w:tc>
      </w:tr>
      <w:tr>
        <w:trPr>
          <w:trHeight w:val="161" w:hRule="exact"/>
        </w:trPr>
        <w:tc>
          <w:tcPr>
            <w:tcW w:w="2859"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72" w:type="dxa"/>
            <w:tcBorders>
              <w:top w:val="single" w:sz="4" w:space="0" w:color="000000"/>
              <w:left w:val="single" w:sz="4" w:space="0" w:color="000000"/>
              <w:bottom w:val="nil" w:sz="6" w:space="0" w:color="auto"/>
              <w:right w:val="single" w:sz="4" w:space="0" w:color="000000"/>
            </w:tcBorders>
            <w:shd w:val="clear" w:color="auto" w:fill="D2D2D2"/>
          </w:tcPr>
          <w:p>
            <w:pPr/>
          </w:p>
        </w:tc>
        <w:tc>
          <w:tcPr>
            <w:tcW w:w="674"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7,186.8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6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51,274.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76</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6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91" w:hRule="exact"/>
        </w:trPr>
        <w:tc>
          <w:tcPr>
            <w:tcW w:w="2859"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tcBorders>
              <w:left w:val="single" w:sz="10" w:space="0" w:color="D2D2D2"/>
              <w:right w:val="single" w:sz="4" w:space="0" w:color="000000"/>
            </w:tcBorders>
          </w:tcPr>
          <w:p>
            <w:pPr/>
          </w:p>
        </w:tc>
        <w:tc>
          <w:tcPr>
            <w:tcW w:w="675"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shd w:val="clear" w:color="auto" w:fill="D2D2D2"/>
          </w:tcPr>
          <w:p>
            <w:pPr/>
          </w:p>
        </w:tc>
        <w:tc>
          <w:tcPr>
            <w:tcW w:w="673" w:type="dxa"/>
            <w:vMerge/>
            <w:tcBorders>
              <w:left w:val="single" w:sz="4" w:space="0" w:color="000000"/>
              <w:right w:val="single" w:sz="4" w:space="0" w:color="000000"/>
            </w:tcBorders>
            <w:shd w:val="clear" w:color="auto" w:fill="D2D2D2"/>
          </w:tcPr>
          <w:p>
            <w:pPr/>
          </w:p>
        </w:tc>
        <w:tc>
          <w:tcPr>
            <w:tcW w:w="672" w:type="dxa"/>
            <w:vMerge/>
            <w:tcBorders>
              <w:left w:val="single" w:sz="4" w:space="0" w:color="000000"/>
              <w:right w:val="single" w:sz="4" w:space="0" w:color="000000"/>
            </w:tcBorders>
            <w:shd w:val="clear" w:color="auto" w:fill="D2D2D2"/>
          </w:tcPr>
          <w:p>
            <w:pPr/>
          </w:p>
        </w:tc>
        <w:tc>
          <w:tcPr>
            <w:tcW w:w="641" w:type="dxa"/>
            <w:vMerge/>
            <w:tcBorders>
              <w:left w:val="single" w:sz="4" w:space="0" w:color="000000"/>
              <w:right w:val="single" w:sz="4" w:space="0" w:color="000000"/>
            </w:tcBorders>
            <w:shd w:val="clear" w:color="auto" w:fill="D2D2D2"/>
          </w:tcPr>
          <w:p>
            <w:pPr/>
          </w:p>
        </w:tc>
      </w:tr>
      <w:tr>
        <w:trPr>
          <w:trHeight w:val="162" w:hRule="exact"/>
        </w:trPr>
        <w:tc>
          <w:tcPr>
            <w:tcW w:w="2859"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72" w:type="dxa"/>
            <w:tcBorders>
              <w:top w:val="nil" w:sz="6" w:space="0" w:color="auto"/>
              <w:left w:val="single" w:sz="4" w:space="0" w:color="000000"/>
              <w:bottom w:val="single" w:sz="4" w:space="0" w:color="000000"/>
              <w:right w:val="single" w:sz="4" w:space="0" w:color="000000"/>
            </w:tcBorders>
            <w:shd w:val="clear" w:color="auto" w:fill="D2D2D2"/>
          </w:tcPr>
          <w:p>
            <w:pPr/>
          </w:p>
        </w:tc>
        <w:tc>
          <w:tcPr>
            <w:tcW w:w="674" w:type="dxa"/>
            <w:vMerge/>
            <w:tcBorders>
              <w:left w:val="single" w:sz="10" w:space="0" w:color="D2D2D2"/>
              <w:bottom w:val="single" w:sz="4" w:space="0" w:color="000000"/>
              <w:right w:val="single" w:sz="4" w:space="0" w:color="000000"/>
            </w:tcBorders>
          </w:tcPr>
          <w:p>
            <w:pPr/>
          </w:p>
        </w:tc>
        <w:tc>
          <w:tcPr>
            <w:tcW w:w="675"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3" w:type="dxa"/>
            <w:vMerge/>
            <w:tcBorders>
              <w:left w:val="single" w:sz="4" w:space="0" w:color="000000"/>
              <w:bottom w:val="single" w:sz="4" w:space="0" w:color="000000"/>
              <w:right w:val="single" w:sz="4" w:space="0" w:color="000000"/>
            </w:tcBorders>
            <w:shd w:val="clear" w:color="auto" w:fill="D2D2D2"/>
          </w:tcPr>
          <w:p>
            <w:pPr/>
          </w:p>
        </w:tc>
        <w:tc>
          <w:tcPr>
            <w:tcW w:w="672" w:type="dxa"/>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1"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5" w:hRule="exact"/>
        </w:trPr>
        <w:tc>
          <w:tcPr>
            <w:tcW w:w="2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实际履行情况（如有）</w:t>
            </w:r>
          </w:p>
        </w:tc>
        <w:tc>
          <w:tcPr>
            <w:tcW w:w="6711"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2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23"/>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11"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bookmarkStart w:name="2、资产或股权收购、出售发生的关联交易" w:id="83"/>
      <w:bookmarkEnd w:id="83"/>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6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after="0" w:line="338"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3、共同对外投资的关联交易" w:id="84"/>
      <w:bookmarkEnd w:id="84"/>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5"/>
        <w:rPr>
          <w:rFonts w:ascii="宋体" w:hAnsi="宋体" w:cs="宋体" w:eastAsia="宋体" w:hint="default"/>
          <w:b/>
          <w:bCs/>
          <w:sz w:val="26"/>
          <w:szCs w:val="26"/>
        </w:rPr>
      </w:pPr>
    </w:p>
    <w:p>
      <w:pPr>
        <w:pStyle w:val="BodyText"/>
        <w:spacing w:line="338" w:lineRule="auto"/>
        <w:ind w:right="7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line="240" w:lineRule="auto" w:before="7"/>
        <w:rPr>
          <w:rFonts w:ascii="宋体" w:hAnsi="宋体" w:cs="宋体" w:eastAsia="宋体" w:hint="default"/>
          <w:sz w:val="21"/>
          <w:szCs w:val="21"/>
        </w:rPr>
      </w:pPr>
    </w:p>
    <w:p>
      <w:pPr>
        <w:pStyle w:val="Heading3"/>
        <w:spacing w:line="240" w:lineRule="auto"/>
        <w:ind w:right="1133"/>
        <w:jc w:val="left"/>
        <w:rPr>
          <w:b w:val="0"/>
          <w:bCs w:val="0"/>
        </w:rPr>
      </w:pPr>
      <w:bookmarkStart w:name="4、关联债权债务往来" w:id="85"/>
      <w:bookmarkEnd w:id="85"/>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是否存在非经营性关联债权债务往来</w:t>
      </w:r>
    </w:p>
    <w:p>
      <w:pPr>
        <w:pStyle w:val="BodyText"/>
        <w:spacing w:line="340" w:lineRule="auto" w:before="43"/>
        <w:ind w:right="69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公司报告期不存在非经营性关联债权债务往来。</w:t>
      </w:r>
    </w:p>
    <w:p>
      <w:pPr>
        <w:spacing w:line="240" w:lineRule="auto" w:before="4"/>
        <w:rPr>
          <w:rFonts w:ascii="宋体" w:hAnsi="宋体" w:cs="宋体" w:eastAsia="宋体" w:hint="default"/>
          <w:sz w:val="21"/>
          <w:szCs w:val="21"/>
        </w:rPr>
      </w:pPr>
    </w:p>
    <w:p>
      <w:pPr>
        <w:pStyle w:val="Heading3"/>
        <w:spacing w:line="240" w:lineRule="auto"/>
        <w:ind w:right="1133"/>
        <w:jc w:val="left"/>
        <w:rPr>
          <w:b w:val="0"/>
          <w:bCs w:val="0"/>
        </w:rPr>
      </w:pPr>
      <w:bookmarkStart w:name="5、其他重大关联交易" w:id="86"/>
      <w:bookmarkEnd w:id="86"/>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公司报告期无其他重大关联交易。</w:t>
      </w:r>
    </w:p>
    <w:p>
      <w:pPr>
        <w:spacing w:line="240" w:lineRule="auto" w:before="6"/>
        <w:rPr>
          <w:rFonts w:ascii="宋体" w:hAnsi="宋体" w:cs="宋体" w:eastAsia="宋体" w:hint="default"/>
          <w:sz w:val="19"/>
          <w:szCs w:val="19"/>
        </w:rPr>
      </w:pPr>
    </w:p>
    <w:p>
      <w:pPr>
        <w:pStyle w:val="Heading2"/>
        <w:spacing w:line="240" w:lineRule="auto"/>
        <w:ind w:right="1133"/>
        <w:jc w:val="left"/>
        <w:rPr>
          <w:b w:val="0"/>
          <w:bCs w:val="0"/>
        </w:rPr>
      </w:pPr>
      <w:bookmarkStart w:name="十七、重大合同及其履行情况" w:id="87"/>
      <w:bookmarkEnd w:id="87"/>
      <w:r>
        <w:rPr>
          <w:b w:val="0"/>
          <w:bCs w:val="0"/>
        </w:rPr>
      </w:r>
      <w:r>
        <w:rPr/>
        <w:t>十七、重大合同及其履行情况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bookmarkStart w:name="1、托管、承包、租赁事项情况" w:id="88"/>
      <w:bookmarkEnd w:id="88"/>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托管情况" w:id="89"/>
      <w:bookmarkEnd w:id="89"/>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5"/>
        <w:rPr>
          <w:rFonts w:ascii="宋体" w:hAnsi="宋体" w:cs="宋体" w:eastAsia="宋体" w:hint="default"/>
          <w:b/>
          <w:bCs/>
          <w:sz w:val="26"/>
          <w:szCs w:val="26"/>
        </w:rPr>
      </w:pPr>
    </w:p>
    <w:p>
      <w:pPr>
        <w:pStyle w:val="BodyText"/>
        <w:spacing w:line="338"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7"/>
        <w:rPr>
          <w:rFonts w:ascii="宋体" w:hAnsi="宋体" w:cs="宋体" w:eastAsia="宋体" w:hint="default"/>
          <w:sz w:val="21"/>
          <w:szCs w:val="21"/>
        </w:rPr>
      </w:pPr>
    </w:p>
    <w:p>
      <w:pPr>
        <w:pStyle w:val="Heading3"/>
        <w:spacing w:line="240" w:lineRule="auto"/>
        <w:ind w:right="1133"/>
        <w:jc w:val="left"/>
        <w:rPr>
          <w:b w:val="0"/>
          <w:bCs w:val="0"/>
        </w:rPr>
      </w:pPr>
      <w:bookmarkStart w:name="（2）承包情况" w:id="90"/>
      <w:bookmarkEnd w:id="90"/>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7"/>
        <w:rPr>
          <w:rFonts w:ascii="宋体" w:hAnsi="宋体" w:cs="宋体" w:eastAsia="宋体" w:hint="default"/>
          <w:sz w:val="21"/>
          <w:szCs w:val="21"/>
        </w:rPr>
      </w:pPr>
    </w:p>
    <w:p>
      <w:pPr>
        <w:pStyle w:val="Heading3"/>
        <w:spacing w:line="240" w:lineRule="auto"/>
        <w:ind w:right="1133"/>
        <w:jc w:val="left"/>
        <w:rPr>
          <w:b w:val="0"/>
          <w:bCs w:val="0"/>
        </w:rPr>
      </w:pPr>
      <w:bookmarkStart w:name="（3）租赁情况" w:id="91"/>
      <w:bookmarkEnd w:id="91"/>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公司报告期不存在租赁情况。</w:t>
      </w:r>
    </w:p>
    <w:p>
      <w:pPr>
        <w:spacing w:line="240" w:lineRule="auto" w:before="4"/>
        <w:rPr>
          <w:rFonts w:ascii="宋体" w:hAnsi="宋体" w:cs="宋体" w:eastAsia="宋体" w:hint="default"/>
          <w:sz w:val="21"/>
          <w:szCs w:val="21"/>
        </w:rPr>
      </w:pPr>
    </w:p>
    <w:p>
      <w:pPr>
        <w:pStyle w:val="Heading3"/>
        <w:spacing w:line="240" w:lineRule="auto"/>
        <w:ind w:right="1133"/>
        <w:jc w:val="left"/>
        <w:rPr>
          <w:b w:val="0"/>
          <w:bCs w:val="0"/>
        </w:rPr>
      </w:pPr>
      <w:bookmarkStart w:name="2、重大担保" w:id="92"/>
      <w:bookmarkEnd w:id="92"/>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1）担保情况" w:id="93"/>
      <w:bookmarkEnd w:id="93"/>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单位：万元</w:t>
      </w:r>
    </w:p>
    <w:p>
      <w:pPr>
        <w:spacing w:after="0" w:line="240" w:lineRule="auto"/>
        <w:jc w:val="right"/>
        <w:sectPr>
          <w:footerReference w:type="default" r:id="rId14"/>
          <w:pgSz w:w="11910" w:h="16840"/>
          <w:pgMar w:footer="980" w:header="745" w:top="1060" w:bottom="1160" w:left="980" w:right="0"/>
          <w:pgNumType w:start="5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09"/>
        <w:gridCol w:w="921"/>
        <w:gridCol w:w="930"/>
        <w:gridCol w:w="1296"/>
        <w:gridCol w:w="1064"/>
        <w:gridCol w:w="1034"/>
        <w:gridCol w:w="1049"/>
        <w:gridCol w:w="792"/>
        <w:gridCol w:w="780"/>
      </w:tblGrid>
      <w:tr>
        <w:trPr>
          <w:trHeight w:val="402"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32"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1"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316" w:lineRule="auto" w:before="50"/>
              <w:ind w:left="100" w:right="86"/>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0" w:type="dxa"/>
            <w:tcBorders>
              <w:top w:val="single" w:sz="4" w:space="0" w:color="000000"/>
              <w:left w:val="single" w:sz="5"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4" w:lineRule="auto"/>
              <w:ind w:left="437" w:right="75"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4" w:lineRule="auto"/>
              <w:ind w:left="213" w:right="2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4" w:lineRule="auto"/>
              <w:ind w:left="23"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湖北海立美达购车客 户</w:t>
            </w:r>
          </w:p>
        </w:tc>
        <w:tc>
          <w:tcPr>
            <w:tcW w:w="921"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0"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73"/>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 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26"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pacing w:val="-1"/>
                <w:sz w:val="18"/>
              </w:rPr>
              <w:t>20,000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82"/>
              <w:jc w:val="left"/>
              <w:rPr>
                <w:rFonts w:ascii="宋体" w:hAnsi="宋体" w:cs="宋体" w:eastAsia="宋体" w:hint="default"/>
                <w:sz w:val="18"/>
                <w:szCs w:val="18"/>
              </w:rPr>
            </w:pPr>
            <w:r>
              <w:rPr>
                <w:rFonts w:ascii="宋体" w:hAnsi="宋体" w:cs="宋体" w:eastAsia="宋体" w:hint="default"/>
                <w:sz w:val="18"/>
                <w:szCs w:val="18"/>
              </w:rPr>
              <w:t>报告期内对外担保实际发 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21"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20"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 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226"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pacing w:val="-1"/>
                <w:sz w:val="18"/>
              </w:rPr>
              <w:t>20,000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报告期末实际对外担保余 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21"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66" w:hRule="exact"/>
        </w:trPr>
        <w:tc>
          <w:tcPr>
            <w:tcW w:w="1709" w:type="dxa"/>
            <w:vMerge w:val="restart"/>
            <w:tcBorders>
              <w:top w:val="single" w:sz="4" w:space="0" w:color="000000"/>
              <w:left w:val="single" w:sz="4" w:space="0" w:color="000000"/>
              <w:right w:val="single" w:sz="4" w:space="0" w:color="000000"/>
            </w:tcBorders>
            <w:shd w:val="clear" w:color="auto" w:fill="D2D2D2"/>
          </w:tcPr>
          <w:p>
            <w:pPr/>
          </w:p>
        </w:tc>
        <w:tc>
          <w:tcPr>
            <w:tcW w:w="92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95" w:right="92"/>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0" w:type="dxa"/>
            <w:vMerge w:val="restart"/>
            <w:tcBorders>
              <w:top w:val="single" w:sz="4" w:space="0" w:color="000000"/>
              <w:left w:val="single" w:sz="4" w:space="0" w:color="000000"/>
              <w:right w:val="single" w:sz="4" w:space="0" w:color="000000"/>
            </w:tcBorders>
            <w:shd w:val="clear" w:color="auto" w:fill="D2D2D2"/>
          </w:tcPr>
          <w:p>
            <w:pPr/>
          </w:p>
        </w:tc>
        <w:tc>
          <w:tcPr>
            <w:tcW w:w="1296" w:type="dxa"/>
            <w:vMerge w:val="restart"/>
            <w:tcBorders>
              <w:top w:val="single" w:sz="4" w:space="0" w:color="000000"/>
              <w:left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4" w:type="dxa"/>
            <w:vMerge w:val="restart"/>
            <w:tcBorders>
              <w:top w:val="single" w:sz="4" w:space="0" w:color="000000"/>
              <w:left w:val="single" w:sz="4" w:space="0" w:color="000000"/>
              <w:right w:val="single" w:sz="4" w:space="0" w:color="000000"/>
            </w:tcBorders>
            <w:shd w:val="clear" w:color="auto" w:fill="D2D2D2"/>
          </w:tcPr>
          <w:p>
            <w:pPr/>
          </w:p>
        </w:tc>
        <w:tc>
          <w:tcPr>
            <w:tcW w:w="1049" w:type="dxa"/>
            <w:vMerge w:val="restart"/>
            <w:tcBorders>
              <w:top w:val="single" w:sz="4" w:space="0" w:color="000000"/>
              <w:left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09" w:type="dxa"/>
            <w:vMerge/>
            <w:tcBorders>
              <w:left w:val="single" w:sz="4" w:space="0" w:color="000000"/>
              <w:bottom w:val="nil" w:sz="6" w:space="0" w:color="auto"/>
              <w:right w:val="single" w:sz="4" w:space="0" w:color="000000"/>
            </w:tcBorders>
            <w:shd w:val="clear" w:color="auto" w:fill="D2D2D2"/>
          </w:tcPr>
          <w:p>
            <w:pPr/>
          </w:p>
        </w:tc>
        <w:tc>
          <w:tcPr>
            <w:tcW w:w="921" w:type="dxa"/>
            <w:vMerge/>
            <w:tcBorders>
              <w:left w:val="single" w:sz="4" w:space="0" w:color="000000"/>
              <w:right w:val="single" w:sz="4" w:space="0" w:color="000000"/>
            </w:tcBorders>
            <w:shd w:val="clear" w:color="auto" w:fill="D2D2D2"/>
          </w:tcPr>
          <w:p>
            <w:pPr/>
          </w:p>
        </w:tc>
        <w:tc>
          <w:tcPr>
            <w:tcW w:w="930" w:type="dxa"/>
            <w:vMerge/>
            <w:tcBorders>
              <w:left w:val="single" w:sz="4" w:space="0" w:color="000000"/>
              <w:bottom w:val="nil" w:sz="6" w:space="0" w:color="auto"/>
              <w:right w:val="single" w:sz="4" w:space="0" w:color="000000"/>
            </w:tcBorders>
            <w:shd w:val="clear" w:color="auto" w:fill="D2D2D2"/>
          </w:tcPr>
          <w:p>
            <w:pPr/>
          </w:p>
        </w:tc>
        <w:tc>
          <w:tcPr>
            <w:tcW w:w="1296" w:type="dxa"/>
            <w:vMerge/>
            <w:tcBorders>
              <w:left w:val="single" w:sz="4" w:space="0" w:color="000000"/>
              <w:bottom w:val="nil" w:sz="6" w:space="0" w:color="auto"/>
              <w:right w:val="single" w:sz="4" w:space="0" w:color="000000"/>
            </w:tcBorders>
            <w:shd w:val="clear" w:color="auto" w:fill="D2D2D2"/>
          </w:tcPr>
          <w:p>
            <w:pPr/>
          </w:p>
        </w:tc>
        <w:tc>
          <w:tcPr>
            <w:tcW w:w="10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37" w:right="75"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vMerge/>
            <w:tcBorders>
              <w:left w:val="single" w:sz="4" w:space="0" w:color="000000"/>
              <w:bottom w:val="nil" w:sz="6" w:space="0" w:color="auto"/>
              <w:right w:val="single" w:sz="4" w:space="0" w:color="000000"/>
            </w:tcBorders>
            <w:shd w:val="clear" w:color="auto" w:fill="D2D2D2"/>
          </w:tcPr>
          <w:p>
            <w:pPr/>
          </w:p>
        </w:tc>
        <w:tc>
          <w:tcPr>
            <w:tcW w:w="1049" w:type="dxa"/>
            <w:vMerge/>
            <w:tcBorders>
              <w:left w:val="single" w:sz="4" w:space="0" w:color="000000"/>
              <w:bottom w:val="nil" w:sz="6" w:space="0" w:color="auto"/>
              <w:right w:val="single" w:sz="4" w:space="0" w:color="000000"/>
            </w:tcBorders>
            <w:shd w:val="clear" w:color="auto" w:fill="D2D2D2"/>
          </w:tcPr>
          <w:p>
            <w:pP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11"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1" w:hRule="exact"/>
        </w:trPr>
        <w:tc>
          <w:tcPr>
            <w:tcW w:w="1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1" w:type="dxa"/>
            <w:vMerge/>
            <w:tcBorders>
              <w:left w:val="single" w:sz="4" w:space="0" w:color="000000"/>
              <w:right w:val="single" w:sz="4" w:space="0" w:color="000000"/>
            </w:tcBorders>
            <w:shd w:val="clear" w:color="auto" w:fill="D2D2D2"/>
          </w:tcPr>
          <w:p>
            <w:pPr/>
          </w:p>
        </w:tc>
        <w:tc>
          <w:tcPr>
            <w:tcW w:w="9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4" w:type="dxa"/>
            <w:vMerge/>
            <w:tcBorders>
              <w:left w:val="single" w:sz="4" w:space="0" w:color="000000"/>
              <w:right w:val="single" w:sz="4" w:space="0" w:color="000000"/>
            </w:tcBorders>
            <w:shd w:val="clear" w:color="auto" w:fill="D2D2D2"/>
          </w:tcPr>
          <w:p>
            <w:pPr/>
          </w:p>
        </w:tc>
        <w:tc>
          <w:tcPr>
            <w:tcW w:w="10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56" w:hRule="exact"/>
        </w:trPr>
        <w:tc>
          <w:tcPr>
            <w:tcW w:w="1709" w:type="dxa"/>
            <w:vMerge w:val="restart"/>
            <w:tcBorders>
              <w:top w:val="nil" w:sz="6" w:space="0" w:color="auto"/>
              <w:left w:val="single" w:sz="4" w:space="0" w:color="000000"/>
              <w:right w:val="single" w:sz="4" w:space="0" w:color="000000"/>
            </w:tcBorders>
            <w:shd w:val="clear" w:color="auto" w:fill="D2D2D2"/>
          </w:tcPr>
          <w:p>
            <w:pPr/>
          </w:p>
        </w:tc>
        <w:tc>
          <w:tcPr>
            <w:tcW w:w="921" w:type="dxa"/>
            <w:vMerge/>
            <w:tcBorders>
              <w:left w:val="single" w:sz="4" w:space="0" w:color="000000"/>
              <w:right w:val="single" w:sz="4" w:space="0" w:color="000000"/>
            </w:tcBorders>
            <w:shd w:val="clear" w:color="auto" w:fill="D2D2D2"/>
          </w:tcPr>
          <w:p>
            <w:pPr/>
          </w:p>
        </w:tc>
        <w:tc>
          <w:tcPr>
            <w:tcW w:w="930" w:type="dxa"/>
            <w:vMerge w:val="restart"/>
            <w:tcBorders>
              <w:top w:val="nil" w:sz="6" w:space="0" w:color="auto"/>
              <w:left w:val="single" w:sz="4" w:space="0" w:color="000000"/>
              <w:right w:val="single" w:sz="4" w:space="0" w:color="000000"/>
            </w:tcBorders>
            <w:shd w:val="clear" w:color="auto" w:fill="D2D2D2"/>
          </w:tcPr>
          <w:p>
            <w:pPr/>
          </w:p>
        </w:tc>
        <w:tc>
          <w:tcPr>
            <w:tcW w:w="1296" w:type="dxa"/>
            <w:vMerge w:val="restart"/>
            <w:tcBorders>
              <w:top w:val="nil" w:sz="6" w:space="0" w:color="auto"/>
              <w:left w:val="single" w:sz="4" w:space="0" w:color="000000"/>
              <w:right w:val="single" w:sz="4" w:space="0" w:color="000000"/>
            </w:tcBorders>
            <w:shd w:val="clear" w:color="auto" w:fill="D2D2D2"/>
          </w:tcPr>
          <w:p>
            <w:pPr/>
          </w:p>
        </w:tc>
        <w:tc>
          <w:tcPr>
            <w:tcW w:w="1064" w:type="dxa"/>
            <w:vMerge/>
            <w:tcBorders>
              <w:left w:val="single" w:sz="4" w:space="0" w:color="000000"/>
              <w:bottom w:val="nil" w:sz="6" w:space="0" w:color="auto"/>
              <w:right w:val="single" w:sz="4" w:space="0" w:color="000000"/>
            </w:tcBorders>
            <w:shd w:val="clear" w:color="auto" w:fill="D2D2D2"/>
          </w:tcPr>
          <w:p>
            <w:pPr/>
          </w:p>
        </w:tc>
        <w:tc>
          <w:tcPr>
            <w:tcW w:w="1034" w:type="dxa"/>
            <w:vMerge w:val="restart"/>
            <w:tcBorders>
              <w:top w:val="nil" w:sz="6" w:space="0" w:color="auto"/>
              <w:left w:val="single" w:sz="4" w:space="0" w:color="000000"/>
              <w:right w:val="single" w:sz="4" w:space="0" w:color="000000"/>
            </w:tcBorders>
            <w:shd w:val="clear" w:color="auto" w:fill="D2D2D2"/>
          </w:tcPr>
          <w:p>
            <w:pPr/>
          </w:p>
        </w:tc>
        <w:tc>
          <w:tcPr>
            <w:tcW w:w="1049" w:type="dxa"/>
            <w:vMerge w:val="restart"/>
            <w:tcBorders>
              <w:top w:val="nil" w:sz="6" w:space="0" w:color="auto"/>
              <w:left w:val="single" w:sz="4" w:space="0" w:color="000000"/>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c>
          <w:tcPr>
            <w:tcW w:w="780"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09" w:type="dxa"/>
            <w:vMerge/>
            <w:tcBorders>
              <w:left w:val="single" w:sz="4" w:space="0" w:color="000000"/>
              <w:bottom w:val="single" w:sz="4" w:space="0" w:color="000000"/>
              <w:right w:val="single" w:sz="4" w:space="0" w:color="000000"/>
            </w:tcBorders>
            <w:shd w:val="clear" w:color="auto" w:fill="D2D2D2"/>
          </w:tcPr>
          <w:p>
            <w:pPr/>
          </w:p>
        </w:tc>
        <w:tc>
          <w:tcPr>
            <w:tcW w:w="921" w:type="dxa"/>
            <w:vMerge/>
            <w:tcBorders>
              <w:left w:val="single" w:sz="4" w:space="0" w:color="000000"/>
              <w:bottom w:val="single" w:sz="4" w:space="0" w:color="000000"/>
              <w:right w:val="single" w:sz="4" w:space="0" w:color="000000"/>
            </w:tcBorders>
            <w:shd w:val="clear" w:color="auto" w:fill="D2D2D2"/>
          </w:tcPr>
          <w:p>
            <w:pPr/>
          </w:p>
        </w:tc>
        <w:tc>
          <w:tcPr>
            <w:tcW w:w="930" w:type="dxa"/>
            <w:vMerge/>
            <w:tcBorders>
              <w:left w:val="single" w:sz="4" w:space="0" w:color="000000"/>
              <w:bottom w:val="single" w:sz="4" w:space="0" w:color="000000"/>
              <w:right w:val="single" w:sz="4" w:space="0" w:color="000000"/>
            </w:tcBorders>
            <w:shd w:val="clear" w:color="auto" w:fill="D2D2D2"/>
          </w:tcPr>
          <w:p>
            <w:pPr/>
          </w:p>
        </w:tc>
        <w:tc>
          <w:tcPr>
            <w:tcW w:w="1296" w:type="dxa"/>
            <w:vMerge/>
            <w:tcBorders>
              <w:left w:val="single" w:sz="4" w:space="0" w:color="000000"/>
              <w:bottom w:val="single" w:sz="4" w:space="0" w:color="000000"/>
              <w:right w:val="single" w:sz="4" w:space="0" w:color="000000"/>
            </w:tcBorders>
            <w:shd w:val="clear" w:color="auto" w:fill="D2D2D2"/>
          </w:tcPr>
          <w:p>
            <w:pPr/>
          </w:p>
        </w:tc>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4" w:type="dxa"/>
            <w:vMerge/>
            <w:tcBorders>
              <w:left w:val="single" w:sz="4" w:space="0" w:color="000000"/>
              <w:bottom w:val="single" w:sz="4" w:space="0" w:color="000000"/>
              <w:right w:val="single" w:sz="4" w:space="0" w:color="000000"/>
            </w:tcBorders>
            <w:shd w:val="clear" w:color="auto" w:fill="D2D2D2"/>
          </w:tcPr>
          <w:p>
            <w:pPr/>
          </w:p>
        </w:tc>
        <w:tc>
          <w:tcPr>
            <w:tcW w:w="1049" w:type="dxa"/>
            <w:vMerge/>
            <w:tcBorders>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53"/>
              <w:jc w:val="left"/>
              <w:rPr>
                <w:rFonts w:ascii="宋体" w:hAnsi="宋体" w:cs="宋体" w:eastAsia="宋体" w:hint="default"/>
                <w:sz w:val="18"/>
                <w:szCs w:val="18"/>
              </w:rPr>
            </w:pPr>
            <w:r>
              <w:rPr>
                <w:rFonts w:ascii="宋体" w:hAnsi="宋体" w:cs="宋体" w:eastAsia="宋体" w:hint="default"/>
                <w:sz w:val="18"/>
                <w:szCs w:val="18"/>
              </w:rPr>
              <w:t>宁波泰鸿机电有限公 司</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24</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pacing w:val="-10"/>
                <w:sz w:val="18"/>
                <w:szCs w:val="18"/>
              </w:rPr>
              <w:t>年，以实际</w:t>
            </w:r>
            <w:r>
              <w:rPr>
                <w:rFonts w:ascii="宋体" w:hAnsi="宋体" w:cs="宋体" w:eastAsia="宋体" w:hint="default"/>
                <w:sz w:val="18"/>
                <w:szCs w:val="18"/>
              </w:rPr>
              <w:t> 担保为准</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宁波泰鸿机电有限公 司</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5,050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5,050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pacing w:val="-10"/>
                <w:sz w:val="18"/>
                <w:szCs w:val="18"/>
              </w:rPr>
              <w:t>年，以实际</w:t>
            </w:r>
            <w:r>
              <w:rPr>
                <w:rFonts w:ascii="宋体" w:hAnsi="宋体" w:cs="宋体" w:eastAsia="宋体" w:hint="default"/>
                <w:sz w:val="18"/>
                <w:szCs w:val="18"/>
              </w:rPr>
              <w:t> 担保为准</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53"/>
              <w:jc w:val="left"/>
              <w:rPr>
                <w:rFonts w:ascii="宋体" w:hAnsi="宋体" w:cs="宋体" w:eastAsia="宋体" w:hint="default"/>
                <w:sz w:val="18"/>
                <w:szCs w:val="18"/>
              </w:rPr>
            </w:pPr>
            <w:r>
              <w:rPr>
                <w:rFonts w:ascii="宋体" w:hAnsi="宋体" w:cs="宋体" w:eastAsia="宋体" w:hint="default"/>
                <w:sz w:val="18"/>
                <w:szCs w:val="18"/>
              </w:rPr>
              <w:t>宁波泰鸿机电有限公 司</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14</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pacing w:val="-10"/>
                <w:sz w:val="18"/>
                <w:szCs w:val="18"/>
              </w:rPr>
              <w:t>年，以实际</w:t>
            </w:r>
            <w:r>
              <w:rPr>
                <w:rFonts w:ascii="宋体" w:hAnsi="宋体" w:cs="宋体" w:eastAsia="宋体" w:hint="default"/>
                <w:sz w:val="18"/>
                <w:szCs w:val="18"/>
              </w:rPr>
              <w:t> 担保为准</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宁波泰鸿机电有限公 司</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53"/>
              <w:jc w:val="left"/>
              <w:rPr>
                <w:rFonts w:ascii="宋体" w:hAnsi="宋体" w:cs="宋体" w:eastAsia="宋体" w:hint="default"/>
                <w:sz w:val="18"/>
                <w:szCs w:val="18"/>
              </w:rPr>
            </w:pPr>
            <w:r>
              <w:rPr>
                <w:rFonts w:ascii="宋体" w:hAnsi="宋体" w:cs="宋体" w:eastAsia="宋体" w:hint="default"/>
                <w:sz w:val="18"/>
                <w:szCs w:val="18"/>
              </w:rPr>
              <w:t>宁波泰鸿冲压件有限 公司</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2,300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24</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2,300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pacing w:val="-10"/>
                <w:sz w:val="18"/>
                <w:szCs w:val="18"/>
              </w:rPr>
              <w:t>年，以实际</w:t>
            </w:r>
            <w:r>
              <w:rPr>
                <w:rFonts w:ascii="宋体" w:hAnsi="宋体" w:cs="宋体" w:eastAsia="宋体" w:hint="default"/>
                <w:sz w:val="18"/>
                <w:szCs w:val="18"/>
              </w:rPr>
              <w:t> 担保为准</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宁波泰鸿冲压件有限 公司</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pacing w:val="-10"/>
                <w:sz w:val="18"/>
                <w:szCs w:val="18"/>
              </w:rPr>
              <w:t>年，以实际</w:t>
            </w:r>
            <w:r>
              <w:rPr>
                <w:rFonts w:ascii="宋体" w:hAnsi="宋体" w:cs="宋体" w:eastAsia="宋体" w:hint="default"/>
                <w:sz w:val="18"/>
                <w:szCs w:val="18"/>
              </w:rPr>
              <w:t> 担保为准</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53"/>
              <w:jc w:val="left"/>
              <w:rPr>
                <w:rFonts w:ascii="宋体" w:hAnsi="宋体" w:cs="宋体" w:eastAsia="宋体" w:hint="default"/>
                <w:sz w:val="18"/>
                <w:szCs w:val="18"/>
              </w:rPr>
            </w:pPr>
            <w:r>
              <w:rPr>
                <w:rFonts w:ascii="宋体" w:hAnsi="宋体" w:cs="宋体" w:eastAsia="宋体" w:hint="default"/>
                <w:sz w:val="18"/>
                <w:szCs w:val="18"/>
              </w:rPr>
              <w:t>湖北海立田汽车部件 有限公司</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1,600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1,600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pacing w:val="-10"/>
                <w:sz w:val="18"/>
                <w:szCs w:val="18"/>
              </w:rPr>
              <w:t>年，以实际</w:t>
            </w:r>
            <w:r>
              <w:rPr>
                <w:rFonts w:ascii="宋体" w:hAnsi="宋体" w:cs="宋体" w:eastAsia="宋体" w:hint="default"/>
                <w:sz w:val="18"/>
                <w:szCs w:val="18"/>
              </w:rPr>
              <w:t> 担保为准</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湖北海立田汽车部件 有限公司</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pacing w:val="-10"/>
                <w:sz w:val="18"/>
                <w:szCs w:val="18"/>
              </w:rPr>
              <w:t>年，以实际</w:t>
            </w:r>
            <w:r>
              <w:rPr>
                <w:rFonts w:ascii="宋体" w:hAnsi="宋体" w:cs="宋体" w:eastAsia="宋体" w:hint="default"/>
                <w:sz w:val="18"/>
                <w:szCs w:val="18"/>
              </w:rPr>
              <w:t> 担保为准</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53"/>
              <w:jc w:val="left"/>
              <w:rPr>
                <w:rFonts w:ascii="宋体" w:hAnsi="宋体" w:cs="宋体" w:eastAsia="宋体" w:hint="default"/>
                <w:sz w:val="18"/>
                <w:szCs w:val="18"/>
              </w:rPr>
            </w:pPr>
            <w:r>
              <w:rPr>
                <w:rFonts w:ascii="宋体" w:hAnsi="宋体" w:cs="宋体" w:eastAsia="宋体" w:hint="default"/>
                <w:sz w:val="18"/>
                <w:szCs w:val="18"/>
              </w:rPr>
              <w:t>湖北海立田汽车部件 有限公司</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4,400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湖北海立美达汽车有 限公司</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5,985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5,985</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pacing w:val="-10"/>
                <w:sz w:val="18"/>
                <w:szCs w:val="18"/>
              </w:rPr>
              <w:t>年，以实际</w:t>
            </w:r>
            <w:r>
              <w:rPr>
                <w:rFonts w:ascii="宋体" w:hAnsi="宋体" w:cs="宋体" w:eastAsia="宋体" w:hint="default"/>
                <w:sz w:val="18"/>
                <w:szCs w:val="18"/>
              </w:rPr>
              <w:t> 担保为准</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53"/>
              <w:jc w:val="left"/>
              <w:rPr>
                <w:rFonts w:ascii="宋体" w:hAnsi="宋体" w:cs="宋体" w:eastAsia="宋体" w:hint="default"/>
                <w:sz w:val="18"/>
                <w:szCs w:val="18"/>
              </w:rPr>
            </w:pPr>
            <w:r>
              <w:rPr>
                <w:rFonts w:ascii="宋体" w:hAnsi="宋体" w:cs="宋体" w:eastAsia="宋体" w:hint="default"/>
                <w:sz w:val="18"/>
                <w:szCs w:val="18"/>
              </w:rPr>
              <w:t>湖北海立美达汽车有 限公司</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15,015</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上海和达汽车配件有 限公司</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26</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pacing w:val="-10"/>
                <w:sz w:val="18"/>
                <w:szCs w:val="18"/>
              </w:rPr>
              <w:t>年，以实际</w:t>
            </w:r>
            <w:r>
              <w:rPr>
                <w:rFonts w:ascii="宋体" w:hAnsi="宋体" w:cs="宋体" w:eastAsia="宋体" w:hint="default"/>
                <w:sz w:val="18"/>
                <w:szCs w:val="18"/>
              </w:rPr>
              <w:t> 担保为准</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15"/>
        <w:gridCol w:w="909"/>
        <w:gridCol w:w="927"/>
        <w:gridCol w:w="1308"/>
        <w:gridCol w:w="1045"/>
        <w:gridCol w:w="1046"/>
        <w:gridCol w:w="1057"/>
        <w:gridCol w:w="784"/>
        <w:gridCol w:w="784"/>
      </w:tblGrid>
      <w:tr>
        <w:trPr>
          <w:trHeight w:val="713"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59"/>
              <w:jc w:val="left"/>
              <w:rPr>
                <w:rFonts w:ascii="宋体" w:hAnsi="宋体" w:cs="宋体" w:eastAsia="宋体" w:hint="default"/>
                <w:sz w:val="18"/>
                <w:szCs w:val="18"/>
              </w:rPr>
            </w:pPr>
            <w:r>
              <w:rPr>
                <w:rFonts w:ascii="宋体" w:hAnsi="宋体" w:cs="宋体" w:eastAsia="宋体" w:hint="default"/>
                <w:sz w:val="18"/>
                <w:szCs w:val="18"/>
              </w:rPr>
              <w:t>上海和达汽车配件有 限公司</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2,250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3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2,250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38" w:right="9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7"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pacing w:val="-10"/>
                <w:sz w:val="18"/>
                <w:szCs w:val="18"/>
              </w:rPr>
              <w:t>年，以实际</w:t>
            </w:r>
            <w:r>
              <w:rPr>
                <w:rFonts w:ascii="宋体" w:hAnsi="宋体" w:cs="宋体" w:eastAsia="宋体" w:hint="default"/>
                <w:sz w:val="18"/>
                <w:szCs w:val="18"/>
              </w:rPr>
              <w:t> 担保为准</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59"/>
              <w:jc w:val="left"/>
              <w:rPr>
                <w:rFonts w:ascii="宋体" w:hAnsi="宋体" w:cs="宋体" w:eastAsia="宋体" w:hint="default"/>
                <w:sz w:val="18"/>
                <w:szCs w:val="18"/>
              </w:rPr>
            </w:pPr>
            <w:r>
              <w:rPr>
                <w:rFonts w:ascii="宋体" w:hAnsi="宋体" w:cs="宋体" w:eastAsia="宋体" w:hint="default"/>
                <w:sz w:val="18"/>
                <w:szCs w:val="18"/>
              </w:rPr>
              <w:t>上海和达汽车配件有 限公司</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3,225</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30</w:t>
            </w:r>
          </w:p>
          <w:p>
            <w:pPr>
              <w:pStyle w:val="TableParagraph"/>
              <w:spacing w:line="240" w:lineRule="auto" w:before="60"/>
              <w:ind w:left="3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3,225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38" w:right="9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7"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pacing w:val="-10"/>
                <w:sz w:val="18"/>
                <w:szCs w:val="18"/>
              </w:rPr>
              <w:t>年，以实际</w:t>
            </w:r>
            <w:r>
              <w:rPr>
                <w:rFonts w:ascii="宋体" w:hAnsi="宋体" w:cs="宋体" w:eastAsia="宋体" w:hint="default"/>
                <w:sz w:val="18"/>
                <w:szCs w:val="18"/>
              </w:rPr>
              <w:t> 担保为准</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9"/>
              <w:jc w:val="left"/>
              <w:rPr>
                <w:rFonts w:ascii="宋体" w:hAnsi="宋体" w:cs="宋体" w:eastAsia="宋体" w:hint="default"/>
                <w:sz w:val="18"/>
                <w:szCs w:val="18"/>
              </w:rPr>
            </w:pPr>
            <w:r>
              <w:rPr>
                <w:rFonts w:ascii="宋体" w:hAnsi="宋体" w:cs="宋体" w:eastAsia="宋体" w:hint="default"/>
                <w:sz w:val="18"/>
                <w:szCs w:val="18"/>
              </w:rPr>
              <w:t>上海和达汽车配件有 限公司</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6,775</w:t>
            </w:r>
          </w:p>
        </w:tc>
        <w:tc>
          <w:tcPr>
            <w:tcW w:w="1308"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59"/>
              <w:jc w:val="left"/>
              <w:rPr>
                <w:rFonts w:ascii="宋体" w:hAnsi="宋体" w:cs="宋体" w:eastAsia="宋体" w:hint="default"/>
                <w:sz w:val="18"/>
                <w:szCs w:val="18"/>
              </w:rPr>
            </w:pPr>
            <w:r>
              <w:rPr>
                <w:rFonts w:ascii="宋体" w:hAnsi="宋体" w:cs="宋体" w:eastAsia="宋体" w:hint="default"/>
                <w:sz w:val="18"/>
                <w:szCs w:val="18"/>
              </w:rPr>
              <w:t>青岛海立达冲压件有 限公司</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9,900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3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9,900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38" w:right="9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7"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pacing w:val="-10"/>
                <w:sz w:val="18"/>
                <w:szCs w:val="18"/>
              </w:rPr>
              <w:t>年，以实际</w:t>
            </w:r>
            <w:r>
              <w:rPr>
                <w:rFonts w:ascii="宋体" w:hAnsi="宋体" w:cs="宋体" w:eastAsia="宋体" w:hint="default"/>
                <w:sz w:val="18"/>
                <w:szCs w:val="18"/>
              </w:rPr>
              <w:t> 担保为准</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9"/>
              <w:jc w:val="left"/>
              <w:rPr>
                <w:rFonts w:ascii="宋体" w:hAnsi="宋体" w:cs="宋体" w:eastAsia="宋体" w:hint="default"/>
                <w:sz w:val="18"/>
                <w:szCs w:val="18"/>
              </w:rPr>
            </w:pPr>
            <w:r>
              <w:rPr>
                <w:rFonts w:ascii="宋体" w:hAnsi="宋体" w:cs="宋体" w:eastAsia="宋体" w:hint="default"/>
                <w:sz w:val="18"/>
                <w:szCs w:val="18"/>
              </w:rPr>
              <w:t>青岛海立达冲压件有 限公司</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10,100</w:t>
            </w:r>
          </w:p>
        </w:tc>
        <w:tc>
          <w:tcPr>
            <w:tcW w:w="1308"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59"/>
              <w:jc w:val="left"/>
              <w:rPr>
                <w:rFonts w:ascii="宋体" w:hAnsi="宋体" w:cs="宋体" w:eastAsia="宋体" w:hint="default"/>
                <w:sz w:val="18"/>
                <w:szCs w:val="18"/>
              </w:rPr>
            </w:pPr>
            <w:r>
              <w:rPr>
                <w:rFonts w:ascii="宋体" w:hAnsi="宋体" w:cs="宋体" w:eastAsia="宋体" w:hint="default"/>
                <w:sz w:val="18"/>
                <w:szCs w:val="18"/>
              </w:rPr>
              <w:t>青岛海立美达科技有 限公司</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1"/>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5,000</w:t>
            </w:r>
          </w:p>
        </w:tc>
        <w:tc>
          <w:tcPr>
            <w:tcW w:w="1308"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9"/>
              <w:jc w:val="left"/>
              <w:rPr>
                <w:rFonts w:ascii="宋体" w:hAnsi="宋体" w:cs="宋体" w:eastAsia="宋体" w:hint="default"/>
                <w:sz w:val="18"/>
                <w:szCs w:val="18"/>
              </w:rPr>
            </w:pPr>
            <w:r>
              <w:rPr>
                <w:rFonts w:ascii="宋体" w:hAnsi="宋体" w:cs="宋体" w:eastAsia="宋体" w:hint="default"/>
                <w:sz w:val="18"/>
                <w:szCs w:val="18"/>
              </w:rPr>
              <w:t>宝鸡泰鸿机电有限公 司</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1,000</w:t>
            </w:r>
          </w:p>
        </w:tc>
        <w:tc>
          <w:tcPr>
            <w:tcW w:w="1308"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59"/>
              <w:jc w:val="left"/>
              <w:rPr>
                <w:rFonts w:ascii="宋体" w:hAnsi="宋体" w:cs="宋体" w:eastAsia="宋体" w:hint="default"/>
                <w:sz w:val="18"/>
                <w:szCs w:val="18"/>
              </w:rPr>
            </w:pPr>
            <w:r>
              <w:rPr>
                <w:rFonts w:ascii="宋体" w:hAnsi="宋体" w:cs="宋体" w:eastAsia="宋体" w:hint="default"/>
                <w:sz w:val="18"/>
                <w:szCs w:val="18"/>
              </w:rPr>
              <w:t>青岛海立美达精密机 械制造有限公司</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20,000</w:t>
            </w:r>
          </w:p>
        </w:tc>
        <w:tc>
          <w:tcPr>
            <w:tcW w:w="1308"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9"/>
              <w:jc w:val="left"/>
              <w:rPr>
                <w:rFonts w:ascii="宋体" w:hAnsi="宋体" w:cs="宋体" w:eastAsia="宋体" w:hint="default"/>
                <w:sz w:val="18"/>
                <w:szCs w:val="18"/>
              </w:rPr>
            </w:pPr>
            <w:r>
              <w:rPr>
                <w:rFonts w:ascii="宋体" w:hAnsi="宋体" w:cs="宋体" w:eastAsia="宋体" w:hint="default"/>
                <w:sz w:val="18"/>
                <w:szCs w:val="18"/>
              </w:rPr>
              <w:t>青岛海立美达模具有 限公司</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5,000</w:t>
            </w:r>
          </w:p>
        </w:tc>
        <w:tc>
          <w:tcPr>
            <w:tcW w:w="1308"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59"/>
              <w:jc w:val="left"/>
              <w:rPr>
                <w:rFonts w:ascii="宋体" w:hAnsi="宋体" w:cs="宋体" w:eastAsia="宋体" w:hint="default"/>
                <w:sz w:val="18"/>
                <w:szCs w:val="18"/>
              </w:rPr>
            </w:pPr>
            <w:r>
              <w:rPr>
                <w:rFonts w:ascii="宋体" w:hAnsi="宋体" w:cs="宋体" w:eastAsia="宋体" w:hint="default"/>
                <w:sz w:val="18"/>
                <w:szCs w:val="18"/>
              </w:rPr>
              <w:t>宁波海立美达汽车部 件有限公司</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10,000</w:t>
            </w:r>
          </w:p>
        </w:tc>
        <w:tc>
          <w:tcPr>
            <w:tcW w:w="1308"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68"/>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36"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124,000</w:t>
            </w:r>
          </w:p>
        </w:tc>
        <w:tc>
          <w:tcPr>
            <w:tcW w:w="20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0" w:right="78"/>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5"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45,010</w:t>
            </w:r>
          </w:p>
        </w:tc>
      </w:tr>
      <w:tr>
        <w:trPr>
          <w:trHeight w:val="719" w:hRule="exact"/>
        </w:trPr>
        <w:tc>
          <w:tcPr>
            <w:tcW w:w="26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4" w:right="68"/>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36"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149,600</w:t>
            </w:r>
          </w:p>
        </w:tc>
        <w:tc>
          <w:tcPr>
            <w:tcW w:w="20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0" w:right="78"/>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5"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63,310</w:t>
            </w:r>
          </w:p>
        </w:tc>
      </w:tr>
      <w:tr>
        <w:trPr>
          <w:trHeight w:val="397"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2" w:hRule="exact"/>
        </w:trPr>
        <w:tc>
          <w:tcPr>
            <w:tcW w:w="1715" w:type="dxa"/>
            <w:vMerge w:val="restart"/>
            <w:tcBorders>
              <w:top w:val="single" w:sz="4" w:space="0" w:color="000000"/>
              <w:left w:val="single" w:sz="4" w:space="0" w:color="000000"/>
              <w:right w:val="single" w:sz="4" w:space="0" w:color="000000"/>
            </w:tcBorders>
            <w:shd w:val="clear" w:color="auto" w:fill="D2D2D2"/>
          </w:tcPr>
          <w:p>
            <w:pPr/>
          </w:p>
        </w:tc>
        <w:tc>
          <w:tcPr>
            <w:tcW w:w="90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87" w:right="91"/>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7" w:type="dxa"/>
            <w:vMerge w:val="restart"/>
            <w:tcBorders>
              <w:top w:val="single" w:sz="4" w:space="0" w:color="000000"/>
              <w:left w:val="single" w:sz="4" w:space="0" w:color="000000"/>
              <w:right w:val="single" w:sz="4" w:space="0" w:color="000000"/>
            </w:tcBorders>
            <w:shd w:val="clear" w:color="auto" w:fill="D2D2D2"/>
          </w:tcPr>
          <w:p>
            <w:pPr/>
          </w:p>
        </w:tc>
        <w:tc>
          <w:tcPr>
            <w:tcW w:w="1308" w:type="dxa"/>
            <w:vMerge w:val="restart"/>
            <w:tcBorders>
              <w:top w:val="single" w:sz="4" w:space="0" w:color="000000"/>
              <w:left w:val="single" w:sz="4" w:space="0" w:color="000000"/>
              <w:right w:val="single" w:sz="4" w:space="0" w:color="000000"/>
            </w:tcBorders>
            <w:shd w:val="clear" w:color="auto" w:fill="D2D2D2"/>
          </w:tcPr>
          <w:p>
            <w:pPr/>
          </w:p>
        </w:tc>
        <w:tc>
          <w:tcPr>
            <w:tcW w:w="104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6" w:type="dxa"/>
            <w:vMerge w:val="restart"/>
            <w:tcBorders>
              <w:top w:val="single" w:sz="4" w:space="0" w:color="000000"/>
              <w:left w:val="single" w:sz="4" w:space="0" w:color="000000"/>
              <w:right w:val="single" w:sz="4" w:space="0" w:color="000000"/>
            </w:tcBorders>
            <w:shd w:val="clear" w:color="auto" w:fill="D2D2D2"/>
          </w:tcPr>
          <w:p>
            <w:pPr/>
          </w:p>
        </w:tc>
        <w:tc>
          <w:tcPr>
            <w:tcW w:w="1057" w:type="dxa"/>
            <w:vMerge w:val="restart"/>
            <w:tcBorders>
              <w:top w:val="single" w:sz="4" w:space="0" w:color="000000"/>
              <w:left w:val="single" w:sz="4" w:space="0" w:color="000000"/>
              <w:right w:val="single" w:sz="4" w:space="0" w:color="000000"/>
            </w:tcBorders>
            <w:shd w:val="clear" w:color="auto" w:fill="D2D2D2"/>
          </w:tcPr>
          <w:p>
            <w:pPr/>
          </w:p>
        </w:tc>
        <w:tc>
          <w:tcPr>
            <w:tcW w:w="784" w:type="dxa"/>
            <w:tcBorders>
              <w:top w:val="single" w:sz="4" w:space="0" w:color="000000"/>
              <w:left w:val="single" w:sz="4" w:space="0" w:color="000000"/>
              <w:bottom w:val="nil" w:sz="6" w:space="0" w:color="auto"/>
              <w:right w:val="single" w:sz="4" w:space="0" w:color="000000"/>
            </w:tcBorders>
            <w:shd w:val="clear" w:color="auto" w:fill="D2D2D2"/>
          </w:tcPr>
          <w:p>
            <w:pPr/>
          </w:p>
        </w:tc>
        <w:tc>
          <w:tcPr>
            <w:tcW w:w="7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5" w:type="dxa"/>
            <w:vMerge/>
            <w:tcBorders>
              <w:left w:val="single" w:sz="4" w:space="0" w:color="000000"/>
              <w:bottom w:val="nil" w:sz="6" w:space="0" w:color="auto"/>
              <w:right w:val="single" w:sz="4" w:space="0" w:color="000000"/>
            </w:tcBorders>
            <w:shd w:val="clear" w:color="auto" w:fill="D2D2D2"/>
          </w:tcPr>
          <w:p>
            <w:pPr/>
          </w:p>
        </w:tc>
        <w:tc>
          <w:tcPr>
            <w:tcW w:w="909" w:type="dxa"/>
            <w:vMerge/>
            <w:tcBorders>
              <w:left w:val="single" w:sz="4" w:space="0" w:color="000000"/>
              <w:right w:val="single" w:sz="4" w:space="0" w:color="000000"/>
            </w:tcBorders>
            <w:shd w:val="clear" w:color="auto" w:fill="D2D2D2"/>
          </w:tcPr>
          <w:p>
            <w:pPr/>
          </w:p>
        </w:tc>
        <w:tc>
          <w:tcPr>
            <w:tcW w:w="927" w:type="dxa"/>
            <w:vMerge/>
            <w:tcBorders>
              <w:left w:val="single" w:sz="4" w:space="0" w:color="000000"/>
              <w:bottom w:val="nil" w:sz="6" w:space="0" w:color="auto"/>
              <w:right w:val="single" w:sz="4" w:space="0" w:color="000000"/>
            </w:tcBorders>
            <w:shd w:val="clear" w:color="auto" w:fill="D2D2D2"/>
          </w:tcPr>
          <w:p>
            <w:pPr/>
          </w:p>
        </w:tc>
        <w:tc>
          <w:tcPr>
            <w:tcW w:w="1308" w:type="dxa"/>
            <w:vMerge/>
            <w:tcBorders>
              <w:left w:val="single" w:sz="4" w:space="0" w:color="000000"/>
              <w:bottom w:val="nil" w:sz="6" w:space="0" w:color="auto"/>
              <w:right w:val="single" w:sz="4" w:space="0" w:color="000000"/>
            </w:tcBorders>
            <w:shd w:val="clear" w:color="auto" w:fill="D2D2D2"/>
          </w:tcPr>
          <w:p>
            <w:pPr/>
          </w:p>
        </w:tc>
        <w:tc>
          <w:tcPr>
            <w:tcW w:w="104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423" w:right="69"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6" w:type="dxa"/>
            <w:vMerge/>
            <w:tcBorders>
              <w:left w:val="single" w:sz="4" w:space="0" w:color="000000"/>
              <w:bottom w:val="nil" w:sz="6" w:space="0" w:color="auto"/>
              <w:right w:val="single" w:sz="4" w:space="0" w:color="000000"/>
            </w:tcBorders>
            <w:shd w:val="clear" w:color="auto" w:fill="D2D2D2"/>
          </w:tcPr>
          <w:p>
            <w:pPr/>
          </w:p>
        </w:tc>
        <w:tc>
          <w:tcPr>
            <w:tcW w:w="1057" w:type="dxa"/>
            <w:vMerge/>
            <w:tcBorders>
              <w:left w:val="single" w:sz="4" w:space="0" w:color="000000"/>
              <w:bottom w:val="nil" w:sz="6" w:space="0" w:color="auto"/>
              <w:right w:val="single" w:sz="4" w:space="0" w:color="000000"/>
            </w:tcBorders>
            <w:shd w:val="clear" w:color="auto" w:fill="D2D2D2"/>
          </w:tcPr>
          <w:p>
            <w:pPr/>
          </w:p>
        </w:tc>
        <w:tc>
          <w:tcPr>
            <w:tcW w:w="7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02"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3"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1" w:hRule="exact"/>
        </w:trPr>
        <w:tc>
          <w:tcPr>
            <w:tcW w:w="17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10"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09" w:type="dxa"/>
            <w:vMerge/>
            <w:tcBorders>
              <w:left w:val="single" w:sz="4" w:space="0" w:color="000000"/>
              <w:right w:val="single" w:sz="4" w:space="0" w:color="000000"/>
            </w:tcBorders>
            <w:shd w:val="clear" w:color="auto" w:fill="D2D2D2"/>
          </w:tcPr>
          <w:p>
            <w:pPr/>
          </w:p>
        </w:tc>
        <w:tc>
          <w:tcPr>
            <w:tcW w:w="9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9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45" w:type="dxa"/>
            <w:vMerge/>
            <w:tcBorders>
              <w:left w:val="single" w:sz="4" w:space="0" w:color="000000"/>
              <w:right w:val="single" w:sz="4" w:space="0" w:color="000000"/>
            </w:tcBorders>
            <w:shd w:val="clear" w:color="auto" w:fill="D2D2D2"/>
          </w:tcPr>
          <w:p>
            <w:pPr/>
          </w:p>
        </w:tc>
        <w:tc>
          <w:tcPr>
            <w:tcW w:w="10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0"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4" w:type="dxa"/>
            <w:vMerge/>
            <w:tcBorders>
              <w:left w:val="single" w:sz="4" w:space="0" w:color="000000"/>
              <w:right w:val="single" w:sz="4" w:space="0" w:color="000000"/>
            </w:tcBorders>
            <w:shd w:val="clear" w:color="auto" w:fill="D2D2D2"/>
          </w:tcPr>
          <w:p>
            <w:pPr/>
          </w:p>
        </w:tc>
        <w:tc>
          <w:tcPr>
            <w:tcW w:w="784" w:type="dxa"/>
            <w:vMerge/>
            <w:tcBorders>
              <w:left w:val="single" w:sz="4" w:space="0" w:color="000000"/>
              <w:right w:val="single" w:sz="4" w:space="0" w:color="000000"/>
            </w:tcBorders>
            <w:shd w:val="clear" w:color="auto" w:fill="D2D2D2"/>
          </w:tcPr>
          <w:p>
            <w:pPr/>
          </w:p>
        </w:tc>
      </w:tr>
      <w:tr>
        <w:trPr>
          <w:trHeight w:val="156" w:hRule="exact"/>
        </w:trPr>
        <w:tc>
          <w:tcPr>
            <w:tcW w:w="1715" w:type="dxa"/>
            <w:vMerge w:val="restart"/>
            <w:tcBorders>
              <w:top w:val="nil" w:sz="6" w:space="0" w:color="auto"/>
              <w:left w:val="single" w:sz="4" w:space="0" w:color="000000"/>
              <w:right w:val="single" w:sz="4" w:space="0" w:color="000000"/>
            </w:tcBorders>
            <w:shd w:val="clear" w:color="auto" w:fill="D2D2D2"/>
          </w:tcPr>
          <w:p>
            <w:pPr/>
          </w:p>
        </w:tc>
        <w:tc>
          <w:tcPr>
            <w:tcW w:w="909" w:type="dxa"/>
            <w:vMerge/>
            <w:tcBorders>
              <w:left w:val="single" w:sz="4" w:space="0" w:color="000000"/>
              <w:right w:val="single" w:sz="4" w:space="0" w:color="000000"/>
            </w:tcBorders>
            <w:shd w:val="clear" w:color="auto" w:fill="D2D2D2"/>
          </w:tcPr>
          <w:p>
            <w:pPr/>
          </w:p>
        </w:tc>
        <w:tc>
          <w:tcPr>
            <w:tcW w:w="927" w:type="dxa"/>
            <w:vMerge w:val="restart"/>
            <w:tcBorders>
              <w:top w:val="nil" w:sz="6" w:space="0" w:color="auto"/>
              <w:left w:val="single" w:sz="4" w:space="0" w:color="000000"/>
              <w:right w:val="single" w:sz="4" w:space="0" w:color="000000"/>
            </w:tcBorders>
            <w:shd w:val="clear" w:color="auto" w:fill="D2D2D2"/>
          </w:tcPr>
          <w:p>
            <w:pPr/>
          </w:p>
        </w:tc>
        <w:tc>
          <w:tcPr>
            <w:tcW w:w="1308" w:type="dxa"/>
            <w:vMerge w:val="restart"/>
            <w:tcBorders>
              <w:top w:val="nil" w:sz="6" w:space="0" w:color="auto"/>
              <w:left w:val="single" w:sz="4" w:space="0" w:color="000000"/>
              <w:right w:val="single" w:sz="4" w:space="0" w:color="000000"/>
            </w:tcBorders>
            <w:shd w:val="clear" w:color="auto" w:fill="D2D2D2"/>
          </w:tcPr>
          <w:p>
            <w:pPr/>
          </w:p>
        </w:tc>
        <w:tc>
          <w:tcPr>
            <w:tcW w:w="1045" w:type="dxa"/>
            <w:vMerge/>
            <w:tcBorders>
              <w:left w:val="single" w:sz="4" w:space="0" w:color="000000"/>
              <w:bottom w:val="nil" w:sz="6" w:space="0" w:color="auto"/>
              <w:right w:val="single" w:sz="4" w:space="0" w:color="000000"/>
            </w:tcBorders>
            <w:shd w:val="clear" w:color="auto" w:fill="D2D2D2"/>
          </w:tcPr>
          <w:p>
            <w:pPr/>
          </w:p>
        </w:tc>
        <w:tc>
          <w:tcPr>
            <w:tcW w:w="1046" w:type="dxa"/>
            <w:vMerge w:val="restart"/>
            <w:tcBorders>
              <w:top w:val="nil" w:sz="6" w:space="0" w:color="auto"/>
              <w:left w:val="single" w:sz="4" w:space="0" w:color="000000"/>
              <w:right w:val="single" w:sz="4" w:space="0" w:color="000000"/>
            </w:tcBorders>
            <w:shd w:val="clear" w:color="auto" w:fill="D2D2D2"/>
          </w:tcPr>
          <w:p>
            <w:pPr/>
          </w:p>
        </w:tc>
        <w:tc>
          <w:tcPr>
            <w:tcW w:w="1057" w:type="dxa"/>
            <w:vMerge w:val="restart"/>
            <w:tcBorders>
              <w:top w:val="nil" w:sz="6" w:space="0" w:color="auto"/>
              <w:left w:val="single" w:sz="4" w:space="0" w:color="000000"/>
              <w:right w:val="single" w:sz="4" w:space="0" w:color="000000"/>
            </w:tcBorders>
            <w:shd w:val="clear" w:color="auto" w:fill="D2D2D2"/>
          </w:tcPr>
          <w:p>
            <w:pPr/>
          </w:p>
        </w:tc>
        <w:tc>
          <w:tcPr>
            <w:tcW w:w="784" w:type="dxa"/>
            <w:vMerge/>
            <w:tcBorders>
              <w:left w:val="single" w:sz="4" w:space="0" w:color="000000"/>
              <w:bottom w:val="nil" w:sz="6" w:space="0" w:color="auto"/>
              <w:right w:val="single" w:sz="4" w:space="0" w:color="000000"/>
            </w:tcBorders>
            <w:shd w:val="clear" w:color="auto" w:fill="D2D2D2"/>
          </w:tcPr>
          <w:p>
            <w:pPr/>
          </w:p>
        </w:tc>
        <w:tc>
          <w:tcPr>
            <w:tcW w:w="78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15" w:type="dxa"/>
            <w:vMerge/>
            <w:tcBorders>
              <w:left w:val="single" w:sz="4" w:space="0" w:color="000000"/>
              <w:bottom w:val="single" w:sz="4" w:space="0" w:color="000000"/>
              <w:right w:val="single" w:sz="4" w:space="0" w:color="000000"/>
            </w:tcBorders>
            <w:shd w:val="clear" w:color="auto" w:fill="D2D2D2"/>
          </w:tcPr>
          <w:p>
            <w:pPr/>
          </w:p>
        </w:tc>
        <w:tc>
          <w:tcPr>
            <w:tcW w:w="909" w:type="dxa"/>
            <w:vMerge/>
            <w:tcBorders>
              <w:left w:val="single" w:sz="4" w:space="0" w:color="000000"/>
              <w:bottom w:val="single" w:sz="4" w:space="0" w:color="000000"/>
              <w:right w:val="single" w:sz="4" w:space="0" w:color="000000"/>
            </w:tcBorders>
            <w:shd w:val="clear" w:color="auto" w:fill="D2D2D2"/>
          </w:tcPr>
          <w:p>
            <w:pPr/>
          </w:p>
        </w:tc>
        <w:tc>
          <w:tcPr>
            <w:tcW w:w="927" w:type="dxa"/>
            <w:vMerge/>
            <w:tcBorders>
              <w:left w:val="single" w:sz="4" w:space="0" w:color="000000"/>
              <w:bottom w:val="single" w:sz="4" w:space="0" w:color="000000"/>
              <w:right w:val="single" w:sz="4" w:space="0" w:color="000000"/>
            </w:tcBorders>
            <w:shd w:val="clear" w:color="auto" w:fill="D2D2D2"/>
          </w:tcPr>
          <w:p>
            <w:pPr/>
          </w:p>
        </w:tc>
        <w:tc>
          <w:tcPr>
            <w:tcW w:w="1308" w:type="dxa"/>
            <w:vMerge/>
            <w:tcBorders>
              <w:left w:val="single" w:sz="4" w:space="0" w:color="000000"/>
              <w:bottom w:val="single" w:sz="4" w:space="0" w:color="000000"/>
              <w:right w:val="single" w:sz="4" w:space="0" w:color="000000"/>
            </w:tcBorders>
            <w:shd w:val="clear" w:color="auto" w:fill="D2D2D2"/>
          </w:tcPr>
          <w:p>
            <w:pPr/>
          </w:p>
        </w:tc>
        <w:tc>
          <w:tcPr>
            <w:tcW w:w="10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6" w:type="dxa"/>
            <w:vMerge/>
            <w:tcBorders>
              <w:left w:val="single" w:sz="4" w:space="0" w:color="000000"/>
              <w:bottom w:val="single" w:sz="4" w:space="0" w:color="000000"/>
              <w:right w:val="single" w:sz="4" w:space="0" w:color="000000"/>
            </w:tcBorders>
            <w:shd w:val="clear" w:color="auto" w:fill="D2D2D2"/>
          </w:tcPr>
          <w:p>
            <w:pPr/>
          </w:p>
        </w:tc>
        <w:tc>
          <w:tcPr>
            <w:tcW w:w="1057" w:type="dxa"/>
            <w:vMerge/>
            <w:tcBorders>
              <w:left w:val="single" w:sz="4" w:space="0" w:color="000000"/>
              <w:bottom w:val="single" w:sz="4" w:space="0" w:color="000000"/>
              <w:right w:val="single" w:sz="4" w:space="0" w:color="000000"/>
            </w:tcBorders>
            <w:shd w:val="clear" w:color="auto" w:fill="D2D2D2"/>
          </w:tcPr>
          <w:p>
            <w:pPr/>
          </w:p>
        </w:tc>
        <w:tc>
          <w:tcPr>
            <w:tcW w:w="78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26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8"/>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236"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w:t>
            </w:r>
          </w:p>
        </w:tc>
        <w:tc>
          <w:tcPr>
            <w:tcW w:w="20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0" w:right="78"/>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625"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9" w:hRule="exact"/>
        </w:trPr>
        <w:tc>
          <w:tcPr>
            <w:tcW w:w="26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4" w:right="68"/>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236"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w:t>
            </w:r>
          </w:p>
        </w:tc>
        <w:tc>
          <w:tcPr>
            <w:tcW w:w="20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0" w:right="78"/>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625"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96"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5" w:hRule="exact"/>
        </w:trPr>
        <w:tc>
          <w:tcPr>
            <w:tcW w:w="26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6"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144,000</w:t>
            </w:r>
          </w:p>
        </w:tc>
        <w:tc>
          <w:tcPr>
            <w:tcW w:w="20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0" w:right="78"/>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5"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45,010</w:t>
            </w:r>
          </w:p>
        </w:tc>
      </w:tr>
      <w:tr>
        <w:trPr>
          <w:trHeight w:val="714" w:hRule="exact"/>
        </w:trPr>
        <w:tc>
          <w:tcPr>
            <w:tcW w:w="26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6"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169,600</w:t>
            </w:r>
          </w:p>
        </w:tc>
        <w:tc>
          <w:tcPr>
            <w:tcW w:w="20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0" w:right="78"/>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5"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63,310</w:t>
            </w:r>
          </w:p>
        </w:tc>
      </w:tr>
      <w:tr>
        <w:trPr>
          <w:trHeight w:val="402" w:hRule="exact"/>
        </w:trPr>
        <w:tc>
          <w:tcPr>
            <w:tcW w:w="4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5"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16.60%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4833"/>
        <w:gridCol w:w="4730"/>
      </w:tblGrid>
      <w:tr>
        <w:trPr>
          <w:trHeight w:val="396" w:hRule="exact"/>
        </w:trPr>
        <w:tc>
          <w:tcPr>
            <w:tcW w:w="95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8" w:hRule="exact"/>
        </w:trPr>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3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3"/>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3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5,985</w:t>
            </w:r>
          </w:p>
        </w:tc>
      </w:tr>
      <w:tr>
        <w:trPr>
          <w:trHeight w:val="402" w:hRule="exact"/>
        </w:trPr>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3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3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5,985</w:t>
            </w:r>
          </w:p>
        </w:tc>
      </w:tr>
      <w:tr>
        <w:trPr>
          <w:trHeight w:val="714" w:hRule="exact"/>
        </w:trPr>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9"/>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责任的情况说明（如有）</w:t>
            </w:r>
          </w:p>
        </w:tc>
        <w:tc>
          <w:tcPr>
            <w:tcW w:w="473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3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bookmarkStart w:name="（2）违规对外担保情况" w:id="94"/>
      <w:bookmarkEnd w:id="94"/>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70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公司报告期无违规对外担保情况。</w:t>
      </w:r>
    </w:p>
    <w:p>
      <w:pPr>
        <w:spacing w:line="240" w:lineRule="auto" w:before="5"/>
        <w:rPr>
          <w:rFonts w:ascii="宋体" w:hAnsi="宋体" w:cs="宋体" w:eastAsia="宋体" w:hint="default"/>
          <w:sz w:val="21"/>
          <w:szCs w:val="21"/>
        </w:rPr>
      </w:pPr>
    </w:p>
    <w:p>
      <w:pPr>
        <w:pStyle w:val="Heading3"/>
        <w:spacing w:line="240" w:lineRule="auto"/>
        <w:ind w:right="1133"/>
        <w:jc w:val="left"/>
        <w:rPr>
          <w:b w:val="0"/>
          <w:bCs w:val="0"/>
        </w:rPr>
      </w:pPr>
      <w:bookmarkStart w:name="3、委托他人进行现金资产管理情况" w:id="95"/>
      <w:bookmarkEnd w:id="95"/>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1）委托理财情况" w:id="96"/>
      <w:bookmarkEnd w:id="96"/>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3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980" w:right="0"/>
          <w:cols w:num="2" w:equalWidth="0">
            <w:col w:w="1953" w:space="6787"/>
            <w:col w:w="219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68"/>
        <w:gridCol w:w="1964"/>
        <w:gridCol w:w="1980"/>
        <w:gridCol w:w="1911"/>
        <w:gridCol w:w="1846"/>
      </w:tblGrid>
      <w:tr>
        <w:trPr>
          <w:trHeight w:val="401"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77,810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11,900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89,710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49"/>
        <w:ind w:right="-20"/>
        <w:jc w:val="left"/>
      </w:pPr>
      <w:r>
        <w:rPr/>
        <w:t>单项金额重大或安全性较低、流动性较差、不保本的高风险委托理财具体情况</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980" w:right="0"/>
          <w:cols w:num="2" w:equalWidth="0">
            <w:col w:w="6273" w:space="2467"/>
            <w:col w:w="2190"/>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70"/>
        <w:gridCol w:w="590"/>
        <w:gridCol w:w="607"/>
        <w:gridCol w:w="574"/>
        <w:gridCol w:w="562"/>
        <w:gridCol w:w="559"/>
        <w:gridCol w:w="562"/>
        <w:gridCol w:w="562"/>
        <w:gridCol w:w="562"/>
        <w:gridCol w:w="560"/>
        <w:gridCol w:w="562"/>
        <w:gridCol w:w="562"/>
        <w:gridCol w:w="562"/>
        <w:gridCol w:w="548"/>
        <w:gridCol w:w="547"/>
        <w:gridCol w:w="547"/>
        <w:gridCol w:w="538"/>
      </w:tblGrid>
      <w:tr>
        <w:trPr>
          <w:trHeight w:val="2273" w:hRule="exact"/>
        </w:trPr>
        <w:tc>
          <w:tcPr>
            <w:tcW w:w="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99" w:right="99"/>
              <w:jc w:val="both"/>
              <w:rPr>
                <w:rFonts w:ascii="宋体" w:hAnsi="宋体" w:cs="宋体" w:eastAsia="宋体" w:hint="default"/>
                <w:sz w:val="18"/>
                <w:szCs w:val="18"/>
              </w:rPr>
            </w:pPr>
            <w:r>
              <w:rPr>
                <w:rFonts w:ascii="宋体" w:hAnsi="宋体" w:cs="宋体" w:eastAsia="宋体" w:hint="default"/>
                <w:sz w:val="18"/>
                <w:szCs w:val="18"/>
              </w:rPr>
              <w:t>受托 机构 名称</w:t>
            </w:r>
          </w:p>
          <w:p>
            <w:pPr>
              <w:pStyle w:val="TableParagraph"/>
              <w:spacing w:line="316" w:lineRule="auto" w:before="17"/>
              <w:ind w:left="99" w:right="99"/>
              <w:jc w:val="both"/>
              <w:rPr>
                <w:rFonts w:ascii="宋体" w:hAnsi="宋体" w:cs="宋体" w:eastAsia="宋体" w:hint="default"/>
                <w:sz w:val="18"/>
                <w:szCs w:val="18"/>
              </w:rPr>
            </w:pPr>
            <w:r>
              <w:rPr>
                <w:rFonts w:ascii="宋体" w:hAnsi="宋体" w:cs="宋体" w:eastAsia="宋体" w:hint="default"/>
                <w:sz w:val="18"/>
                <w:szCs w:val="18"/>
              </w:rPr>
              <w:t>（或 受托 人姓 名）</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110" w:right="108"/>
              <w:jc w:val="center"/>
              <w:rPr>
                <w:rFonts w:ascii="宋体" w:hAnsi="宋体" w:cs="宋体" w:eastAsia="宋体" w:hint="default"/>
                <w:sz w:val="18"/>
                <w:szCs w:val="18"/>
              </w:rPr>
            </w:pPr>
            <w:r>
              <w:rPr>
                <w:rFonts w:ascii="宋体" w:hAnsi="宋体" w:cs="宋体" w:eastAsia="宋体" w:hint="default"/>
                <w:sz w:val="18"/>
                <w:szCs w:val="18"/>
              </w:rPr>
              <w:t>受托 机构</w:t>
            </w:r>
          </w:p>
          <w:p>
            <w:pPr>
              <w:pStyle w:val="TableParagraph"/>
              <w:spacing w:line="316" w:lineRule="auto" w:before="17"/>
              <w:ind w:left="24" w:right="21"/>
              <w:jc w:val="center"/>
              <w:rPr>
                <w:rFonts w:ascii="宋体" w:hAnsi="宋体" w:cs="宋体" w:eastAsia="宋体" w:hint="default"/>
                <w:sz w:val="18"/>
                <w:szCs w:val="18"/>
              </w:rPr>
            </w:pPr>
            <w:r>
              <w:rPr>
                <w:rFonts w:ascii="宋体" w:hAnsi="宋体" w:cs="宋体" w:eastAsia="宋体" w:hint="default"/>
                <w:sz w:val="18"/>
                <w:szCs w:val="18"/>
              </w:rPr>
              <w:t>（或 受托 </w:t>
            </w:r>
            <w:r>
              <w:rPr>
                <w:rFonts w:ascii="宋体" w:hAnsi="宋体" w:cs="宋体" w:eastAsia="宋体" w:hint="default"/>
                <w:spacing w:val="-3"/>
                <w:sz w:val="18"/>
                <w:szCs w:val="18"/>
              </w:rPr>
              <w:t>人）类</w:t>
            </w:r>
            <w:r>
              <w:rPr>
                <w:rFonts w:ascii="宋体" w:hAnsi="宋体" w:cs="宋体" w:eastAsia="宋体" w:hint="default"/>
                <w:sz w:val="18"/>
                <w:szCs w:val="18"/>
              </w:rPr>
              <w:t> 型</w:t>
            </w:r>
          </w:p>
        </w:tc>
        <w:tc>
          <w:tcPr>
            <w:tcW w:w="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08" w:right="26"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96" w:right="94"/>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95" w:right="91"/>
              <w:jc w:val="left"/>
              <w:rPr>
                <w:rFonts w:ascii="宋体" w:hAnsi="宋体" w:cs="宋体" w:eastAsia="宋体" w:hint="default"/>
                <w:sz w:val="18"/>
                <w:szCs w:val="18"/>
              </w:rPr>
            </w:pPr>
            <w:r>
              <w:rPr>
                <w:rFonts w:ascii="宋体" w:hAnsi="宋体" w:cs="宋体" w:eastAsia="宋体" w:hint="default"/>
                <w:sz w:val="18"/>
                <w:szCs w:val="18"/>
              </w:rPr>
              <w:t>起始 日期</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95" w:right="95"/>
              <w:jc w:val="left"/>
              <w:rPr>
                <w:rFonts w:ascii="宋体" w:hAnsi="宋体" w:cs="宋体" w:eastAsia="宋体" w:hint="default"/>
                <w:sz w:val="18"/>
                <w:szCs w:val="18"/>
              </w:rPr>
            </w:pPr>
            <w:r>
              <w:rPr>
                <w:rFonts w:ascii="宋体" w:hAnsi="宋体" w:cs="宋体" w:eastAsia="宋体" w:hint="default"/>
                <w:sz w:val="18"/>
                <w:szCs w:val="18"/>
              </w:rPr>
              <w:t>终止 日期</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95" w:right="95"/>
              <w:jc w:val="left"/>
              <w:rPr>
                <w:rFonts w:ascii="宋体" w:hAnsi="宋体" w:cs="宋体" w:eastAsia="宋体" w:hint="default"/>
                <w:sz w:val="18"/>
                <w:szCs w:val="18"/>
              </w:rPr>
            </w:pPr>
            <w:r>
              <w:rPr>
                <w:rFonts w:ascii="宋体" w:hAnsi="宋体" w:cs="宋体" w:eastAsia="宋体" w:hint="default"/>
                <w:sz w:val="18"/>
                <w:szCs w:val="18"/>
              </w:rPr>
              <w:t>资金 投向</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95" w:right="95"/>
              <w:jc w:val="both"/>
              <w:rPr>
                <w:rFonts w:ascii="宋体" w:hAnsi="宋体" w:cs="宋体" w:eastAsia="宋体" w:hint="default"/>
                <w:sz w:val="18"/>
                <w:szCs w:val="18"/>
              </w:rPr>
            </w:pPr>
            <w:r>
              <w:rPr>
                <w:rFonts w:ascii="宋体" w:hAnsi="宋体" w:cs="宋体" w:eastAsia="宋体" w:hint="default"/>
                <w:sz w:val="18"/>
                <w:szCs w:val="18"/>
              </w:rPr>
              <w:t>报酬 确定 方式</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96" w:right="91"/>
              <w:jc w:val="both"/>
              <w:rPr>
                <w:rFonts w:ascii="宋体" w:hAnsi="宋体" w:cs="宋体" w:eastAsia="宋体" w:hint="default"/>
                <w:sz w:val="18"/>
                <w:szCs w:val="18"/>
              </w:rPr>
            </w:pPr>
            <w:r>
              <w:rPr>
                <w:rFonts w:ascii="宋体" w:hAnsi="宋体" w:cs="宋体" w:eastAsia="宋体" w:hint="default"/>
                <w:sz w:val="18"/>
                <w:szCs w:val="18"/>
              </w:rPr>
              <w:t>参考 年化 收益 率</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95" w:right="95"/>
              <w:jc w:val="left"/>
              <w:rPr>
                <w:rFonts w:ascii="宋体" w:hAnsi="宋体" w:cs="宋体" w:eastAsia="宋体" w:hint="default"/>
                <w:sz w:val="18"/>
                <w:szCs w:val="18"/>
              </w:rPr>
            </w:pPr>
            <w:r>
              <w:rPr>
                <w:rFonts w:ascii="宋体" w:hAnsi="宋体" w:cs="宋体" w:eastAsia="宋体" w:hint="default"/>
                <w:sz w:val="18"/>
                <w:szCs w:val="18"/>
              </w:rPr>
              <w:t>预期 收益</w:t>
            </w:r>
          </w:p>
          <w:p>
            <w:pPr>
              <w:pStyle w:val="TableParagraph"/>
              <w:spacing w:line="316" w:lineRule="auto" w:before="19"/>
              <w:ind w:left="184" w:right="95" w:hanging="89"/>
              <w:jc w:val="left"/>
              <w:rPr>
                <w:rFonts w:ascii="宋体" w:hAnsi="宋体" w:cs="宋体" w:eastAsia="宋体" w:hint="default"/>
                <w:sz w:val="18"/>
                <w:szCs w:val="18"/>
              </w:rPr>
            </w:pPr>
            <w:r>
              <w:rPr>
                <w:rFonts w:ascii="宋体" w:hAnsi="宋体" w:cs="宋体" w:eastAsia="宋体" w:hint="default"/>
                <w:sz w:val="18"/>
                <w:szCs w:val="18"/>
              </w:rPr>
              <w:t>（如 有</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96" w:right="95"/>
              <w:jc w:val="both"/>
              <w:rPr>
                <w:rFonts w:ascii="宋体" w:hAnsi="宋体" w:cs="宋体" w:eastAsia="宋体" w:hint="default"/>
                <w:sz w:val="18"/>
                <w:szCs w:val="18"/>
              </w:rPr>
            </w:pPr>
            <w:r>
              <w:rPr>
                <w:rFonts w:ascii="宋体" w:hAnsi="宋体" w:cs="宋体" w:eastAsia="宋体" w:hint="default"/>
                <w:sz w:val="18"/>
                <w:szCs w:val="18"/>
              </w:rPr>
              <w:t>报告 期实 际损 益金 额</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95" w:right="95"/>
              <w:jc w:val="both"/>
              <w:rPr>
                <w:rFonts w:ascii="宋体" w:hAnsi="宋体" w:cs="宋体" w:eastAsia="宋体" w:hint="default"/>
                <w:sz w:val="18"/>
                <w:szCs w:val="18"/>
              </w:rPr>
            </w:pPr>
            <w:r>
              <w:rPr>
                <w:rFonts w:ascii="宋体" w:hAnsi="宋体" w:cs="宋体" w:eastAsia="宋体" w:hint="default"/>
                <w:sz w:val="18"/>
                <w:szCs w:val="18"/>
              </w:rPr>
              <w:t>报告 期损 益实 际收 回情 况</w:t>
            </w:r>
          </w:p>
        </w:tc>
        <w:tc>
          <w:tcPr>
            <w:tcW w:w="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88" w:right="87"/>
              <w:jc w:val="both"/>
              <w:rPr>
                <w:rFonts w:ascii="宋体" w:hAnsi="宋体" w:cs="宋体" w:eastAsia="宋体" w:hint="default"/>
                <w:sz w:val="18"/>
                <w:szCs w:val="18"/>
              </w:rPr>
            </w:pPr>
            <w:r>
              <w:rPr>
                <w:rFonts w:ascii="宋体" w:hAnsi="宋体" w:cs="宋体" w:eastAsia="宋体" w:hint="default"/>
                <w:sz w:val="18"/>
                <w:szCs w:val="18"/>
              </w:rPr>
              <w:t>计提 减值 准备 金额</w:t>
            </w:r>
          </w:p>
          <w:p>
            <w:pPr>
              <w:pStyle w:val="TableParagraph"/>
              <w:spacing w:line="316" w:lineRule="auto" w:before="17"/>
              <w:ind w:left="88" w:right="87"/>
              <w:jc w:val="both"/>
              <w:rPr>
                <w:rFonts w:ascii="宋体" w:hAnsi="宋体" w:cs="宋体" w:eastAsia="宋体" w:hint="default"/>
                <w:sz w:val="18"/>
                <w:szCs w:val="18"/>
              </w:rPr>
            </w:pPr>
            <w:r>
              <w:rPr>
                <w:rFonts w:ascii="宋体" w:hAnsi="宋体" w:cs="宋体" w:eastAsia="宋体" w:hint="default"/>
                <w:sz w:val="18"/>
                <w:szCs w:val="18"/>
              </w:rPr>
              <w:t>（如 有）</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88" w:right="86"/>
              <w:jc w:val="both"/>
              <w:rPr>
                <w:rFonts w:ascii="宋体" w:hAnsi="宋体" w:cs="宋体" w:eastAsia="宋体" w:hint="default"/>
                <w:sz w:val="18"/>
                <w:szCs w:val="18"/>
              </w:rPr>
            </w:pPr>
            <w:r>
              <w:rPr>
                <w:rFonts w:ascii="宋体" w:hAnsi="宋体" w:cs="宋体" w:eastAsia="宋体" w:hint="default"/>
                <w:sz w:val="18"/>
                <w:szCs w:val="18"/>
              </w:rPr>
              <w:t>是否 经过 法定 程序</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88" w:right="86"/>
              <w:jc w:val="both"/>
              <w:rPr>
                <w:rFonts w:ascii="宋体" w:hAnsi="宋体" w:cs="宋体" w:eastAsia="宋体" w:hint="default"/>
                <w:sz w:val="18"/>
                <w:szCs w:val="18"/>
              </w:rPr>
            </w:pPr>
            <w:r>
              <w:rPr>
                <w:rFonts w:ascii="宋体" w:hAnsi="宋体" w:cs="宋体" w:eastAsia="宋体" w:hint="default"/>
                <w:sz w:val="18"/>
                <w:szCs w:val="18"/>
              </w:rPr>
              <w:t>未来 是否 还有 委托 理财 计划</w:t>
            </w:r>
          </w:p>
        </w:tc>
        <w:tc>
          <w:tcPr>
            <w:tcW w:w="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19" w:hanging="3"/>
              <w:jc w:val="center"/>
              <w:rPr>
                <w:rFonts w:ascii="宋体" w:hAnsi="宋体" w:cs="宋体" w:eastAsia="宋体" w:hint="default"/>
                <w:sz w:val="18"/>
                <w:szCs w:val="18"/>
              </w:rPr>
            </w:pPr>
            <w:r>
              <w:rPr>
                <w:rFonts w:ascii="宋体" w:hAnsi="宋体" w:cs="宋体" w:eastAsia="宋体" w:hint="default"/>
                <w:sz w:val="18"/>
                <w:szCs w:val="18"/>
              </w:rPr>
              <w:t>事项 概述 及相 关查 询索 </w:t>
            </w:r>
            <w:r>
              <w:rPr>
                <w:rFonts w:ascii="宋体" w:hAnsi="宋体" w:cs="宋体" w:eastAsia="宋体" w:hint="default"/>
                <w:spacing w:val="-20"/>
                <w:sz w:val="18"/>
                <w:szCs w:val="18"/>
              </w:rPr>
              <w:t>引（如</w:t>
            </w:r>
            <w:r>
              <w:rPr>
                <w:rFonts w:ascii="宋体" w:hAnsi="宋体" w:cs="宋体" w:eastAsia="宋体" w:hint="default"/>
                <w:sz w:val="18"/>
                <w:szCs w:val="18"/>
              </w:rPr>
              <w:t> 有）</w:t>
            </w:r>
          </w:p>
        </w:tc>
      </w:tr>
      <w:tr>
        <w:trPr>
          <w:trHeight w:val="1339" w:hRule="exact"/>
        </w:trPr>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76"/>
              <w:jc w:val="both"/>
              <w:rPr>
                <w:rFonts w:ascii="宋体" w:hAnsi="宋体" w:cs="宋体" w:eastAsia="宋体" w:hint="default"/>
                <w:sz w:val="18"/>
                <w:szCs w:val="18"/>
              </w:rPr>
            </w:pPr>
            <w:r>
              <w:rPr>
                <w:rFonts w:ascii="宋体" w:hAnsi="宋体" w:cs="宋体" w:eastAsia="宋体" w:hint="default"/>
                <w:sz w:val="18"/>
                <w:szCs w:val="18"/>
              </w:rPr>
              <w:t>建行 延安 三路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70"/>
              <w:ind w:left="23" w:right="31"/>
              <w:jc w:val="left"/>
              <w:rPr>
                <w:rFonts w:ascii="宋体" w:hAnsi="宋体" w:cs="宋体" w:eastAsia="宋体" w:hint="default"/>
                <w:sz w:val="18"/>
                <w:szCs w:val="18"/>
              </w:rPr>
            </w:pPr>
            <w:r>
              <w:rPr>
                <w:rFonts w:ascii="宋体" w:hAnsi="宋体" w:cs="宋体" w:eastAsia="宋体" w:hint="default"/>
                <w:sz w:val="18"/>
                <w:szCs w:val="18"/>
              </w:rPr>
              <w:t>保本浮 动收益 型</w:t>
            </w:r>
            <w:r>
              <w:rPr>
                <w:rFonts w:ascii="Times New Roman" w:hAnsi="Times New Roman" w:cs="Times New Roman" w:eastAsia="Times New Roman" w:hint="default"/>
                <w:sz w:val="18"/>
                <w:szCs w:val="18"/>
              </w:rPr>
              <w:t>(</w:t>
            </w:r>
            <w:r>
              <w:rPr>
                <w:rFonts w:ascii="宋体" w:hAnsi="宋体" w:cs="宋体" w:eastAsia="宋体" w:hint="default"/>
                <w:sz w:val="18"/>
                <w:szCs w:val="18"/>
              </w:rPr>
              <w:t>银 行理</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7,570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66"/>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3" w:right="-13"/>
              <w:jc w:val="left"/>
              <w:rPr>
                <w:rFonts w:ascii="宋体" w:hAnsi="宋体" w:cs="宋体" w:eastAsia="宋体" w:hint="default"/>
                <w:sz w:val="18"/>
                <w:szCs w:val="18"/>
              </w:rPr>
            </w:pPr>
            <w:r>
              <w:rPr>
                <w:rFonts w:ascii="宋体" w:hAnsi="宋体" w:cs="宋体" w:eastAsia="宋体" w:hint="default"/>
                <w:sz w:val="18"/>
                <w:szCs w:val="18"/>
              </w:rPr>
              <w:t>国债、 金融 </w:t>
            </w:r>
            <w:r>
              <w:rPr>
                <w:rFonts w:ascii="宋体" w:hAnsi="宋体" w:cs="宋体" w:eastAsia="宋体" w:hint="default"/>
                <w:spacing w:val="-12"/>
                <w:sz w:val="18"/>
                <w:szCs w:val="18"/>
              </w:rPr>
              <w:t>债、央</w:t>
            </w:r>
            <w:r>
              <w:rPr>
                <w:rFonts w:ascii="宋体" w:hAnsi="宋体" w:cs="宋体" w:eastAsia="宋体" w:hint="default"/>
                <w:sz w:val="18"/>
                <w:szCs w:val="18"/>
              </w:rPr>
              <w:t> 行票</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3.60%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31.94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31.94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3" w:right="19"/>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20"/>
                <w:sz w:val="18"/>
                <w:szCs w:val="18"/>
              </w:rPr>
              <w:t>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海证</w:t>
            </w:r>
          </w:p>
        </w:tc>
      </w:tr>
    </w:tbl>
    <w:p>
      <w:pPr>
        <w:spacing w:after="0" w:line="316"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60"/>
        <w:gridCol w:w="562"/>
        <w:gridCol w:w="562"/>
        <w:gridCol w:w="562"/>
        <w:gridCol w:w="548"/>
        <w:gridCol w:w="547"/>
        <w:gridCol w:w="547"/>
        <w:gridCol w:w="538"/>
      </w:tblGrid>
      <w:tr>
        <w:trPr>
          <w:trHeight w:val="11284"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财）</w:t>
            </w:r>
          </w:p>
        </w:tc>
        <w:tc>
          <w:tcPr>
            <w:tcW w:w="57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3"/>
              <w:jc w:val="left"/>
              <w:rPr>
                <w:rFonts w:ascii="宋体" w:hAnsi="宋体" w:cs="宋体" w:eastAsia="宋体" w:hint="default"/>
                <w:sz w:val="18"/>
                <w:szCs w:val="18"/>
              </w:rPr>
            </w:pPr>
            <w:r>
              <w:rPr>
                <w:rFonts w:ascii="宋体" w:hAnsi="宋体" w:cs="宋体" w:eastAsia="宋体" w:hint="default"/>
                <w:spacing w:val="-12"/>
                <w:sz w:val="18"/>
                <w:szCs w:val="18"/>
              </w:rPr>
              <w:t>据、企</w:t>
            </w:r>
            <w:r>
              <w:rPr>
                <w:rFonts w:ascii="宋体" w:hAnsi="宋体" w:cs="宋体" w:eastAsia="宋体" w:hint="default"/>
                <w:sz w:val="18"/>
                <w:szCs w:val="18"/>
              </w:rPr>
              <w:t> 业短 期融 资券、 超短 期融 资债、 中期 票据、 企业 </w:t>
            </w:r>
            <w:r>
              <w:rPr>
                <w:rFonts w:ascii="宋体" w:hAnsi="宋体" w:cs="宋体" w:eastAsia="宋体" w:hint="default"/>
                <w:spacing w:val="-12"/>
                <w:sz w:val="18"/>
                <w:szCs w:val="18"/>
              </w:rPr>
              <w:t>债、公</w:t>
            </w:r>
            <w:r>
              <w:rPr>
                <w:rFonts w:ascii="宋体" w:hAnsi="宋体" w:cs="宋体" w:eastAsia="宋体" w:hint="default"/>
                <w:sz w:val="18"/>
                <w:szCs w:val="18"/>
              </w:rPr>
              <w:t> 司债、 私募 </w:t>
            </w:r>
            <w:r>
              <w:rPr>
                <w:rFonts w:ascii="宋体" w:hAnsi="宋体" w:cs="宋体" w:eastAsia="宋体" w:hint="default"/>
                <w:spacing w:val="-12"/>
                <w:sz w:val="18"/>
                <w:szCs w:val="18"/>
              </w:rPr>
              <w:t>债、债</w:t>
            </w:r>
            <w:r>
              <w:rPr>
                <w:rFonts w:ascii="宋体" w:hAnsi="宋体" w:cs="宋体" w:eastAsia="宋体" w:hint="default"/>
                <w:sz w:val="18"/>
                <w:szCs w:val="18"/>
              </w:rPr>
              <w:t> 券逆 回购、 资金 拆借、 存放 同业 债等 债券 和货 币市 场工 具类 资产， 债权 类资 </w:t>
            </w:r>
            <w:r>
              <w:rPr>
                <w:rFonts w:ascii="宋体" w:hAnsi="宋体" w:cs="宋体" w:eastAsia="宋体" w:hint="default"/>
                <w:spacing w:val="-12"/>
                <w:sz w:val="18"/>
                <w:szCs w:val="18"/>
              </w:rPr>
              <w:t>产，以</w:t>
            </w:r>
            <w:r>
              <w:rPr>
                <w:rFonts w:ascii="宋体" w:hAnsi="宋体" w:cs="宋体" w:eastAsia="宋体" w:hint="default"/>
                <w:sz w:val="18"/>
                <w:szCs w:val="18"/>
              </w:rPr>
              <w:t> 及其 他符 合监 管要 求的 资产。</w:t>
            </w: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37"/>
              <w:jc w:val="left"/>
              <w:rPr>
                <w:rFonts w:ascii="宋体" w:hAnsi="宋体" w:cs="宋体" w:eastAsia="宋体" w:hint="default"/>
                <w:sz w:val="18"/>
                <w:szCs w:val="18"/>
              </w:rPr>
            </w:pPr>
            <w:r>
              <w:rPr>
                <w:rFonts w:ascii="宋体" w:hAnsi="宋体" w:cs="宋体" w:eastAsia="宋体" w:hint="default"/>
                <w:sz w:val="18"/>
                <w:szCs w:val="18"/>
              </w:rPr>
              <w:t>券报、 证券 时报、 证券 日报 及巨 潮资 讯网 上的 关于 公司 使用 部分 闲置 募集 资金 进行 现金 管理 的进 展公 告</w:t>
            </w:r>
            <w:r>
              <w:rPr>
                <w:rFonts w:ascii="Times New Roman" w:hAnsi="Times New Roman" w:cs="Times New Roman" w:eastAsia="Times New Roman" w:hint="default"/>
                <w:sz w:val="18"/>
                <w:szCs w:val="18"/>
              </w:rPr>
              <w:t>(</w:t>
            </w:r>
            <w:r>
              <w:rPr>
                <w:rFonts w:ascii="宋体" w:hAnsi="宋体" w:cs="宋体" w:eastAsia="宋体" w:hint="default"/>
                <w:sz w:val="18"/>
                <w:szCs w:val="18"/>
              </w:rPr>
              <w:t>公 告编 号：</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004)</w:t>
            </w:r>
          </w:p>
        </w:tc>
      </w:tr>
      <w:tr>
        <w:trPr>
          <w:trHeight w:val="2546"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16" w:lineRule="auto"/>
              <w:ind w:left="24" w:right="176"/>
              <w:jc w:val="both"/>
              <w:rPr>
                <w:rFonts w:ascii="宋体" w:hAnsi="宋体" w:cs="宋体" w:eastAsia="宋体" w:hint="default"/>
                <w:sz w:val="18"/>
                <w:szCs w:val="18"/>
              </w:rPr>
            </w:pPr>
            <w:r>
              <w:rPr>
                <w:rFonts w:ascii="宋体" w:hAnsi="宋体" w:cs="宋体" w:eastAsia="宋体" w:hint="default"/>
                <w:sz w:val="18"/>
                <w:szCs w:val="18"/>
              </w:rPr>
              <w:t>建行 延安 三路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312" w:lineRule="auto"/>
              <w:ind w:left="23" w:right="31"/>
              <w:jc w:val="left"/>
              <w:rPr>
                <w:rFonts w:ascii="宋体" w:hAnsi="宋体" w:cs="宋体" w:eastAsia="宋体" w:hint="default"/>
                <w:sz w:val="18"/>
                <w:szCs w:val="18"/>
              </w:rPr>
            </w:pPr>
            <w:r>
              <w:rPr>
                <w:rFonts w:ascii="宋体" w:hAnsi="宋体" w:cs="宋体" w:eastAsia="宋体" w:hint="default"/>
                <w:sz w:val="18"/>
                <w:szCs w:val="18"/>
              </w:rPr>
              <w:t>保本浮 动收益 型</w:t>
            </w:r>
            <w:r>
              <w:rPr>
                <w:rFonts w:ascii="Times New Roman" w:hAnsi="Times New Roman" w:cs="Times New Roman" w:eastAsia="Times New Roman" w:hint="default"/>
                <w:sz w:val="18"/>
                <w:szCs w:val="18"/>
              </w:rPr>
              <w:t>(</w:t>
            </w:r>
            <w:r>
              <w:rPr>
                <w:rFonts w:ascii="宋体" w:hAnsi="宋体" w:cs="宋体" w:eastAsia="宋体" w:hint="default"/>
                <w:sz w:val="18"/>
                <w:szCs w:val="18"/>
              </w:rPr>
              <w:t>银 行理 财）</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left="136" w:right="0"/>
              <w:jc w:val="left"/>
              <w:rPr>
                <w:rFonts w:ascii="Times New Roman" w:hAnsi="Times New Roman" w:cs="Times New Roman" w:eastAsia="Times New Roman" w:hint="default"/>
                <w:sz w:val="18"/>
                <w:szCs w:val="18"/>
              </w:rPr>
            </w:pPr>
            <w:r>
              <w:rPr>
                <w:rFonts w:ascii="Times New Roman"/>
                <w:sz w:val="18"/>
              </w:rPr>
              <w:t>2,000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38"/>
              <w:ind w:left="24" w:right="166"/>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
              <w:jc w:val="left"/>
              <w:rPr>
                <w:rFonts w:ascii="宋体" w:hAnsi="宋体" w:cs="宋体" w:eastAsia="宋体" w:hint="default"/>
                <w:sz w:val="18"/>
                <w:szCs w:val="18"/>
              </w:rPr>
            </w:pPr>
            <w:r>
              <w:rPr>
                <w:rFonts w:ascii="宋体" w:hAnsi="宋体" w:cs="宋体" w:eastAsia="宋体" w:hint="default"/>
                <w:sz w:val="18"/>
                <w:szCs w:val="18"/>
              </w:rPr>
              <w:t>国债、 金融 </w:t>
            </w:r>
            <w:r>
              <w:rPr>
                <w:rFonts w:ascii="宋体" w:hAnsi="宋体" w:cs="宋体" w:eastAsia="宋体" w:hint="default"/>
                <w:spacing w:val="-12"/>
                <w:sz w:val="18"/>
                <w:szCs w:val="18"/>
              </w:rPr>
              <w:t>债、央</w:t>
            </w:r>
            <w:r>
              <w:rPr>
                <w:rFonts w:ascii="宋体" w:hAnsi="宋体" w:cs="宋体" w:eastAsia="宋体" w:hint="default"/>
                <w:sz w:val="18"/>
                <w:szCs w:val="18"/>
              </w:rPr>
              <w:t> 行票 </w:t>
            </w:r>
            <w:r>
              <w:rPr>
                <w:rFonts w:ascii="宋体" w:hAnsi="宋体" w:cs="宋体" w:eastAsia="宋体" w:hint="default"/>
                <w:spacing w:val="-12"/>
                <w:sz w:val="18"/>
                <w:szCs w:val="18"/>
              </w:rPr>
              <w:t>据、企</w:t>
            </w:r>
            <w:r>
              <w:rPr>
                <w:rFonts w:ascii="宋体" w:hAnsi="宋体" w:cs="宋体" w:eastAsia="宋体" w:hint="default"/>
                <w:sz w:val="18"/>
                <w:szCs w:val="18"/>
              </w:rPr>
              <w:t> 业短 期融 资券、</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left="62" w:right="0"/>
              <w:jc w:val="left"/>
              <w:rPr>
                <w:rFonts w:ascii="Times New Roman" w:hAnsi="Times New Roman" w:cs="Times New Roman" w:eastAsia="Times New Roman" w:hint="default"/>
                <w:sz w:val="18"/>
                <w:szCs w:val="18"/>
              </w:rPr>
            </w:pPr>
            <w:r>
              <w:rPr>
                <w:rFonts w:ascii="Times New Roman"/>
                <w:sz w:val="18"/>
              </w:rPr>
              <w:t>3.60%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left="122" w:right="0"/>
              <w:jc w:val="left"/>
              <w:rPr>
                <w:rFonts w:ascii="Times New Roman" w:hAnsi="Times New Roman" w:cs="Times New Roman" w:eastAsia="Times New Roman" w:hint="default"/>
                <w:sz w:val="18"/>
                <w:szCs w:val="18"/>
              </w:rPr>
            </w:pPr>
            <w:r>
              <w:rPr>
                <w:rFonts w:ascii="Times New Roman"/>
                <w:sz w:val="18"/>
              </w:rPr>
              <w:t>17.03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left="122" w:right="0"/>
              <w:jc w:val="left"/>
              <w:rPr>
                <w:rFonts w:ascii="Times New Roman" w:hAnsi="Times New Roman" w:cs="Times New Roman" w:eastAsia="Times New Roman" w:hint="default"/>
                <w:sz w:val="18"/>
                <w:szCs w:val="18"/>
              </w:rPr>
            </w:pPr>
            <w:r>
              <w:rPr>
                <w:rFonts w:ascii="Times New Roman"/>
                <w:sz w:val="18"/>
              </w:rPr>
              <w:t>17.03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38"/>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7"/>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20"/>
                <w:sz w:val="18"/>
                <w:szCs w:val="18"/>
              </w:rPr>
              <w:t>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海证 券报、 证券 时报、 证券</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60"/>
        <w:gridCol w:w="562"/>
        <w:gridCol w:w="562"/>
        <w:gridCol w:w="562"/>
        <w:gridCol w:w="548"/>
        <w:gridCol w:w="547"/>
        <w:gridCol w:w="547"/>
        <w:gridCol w:w="538"/>
      </w:tblGrid>
      <w:tr>
        <w:trPr>
          <w:trHeight w:val="10036"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3"/>
              <w:jc w:val="left"/>
              <w:rPr>
                <w:rFonts w:ascii="宋体" w:hAnsi="宋体" w:cs="宋体" w:eastAsia="宋体" w:hint="default"/>
                <w:sz w:val="18"/>
                <w:szCs w:val="18"/>
              </w:rPr>
            </w:pPr>
            <w:r>
              <w:rPr>
                <w:rFonts w:ascii="宋体" w:hAnsi="宋体" w:cs="宋体" w:eastAsia="宋体" w:hint="default"/>
                <w:sz w:val="18"/>
                <w:szCs w:val="18"/>
              </w:rPr>
              <w:t>超短 期融 资债、 中期 票据、 企业 </w:t>
            </w:r>
            <w:r>
              <w:rPr>
                <w:rFonts w:ascii="宋体" w:hAnsi="宋体" w:cs="宋体" w:eastAsia="宋体" w:hint="default"/>
                <w:spacing w:val="-12"/>
                <w:sz w:val="18"/>
                <w:szCs w:val="18"/>
              </w:rPr>
              <w:t>债、公</w:t>
            </w:r>
            <w:r>
              <w:rPr>
                <w:rFonts w:ascii="宋体" w:hAnsi="宋体" w:cs="宋体" w:eastAsia="宋体" w:hint="default"/>
                <w:sz w:val="18"/>
                <w:szCs w:val="18"/>
              </w:rPr>
              <w:t> 司债、 私募 </w:t>
            </w:r>
            <w:r>
              <w:rPr>
                <w:rFonts w:ascii="宋体" w:hAnsi="宋体" w:cs="宋体" w:eastAsia="宋体" w:hint="default"/>
                <w:spacing w:val="-12"/>
                <w:sz w:val="18"/>
                <w:szCs w:val="18"/>
              </w:rPr>
              <w:t>债、债</w:t>
            </w:r>
            <w:r>
              <w:rPr>
                <w:rFonts w:ascii="宋体" w:hAnsi="宋体" w:cs="宋体" w:eastAsia="宋体" w:hint="default"/>
                <w:sz w:val="18"/>
                <w:szCs w:val="18"/>
              </w:rPr>
              <w:t> 券逆 回购、 资金 拆借、 存放 同业 债等 债券 和货 币市 场工 具类 资产， 债权 类资 </w:t>
            </w:r>
            <w:r>
              <w:rPr>
                <w:rFonts w:ascii="宋体" w:hAnsi="宋体" w:cs="宋体" w:eastAsia="宋体" w:hint="default"/>
                <w:spacing w:val="-12"/>
                <w:sz w:val="18"/>
                <w:szCs w:val="18"/>
              </w:rPr>
              <w:t>产，以</w:t>
            </w:r>
            <w:r>
              <w:rPr>
                <w:rFonts w:ascii="宋体" w:hAnsi="宋体" w:cs="宋体" w:eastAsia="宋体" w:hint="default"/>
                <w:sz w:val="18"/>
                <w:szCs w:val="18"/>
              </w:rPr>
              <w:t> 及其 他符 合监 管要 求的 资产。</w:t>
            </w: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日报 及巨 潮资 讯网 上的 关于 公司 使用 部分 闲置 募集 资金 进行 现金 管理 的进 展公 </w:t>
            </w:r>
            <w:r>
              <w:rPr>
                <w:rFonts w:ascii="宋体" w:hAnsi="宋体" w:cs="宋体" w:eastAsia="宋体" w:hint="default"/>
                <w:spacing w:val="-20"/>
                <w:sz w:val="18"/>
                <w:szCs w:val="18"/>
              </w:rPr>
              <w:t>告（公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告编 号：</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004</w:t>
            </w:r>
            <w:r>
              <w:rPr>
                <w:rFonts w:ascii="宋体" w:hAnsi="宋体" w:cs="宋体" w:eastAsia="宋体" w:hint="default"/>
                <w:sz w:val="18"/>
                <w:szCs w:val="18"/>
              </w:rPr>
              <w:t>）</w:t>
            </w:r>
          </w:p>
        </w:tc>
      </w:tr>
      <w:tr>
        <w:trPr>
          <w:trHeight w:val="3795"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316" w:lineRule="auto"/>
              <w:ind w:left="24" w:right="176"/>
              <w:jc w:val="both"/>
              <w:rPr>
                <w:rFonts w:ascii="宋体" w:hAnsi="宋体" w:cs="宋体" w:eastAsia="宋体" w:hint="default"/>
                <w:sz w:val="18"/>
                <w:szCs w:val="18"/>
              </w:rPr>
            </w:pPr>
            <w:r>
              <w:rPr>
                <w:rFonts w:ascii="宋体" w:hAnsi="宋体" w:cs="宋体" w:eastAsia="宋体" w:hint="default"/>
                <w:sz w:val="18"/>
                <w:szCs w:val="18"/>
              </w:rPr>
              <w:t>建行 延安 三路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312" w:lineRule="auto"/>
              <w:ind w:left="23" w:right="31"/>
              <w:jc w:val="left"/>
              <w:rPr>
                <w:rFonts w:ascii="宋体" w:hAnsi="宋体" w:cs="宋体" w:eastAsia="宋体" w:hint="default"/>
                <w:sz w:val="18"/>
                <w:szCs w:val="18"/>
              </w:rPr>
            </w:pPr>
            <w:r>
              <w:rPr>
                <w:rFonts w:ascii="宋体" w:hAnsi="宋体" w:cs="宋体" w:eastAsia="宋体" w:hint="default"/>
                <w:sz w:val="18"/>
                <w:szCs w:val="18"/>
              </w:rPr>
              <w:t>保本浮 动收益 型</w:t>
            </w:r>
            <w:r>
              <w:rPr>
                <w:rFonts w:ascii="Times New Roman" w:hAnsi="Times New Roman" w:cs="Times New Roman" w:eastAsia="Times New Roman" w:hint="default"/>
                <w:sz w:val="18"/>
                <w:szCs w:val="18"/>
              </w:rPr>
              <w:t>(</w:t>
            </w:r>
            <w:r>
              <w:rPr>
                <w:rFonts w:ascii="宋体" w:hAnsi="宋体" w:cs="宋体" w:eastAsia="宋体" w:hint="default"/>
                <w:sz w:val="18"/>
                <w:szCs w:val="18"/>
              </w:rPr>
              <w:t>银 行理 财）</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left="47" w:right="0"/>
              <w:jc w:val="left"/>
              <w:rPr>
                <w:rFonts w:ascii="Times New Roman" w:hAnsi="Times New Roman" w:cs="Times New Roman" w:eastAsia="Times New Roman" w:hint="default"/>
                <w:sz w:val="18"/>
                <w:szCs w:val="18"/>
              </w:rPr>
            </w:pPr>
            <w:r>
              <w:rPr>
                <w:rFonts w:ascii="Times New Roman"/>
                <w:sz w:val="18"/>
              </w:rPr>
              <w:t>28,000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41"/>
              <w:ind w:left="24" w:right="166"/>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
              <w:jc w:val="left"/>
              <w:rPr>
                <w:rFonts w:ascii="宋体" w:hAnsi="宋体" w:cs="宋体" w:eastAsia="宋体" w:hint="default"/>
                <w:sz w:val="18"/>
                <w:szCs w:val="18"/>
              </w:rPr>
            </w:pPr>
            <w:r>
              <w:rPr>
                <w:rFonts w:ascii="宋体" w:hAnsi="宋体" w:cs="宋体" w:eastAsia="宋体" w:hint="default"/>
                <w:sz w:val="18"/>
                <w:szCs w:val="18"/>
              </w:rPr>
              <w:t>国债、 金融 </w:t>
            </w:r>
            <w:r>
              <w:rPr>
                <w:rFonts w:ascii="宋体" w:hAnsi="宋体" w:cs="宋体" w:eastAsia="宋体" w:hint="default"/>
                <w:spacing w:val="-12"/>
                <w:sz w:val="18"/>
                <w:szCs w:val="18"/>
              </w:rPr>
              <w:t>债、央</w:t>
            </w:r>
            <w:r>
              <w:rPr>
                <w:rFonts w:ascii="宋体" w:hAnsi="宋体" w:cs="宋体" w:eastAsia="宋体" w:hint="default"/>
                <w:sz w:val="18"/>
                <w:szCs w:val="18"/>
              </w:rPr>
              <w:t> 行票 </w:t>
            </w:r>
            <w:r>
              <w:rPr>
                <w:rFonts w:ascii="宋体" w:hAnsi="宋体" w:cs="宋体" w:eastAsia="宋体" w:hint="default"/>
                <w:spacing w:val="-12"/>
                <w:sz w:val="18"/>
                <w:szCs w:val="18"/>
              </w:rPr>
              <w:t>据、企</w:t>
            </w:r>
            <w:r>
              <w:rPr>
                <w:rFonts w:ascii="宋体" w:hAnsi="宋体" w:cs="宋体" w:eastAsia="宋体" w:hint="default"/>
                <w:sz w:val="18"/>
                <w:szCs w:val="18"/>
              </w:rPr>
              <w:t> 业短 期融 资券、 超短 期融 资债、 中期</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left="62" w:right="0"/>
              <w:jc w:val="left"/>
              <w:rPr>
                <w:rFonts w:ascii="Times New Roman" w:hAnsi="Times New Roman" w:cs="Times New Roman" w:eastAsia="Times New Roman" w:hint="default"/>
                <w:sz w:val="18"/>
                <w:szCs w:val="18"/>
              </w:rPr>
            </w:pPr>
            <w:r>
              <w:rPr>
                <w:rFonts w:ascii="Times New Roman"/>
                <w:sz w:val="18"/>
              </w:rPr>
              <w:t>3.00%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left="33" w:right="0"/>
              <w:jc w:val="left"/>
              <w:rPr>
                <w:rFonts w:ascii="Times New Roman" w:hAnsi="Times New Roman" w:cs="Times New Roman" w:eastAsia="Times New Roman" w:hint="default"/>
                <w:sz w:val="18"/>
                <w:szCs w:val="18"/>
              </w:rPr>
            </w:pPr>
            <w:r>
              <w:rPr>
                <w:rFonts w:ascii="Times New Roman"/>
                <w:sz w:val="18"/>
              </w:rPr>
              <w:t>271.72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left="33" w:right="0"/>
              <w:jc w:val="left"/>
              <w:rPr>
                <w:rFonts w:ascii="Times New Roman" w:hAnsi="Times New Roman" w:cs="Times New Roman" w:eastAsia="Times New Roman" w:hint="default"/>
                <w:sz w:val="18"/>
                <w:szCs w:val="18"/>
              </w:rPr>
            </w:pPr>
            <w:r>
              <w:rPr>
                <w:rFonts w:ascii="Times New Roman"/>
                <w:sz w:val="18"/>
              </w:rPr>
              <w:t>271.72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41"/>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7"/>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20"/>
                <w:sz w:val="18"/>
                <w:szCs w:val="18"/>
              </w:rPr>
              <w:t>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海证 券报、 证券 时报、 证券 日报 及巨 潮资 讯网</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60"/>
        <w:gridCol w:w="562"/>
        <w:gridCol w:w="562"/>
        <w:gridCol w:w="562"/>
        <w:gridCol w:w="548"/>
        <w:gridCol w:w="547"/>
        <w:gridCol w:w="547"/>
        <w:gridCol w:w="538"/>
      </w:tblGrid>
      <w:tr>
        <w:trPr>
          <w:trHeight w:val="8788"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3"/>
              <w:jc w:val="left"/>
              <w:rPr>
                <w:rFonts w:ascii="宋体" w:hAnsi="宋体" w:cs="宋体" w:eastAsia="宋体" w:hint="default"/>
                <w:sz w:val="18"/>
                <w:szCs w:val="18"/>
              </w:rPr>
            </w:pPr>
            <w:r>
              <w:rPr>
                <w:rFonts w:ascii="宋体" w:hAnsi="宋体" w:cs="宋体" w:eastAsia="宋体" w:hint="default"/>
                <w:sz w:val="18"/>
                <w:szCs w:val="18"/>
              </w:rPr>
              <w:t>票据、 企业 </w:t>
            </w:r>
            <w:r>
              <w:rPr>
                <w:rFonts w:ascii="宋体" w:hAnsi="宋体" w:cs="宋体" w:eastAsia="宋体" w:hint="default"/>
                <w:spacing w:val="-12"/>
                <w:sz w:val="18"/>
                <w:szCs w:val="18"/>
              </w:rPr>
              <w:t>债、公</w:t>
            </w:r>
            <w:r>
              <w:rPr>
                <w:rFonts w:ascii="宋体" w:hAnsi="宋体" w:cs="宋体" w:eastAsia="宋体" w:hint="default"/>
                <w:sz w:val="18"/>
                <w:szCs w:val="18"/>
              </w:rPr>
              <w:t> 司债、 私募 </w:t>
            </w:r>
            <w:r>
              <w:rPr>
                <w:rFonts w:ascii="宋体" w:hAnsi="宋体" w:cs="宋体" w:eastAsia="宋体" w:hint="default"/>
                <w:spacing w:val="-12"/>
                <w:sz w:val="18"/>
                <w:szCs w:val="18"/>
              </w:rPr>
              <w:t>债、债</w:t>
            </w:r>
            <w:r>
              <w:rPr>
                <w:rFonts w:ascii="宋体" w:hAnsi="宋体" w:cs="宋体" w:eastAsia="宋体" w:hint="default"/>
                <w:sz w:val="18"/>
                <w:szCs w:val="18"/>
              </w:rPr>
              <w:t> 券逆 回购、 资金 拆借、 存放 同业 债等 债券 和货 币市 场工 具类 资产， 债权 类资 </w:t>
            </w:r>
            <w:r>
              <w:rPr>
                <w:rFonts w:ascii="宋体" w:hAnsi="宋体" w:cs="宋体" w:eastAsia="宋体" w:hint="default"/>
                <w:spacing w:val="-12"/>
                <w:sz w:val="18"/>
                <w:szCs w:val="18"/>
              </w:rPr>
              <w:t>产，以</w:t>
            </w:r>
            <w:r>
              <w:rPr>
                <w:rFonts w:ascii="宋体" w:hAnsi="宋体" w:cs="宋体" w:eastAsia="宋体" w:hint="default"/>
                <w:sz w:val="18"/>
                <w:szCs w:val="18"/>
              </w:rPr>
              <w:t> 及其 他符 合监 管要 求的 资产。</w:t>
            </w: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上的 关于 公司 使用 部分 闲置 募集 资金 进行 现金 管理 的进 展公 </w:t>
            </w:r>
            <w:r>
              <w:rPr>
                <w:rFonts w:ascii="宋体" w:hAnsi="宋体" w:cs="宋体" w:eastAsia="宋体" w:hint="default"/>
                <w:spacing w:val="-20"/>
                <w:sz w:val="18"/>
                <w:szCs w:val="18"/>
              </w:rPr>
              <w:t>告（公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告编 号：</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004</w:t>
            </w:r>
            <w:r>
              <w:rPr>
                <w:rFonts w:ascii="宋体" w:hAnsi="宋体" w:cs="宋体" w:eastAsia="宋体" w:hint="default"/>
                <w:sz w:val="18"/>
                <w:szCs w:val="18"/>
              </w:rPr>
              <w:t>）</w:t>
            </w:r>
          </w:p>
        </w:tc>
      </w:tr>
      <w:tr>
        <w:trPr>
          <w:trHeight w:val="5043"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316" w:lineRule="auto"/>
              <w:ind w:left="24" w:right="176"/>
              <w:jc w:val="both"/>
              <w:rPr>
                <w:rFonts w:ascii="宋体" w:hAnsi="宋体" w:cs="宋体" w:eastAsia="宋体" w:hint="default"/>
                <w:sz w:val="18"/>
                <w:szCs w:val="18"/>
              </w:rPr>
            </w:pPr>
            <w:r>
              <w:rPr>
                <w:rFonts w:ascii="宋体" w:hAnsi="宋体" w:cs="宋体" w:eastAsia="宋体" w:hint="default"/>
                <w:sz w:val="18"/>
                <w:szCs w:val="18"/>
              </w:rPr>
              <w:t>民生 银行 即墨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312" w:lineRule="auto"/>
              <w:ind w:left="23" w:right="31"/>
              <w:jc w:val="left"/>
              <w:rPr>
                <w:rFonts w:ascii="宋体" w:hAnsi="宋体" w:cs="宋体" w:eastAsia="宋体" w:hint="default"/>
                <w:sz w:val="18"/>
                <w:szCs w:val="18"/>
              </w:rPr>
            </w:pPr>
            <w:r>
              <w:rPr>
                <w:rFonts w:ascii="宋体" w:hAnsi="宋体" w:cs="宋体" w:eastAsia="宋体" w:hint="default"/>
                <w:sz w:val="18"/>
                <w:szCs w:val="18"/>
              </w:rPr>
              <w:t>保本浮 动收益 型</w:t>
            </w:r>
            <w:r>
              <w:rPr>
                <w:rFonts w:ascii="Times New Roman" w:hAnsi="Times New Roman" w:cs="Times New Roman" w:eastAsia="Times New Roman" w:hint="default"/>
                <w:sz w:val="18"/>
                <w:szCs w:val="18"/>
              </w:rPr>
              <w:t>(</w:t>
            </w:r>
            <w:r>
              <w:rPr>
                <w:rFonts w:ascii="宋体" w:hAnsi="宋体" w:cs="宋体" w:eastAsia="宋体" w:hint="default"/>
                <w:sz w:val="18"/>
                <w:szCs w:val="18"/>
              </w:rPr>
              <w:t>结 构性存 款）</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left="47" w:right="0"/>
              <w:jc w:val="left"/>
              <w:rPr>
                <w:rFonts w:ascii="Times New Roman" w:hAnsi="Times New Roman" w:cs="Times New Roman" w:eastAsia="Times New Roman" w:hint="default"/>
                <w:sz w:val="18"/>
                <w:szCs w:val="18"/>
              </w:rPr>
            </w:pPr>
            <w:r>
              <w:rPr>
                <w:rFonts w:ascii="Times New Roman"/>
                <w:sz w:val="18"/>
              </w:rPr>
              <w:t>15,000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44"/>
              <w:ind w:left="24" w:right="166"/>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360" w:lineRule="auto"/>
              <w:ind w:left="23" w:right="77"/>
              <w:jc w:val="left"/>
              <w:rPr>
                <w:rFonts w:ascii="Times New Roman" w:hAnsi="Times New Roman" w:cs="Times New Roman" w:eastAsia="Times New Roman" w:hint="default"/>
                <w:sz w:val="18"/>
                <w:szCs w:val="18"/>
              </w:rPr>
            </w:pPr>
            <w:r>
              <w:rPr>
                <w:rFonts w:ascii="Times New Roman"/>
                <w:sz w:val="18"/>
              </w:rPr>
              <w:t>USD3</w:t>
            </w:r>
            <w:r>
              <w:rPr>
                <w:rFonts w:ascii="Times New Roman"/>
                <w:w w:val="99"/>
                <w:sz w:val="18"/>
              </w:rPr>
              <w:t> </w:t>
            </w:r>
            <w:r>
              <w:rPr>
                <w:rFonts w:ascii="Times New Roman"/>
                <w:sz w:val="18"/>
              </w:rPr>
              <w:t>M-LI</w:t>
            </w:r>
            <w:r>
              <w:rPr>
                <w:rFonts w:ascii="Times New Roman"/>
                <w:spacing w:val="-2"/>
                <w:w w:val="99"/>
                <w:sz w:val="18"/>
              </w:rPr>
              <w:t> </w:t>
            </w:r>
            <w:r>
              <w:rPr>
                <w:rFonts w:ascii="Times New Roman"/>
                <w:sz w:val="18"/>
              </w:rPr>
              <w:t>BOR</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left="62" w:right="0"/>
              <w:jc w:val="left"/>
              <w:rPr>
                <w:rFonts w:ascii="Times New Roman" w:hAnsi="Times New Roman" w:cs="Times New Roman" w:eastAsia="Times New Roman" w:hint="default"/>
                <w:sz w:val="18"/>
                <w:szCs w:val="18"/>
              </w:rPr>
            </w:pPr>
            <w:r>
              <w:rPr>
                <w:rFonts w:ascii="Times New Roman"/>
                <w:sz w:val="18"/>
              </w:rPr>
              <w:t>3.60%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left="213" w:right="0"/>
              <w:jc w:val="left"/>
              <w:rPr>
                <w:rFonts w:ascii="Times New Roman" w:hAnsi="Times New Roman" w:cs="Times New Roman" w:eastAsia="Times New Roman" w:hint="default"/>
                <w:sz w:val="18"/>
                <w:szCs w:val="18"/>
              </w:rPr>
            </w:pPr>
            <w:r>
              <w:rPr>
                <w:rFonts w:ascii="Times New Roman"/>
                <w:sz w:val="18"/>
              </w:rPr>
              <w:t>59.3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left="213" w:right="0"/>
              <w:jc w:val="left"/>
              <w:rPr>
                <w:rFonts w:ascii="Times New Roman" w:hAnsi="Times New Roman" w:cs="Times New Roman" w:eastAsia="Times New Roman" w:hint="default"/>
                <w:sz w:val="18"/>
                <w:szCs w:val="18"/>
              </w:rPr>
            </w:pPr>
            <w:r>
              <w:rPr>
                <w:rFonts w:ascii="Times New Roman"/>
                <w:sz w:val="18"/>
              </w:rPr>
              <w:t>59.3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44"/>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7"/>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20"/>
                <w:sz w:val="18"/>
                <w:szCs w:val="18"/>
              </w:rPr>
              <w:t>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海证 券报、 证券 时报、 证券 日报 及巨 潮资 讯网 上的 关于 公司 使用</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60"/>
        <w:gridCol w:w="562"/>
        <w:gridCol w:w="562"/>
        <w:gridCol w:w="562"/>
        <w:gridCol w:w="548"/>
        <w:gridCol w:w="547"/>
        <w:gridCol w:w="547"/>
        <w:gridCol w:w="538"/>
      </w:tblGrid>
      <w:tr>
        <w:trPr>
          <w:trHeight w:val="4419"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部分 闲置 募集 资金 进行 现金 管理 的进 展公 </w:t>
            </w:r>
            <w:r>
              <w:rPr>
                <w:rFonts w:ascii="宋体" w:hAnsi="宋体" w:cs="宋体" w:eastAsia="宋体" w:hint="default"/>
                <w:spacing w:val="-20"/>
                <w:sz w:val="18"/>
                <w:szCs w:val="18"/>
              </w:rPr>
              <w:t>告（公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告编 号：</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004</w:t>
            </w:r>
            <w:r>
              <w:rPr>
                <w:rFonts w:ascii="宋体" w:hAnsi="宋体" w:cs="宋体" w:eastAsia="宋体" w:hint="default"/>
                <w:sz w:val="18"/>
                <w:szCs w:val="18"/>
              </w:rPr>
              <w:t>）</w:t>
            </w:r>
          </w:p>
        </w:tc>
      </w:tr>
      <w:tr>
        <w:trPr>
          <w:trHeight w:val="9450"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316" w:lineRule="auto"/>
              <w:ind w:left="24" w:right="176"/>
              <w:jc w:val="both"/>
              <w:rPr>
                <w:rFonts w:ascii="宋体" w:hAnsi="宋体" w:cs="宋体" w:eastAsia="宋体" w:hint="default"/>
                <w:sz w:val="18"/>
                <w:szCs w:val="18"/>
              </w:rPr>
            </w:pPr>
            <w:r>
              <w:rPr>
                <w:rFonts w:ascii="宋体" w:hAnsi="宋体" w:cs="宋体" w:eastAsia="宋体" w:hint="default"/>
                <w:sz w:val="18"/>
                <w:szCs w:val="18"/>
              </w:rPr>
              <w:t>工商 银行 即墨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4" w:lineRule="auto"/>
              <w:ind w:left="23" w:right="31"/>
              <w:jc w:val="left"/>
              <w:rPr>
                <w:rFonts w:ascii="宋体" w:hAnsi="宋体" w:cs="宋体" w:eastAsia="宋体" w:hint="default"/>
                <w:sz w:val="18"/>
                <w:szCs w:val="18"/>
              </w:rPr>
            </w:pPr>
            <w:r>
              <w:rPr>
                <w:rFonts w:ascii="宋体" w:hAnsi="宋体" w:cs="宋体" w:eastAsia="宋体" w:hint="default"/>
                <w:sz w:val="18"/>
                <w:szCs w:val="18"/>
              </w:rPr>
              <w:t>保本浮 动收益 型</w:t>
            </w:r>
            <w:r>
              <w:rPr>
                <w:rFonts w:ascii="Times New Roman" w:hAnsi="Times New Roman" w:cs="Times New Roman" w:eastAsia="Times New Roman" w:hint="default"/>
                <w:sz w:val="18"/>
                <w:szCs w:val="18"/>
              </w:rPr>
              <w:t>(</w:t>
            </w:r>
            <w:r>
              <w:rPr>
                <w:rFonts w:ascii="宋体" w:hAnsi="宋体" w:cs="宋体" w:eastAsia="宋体" w:hint="default"/>
                <w:sz w:val="18"/>
                <w:szCs w:val="18"/>
              </w:rPr>
              <w:t>结 构性存 款）</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14,999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316" w:lineRule="auto"/>
              <w:ind w:left="24" w:right="166"/>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4" w:lineRule="auto"/>
              <w:ind w:left="23" w:right="-13"/>
              <w:jc w:val="left"/>
              <w:rPr>
                <w:rFonts w:ascii="宋体" w:hAnsi="宋体" w:cs="宋体" w:eastAsia="宋体" w:hint="default"/>
                <w:sz w:val="18"/>
                <w:szCs w:val="18"/>
              </w:rPr>
            </w:pPr>
            <w:r>
              <w:rPr>
                <w:rFonts w:ascii="宋体" w:hAnsi="宋体" w:cs="宋体" w:eastAsia="宋体" w:hint="default"/>
                <w:sz w:val="18"/>
                <w:szCs w:val="18"/>
              </w:rPr>
              <w:t>欧元</w:t>
            </w:r>
            <w:r>
              <w:rPr>
                <w:rFonts w:ascii="Times New Roman" w:hAnsi="Times New Roman" w:cs="Times New Roman" w:eastAsia="Times New Roman" w:hint="default"/>
                <w:sz w:val="18"/>
                <w:szCs w:val="18"/>
              </w:rPr>
              <w:t>/ </w:t>
            </w:r>
            <w:r>
              <w:rPr>
                <w:rFonts w:ascii="宋体" w:hAnsi="宋体" w:cs="宋体" w:eastAsia="宋体" w:hint="default"/>
                <w:sz w:val="18"/>
                <w:szCs w:val="18"/>
              </w:rPr>
              <w:t>美元 即期 汇率： 每周 一悉 尼时 间上</w:t>
            </w:r>
          </w:p>
          <w:p>
            <w:pPr>
              <w:pStyle w:val="TableParagraph"/>
              <w:spacing w:line="314" w:lineRule="auto" w:before="20"/>
              <w:ind w:left="23" w:right="115"/>
              <w:jc w:val="both"/>
              <w:rPr>
                <w:rFonts w:ascii="宋体" w:hAnsi="宋体" w:cs="宋体" w:eastAsia="宋体" w:hint="default"/>
                <w:sz w:val="18"/>
                <w:szCs w:val="18"/>
              </w:rPr>
            </w:pPr>
            <w:r>
              <w:rPr>
                <w:rFonts w:ascii="宋体" w:hAnsi="宋体" w:cs="宋体" w:eastAsia="宋体" w:hint="default"/>
                <w:sz w:val="18"/>
                <w:szCs w:val="18"/>
              </w:rPr>
              <w:t>午</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点至 每周 五纽 约时 间下 午</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点之 间全 球银 行间 外汇 市场 的欧 元</w:t>
            </w:r>
            <w:r>
              <w:rPr>
                <w:rFonts w:ascii="Times New Roman" w:hAnsi="Times New Roman" w:cs="Times New Roman" w:eastAsia="Times New Roman" w:hint="default"/>
                <w:sz w:val="18"/>
                <w:szCs w:val="18"/>
              </w:rPr>
              <w:t>/</w:t>
            </w:r>
            <w:r>
              <w:rPr>
                <w:rFonts w:ascii="宋体" w:hAnsi="宋体" w:cs="宋体" w:eastAsia="宋体" w:hint="default"/>
                <w:sz w:val="18"/>
                <w:szCs w:val="18"/>
              </w:rPr>
              <w:t>美 元汇 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1"/>
              <w:ind w:left="23"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2.90%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66.74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66.74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7"/>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20"/>
                <w:sz w:val="18"/>
                <w:szCs w:val="18"/>
              </w:rPr>
              <w:t>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海证 券报、 证券 时报、 证券 日报 及巨 潮资 讯网 上的 关于 公司 使用 部分 闲置 募集 资金 进行 现金 管理 的进 展公 告</w:t>
            </w:r>
            <w:r>
              <w:rPr>
                <w:rFonts w:ascii="Times New Roman" w:hAnsi="Times New Roman" w:cs="Times New Roman" w:eastAsia="Times New Roman" w:hint="default"/>
                <w:sz w:val="18"/>
                <w:szCs w:val="18"/>
              </w:rPr>
              <w:t>(</w:t>
            </w:r>
            <w:r>
              <w:rPr>
                <w:rFonts w:ascii="宋体" w:hAnsi="宋体" w:cs="宋体" w:eastAsia="宋体" w:hint="default"/>
                <w:sz w:val="18"/>
                <w:szCs w:val="18"/>
              </w:rPr>
              <w:t>公 告编 号：</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004)</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60"/>
        <w:gridCol w:w="562"/>
        <w:gridCol w:w="562"/>
        <w:gridCol w:w="562"/>
        <w:gridCol w:w="548"/>
        <w:gridCol w:w="547"/>
        <w:gridCol w:w="547"/>
        <w:gridCol w:w="538"/>
      </w:tblGrid>
      <w:tr>
        <w:trPr>
          <w:trHeight w:val="9450"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6" w:lineRule="auto"/>
              <w:ind w:left="24" w:right="176"/>
              <w:jc w:val="both"/>
              <w:rPr>
                <w:rFonts w:ascii="宋体" w:hAnsi="宋体" w:cs="宋体" w:eastAsia="宋体" w:hint="default"/>
                <w:sz w:val="18"/>
                <w:szCs w:val="18"/>
              </w:rPr>
            </w:pPr>
            <w:r>
              <w:rPr>
                <w:rFonts w:ascii="宋体" w:hAnsi="宋体" w:cs="宋体" w:eastAsia="宋体" w:hint="default"/>
                <w:sz w:val="18"/>
                <w:szCs w:val="18"/>
              </w:rPr>
              <w:t>兴业 银行 青岛 即墨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4" w:lineRule="auto"/>
              <w:ind w:left="23" w:right="31"/>
              <w:jc w:val="left"/>
              <w:rPr>
                <w:rFonts w:ascii="宋体" w:hAnsi="宋体" w:cs="宋体" w:eastAsia="宋体" w:hint="default"/>
                <w:sz w:val="18"/>
                <w:szCs w:val="18"/>
              </w:rPr>
            </w:pPr>
            <w:r>
              <w:rPr>
                <w:rFonts w:ascii="宋体" w:hAnsi="宋体" w:cs="宋体" w:eastAsia="宋体" w:hint="default"/>
                <w:sz w:val="18"/>
                <w:szCs w:val="18"/>
              </w:rPr>
              <w:t>保本浮 动收益 型</w:t>
            </w:r>
            <w:r>
              <w:rPr>
                <w:rFonts w:ascii="Times New Roman" w:hAnsi="Times New Roman" w:cs="Times New Roman" w:eastAsia="Times New Roman" w:hint="default"/>
                <w:sz w:val="18"/>
                <w:szCs w:val="18"/>
              </w:rPr>
              <w:t>(</w:t>
            </w:r>
            <w:r>
              <w:rPr>
                <w:rFonts w:ascii="宋体" w:hAnsi="宋体" w:cs="宋体" w:eastAsia="宋体" w:hint="default"/>
                <w:sz w:val="18"/>
                <w:szCs w:val="18"/>
              </w:rPr>
              <w:t>结 构性存 款）</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316" w:lineRule="auto"/>
              <w:ind w:left="24" w:right="166"/>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上海 黄金 交易 所之 上海 金上 午基 准价</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2"/>
              <w:ind w:left="23"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3.69%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7"/>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20"/>
                <w:sz w:val="18"/>
                <w:szCs w:val="18"/>
              </w:rPr>
              <w:t>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海证 券报、 证券 时报、 证券 日报 及巨 潮资 讯网 上的 关于 公司 使用 部分 闲置 募集 资金 进行 结构 性存 款的 进展 公告 </w:t>
            </w:r>
            <w:r>
              <w:rPr>
                <w:rFonts w:ascii="Times New Roman" w:hAnsi="Times New Roman" w:cs="Times New Roman" w:eastAsia="Times New Roman" w:hint="default"/>
                <w:sz w:val="18"/>
                <w:szCs w:val="18"/>
              </w:rPr>
              <w:t>(</w:t>
            </w:r>
            <w:r>
              <w:rPr>
                <w:rFonts w:ascii="宋体" w:hAnsi="宋体" w:cs="宋体" w:eastAsia="宋体" w:hint="default"/>
                <w:sz w:val="18"/>
                <w:szCs w:val="18"/>
              </w:rPr>
              <w:t>公告 编号：</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005)</w:t>
            </w:r>
          </w:p>
        </w:tc>
      </w:tr>
      <w:tr>
        <w:trPr>
          <w:trHeight w:val="4419"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316" w:lineRule="auto"/>
              <w:ind w:left="24" w:right="176"/>
              <w:jc w:val="both"/>
              <w:rPr>
                <w:rFonts w:ascii="宋体" w:hAnsi="宋体" w:cs="宋体" w:eastAsia="宋体" w:hint="default"/>
                <w:sz w:val="18"/>
                <w:szCs w:val="18"/>
              </w:rPr>
            </w:pPr>
            <w:r>
              <w:rPr>
                <w:rFonts w:ascii="宋体" w:hAnsi="宋体" w:cs="宋体" w:eastAsia="宋体" w:hint="default"/>
                <w:sz w:val="18"/>
                <w:szCs w:val="18"/>
              </w:rPr>
              <w:t>浦发 银行 青岛 即墨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314" w:lineRule="auto"/>
              <w:ind w:left="23" w:right="31"/>
              <w:jc w:val="left"/>
              <w:rPr>
                <w:rFonts w:ascii="宋体" w:hAnsi="宋体" w:cs="宋体" w:eastAsia="宋体" w:hint="default"/>
                <w:sz w:val="18"/>
                <w:szCs w:val="18"/>
              </w:rPr>
            </w:pPr>
            <w:r>
              <w:rPr>
                <w:rFonts w:ascii="宋体" w:hAnsi="宋体" w:cs="宋体" w:eastAsia="宋体" w:hint="default"/>
                <w:sz w:val="18"/>
                <w:szCs w:val="18"/>
              </w:rPr>
              <w:t>保证收 益型 </w:t>
            </w:r>
            <w:r>
              <w:rPr>
                <w:rFonts w:ascii="Times New Roman" w:hAnsi="Times New Roman" w:cs="Times New Roman" w:eastAsia="Times New Roman" w:hint="default"/>
                <w:sz w:val="18"/>
                <w:szCs w:val="18"/>
              </w:rPr>
              <w:t>(</w:t>
            </w:r>
            <w:r>
              <w:rPr>
                <w:rFonts w:ascii="宋体" w:hAnsi="宋体" w:cs="宋体" w:eastAsia="宋体" w:hint="default"/>
                <w:sz w:val="18"/>
                <w:szCs w:val="18"/>
              </w:rPr>
              <w:t>结构 性存 款）</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316" w:lineRule="auto"/>
              <w:ind w:left="24" w:right="166"/>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3"/>
              <w:jc w:val="left"/>
              <w:rPr>
                <w:rFonts w:ascii="宋体" w:hAnsi="宋体" w:cs="宋体" w:eastAsia="宋体" w:hint="default"/>
                <w:sz w:val="18"/>
                <w:szCs w:val="18"/>
              </w:rPr>
            </w:pPr>
            <w:r>
              <w:rPr>
                <w:rFonts w:ascii="宋体" w:hAnsi="宋体" w:cs="宋体" w:eastAsia="宋体" w:hint="default"/>
                <w:sz w:val="18"/>
                <w:szCs w:val="18"/>
              </w:rPr>
              <w:t>银行 间市 场央 </w:t>
            </w:r>
            <w:r>
              <w:rPr>
                <w:rFonts w:ascii="宋体" w:hAnsi="宋体" w:cs="宋体" w:eastAsia="宋体" w:hint="default"/>
                <w:spacing w:val="-12"/>
                <w:sz w:val="18"/>
                <w:szCs w:val="18"/>
              </w:rPr>
              <w:t>票、国</w:t>
            </w:r>
            <w:r>
              <w:rPr>
                <w:rFonts w:ascii="宋体" w:hAnsi="宋体" w:cs="宋体" w:eastAsia="宋体" w:hint="default"/>
                <w:sz w:val="18"/>
                <w:szCs w:val="18"/>
              </w:rPr>
              <w:t> </w:t>
            </w:r>
            <w:r>
              <w:rPr>
                <w:rFonts w:ascii="宋体" w:hAnsi="宋体" w:cs="宋体" w:eastAsia="宋体" w:hint="default"/>
                <w:spacing w:val="-12"/>
                <w:sz w:val="18"/>
                <w:szCs w:val="18"/>
              </w:rPr>
              <w:t>债、金</w:t>
            </w:r>
            <w:r>
              <w:rPr>
                <w:rFonts w:ascii="宋体" w:hAnsi="宋体" w:cs="宋体" w:eastAsia="宋体" w:hint="default"/>
                <w:sz w:val="18"/>
                <w:szCs w:val="18"/>
              </w:rPr>
              <w:t> 融债、 企业 </w:t>
            </w:r>
            <w:r>
              <w:rPr>
                <w:rFonts w:ascii="宋体" w:hAnsi="宋体" w:cs="宋体" w:eastAsia="宋体" w:hint="default"/>
                <w:spacing w:val="-12"/>
                <w:sz w:val="18"/>
                <w:szCs w:val="18"/>
              </w:rPr>
              <w:t>债、短</w:t>
            </w:r>
            <w:r>
              <w:rPr>
                <w:rFonts w:ascii="宋体" w:hAnsi="宋体" w:cs="宋体" w:eastAsia="宋体" w:hint="default"/>
                <w:sz w:val="18"/>
                <w:szCs w:val="18"/>
              </w:rPr>
              <w:t> </w:t>
            </w:r>
            <w:r>
              <w:rPr>
                <w:rFonts w:ascii="宋体" w:hAnsi="宋体" w:cs="宋体" w:eastAsia="宋体" w:hint="default"/>
                <w:spacing w:val="-12"/>
                <w:sz w:val="18"/>
                <w:szCs w:val="18"/>
              </w:rPr>
              <w:t>融、中</w:t>
            </w:r>
            <w:r>
              <w:rPr>
                <w:rFonts w:ascii="宋体" w:hAnsi="宋体" w:cs="宋体" w:eastAsia="宋体" w:hint="default"/>
                <w:sz w:val="18"/>
                <w:szCs w:val="18"/>
              </w:rPr>
              <w:t> 期票 </w:t>
            </w:r>
            <w:r>
              <w:rPr>
                <w:rFonts w:ascii="宋体" w:hAnsi="宋体" w:cs="宋体" w:eastAsia="宋体" w:hint="default"/>
                <w:spacing w:val="-12"/>
                <w:sz w:val="18"/>
                <w:szCs w:val="18"/>
              </w:rPr>
              <w:t>据、同</w:t>
            </w:r>
            <w:r>
              <w:rPr>
                <w:rFonts w:ascii="宋体" w:hAnsi="宋体" w:cs="宋体" w:eastAsia="宋体" w:hint="default"/>
                <w:sz w:val="18"/>
                <w:szCs w:val="18"/>
              </w:rPr>
              <w:t> 业拆 </w:t>
            </w:r>
            <w:r>
              <w:rPr>
                <w:rFonts w:ascii="宋体" w:hAnsi="宋体" w:cs="宋体" w:eastAsia="宋体" w:hint="default"/>
                <w:spacing w:val="-12"/>
                <w:sz w:val="18"/>
                <w:szCs w:val="18"/>
              </w:rPr>
              <w:t>借、同</w:t>
            </w:r>
            <w:r>
              <w:rPr>
                <w:rFonts w:ascii="宋体" w:hAnsi="宋体" w:cs="宋体" w:eastAsia="宋体" w:hint="default"/>
                <w:sz w:val="18"/>
                <w:szCs w:val="18"/>
              </w:rPr>
              <w:t> 业存</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3.60%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7"/>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20"/>
                <w:sz w:val="18"/>
                <w:szCs w:val="18"/>
              </w:rPr>
              <w:t>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海证 券报、 证券 时报、 证券 日报 及巨 潮资 讯网 上的 关于</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60"/>
        <w:gridCol w:w="562"/>
        <w:gridCol w:w="562"/>
        <w:gridCol w:w="562"/>
        <w:gridCol w:w="548"/>
        <w:gridCol w:w="547"/>
        <w:gridCol w:w="547"/>
        <w:gridCol w:w="538"/>
      </w:tblGrid>
      <w:tr>
        <w:trPr>
          <w:trHeight w:val="7540"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3"/>
              <w:jc w:val="left"/>
              <w:rPr>
                <w:rFonts w:ascii="宋体" w:hAnsi="宋体" w:cs="宋体" w:eastAsia="宋体" w:hint="default"/>
                <w:sz w:val="18"/>
                <w:szCs w:val="18"/>
              </w:rPr>
            </w:pPr>
            <w:r>
              <w:rPr>
                <w:rFonts w:ascii="宋体" w:hAnsi="宋体" w:cs="宋体" w:eastAsia="宋体" w:hint="default"/>
                <w:spacing w:val="-12"/>
                <w:sz w:val="18"/>
                <w:szCs w:val="18"/>
              </w:rPr>
              <w:t>款、债</w:t>
            </w:r>
            <w:r>
              <w:rPr>
                <w:rFonts w:ascii="宋体" w:hAnsi="宋体" w:cs="宋体" w:eastAsia="宋体" w:hint="default"/>
                <w:sz w:val="18"/>
                <w:szCs w:val="18"/>
              </w:rPr>
              <w:t> 权或 票据 回购 </w:t>
            </w:r>
            <w:r>
              <w:rPr>
                <w:rFonts w:ascii="宋体" w:hAnsi="宋体" w:cs="宋体" w:eastAsia="宋体" w:hint="default"/>
                <w:spacing w:val="-12"/>
                <w:sz w:val="18"/>
                <w:szCs w:val="18"/>
              </w:rPr>
              <w:t>等，同</w:t>
            </w:r>
            <w:r>
              <w:rPr>
                <w:rFonts w:ascii="宋体" w:hAnsi="宋体" w:cs="宋体" w:eastAsia="宋体" w:hint="default"/>
                <w:sz w:val="18"/>
                <w:szCs w:val="18"/>
              </w:rPr>
              <w:t> 时银 行通 过主 动性 管理 运用 结构 简单、 风险 较低 的相 关金 融工 具来 提高 该产 品的 收益 率。</w:t>
            </w: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79"/>
              <w:jc w:val="left"/>
              <w:rPr>
                <w:rFonts w:ascii="宋体" w:hAnsi="宋体" w:cs="宋体" w:eastAsia="宋体" w:hint="default"/>
                <w:sz w:val="18"/>
                <w:szCs w:val="18"/>
              </w:rPr>
            </w:pPr>
            <w:r>
              <w:rPr>
                <w:rFonts w:ascii="宋体" w:hAnsi="宋体" w:cs="宋体" w:eastAsia="宋体" w:hint="default"/>
                <w:sz w:val="18"/>
                <w:szCs w:val="18"/>
              </w:rPr>
              <w:t>公司 及子 公司 使用 部分 闲置 资金 进行 现金 管理 的进 展公 告</w:t>
            </w:r>
            <w:r>
              <w:rPr>
                <w:rFonts w:ascii="Times New Roman" w:hAnsi="Times New Roman" w:cs="Times New Roman" w:eastAsia="Times New Roman" w:hint="default"/>
                <w:sz w:val="18"/>
                <w:szCs w:val="18"/>
              </w:rPr>
              <w:t>(</w:t>
            </w:r>
            <w:r>
              <w:rPr>
                <w:rFonts w:ascii="宋体" w:hAnsi="宋体" w:cs="宋体" w:eastAsia="宋体" w:hint="default"/>
                <w:sz w:val="18"/>
                <w:szCs w:val="18"/>
              </w:rPr>
              <w:t>公 告编 号：</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007)</w:t>
            </w:r>
          </w:p>
        </w:tc>
      </w:tr>
      <w:tr>
        <w:trPr>
          <w:trHeight w:val="6291"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316" w:lineRule="auto"/>
              <w:ind w:left="24" w:right="176"/>
              <w:jc w:val="both"/>
              <w:rPr>
                <w:rFonts w:ascii="宋体" w:hAnsi="宋体" w:cs="宋体" w:eastAsia="宋体" w:hint="default"/>
                <w:sz w:val="18"/>
                <w:szCs w:val="18"/>
              </w:rPr>
            </w:pPr>
            <w:r>
              <w:rPr>
                <w:rFonts w:ascii="宋体" w:hAnsi="宋体" w:cs="宋体" w:eastAsia="宋体" w:hint="default"/>
                <w:sz w:val="18"/>
                <w:szCs w:val="18"/>
              </w:rPr>
              <w:t>交通 银行 即墨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312" w:lineRule="auto"/>
              <w:ind w:left="23" w:right="31"/>
              <w:jc w:val="left"/>
              <w:rPr>
                <w:rFonts w:ascii="宋体" w:hAnsi="宋体" w:cs="宋体" w:eastAsia="宋体" w:hint="default"/>
                <w:sz w:val="18"/>
                <w:szCs w:val="18"/>
              </w:rPr>
            </w:pPr>
            <w:r>
              <w:rPr>
                <w:rFonts w:ascii="宋体" w:hAnsi="宋体" w:cs="宋体" w:eastAsia="宋体" w:hint="default"/>
                <w:sz w:val="18"/>
                <w:szCs w:val="18"/>
              </w:rPr>
              <w:t>期限结 构型 </w:t>
            </w:r>
            <w:r>
              <w:rPr>
                <w:rFonts w:ascii="Times New Roman" w:hAnsi="Times New Roman" w:cs="Times New Roman" w:eastAsia="Times New Roman" w:hint="default"/>
                <w:sz w:val="18"/>
                <w:szCs w:val="18"/>
              </w:rPr>
              <w:t>(</w:t>
            </w:r>
            <w:r>
              <w:rPr>
                <w:rFonts w:ascii="宋体" w:hAnsi="宋体" w:cs="宋体" w:eastAsia="宋体" w:hint="default"/>
                <w:sz w:val="18"/>
                <w:szCs w:val="18"/>
              </w:rPr>
              <w:t>结构 性存 款）</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36" w:right="0"/>
              <w:jc w:val="left"/>
              <w:rPr>
                <w:rFonts w:ascii="Times New Roman" w:hAnsi="Times New Roman" w:cs="Times New Roman" w:eastAsia="Times New Roman" w:hint="default"/>
                <w:sz w:val="18"/>
                <w:szCs w:val="18"/>
              </w:rPr>
            </w:pPr>
            <w:r>
              <w:rPr>
                <w:rFonts w:ascii="Times New Roman"/>
                <w:sz w:val="18"/>
              </w:rPr>
              <w:t>3,000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47"/>
              <w:ind w:left="24" w:right="166"/>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三个 月期 限的 上海 银行 间同 业拆 放利 率</w:t>
            </w:r>
          </w:p>
          <w:p>
            <w:pPr>
              <w:pStyle w:val="TableParagraph"/>
              <w:spacing w:line="340" w:lineRule="auto" w:before="19"/>
              <w:ind w:left="23" w:right="44"/>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3M</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Shibor</w:t>
            </w:r>
          </w:p>
          <w:p>
            <w:pPr>
              <w:pStyle w:val="TableParagraph"/>
              <w:spacing w:line="215" w:lineRule="exact"/>
              <w:ind w:left="23" w:right="0"/>
              <w:jc w:val="both"/>
              <w:rPr>
                <w:rFonts w:ascii="宋体" w:hAnsi="宋体" w:cs="宋体" w:eastAsia="宋体" w:hint="default"/>
                <w:sz w:val="18"/>
                <w:szCs w:val="18"/>
              </w:rPr>
            </w:pPr>
            <w:r>
              <w:rPr>
                <w:rFonts w:ascii="宋体" w:hAnsi="宋体" w:cs="宋体" w:eastAsia="宋体" w:hint="default"/>
                <w:sz w:val="18"/>
                <w:szCs w:val="18"/>
              </w:rPr>
              <w:t>）</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62" w:right="0"/>
              <w:jc w:val="left"/>
              <w:rPr>
                <w:rFonts w:ascii="Times New Roman" w:hAnsi="Times New Roman" w:cs="Times New Roman" w:eastAsia="Times New Roman" w:hint="default"/>
                <w:sz w:val="18"/>
                <w:szCs w:val="18"/>
              </w:rPr>
            </w:pPr>
            <w:r>
              <w:rPr>
                <w:rFonts w:ascii="Times New Roman"/>
                <w:sz w:val="18"/>
              </w:rPr>
              <w:t>3.70%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22" w:right="0"/>
              <w:jc w:val="left"/>
              <w:rPr>
                <w:rFonts w:ascii="Times New Roman" w:hAnsi="Times New Roman" w:cs="Times New Roman" w:eastAsia="Times New Roman" w:hint="default"/>
                <w:sz w:val="18"/>
                <w:szCs w:val="18"/>
              </w:rPr>
            </w:pPr>
            <w:r>
              <w:rPr>
                <w:rFonts w:ascii="Times New Roman"/>
                <w:sz w:val="18"/>
              </w:rPr>
              <w:t>10.64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22" w:right="0"/>
              <w:jc w:val="left"/>
              <w:rPr>
                <w:rFonts w:ascii="Times New Roman" w:hAnsi="Times New Roman" w:cs="Times New Roman" w:eastAsia="Times New Roman" w:hint="default"/>
                <w:sz w:val="18"/>
                <w:szCs w:val="18"/>
              </w:rPr>
            </w:pPr>
            <w:r>
              <w:rPr>
                <w:rFonts w:ascii="Times New Roman"/>
                <w:sz w:val="18"/>
              </w:rPr>
              <w:t>10.64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47"/>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7"/>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20"/>
                <w:sz w:val="18"/>
                <w:szCs w:val="18"/>
              </w:rPr>
              <w:t>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海证 券报、 证券 时报、 证券 日报 及巨 潮资 讯网 上的 关于 公司 及全 资三 级子 公司 使用</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60"/>
        <w:gridCol w:w="562"/>
        <w:gridCol w:w="562"/>
        <w:gridCol w:w="562"/>
        <w:gridCol w:w="548"/>
        <w:gridCol w:w="547"/>
        <w:gridCol w:w="547"/>
        <w:gridCol w:w="538"/>
      </w:tblGrid>
      <w:tr>
        <w:trPr>
          <w:trHeight w:val="4107"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79"/>
              <w:jc w:val="left"/>
              <w:rPr>
                <w:rFonts w:ascii="宋体" w:hAnsi="宋体" w:cs="宋体" w:eastAsia="宋体" w:hint="default"/>
                <w:sz w:val="18"/>
                <w:szCs w:val="18"/>
              </w:rPr>
            </w:pPr>
            <w:r>
              <w:rPr>
                <w:rFonts w:ascii="宋体" w:hAnsi="宋体" w:cs="宋体" w:eastAsia="宋体" w:hint="default"/>
                <w:sz w:val="18"/>
                <w:szCs w:val="18"/>
              </w:rPr>
              <w:t>部分 闲置 资金 进行 现金 管理 的进 展公 告</w:t>
            </w:r>
            <w:r>
              <w:rPr>
                <w:rFonts w:ascii="Times New Roman" w:hAnsi="Times New Roman" w:cs="Times New Roman" w:eastAsia="Times New Roman" w:hint="default"/>
                <w:sz w:val="18"/>
                <w:szCs w:val="18"/>
              </w:rPr>
              <w:t>(</w:t>
            </w:r>
            <w:r>
              <w:rPr>
                <w:rFonts w:ascii="宋体" w:hAnsi="宋体" w:cs="宋体" w:eastAsia="宋体" w:hint="default"/>
                <w:sz w:val="18"/>
                <w:szCs w:val="18"/>
              </w:rPr>
              <w:t>公 告编 号：</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008)</w:t>
            </w:r>
          </w:p>
        </w:tc>
      </w:tr>
      <w:tr>
        <w:trPr>
          <w:trHeight w:val="9723"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3"/>
              <w:ind w:left="24" w:right="176"/>
              <w:jc w:val="both"/>
              <w:rPr>
                <w:rFonts w:ascii="宋体" w:hAnsi="宋体" w:cs="宋体" w:eastAsia="宋体" w:hint="default"/>
                <w:sz w:val="18"/>
                <w:szCs w:val="18"/>
              </w:rPr>
            </w:pPr>
            <w:r>
              <w:rPr>
                <w:rFonts w:ascii="宋体" w:hAnsi="宋体" w:cs="宋体" w:eastAsia="宋体" w:hint="default"/>
                <w:sz w:val="18"/>
                <w:szCs w:val="18"/>
              </w:rPr>
              <w:t>光大 银行 青岛 即墨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53"/>
              <w:ind w:left="23" w:right="31"/>
              <w:jc w:val="left"/>
              <w:rPr>
                <w:rFonts w:ascii="宋体" w:hAnsi="宋体" w:cs="宋体" w:eastAsia="宋体" w:hint="default"/>
                <w:sz w:val="18"/>
                <w:szCs w:val="18"/>
              </w:rPr>
            </w:pPr>
            <w:r>
              <w:rPr>
                <w:rFonts w:ascii="宋体" w:hAnsi="宋体" w:cs="宋体" w:eastAsia="宋体" w:hint="default"/>
                <w:sz w:val="18"/>
                <w:szCs w:val="18"/>
              </w:rPr>
              <w:t>保本浮 动收益 型</w:t>
            </w:r>
            <w:r>
              <w:rPr>
                <w:rFonts w:ascii="Times New Roman" w:hAnsi="Times New Roman" w:cs="Times New Roman" w:eastAsia="Times New Roman" w:hint="default"/>
                <w:sz w:val="18"/>
                <w:szCs w:val="18"/>
              </w:rPr>
              <w:t>(</w:t>
            </w:r>
            <w:r>
              <w:rPr>
                <w:rFonts w:ascii="宋体" w:hAnsi="宋体" w:cs="宋体" w:eastAsia="宋体" w:hint="default"/>
                <w:sz w:val="18"/>
                <w:szCs w:val="18"/>
              </w:rPr>
              <w:t>结 构性存 款）</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1,000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4" w:lineRule="auto"/>
              <w:ind w:left="24" w:right="166"/>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3"/>
              <w:ind w:left="23" w:right="167"/>
              <w:jc w:val="both"/>
              <w:rPr>
                <w:rFonts w:ascii="宋体" w:hAnsi="宋体" w:cs="宋体" w:eastAsia="宋体" w:hint="default"/>
                <w:sz w:val="18"/>
                <w:szCs w:val="18"/>
              </w:rPr>
            </w:pPr>
            <w:r>
              <w:rPr>
                <w:rFonts w:ascii="宋体" w:hAnsi="宋体" w:cs="宋体" w:eastAsia="宋体" w:hint="default"/>
                <w:sz w:val="18"/>
                <w:szCs w:val="18"/>
              </w:rPr>
              <w:t>特定 的金 融要 素挂 钩</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3.35%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2.83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2.83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4" w:lineRule="auto"/>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7"/>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20"/>
                <w:sz w:val="18"/>
                <w:szCs w:val="18"/>
              </w:rPr>
              <w:t>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海证 券报、 证券 时报、 证券 日报 及巨 潮资 讯网 上的 关于 公司 及全 资三 级子 公司 使用 部分 闲置 资金 进行 现金 管理 的进 展公 告</w:t>
            </w:r>
            <w:r>
              <w:rPr>
                <w:rFonts w:ascii="Times New Roman" w:hAnsi="Times New Roman" w:cs="Times New Roman" w:eastAsia="Times New Roman" w:hint="default"/>
                <w:sz w:val="18"/>
                <w:szCs w:val="18"/>
              </w:rPr>
              <w:t>(</w:t>
            </w:r>
            <w:r>
              <w:rPr>
                <w:rFonts w:ascii="宋体" w:hAnsi="宋体" w:cs="宋体" w:eastAsia="宋体" w:hint="default"/>
                <w:sz w:val="18"/>
                <w:szCs w:val="18"/>
              </w:rPr>
              <w:t>公 告编 号：</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60"/>
        <w:gridCol w:w="562"/>
        <w:gridCol w:w="562"/>
        <w:gridCol w:w="562"/>
        <w:gridCol w:w="548"/>
        <w:gridCol w:w="547"/>
        <w:gridCol w:w="547"/>
        <w:gridCol w:w="538"/>
      </w:tblGrid>
      <w:tr>
        <w:trPr>
          <w:trHeight w:val="675"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008)</w:t>
            </w:r>
          </w:p>
        </w:tc>
      </w:tr>
      <w:tr>
        <w:trPr>
          <w:trHeight w:val="10386"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316" w:lineRule="auto"/>
              <w:ind w:left="24" w:right="176"/>
              <w:jc w:val="both"/>
              <w:rPr>
                <w:rFonts w:ascii="宋体" w:hAnsi="宋体" w:cs="宋体" w:eastAsia="宋体" w:hint="default"/>
                <w:sz w:val="18"/>
                <w:szCs w:val="18"/>
              </w:rPr>
            </w:pPr>
            <w:r>
              <w:rPr>
                <w:rFonts w:ascii="宋体" w:hAnsi="宋体" w:cs="宋体" w:eastAsia="宋体" w:hint="default"/>
                <w:sz w:val="18"/>
                <w:szCs w:val="18"/>
              </w:rPr>
              <w:t>光大 银行 青岛 即墨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314" w:lineRule="auto"/>
              <w:ind w:left="23" w:right="31"/>
              <w:jc w:val="left"/>
              <w:rPr>
                <w:rFonts w:ascii="宋体" w:hAnsi="宋体" w:cs="宋体" w:eastAsia="宋体" w:hint="default"/>
                <w:sz w:val="18"/>
                <w:szCs w:val="18"/>
              </w:rPr>
            </w:pPr>
            <w:r>
              <w:rPr>
                <w:rFonts w:ascii="宋体" w:hAnsi="宋体" w:cs="宋体" w:eastAsia="宋体" w:hint="default"/>
                <w:sz w:val="18"/>
                <w:szCs w:val="18"/>
              </w:rPr>
              <w:t>保本浮 动收益 型</w:t>
            </w:r>
            <w:r>
              <w:rPr>
                <w:rFonts w:ascii="Times New Roman" w:hAnsi="Times New Roman" w:cs="Times New Roman" w:eastAsia="Times New Roman" w:hint="default"/>
                <w:sz w:val="18"/>
                <w:szCs w:val="18"/>
              </w:rPr>
              <w:t>(</w:t>
            </w:r>
            <w:r>
              <w:rPr>
                <w:rFonts w:ascii="宋体" w:hAnsi="宋体" w:cs="宋体" w:eastAsia="宋体" w:hint="default"/>
                <w:sz w:val="18"/>
                <w:szCs w:val="18"/>
              </w:rPr>
              <w:t>结 构性存 款）</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8"/>
              <w:jc w:val="right"/>
              <w:rPr>
                <w:rFonts w:ascii="Times New Roman" w:hAnsi="Times New Roman" w:cs="Times New Roman" w:eastAsia="Times New Roman" w:hint="default"/>
                <w:sz w:val="18"/>
                <w:szCs w:val="18"/>
              </w:rPr>
            </w:pPr>
            <w:r>
              <w:rPr>
                <w:rFonts w:ascii="Times New Roman"/>
                <w:sz w:val="18"/>
              </w:rPr>
              <w:t>1,000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5"/>
              <w:ind w:left="24" w:right="166"/>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特定 的金 融要 素挂 钩</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62" w:right="0"/>
              <w:jc w:val="left"/>
              <w:rPr>
                <w:rFonts w:ascii="Times New Roman" w:hAnsi="Times New Roman" w:cs="Times New Roman" w:eastAsia="Times New Roman" w:hint="default"/>
                <w:sz w:val="18"/>
                <w:szCs w:val="18"/>
              </w:rPr>
            </w:pPr>
            <w:r>
              <w:rPr>
                <w:rFonts w:ascii="Times New Roman"/>
                <w:sz w:val="18"/>
              </w:rPr>
              <w:t>3.10%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21"/>
              <w:jc w:val="right"/>
              <w:rPr>
                <w:rFonts w:ascii="Times New Roman" w:hAnsi="Times New Roman" w:cs="Times New Roman" w:eastAsia="Times New Roman" w:hint="default"/>
                <w:sz w:val="18"/>
                <w:szCs w:val="18"/>
              </w:rPr>
            </w:pPr>
            <w:r>
              <w:rPr>
                <w:rFonts w:ascii="Times New Roman"/>
                <w:spacing w:val="-1"/>
                <w:sz w:val="18"/>
              </w:rPr>
              <w:t>2.59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21"/>
              <w:jc w:val="right"/>
              <w:rPr>
                <w:rFonts w:ascii="Times New Roman" w:hAnsi="Times New Roman" w:cs="Times New Roman" w:eastAsia="Times New Roman" w:hint="default"/>
                <w:sz w:val="18"/>
                <w:szCs w:val="18"/>
              </w:rPr>
            </w:pPr>
            <w:r>
              <w:rPr>
                <w:rFonts w:ascii="Times New Roman"/>
                <w:spacing w:val="-1"/>
                <w:sz w:val="18"/>
              </w:rPr>
              <w:t>2.59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5"/>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7"/>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20"/>
                <w:sz w:val="18"/>
                <w:szCs w:val="18"/>
              </w:rPr>
              <w:t>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海证 券报、 证券 时报、 证券 日报 及巨 潮资 讯网 上的 关于 公司 及全 资三 级子 公司 使用 部分 闲置 资金 进行 现金 管理 的进 展公 告</w:t>
            </w:r>
            <w:r>
              <w:rPr>
                <w:rFonts w:ascii="Times New Roman" w:hAnsi="Times New Roman" w:cs="Times New Roman" w:eastAsia="Times New Roman" w:hint="default"/>
                <w:sz w:val="18"/>
                <w:szCs w:val="18"/>
              </w:rPr>
              <w:t>(</w:t>
            </w:r>
            <w:r>
              <w:rPr>
                <w:rFonts w:ascii="宋体" w:hAnsi="宋体" w:cs="宋体" w:eastAsia="宋体" w:hint="default"/>
                <w:sz w:val="18"/>
                <w:szCs w:val="18"/>
              </w:rPr>
              <w:t>公 告编 号：</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008)</w:t>
            </w:r>
          </w:p>
        </w:tc>
      </w:tr>
      <w:tr>
        <w:trPr>
          <w:trHeight w:val="285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16" w:lineRule="auto"/>
              <w:ind w:left="24" w:right="176"/>
              <w:jc w:val="both"/>
              <w:rPr>
                <w:rFonts w:ascii="宋体" w:hAnsi="宋体" w:cs="宋体" w:eastAsia="宋体" w:hint="default"/>
                <w:sz w:val="18"/>
                <w:szCs w:val="18"/>
              </w:rPr>
            </w:pPr>
            <w:r>
              <w:rPr>
                <w:rFonts w:ascii="宋体" w:hAnsi="宋体" w:cs="宋体" w:eastAsia="宋体" w:hint="default"/>
                <w:sz w:val="18"/>
                <w:szCs w:val="18"/>
              </w:rPr>
              <w:t>兴业 银行 青岛 即墨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14" w:lineRule="auto"/>
              <w:ind w:left="23" w:right="31"/>
              <w:jc w:val="left"/>
              <w:rPr>
                <w:rFonts w:ascii="宋体" w:hAnsi="宋体" w:cs="宋体" w:eastAsia="宋体" w:hint="default"/>
                <w:sz w:val="18"/>
                <w:szCs w:val="18"/>
              </w:rPr>
            </w:pPr>
            <w:r>
              <w:rPr>
                <w:rFonts w:ascii="宋体" w:hAnsi="宋体" w:cs="宋体" w:eastAsia="宋体" w:hint="default"/>
                <w:sz w:val="18"/>
                <w:szCs w:val="18"/>
              </w:rPr>
              <w:t>保本浮 动收益 型</w:t>
            </w:r>
            <w:r>
              <w:rPr>
                <w:rFonts w:ascii="Times New Roman" w:hAnsi="Times New Roman" w:cs="Times New Roman" w:eastAsia="Times New Roman" w:hint="default"/>
                <w:sz w:val="18"/>
                <w:szCs w:val="18"/>
              </w:rPr>
              <w:t>(</w:t>
            </w:r>
            <w:r>
              <w:rPr>
                <w:rFonts w:ascii="宋体" w:hAnsi="宋体" w:cs="宋体" w:eastAsia="宋体" w:hint="default"/>
                <w:sz w:val="18"/>
                <w:szCs w:val="18"/>
              </w:rPr>
              <w:t>结 构性存 款）</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316" w:lineRule="auto"/>
              <w:ind w:left="24" w:right="166"/>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上海 黄金 交易 所之 上海 金上 午基 准价</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8"/>
              <w:ind w:left="23"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3.47%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7"/>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20"/>
                <w:sz w:val="18"/>
                <w:szCs w:val="18"/>
              </w:rPr>
              <w:t>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海证 券报、 证券 时报、 证券 日报</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60"/>
        <w:gridCol w:w="562"/>
        <w:gridCol w:w="562"/>
        <w:gridCol w:w="562"/>
        <w:gridCol w:w="548"/>
        <w:gridCol w:w="547"/>
        <w:gridCol w:w="547"/>
        <w:gridCol w:w="538"/>
      </w:tblGrid>
      <w:tr>
        <w:trPr>
          <w:trHeight w:val="6603"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37"/>
              <w:jc w:val="both"/>
              <w:rPr>
                <w:rFonts w:ascii="宋体" w:hAnsi="宋体" w:cs="宋体" w:eastAsia="宋体" w:hint="default"/>
                <w:sz w:val="18"/>
                <w:szCs w:val="18"/>
              </w:rPr>
            </w:pPr>
            <w:r>
              <w:rPr>
                <w:rFonts w:ascii="宋体" w:hAnsi="宋体" w:cs="宋体" w:eastAsia="宋体" w:hint="default"/>
                <w:sz w:val="18"/>
                <w:szCs w:val="18"/>
              </w:rPr>
              <w:t>及巨 潮资 讯网 上的 关于 公司 使用 部分 闲置 募集 资金 进行 结构 性存 款的 进展 公告 </w:t>
            </w:r>
            <w:r>
              <w:rPr>
                <w:rFonts w:ascii="Times New Roman" w:hAnsi="Times New Roman" w:cs="Times New Roman" w:eastAsia="Times New Roman" w:hint="default"/>
                <w:sz w:val="18"/>
                <w:szCs w:val="18"/>
              </w:rPr>
              <w:t>(</w:t>
            </w:r>
            <w:r>
              <w:rPr>
                <w:rFonts w:ascii="宋体" w:hAnsi="宋体" w:cs="宋体" w:eastAsia="宋体" w:hint="default"/>
                <w:sz w:val="18"/>
                <w:szCs w:val="18"/>
              </w:rPr>
              <w:t>公告 编号：</w:t>
            </w:r>
          </w:p>
          <w:p>
            <w:pPr>
              <w:pStyle w:val="TableParagraph"/>
              <w:spacing w:line="240" w:lineRule="auto" w:before="61"/>
              <w:ind w:left="23" w:right="0"/>
              <w:jc w:val="both"/>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105"/>
              <w:ind w:left="23" w:right="0"/>
              <w:jc w:val="both"/>
              <w:rPr>
                <w:rFonts w:ascii="Times New Roman" w:hAnsi="Times New Roman" w:cs="Times New Roman" w:eastAsia="Times New Roman" w:hint="default"/>
                <w:sz w:val="18"/>
                <w:szCs w:val="18"/>
              </w:rPr>
            </w:pPr>
            <w:r>
              <w:rPr>
                <w:rFonts w:ascii="Times New Roman"/>
                <w:sz w:val="18"/>
              </w:rPr>
              <w:t>009)</w:t>
            </w:r>
          </w:p>
        </w:tc>
      </w:tr>
      <w:tr>
        <w:trPr>
          <w:trHeight w:val="7227"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6" w:lineRule="auto"/>
              <w:ind w:left="24" w:right="176"/>
              <w:jc w:val="both"/>
              <w:rPr>
                <w:rFonts w:ascii="宋体" w:hAnsi="宋体" w:cs="宋体" w:eastAsia="宋体" w:hint="default"/>
                <w:sz w:val="18"/>
                <w:szCs w:val="18"/>
              </w:rPr>
            </w:pPr>
            <w:r>
              <w:rPr>
                <w:rFonts w:ascii="宋体" w:hAnsi="宋体" w:cs="宋体" w:eastAsia="宋体" w:hint="default"/>
                <w:sz w:val="18"/>
                <w:szCs w:val="18"/>
              </w:rPr>
              <w:t>民生 银行 青岛 分行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47"/>
              <w:ind w:left="23" w:right="31"/>
              <w:jc w:val="left"/>
              <w:rPr>
                <w:rFonts w:ascii="宋体" w:hAnsi="宋体" w:cs="宋体" w:eastAsia="宋体" w:hint="default"/>
                <w:sz w:val="18"/>
                <w:szCs w:val="18"/>
              </w:rPr>
            </w:pPr>
            <w:r>
              <w:rPr>
                <w:rFonts w:ascii="宋体" w:hAnsi="宋体" w:cs="宋体" w:eastAsia="宋体" w:hint="default"/>
                <w:sz w:val="18"/>
                <w:szCs w:val="18"/>
              </w:rPr>
              <w:t>保本浮 动收益 型</w:t>
            </w:r>
            <w:r>
              <w:rPr>
                <w:rFonts w:ascii="Times New Roman" w:hAnsi="Times New Roman" w:cs="Times New Roman" w:eastAsia="Times New Roman" w:hint="default"/>
                <w:sz w:val="18"/>
                <w:szCs w:val="18"/>
              </w:rPr>
              <w:t>(</w:t>
            </w:r>
            <w:r>
              <w:rPr>
                <w:rFonts w:ascii="宋体" w:hAnsi="宋体" w:cs="宋体" w:eastAsia="宋体" w:hint="default"/>
                <w:sz w:val="18"/>
                <w:szCs w:val="18"/>
              </w:rPr>
              <w:t>结 构性存 款）</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15,000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314" w:lineRule="auto"/>
              <w:ind w:left="24" w:right="166"/>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360" w:lineRule="auto"/>
              <w:ind w:left="23" w:right="77"/>
              <w:jc w:val="left"/>
              <w:rPr>
                <w:rFonts w:ascii="Times New Roman" w:hAnsi="Times New Roman" w:cs="Times New Roman" w:eastAsia="Times New Roman" w:hint="default"/>
                <w:sz w:val="18"/>
                <w:szCs w:val="18"/>
              </w:rPr>
            </w:pPr>
            <w:r>
              <w:rPr>
                <w:rFonts w:ascii="Times New Roman"/>
                <w:sz w:val="18"/>
              </w:rPr>
              <w:t>USD3</w:t>
            </w:r>
            <w:r>
              <w:rPr>
                <w:rFonts w:ascii="Times New Roman"/>
                <w:w w:val="99"/>
                <w:sz w:val="18"/>
              </w:rPr>
              <w:t> </w:t>
            </w:r>
            <w:r>
              <w:rPr>
                <w:rFonts w:ascii="Times New Roman"/>
                <w:sz w:val="18"/>
              </w:rPr>
              <w:t>M-LI</w:t>
            </w:r>
            <w:r>
              <w:rPr>
                <w:rFonts w:ascii="Times New Roman"/>
                <w:spacing w:val="-2"/>
                <w:w w:val="99"/>
                <w:sz w:val="18"/>
              </w:rPr>
              <w:t> </w:t>
            </w:r>
            <w:r>
              <w:rPr>
                <w:rFonts w:ascii="Times New Roman"/>
                <w:sz w:val="18"/>
              </w:rPr>
              <w:t>BOR</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3.80%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140.55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140.55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314" w:lineRule="auto"/>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7"/>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20"/>
                <w:sz w:val="18"/>
                <w:szCs w:val="18"/>
              </w:rPr>
              <w:t>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海证 券报、 证券 时报、 证券 日报 及巨 潮资 讯网 上的 关于 公司 使用 部分 闲置 募集 资金 进行 结构 性存</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60"/>
        <w:gridCol w:w="562"/>
        <w:gridCol w:w="562"/>
        <w:gridCol w:w="562"/>
        <w:gridCol w:w="548"/>
        <w:gridCol w:w="547"/>
        <w:gridCol w:w="547"/>
        <w:gridCol w:w="538"/>
      </w:tblGrid>
      <w:tr>
        <w:trPr>
          <w:trHeight w:val="2547"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43"/>
              <w:jc w:val="both"/>
              <w:rPr>
                <w:rFonts w:ascii="宋体" w:hAnsi="宋体" w:cs="宋体" w:eastAsia="宋体" w:hint="default"/>
                <w:sz w:val="18"/>
                <w:szCs w:val="18"/>
              </w:rPr>
            </w:pPr>
            <w:r>
              <w:rPr>
                <w:rFonts w:ascii="宋体" w:hAnsi="宋体" w:cs="宋体" w:eastAsia="宋体" w:hint="default"/>
                <w:sz w:val="18"/>
                <w:szCs w:val="18"/>
              </w:rPr>
              <w:t>款的 进展 公告</w:t>
            </w:r>
          </w:p>
          <w:p>
            <w:pPr>
              <w:pStyle w:val="TableParagraph"/>
              <w:spacing w:line="316" w:lineRule="auto" w:before="17"/>
              <w:ind w:left="23" w:right="79"/>
              <w:jc w:val="both"/>
              <w:rPr>
                <w:rFonts w:ascii="宋体" w:hAnsi="宋体" w:cs="宋体" w:eastAsia="宋体" w:hint="default"/>
                <w:sz w:val="18"/>
                <w:szCs w:val="18"/>
              </w:rPr>
            </w:pPr>
            <w:r>
              <w:rPr>
                <w:rFonts w:ascii="宋体" w:hAnsi="宋体" w:cs="宋体" w:eastAsia="宋体" w:hint="default"/>
                <w:sz w:val="18"/>
                <w:szCs w:val="18"/>
              </w:rPr>
              <w:t>（公 告编 号：</w:t>
            </w:r>
          </w:p>
          <w:p>
            <w:pPr>
              <w:pStyle w:val="TableParagraph"/>
              <w:spacing w:line="240" w:lineRule="auto" w:before="61"/>
              <w:ind w:left="23" w:right="0"/>
              <w:jc w:val="both"/>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016</w:t>
            </w:r>
            <w:r>
              <w:rPr>
                <w:rFonts w:ascii="宋体" w:hAnsi="宋体" w:cs="宋体" w:eastAsia="宋体" w:hint="default"/>
                <w:sz w:val="18"/>
                <w:szCs w:val="18"/>
              </w:rPr>
              <w:t>）</w:t>
            </w:r>
          </w:p>
        </w:tc>
      </w:tr>
      <w:tr>
        <w:trPr>
          <w:trHeight w:val="11284"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4" w:right="176"/>
              <w:jc w:val="both"/>
              <w:rPr>
                <w:rFonts w:ascii="宋体" w:hAnsi="宋体" w:cs="宋体" w:eastAsia="宋体" w:hint="default"/>
                <w:sz w:val="18"/>
                <w:szCs w:val="18"/>
              </w:rPr>
            </w:pPr>
            <w:r>
              <w:rPr>
                <w:rFonts w:ascii="宋体" w:hAnsi="宋体" w:cs="宋体" w:eastAsia="宋体" w:hint="default"/>
                <w:sz w:val="18"/>
                <w:szCs w:val="18"/>
              </w:rPr>
              <w:t>浦发 银行 青岛 即墨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06"/>
              <w:ind w:left="23" w:right="31"/>
              <w:jc w:val="left"/>
              <w:rPr>
                <w:rFonts w:ascii="宋体" w:hAnsi="宋体" w:cs="宋体" w:eastAsia="宋体" w:hint="default"/>
                <w:sz w:val="18"/>
                <w:szCs w:val="18"/>
              </w:rPr>
            </w:pPr>
            <w:r>
              <w:rPr>
                <w:rFonts w:ascii="宋体" w:hAnsi="宋体" w:cs="宋体" w:eastAsia="宋体" w:hint="default"/>
                <w:sz w:val="18"/>
                <w:szCs w:val="18"/>
              </w:rPr>
              <w:t>保证收 益型 </w:t>
            </w:r>
            <w:r>
              <w:rPr>
                <w:rFonts w:ascii="Times New Roman" w:hAnsi="Times New Roman" w:cs="Times New Roman" w:eastAsia="Times New Roman" w:hint="default"/>
                <w:sz w:val="18"/>
                <w:szCs w:val="18"/>
              </w:rPr>
              <w:t>(</w:t>
            </w:r>
            <w:r>
              <w:rPr>
                <w:rFonts w:ascii="宋体" w:hAnsi="宋体" w:cs="宋体" w:eastAsia="宋体" w:hint="default"/>
                <w:sz w:val="18"/>
                <w:szCs w:val="18"/>
              </w:rPr>
              <w:t>结构 性存 款）</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136" w:right="0"/>
              <w:jc w:val="left"/>
              <w:rPr>
                <w:rFonts w:ascii="Times New Roman" w:hAnsi="Times New Roman" w:cs="Times New Roman" w:eastAsia="Times New Roman" w:hint="default"/>
                <w:sz w:val="18"/>
                <w:szCs w:val="18"/>
              </w:rPr>
            </w:pPr>
            <w:r>
              <w:rPr>
                <w:rFonts w:ascii="Times New Roman"/>
                <w:sz w:val="18"/>
              </w:rPr>
              <w:t>2,000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60"/>
              <w:ind w:left="24" w:right="166"/>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
              <w:jc w:val="left"/>
              <w:rPr>
                <w:rFonts w:ascii="宋体" w:hAnsi="宋体" w:cs="宋体" w:eastAsia="宋体" w:hint="default"/>
                <w:sz w:val="18"/>
                <w:szCs w:val="18"/>
              </w:rPr>
            </w:pPr>
            <w:r>
              <w:rPr>
                <w:rFonts w:ascii="宋体" w:hAnsi="宋体" w:cs="宋体" w:eastAsia="宋体" w:hint="default"/>
                <w:sz w:val="18"/>
                <w:szCs w:val="18"/>
              </w:rPr>
              <w:t>银行 间市 场央 </w:t>
            </w:r>
            <w:r>
              <w:rPr>
                <w:rFonts w:ascii="宋体" w:hAnsi="宋体" w:cs="宋体" w:eastAsia="宋体" w:hint="default"/>
                <w:spacing w:val="-12"/>
                <w:sz w:val="18"/>
                <w:szCs w:val="18"/>
              </w:rPr>
              <w:t>票、国</w:t>
            </w:r>
            <w:r>
              <w:rPr>
                <w:rFonts w:ascii="宋体" w:hAnsi="宋体" w:cs="宋体" w:eastAsia="宋体" w:hint="default"/>
                <w:sz w:val="18"/>
                <w:szCs w:val="18"/>
              </w:rPr>
              <w:t> 债金 融债、 企业 </w:t>
            </w:r>
            <w:r>
              <w:rPr>
                <w:rFonts w:ascii="宋体" w:hAnsi="宋体" w:cs="宋体" w:eastAsia="宋体" w:hint="default"/>
                <w:spacing w:val="-12"/>
                <w:sz w:val="18"/>
                <w:szCs w:val="18"/>
              </w:rPr>
              <w:t>债、短</w:t>
            </w:r>
            <w:r>
              <w:rPr>
                <w:rFonts w:ascii="宋体" w:hAnsi="宋体" w:cs="宋体" w:eastAsia="宋体" w:hint="default"/>
                <w:sz w:val="18"/>
                <w:szCs w:val="18"/>
              </w:rPr>
              <w:t> </w:t>
            </w:r>
            <w:r>
              <w:rPr>
                <w:rFonts w:ascii="宋体" w:hAnsi="宋体" w:cs="宋体" w:eastAsia="宋体" w:hint="default"/>
                <w:spacing w:val="-12"/>
                <w:sz w:val="18"/>
                <w:szCs w:val="18"/>
              </w:rPr>
              <w:t>融、中</w:t>
            </w:r>
            <w:r>
              <w:rPr>
                <w:rFonts w:ascii="宋体" w:hAnsi="宋体" w:cs="宋体" w:eastAsia="宋体" w:hint="default"/>
                <w:sz w:val="18"/>
                <w:szCs w:val="18"/>
              </w:rPr>
              <w:t> 期票 </w:t>
            </w:r>
            <w:r>
              <w:rPr>
                <w:rFonts w:ascii="宋体" w:hAnsi="宋体" w:cs="宋体" w:eastAsia="宋体" w:hint="default"/>
                <w:spacing w:val="-12"/>
                <w:sz w:val="18"/>
                <w:szCs w:val="18"/>
              </w:rPr>
              <w:t>据、同</w:t>
            </w:r>
            <w:r>
              <w:rPr>
                <w:rFonts w:ascii="宋体" w:hAnsi="宋体" w:cs="宋体" w:eastAsia="宋体" w:hint="default"/>
                <w:sz w:val="18"/>
                <w:szCs w:val="18"/>
              </w:rPr>
              <w:t> 业拆 </w:t>
            </w:r>
            <w:r>
              <w:rPr>
                <w:rFonts w:ascii="宋体" w:hAnsi="宋体" w:cs="宋体" w:eastAsia="宋体" w:hint="default"/>
                <w:spacing w:val="-12"/>
                <w:sz w:val="18"/>
                <w:szCs w:val="18"/>
              </w:rPr>
              <w:t>借、同</w:t>
            </w:r>
            <w:r>
              <w:rPr>
                <w:rFonts w:ascii="宋体" w:hAnsi="宋体" w:cs="宋体" w:eastAsia="宋体" w:hint="default"/>
                <w:sz w:val="18"/>
                <w:szCs w:val="18"/>
              </w:rPr>
              <w:t> 业存 </w:t>
            </w:r>
            <w:r>
              <w:rPr>
                <w:rFonts w:ascii="宋体" w:hAnsi="宋体" w:cs="宋体" w:eastAsia="宋体" w:hint="default"/>
                <w:spacing w:val="-12"/>
                <w:sz w:val="18"/>
                <w:szCs w:val="18"/>
              </w:rPr>
              <w:t>款、债</w:t>
            </w:r>
            <w:r>
              <w:rPr>
                <w:rFonts w:ascii="宋体" w:hAnsi="宋体" w:cs="宋体" w:eastAsia="宋体" w:hint="default"/>
                <w:sz w:val="18"/>
                <w:szCs w:val="18"/>
              </w:rPr>
              <w:t> 券或 票据 回购 </w:t>
            </w:r>
            <w:r>
              <w:rPr>
                <w:rFonts w:ascii="宋体" w:hAnsi="宋体" w:cs="宋体" w:eastAsia="宋体" w:hint="default"/>
                <w:spacing w:val="-12"/>
                <w:sz w:val="18"/>
                <w:szCs w:val="18"/>
              </w:rPr>
              <w:t>等，同</w:t>
            </w:r>
            <w:r>
              <w:rPr>
                <w:rFonts w:ascii="宋体" w:hAnsi="宋体" w:cs="宋体" w:eastAsia="宋体" w:hint="default"/>
                <w:sz w:val="18"/>
                <w:szCs w:val="18"/>
              </w:rPr>
              <w:t> 时银 行通 过主 动性 管理 和运 用结 构简 </w:t>
            </w:r>
            <w:r>
              <w:rPr>
                <w:rFonts w:ascii="宋体" w:hAnsi="宋体" w:cs="宋体" w:eastAsia="宋体" w:hint="default"/>
                <w:spacing w:val="-12"/>
                <w:sz w:val="18"/>
                <w:szCs w:val="18"/>
              </w:rPr>
              <w:t>单、风</w:t>
            </w:r>
            <w:r>
              <w:rPr>
                <w:rFonts w:ascii="宋体" w:hAnsi="宋体" w:cs="宋体" w:eastAsia="宋体" w:hint="default"/>
                <w:sz w:val="18"/>
                <w:szCs w:val="18"/>
              </w:rPr>
              <w:t> 险较 低的 相关 金融 工具 来提 高该 产品</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62" w:right="0"/>
              <w:jc w:val="left"/>
              <w:rPr>
                <w:rFonts w:ascii="Times New Roman" w:hAnsi="Times New Roman" w:cs="Times New Roman" w:eastAsia="Times New Roman" w:hint="default"/>
                <w:sz w:val="18"/>
                <w:szCs w:val="18"/>
              </w:rPr>
            </w:pPr>
            <w:r>
              <w:rPr>
                <w:rFonts w:ascii="Times New Roman"/>
                <w:sz w:val="18"/>
              </w:rPr>
              <w:t>3.50%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13" w:right="0"/>
              <w:jc w:val="left"/>
              <w:rPr>
                <w:rFonts w:ascii="Times New Roman" w:hAnsi="Times New Roman" w:cs="Times New Roman" w:eastAsia="Times New Roman" w:hint="default"/>
                <w:sz w:val="18"/>
                <w:szCs w:val="18"/>
              </w:rPr>
            </w:pPr>
            <w:r>
              <w:rPr>
                <w:rFonts w:ascii="Times New Roman"/>
                <w:sz w:val="18"/>
              </w:rPr>
              <w:t>7.19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13" w:right="0"/>
              <w:jc w:val="left"/>
              <w:rPr>
                <w:rFonts w:ascii="Times New Roman" w:hAnsi="Times New Roman" w:cs="Times New Roman" w:eastAsia="Times New Roman" w:hint="default"/>
                <w:sz w:val="18"/>
                <w:szCs w:val="18"/>
              </w:rPr>
            </w:pPr>
            <w:r>
              <w:rPr>
                <w:rFonts w:ascii="Times New Roman"/>
                <w:sz w:val="18"/>
              </w:rPr>
              <w:t>7.19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60"/>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316" w:lineRule="auto"/>
              <w:ind w:left="23" w:right="-37"/>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20"/>
                <w:sz w:val="18"/>
                <w:szCs w:val="18"/>
              </w:rPr>
              <w:t>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海证 券报、 证券 时报、 证券 日报 及巨 潮资 讯网 上的 关于 公司 使用 部分 闲置 募集 资金 进行 结构 性存 款的 进展 公告</w:t>
            </w:r>
          </w:p>
          <w:p>
            <w:pPr>
              <w:pStyle w:val="TableParagraph"/>
              <w:spacing w:line="316" w:lineRule="auto" w:before="19"/>
              <w:ind w:left="23" w:right="79"/>
              <w:jc w:val="both"/>
              <w:rPr>
                <w:rFonts w:ascii="宋体" w:hAnsi="宋体" w:cs="宋体" w:eastAsia="宋体" w:hint="default"/>
                <w:sz w:val="18"/>
                <w:szCs w:val="18"/>
              </w:rPr>
            </w:pPr>
            <w:r>
              <w:rPr>
                <w:rFonts w:ascii="宋体" w:hAnsi="宋体" w:cs="宋体" w:eastAsia="宋体" w:hint="default"/>
                <w:sz w:val="18"/>
                <w:szCs w:val="18"/>
              </w:rPr>
              <w:t>（公 告编 号：</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016</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60"/>
        <w:gridCol w:w="562"/>
        <w:gridCol w:w="562"/>
        <w:gridCol w:w="562"/>
        <w:gridCol w:w="548"/>
        <w:gridCol w:w="547"/>
        <w:gridCol w:w="547"/>
        <w:gridCol w:w="538"/>
      </w:tblGrid>
      <w:tr>
        <w:trPr>
          <w:trHeight w:val="675"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3"/>
              <w:jc w:val="left"/>
              <w:rPr>
                <w:rFonts w:ascii="宋体" w:hAnsi="宋体" w:cs="宋体" w:eastAsia="宋体" w:hint="default"/>
                <w:sz w:val="18"/>
                <w:szCs w:val="18"/>
              </w:rPr>
            </w:pPr>
            <w:r>
              <w:rPr>
                <w:rFonts w:ascii="宋体" w:hAnsi="宋体" w:cs="宋体" w:eastAsia="宋体" w:hint="default"/>
                <w:sz w:val="18"/>
                <w:szCs w:val="18"/>
              </w:rPr>
              <w:t>的收 益率。</w:t>
            </w: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9762"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316" w:lineRule="auto"/>
              <w:ind w:left="24" w:right="176"/>
              <w:jc w:val="both"/>
              <w:rPr>
                <w:rFonts w:ascii="宋体" w:hAnsi="宋体" w:cs="宋体" w:eastAsia="宋体" w:hint="default"/>
                <w:sz w:val="18"/>
                <w:szCs w:val="18"/>
              </w:rPr>
            </w:pPr>
            <w:r>
              <w:rPr>
                <w:rFonts w:ascii="宋体" w:hAnsi="宋体" w:cs="宋体" w:eastAsia="宋体" w:hint="default"/>
                <w:sz w:val="18"/>
                <w:szCs w:val="18"/>
              </w:rPr>
              <w:t>光大 银行 青岛 即墨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314" w:lineRule="auto"/>
              <w:ind w:left="23" w:right="31"/>
              <w:jc w:val="left"/>
              <w:rPr>
                <w:rFonts w:ascii="宋体" w:hAnsi="宋体" w:cs="宋体" w:eastAsia="宋体" w:hint="default"/>
                <w:sz w:val="18"/>
                <w:szCs w:val="18"/>
              </w:rPr>
            </w:pPr>
            <w:r>
              <w:rPr>
                <w:rFonts w:ascii="宋体" w:hAnsi="宋体" w:cs="宋体" w:eastAsia="宋体" w:hint="default"/>
                <w:sz w:val="18"/>
                <w:szCs w:val="18"/>
              </w:rPr>
              <w:t>保本浮 动收益 型</w:t>
            </w:r>
            <w:r>
              <w:rPr>
                <w:rFonts w:ascii="Times New Roman" w:hAnsi="Times New Roman" w:cs="Times New Roman" w:eastAsia="Times New Roman" w:hint="default"/>
                <w:sz w:val="18"/>
                <w:szCs w:val="18"/>
              </w:rPr>
              <w:t>(</w:t>
            </w:r>
            <w:r>
              <w:rPr>
                <w:rFonts w:ascii="宋体" w:hAnsi="宋体" w:cs="宋体" w:eastAsia="宋体" w:hint="default"/>
                <w:sz w:val="18"/>
                <w:szCs w:val="18"/>
              </w:rPr>
              <w:t>结 构性存 款）</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316" w:lineRule="auto"/>
              <w:ind w:left="24" w:right="166"/>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特定 的金 融要 素挂 钩</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7"/>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20"/>
                <w:sz w:val="18"/>
                <w:szCs w:val="18"/>
              </w:rPr>
              <w:t>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海证 券报、 证券 时报、 证券 日报 及巨 潮资 讯网 上的 关于 公司 使用 部分 闲置 募集 资金 进行 结构 性存 款的 进展 公告</w:t>
            </w:r>
          </w:p>
          <w:p>
            <w:pPr>
              <w:pStyle w:val="TableParagraph"/>
              <w:spacing w:line="316" w:lineRule="auto" w:before="19"/>
              <w:ind w:left="23" w:right="79"/>
              <w:jc w:val="both"/>
              <w:rPr>
                <w:rFonts w:ascii="宋体" w:hAnsi="宋体" w:cs="宋体" w:eastAsia="宋体" w:hint="default"/>
                <w:sz w:val="18"/>
                <w:szCs w:val="18"/>
              </w:rPr>
            </w:pPr>
            <w:r>
              <w:rPr>
                <w:rFonts w:ascii="宋体" w:hAnsi="宋体" w:cs="宋体" w:eastAsia="宋体" w:hint="default"/>
                <w:sz w:val="18"/>
                <w:szCs w:val="18"/>
              </w:rPr>
              <w:t>（公 告编 号：</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018</w:t>
            </w:r>
            <w:r>
              <w:rPr>
                <w:rFonts w:ascii="宋体" w:hAnsi="宋体" w:cs="宋体" w:eastAsia="宋体" w:hint="default"/>
                <w:sz w:val="18"/>
                <w:szCs w:val="18"/>
              </w:rPr>
              <w:t>）</w:t>
            </w:r>
          </w:p>
        </w:tc>
      </w:tr>
      <w:tr>
        <w:trPr>
          <w:trHeight w:val="3483"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316" w:lineRule="auto"/>
              <w:ind w:left="24" w:right="176"/>
              <w:jc w:val="both"/>
              <w:rPr>
                <w:rFonts w:ascii="宋体" w:hAnsi="宋体" w:cs="宋体" w:eastAsia="宋体" w:hint="default"/>
                <w:sz w:val="18"/>
                <w:szCs w:val="18"/>
              </w:rPr>
            </w:pPr>
            <w:r>
              <w:rPr>
                <w:rFonts w:ascii="宋体" w:hAnsi="宋体" w:cs="宋体" w:eastAsia="宋体" w:hint="default"/>
                <w:sz w:val="18"/>
                <w:szCs w:val="18"/>
              </w:rPr>
              <w:t>交通 银行 即墨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38"/>
              <w:ind w:left="23" w:right="31"/>
              <w:jc w:val="left"/>
              <w:rPr>
                <w:rFonts w:ascii="宋体" w:hAnsi="宋体" w:cs="宋体" w:eastAsia="宋体" w:hint="default"/>
                <w:sz w:val="18"/>
                <w:szCs w:val="18"/>
              </w:rPr>
            </w:pPr>
            <w:r>
              <w:rPr>
                <w:rFonts w:ascii="宋体" w:hAnsi="宋体" w:cs="宋体" w:eastAsia="宋体" w:hint="default"/>
                <w:sz w:val="18"/>
                <w:szCs w:val="18"/>
              </w:rPr>
              <w:t>保本浮 动收益 型</w:t>
            </w:r>
            <w:r>
              <w:rPr>
                <w:rFonts w:ascii="Times New Roman" w:hAnsi="Times New Roman" w:cs="Times New Roman" w:eastAsia="Times New Roman" w:hint="default"/>
                <w:sz w:val="18"/>
                <w:szCs w:val="18"/>
              </w:rPr>
              <w:t>(</w:t>
            </w:r>
            <w:r>
              <w:rPr>
                <w:rFonts w:ascii="宋体" w:hAnsi="宋体" w:cs="宋体" w:eastAsia="宋体" w:hint="default"/>
                <w:sz w:val="18"/>
                <w:szCs w:val="18"/>
              </w:rPr>
              <w:t>结 构性存 款）</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316" w:lineRule="auto"/>
              <w:ind w:left="24" w:right="166"/>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2" w:lineRule="exact"/>
              <w:ind w:left="23" w:right="41"/>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 黄金 交易 所 </w:t>
            </w:r>
            <w:r>
              <w:rPr>
                <w:rFonts w:ascii="Times New Roman" w:hAnsi="Times New Roman" w:cs="Times New Roman" w:eastAsia="Times New Roman" w:hint="default"/>
                <w:sz w:val="18"/>
                <w:szCs w:val="18"/>
              </w:rPr>
              <w:t>AU99.</w:t>
            </w:r>
          </w:p>
          <w:p>
            <w:pPr>
              <w:pStyle w:val="TableParagraph"/>
              <w:spacing w:line="309" w:lineRule="auto" w:before="39"/>
              <w:ind w:left="23"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99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合 约收 盘价</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3.95%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28.48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28.48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7"/>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20"/>
                <w:sz w:val="18"/>
                <w:szCs w:val="18"/>
              </w:rPr>
              <w:t>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海证 券报、 证券 时报、 证券 日报 及巨 潮资</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60"/>
        <w:gridCol w:w="562"/>
        <w:gridCol w:w="562"/>
        <w:gridCol w:w="562"/>
        <w:gridCol w:w="548"/>
        <w:gridCol w:w="547"/>
        <w:gridCol w:w="547"/>
        <w:gridCol w:w="538"/>
      </w:tblGrid>
      <w:tr>
        <w:trPr>
          <w:trHeight w:val="6603"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43"/>
              <w:jc w:val="both"/>
              <w:rPr>
                <w:rFonts w:ascii="宋体" w:hAnsi="宋体" w:cs="宋体" w:eastAsia="宋体" w:hint="default"/>
                <w:sz w:val="18"/>
                <w:szCs w:val="18"/>
              </w:rPr>
            </w:pPr>
            <w:r>
              <w:rPr>
                <w:rFonts w:ascii="宋体" w:hAnsi="宋体" w:cs="宋体" w:eastAsia="宋体" w:hint="default"/>
                <w:sz w:val="18"/>
                <w:szCs w:val="18"/>
              </w:rPr>
              <w:t>讯网 上的 关于 公司 及子 公司 使用 部分 闲置 资金 进行 结构 性存 款的 进展 公告</w:t>
            </w:r>
          </w:p>
          <w:p>
            <w:pPr>
              <w:pStyle w:val="TableParagraph"/>
              <w:spacing w:line="316" w:lineRule="auto" w:before="19"/>
              <w:ind w:left="23" w:right="79"/>
              <w:jc w:val="both"/>
              <w:rPr>
                <w:rFonts w:ascii="宋体" w:hAnsi="宋体" w:cs="宋体" w:eastAsia="宋体" w:hint="default"/>
                <w:sz w:val="18"/>
                <w:szCs w:val="18"/>
              </w:rPr>
            </w:pPr>
            <w:r>
              <w:rPr>
                <w:rFonts w:ascii="宋体" w:hAnsi="宋体" w:cs="宋体" w:eastAsia="宋体" w:hint="default"/>
                <w:sz w:val="18"/>
                <w:szCs w:val="18"/>
              </w:rPr>
              <w:t>（公 告编 号：</w:t>
            </w:r>
          </w:p>
          <w:p>
            <w:pPr>
              <w:pStyle w:val="TableParagraph"/>
              <w:spacing w:line="240" w:lineRule="auto" w:before="61"/>
              <w:ind w:left="23" w:right="0"/>
              <w:jc w:val="both"/>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019</w:t>
            </w:r>
            <w:r>
              <w:rPr>
                <w:rFonts w:ascii="宋体" w:hAnsi="宋体" w:cs="宋体" w:eastAsia="宋体" w:hint="default"/>
                <w:sz w:val="18"/>
                <w:szCs w:val="18"/>
              </w:rPr>
              <w:t>）</w:t>
            </w:r>
          </w:p>
        </w:tc>
      </w:tr>
      <w:tr>
        <w:trPr>
          <w:trHeight w:val="7227"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6" w:lineRule="auto"/>
              <w:ind w:left="24" w:right="176"/>
              <w:jc w:val="both"/>
              <w:rPr>
                <w:rFonts w:ascii="宋体" w:hAnsi="宋体" w:cs="宋体" w:eastAsia="宋体" w:hint="default"/>
                <w:sz w:val="18"/>
                <w:szCs w:val="18"/>
              </w:rPr>
            </w:pPr>
            <w:r>
              <w:rPr>
                <w:rFonts w:ascii="宋体" w:hAnsi="宋体" w:cs="宋体" w:eastAsia="宋体" w:hint="default"/>
                <w:sz w:val="18"/>
                <w:szCs w:val="18"/>
              </w:rPr>
              <w:t>交通 银行 即墨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47"/>
              <w:ind w:left="23" w:right="31"/>
              <w:jc w:val="left"/>
              <w:rPr>
                <w:rFonts w:ascii="宋体" w:hAnsi="宋体" w:cs="宋体" w:eastAsia="宋体" w:hint="default"/>
                <w:sz w:val="18"/>
                <w:szCs w:val="18"/>
              </w:rPr>
            </w:pPr>
            <w:r>
              <w:rPr>
                <w:rFonts w:ascii="宋体" w:hAnsi="宋体" w:cs="宋体" w:eastAsia="宋体" w:hint="default"/>
                <w:sz w:val="18"/>
                <w:szCs w:val="18"/>
              </w:rPr>
              <w:t>保本浮 动收益 型</w:t>
            </w:r>
            <w:r>
              <w:rPr>
                <w:rFonts w:ascii="Times New Roman" w:hAnsi="Times New Roman" w:cs="Times New Roman" w:eastAsia="Times New Roman" w:hint="default"/>
                <w:sz w:val="18"/>
                <w:szCs w:val="18"/>
              </w:rPr>
              <w:t>(</w:t>
            </w:r>
            <w:r>
              <w:rPr>
                <w:rFonts w:ascii="宋体" w:hAnsi="宋体" w:cs="宋体" w:eastAsia="宋体" w:hint="default"/>
                <w:sz w:val="18"/>
                <w:szCs w:val="18"/>
              </w:rPr>
              <w:t>结 构性存 款）</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7,500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314" w:lineRule="auto"/>
              <w:ind w:left="24" w:right="166"/>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三个 月期 限的 上海 银行 间同 业拆 放利 率</w:t>
            </w:r>
          </w:p>
          <w:p>
            <w:pPr>
              <w:pStyle w:val="TableParagraph"/>
              <w:spacing w:line="340" w:lineRule="auto" w:before="19"/>
              <w:ind w:left="23" w:right="44"/>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3M</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Shibor</w:t>
            </w:r>
          </w:p>
          <w:p>
            <w:pPr>
              <w:pStyle w:val="TableParagraph"/>
              <w:spacing w:line="215" w:lineRule="exact"/>
              <w:ind w:left="23" w:right="0"/>
              <w:jc w:val="both"/>
              <w:rPr>
                <w:rFonts w:ascii="宋体" w:hAnsi="宋体" w:cs="宋体" w:eastAsia="宋体" w:hint="default"/>
                <w:sz w:val="18"/>
                <w:szCs w:val="18"/>
              </w:rPr>
            </w:pPr>
            <w:r>
              <w:rPr>
                <w:rFonts w:ascii="宋体" w:hAnsi="宋体" w:cs="宋体" w:eastAsia="宋体" w:hint="default"/>
                <w:sz w:val="18"/>
                <w:szCs w:val="18"/>
              </w:rPr>
              <w:t>）</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3.85%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49.84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49.84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314" w:lineRule="auto"/>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7"/>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20"/>
                <w:sz w:val="18"/>
                <w:szCs w:val="18"/>
              </w:rPr>
              <w:t>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海证 券报、 证券 时报、 证券 日报 及巨 潮资 讯网 上的 关于 公司 及子 公司 使用 部分 闲置 资金 进行 结构</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60"/>
        <w:gridCol w:w="562"/>
        <w:gridCol w:w="562"/>
        <w:gridCol w:w="562"/>
        <w:gridCol w:w="548"/>
        <w:gridCol w:w="547"/>
        <w:gridCol w:w="547"/>
        <w:gridCol w:w="538"/>
      </w:tblGrid>
      <w:tr>
        <w:trPr>
          <w:trHeight w:val="2859"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43"/>
              <w:jc w:val="both"/>
              <w:rPr>
                <w:rFonts w:ascii="宋体" w:hAnsi="宋体" w:cs="宋体" w:eastAsia="宋体" w:hint="default"/>
                <w:sz w:val="18"/>
                <w:szCs w:val="18"/>
              </w:rPr>
            </w:pPr>
            <w:r>
              <w:rPr>
                <w:rFonts w:ascii="宋体" w:hAnsi="宋体" w:cs="宋体" w:eastAsia="宋体" w:hint="default"/>
                <w:sz w:val="18"/>
                <w:szCs w:val="18"/>
              </w:rPr>
              <w:t>性存 款的 进展 公告</w:t>
            </w:r>
          </w:p>
          <w:p>
            <w:pPr>
              <w:pStyle w:val="TableParagraph"/>
              <w:spacing w:line="316" w:lineRule="auto" w:before="17"/>
              <w:ind w:left="23" w:right="79"/>
              <w:jc w:val="both"/>
              <w:rPr>
                <w:rFonts w:ascii="宋体" w:hAnsi="宋体" w:cs="宋体" w:eastAsia="宋体" w:hint="default"/>
                <w:sz w:val="18"/>
                <w:szCs w:val="18"/>
              </w:rPr>
            </w:pPr>
            <w:r>
              <w:rPr>
                <w:rFonts w:ascii="宋体" w:hAnsi="宋体" w:cs="宋体" w:eastAsia="宋体" w:hint="default"/>
                <w:sz w:val="18"/>
                <w:szCs w:val="18"/>
              </w:rPr>
              <w:t>（公 告编 号：</w:t>
            </w:r>
          </w:p>
          <w:p>
            <w:pPr>
              <w:pStyle w:val="TableParagraph"/>
              <w:spacing w:line="240" w:lineRule="auto" w:before="61"/>
              <w:ind w:left="23" w:right="0"/>
              <w:jc w:val="both"/>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019</w:t>
            </w:r>
            <w:r>
              <w:rPr>
                <w:rFonts w:ascii="宋体" w:hAnsi="宋体" w:cs="宋体" w:eastAsia="宋体" w:hint="default"/>
                <w:sz w:val="18"/>
                <w:szCs w:val="18"/>
              </w:rPr>
              <w:t>）</w:t>
            </w:r>
          </w:p>
        </w:tc>
      </w:tr>
      <w:tr>
        <w:trPr>
          <w:trHeight w:val="9450"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9" w:lineRule="auto"/>
              <w:ind w:left="24" w:right="176"/>
              <w:jc w:val="both"/>
              <w:rPr>
                <w:rFonts w:ascii="宋体" w:hAnsi="宋体" w:cs="宋体" w:eastAsia="宋体" w:hint="default"/>
                <w:sz w:val="18"/>
                <w:szCs w:val="18"/>
              </w:rPr>
            </w:pPr>
            <w:r>
              <w:rPr>
                <w:rFonts w:ascii="宋体" w:hAnsi="宋体" w:cs="宋体" w:eastAsia="宋体" w:hint="default"/>
                <w:sz w:val="18"/>
                <w:szCs w:val="18"/>
              </w:rPr>
              <w:t>光大 银行 青岛 即墨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4" w:lineRule="auto"/>
              <w:ind w:left="23" w:right="31"/>
              <w:jc w:val="left"/>
              <w:rPr>
                <w:rFonts w:ascii="宋体" w:hAnsi="宋体" w:cs="宋体" w:eastAsia="宋体" w:hint="default"/>
                <w:sz w:val="18"/>
                <w:szCs w:val="18"/>
              </w:rPr>
            </w:pPr>
            <w:r>
              <w:rPr>
                <w:rFonts w:ascii="宋体" w:hAnsi="宋体" w:cs="宋体" w:eastAsia="宋体" w:hint="default"/>
                <w:sz w:val="18"/>
                <w:szCs w:val="18"/>
              </w:rPr>
              <w:t>保本浮 动收益 型</w:t>
            </w:r>
            <w:r>
              <w:rPr>
                <w:rFonts w:ascii="Times New Roman" w:hAnsi="Times New Roman" w:cs="Times New Roman" w:eastAsia="Times New Roman" w:hint="default"/>
                <w:sz w:val="18"/>
                <w:szCs w:val="18"/>
              </w:rPr>
              <w:t>(</w:t>
            </w:r>
            <w:r>
              <w:rPr>
                <w:rFonts w:ascii="宋体" w:hAnsi="宋体" w:cs="宋体" w:eastAsia="宋体" w:hint="default"/>
                <w:sz w:val="18"/>
                <w:szCs w:val="18"/>
              </w:rPr>
              <w:t>结 构性存 款）</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316" w:lineRule="auto"/>
              <w:ind w:left="24" w:right="166"/>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9" w:lineRule="auto"/>
              <w:ind w:left="23" w:right="167"/>
              <w:jc w:val="both"/>
              <w:rPr>
                <w:rFonts w:ascii="宋体" w:hAnsi="宋体" w:cs="宋体" w:eastAsia="宋体" w:hint="default"/>
                <w:sz w:val="18"/>
                <w:szCs w:val="18"/>
              </w:rPr>
            </w:pPr>
            <w:r>
              <w:rPr>
                <w:rFonts w:ascii="宋体" w:hAnsi="宋体" w:cs="宋体" w:eastAsia="宋体" w:hint="default"/>
                <w:sz w:val="18"/>
                <w:szCs w:val="18"/>
              </w:rPr>
              <w:t>特定 的金 融要 素挂 钩</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22"/>
              <w:ind w:left="23"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3.20%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16.08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16.08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7"/>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20"/>
                <w:sz w:val="18"/>
                <w:szCs w:val="18"/>
              </w:rPr>
              <w:t>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海证 券报、 证券 时报、 证券 日报 及巨 潮资 讯网 上的 关于 公司 使用 部分 闲置 募集 资金 进行 结构 性存 款的 进展 公告 </w:t>
            </w:r>
            <w:r>
              <w:rPr>
                <w:rFonts w:ascii="Times New Roman" w:hAnsi="Times New Roman" w:cs="Times New Roman" w:eastAsia="Times New Roman" w:hint="default"/>
                <w:sz w:val="18"/>
                <w:szCs w:val="18"/>
              </w:rPr>
              <w:t>(</w:t>
            </w:r>
            <w:r>
              <w:rPr>
                <w:rFonts w:ascii="宋体" w:hAnsi="宋体" w:cs="宋体" w:eastAsia="宋体" w:hint="default"/>
                <w:sz w:val="18"/>
                <w:szCs w:val="18"/>
              </w:rPr>
              <w:t>公告 编号：</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021)</w:t>
            </w:r>
          </w:p>
        </w:tc>
      </w:tr>
      <w:tr>
        <w:trPr>
          <w:trHeight w:val="1610"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6" w:lineRule="auto"/>
              <w:ind w:left="24" w:right="176"/>
              <w:jc w:val="both"/>
              <w:rPr>
                <w:rFonts w:ascii="宋体" w:hAnsi="宋体" w:cs="宋体" w:eastAsia="宋体" w:hint="default"/>
                <w:sz w:val="18"/>
                <w:szCs w:val="18"/>
              </w:rPr>
            </w:pPr>
            <w:r>
              <w:rPr>
                <w:rFonts w:ascii="宋体" w:hAnsi="宋体" w:cs="宋体" w:eastAsia="宋体" w:hint="default"/>
                <w:sz w:val="18"/>
                <w:szCs w:val="18"/>
              </w:rPr>
              <w:t>工商 银行 即墨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2" w:lineRule="auto"/>
              <w:ind w:left="23" w:right="31"/>
              <w:jc w:val="left"/>
              <w:rPr>
                <w:rFonts w:ascii="宋体" w:hAnsi="宋体" w:cs="宋体" w:eastAsia="宋体" w:hint="default"/>
                <w:sz w:val="18"/>
                <w:szCs w:val="18"/>
              </w:rPr>
            </w:pPr>
            <w:r>
              <w:rPr>
                <w:rFonts w:ascii="宋体" w:hAnsi="宋体" w:cs="宋体" w:eastAsia="宋体" w:hint="default"/>
                <w:sz w:val="18"/>
                <w:szCs w:val="18"/>
              </w:rPr>
              <w:t>保本浮 动收益 型</w:t>
            </w:r>
            <w:r>
              <w:rPr>
                <w:rFonts w:ascii="Times New Roman" w:hAnsi="Times New Roman" w:cs="Times New Roman" w:eastAsia="Times New Roman" w:hint="default"/>
                <w:sz w:val="18"/>
                <w:szCs w:val="18"/>
              </w:rPr>
              <w:t>(</w:t>
            </w:r>
            <w:r>
              <w:rPr>
                <w:rFonts w:ascii="宋体" w:hAnsi="宋体" w:cs="宋体" w:eastAsia="宋体" w:hint="default"/>
                <w:sz w:val="18"/>
                <w:szCs w:val="18"/>
              </w:rPr>
              <w:t>结 构性存</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316" w:lineRule="auto"/>
              <w:ind w:left="24" w:right="166"/>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7"/>
              <w:jc w:val="both"/>
              <w:rPr>
                <w:rFonts w:ascii="宋体" w:hAnsi="宋体" w:cs="宋体" w:eastAsia="宋体" w:hint="default"/>
                <w:sz w:val="18"/>
                <w:szCs w:val="18"/>
              </w:rPr>
            </w:pPr>
            <w:r>
              <w:rPr>
                <w:rFonts w:ascii="宋体" w:hAnsi="宋体" w:cs="宋体" w:eastAsia="宋体" w:hint="default"/>
                <w:sz w:val="18"/>
                <w:szCs w:val="18"/>
              </w:rPr>
              <w:t>观察 期内 每日 东京 时间</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4"/>
              <w:ind w:left="23"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3.20%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45.24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45.24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7"/>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20"/>
                <w:sz w:val="18"/>
                <w:szCs w:val="18"/>
              </w:rPr>
              <w:t>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海证 券报、</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60"/>
        <w:gridCol w:w="562"/>
        <w:gridCol w:w="562"/>
        <w:gridCol w:w="562"/>
        <w:gridCol w:w="548"/>
        <w:gridCol w:w="547"/>
        <w:gridCol w:w="547"/>
        <w:gridCol w:w="553"/>
      </w:tblGrid>
      <w:tr>
        <w:trPr>
          <w:trHeight w:val="13740"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款）</w:t>
            </w:r>
          </w:p>
        </w:tc>
        <w:tc>
          <w:tcPr>
            <w:tcW w:w="57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23" w:right="163"/>
              <w:jc w:val="both"/>
              <w:rPr>
                <w:rFonts w:ascii="宋体" w:hAnsi="宋体" w:cs="宋体" w:eastAsia="宋体" w:hint="default"/>
                <w:sz w:val="18"/>
                <w:szCs w:val="18"/>
              </w:rPr>
            </w:pPr>
            <w:r>
              <w:rPr>
                <w:rFonts w:ascii="宋体" w:hAnsi="宋体" w:cs="宋体" w:eastAsia="宋体" w:hint="default"/>
                <w:sz w:val="18"/>
                <w:szCs w:val="18"/>
              </w:rPr>
              <w:t>下午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点 彭博</w:t>
            </w:r>
          </w:p>
          <w:p>
            <w:pPr>
              <w:pStyle w:val="TableParagraph"/>
              <w:spacing w:line="240" w:lineRule="auto" w:before="6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“BFIX</w:t>
            </w:r>
          </w:p>
          <w:p>
            <w:pPr>
              <w:pStyle w:val="TableParagraph"/>
              <w:spacing w:line="314" w:lineRule="auto" w:before="63"/>
              <w:ind w:left="23" w:right="-13"/>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页面 显示 的美 元</w:t>
            </w:r>
            <w:r>
              <w:rPr>
                <w:rFonts w:ascii="Times New Roman" w:hAnsi="Times New Roman" w:cs="Times New Roman" w:eastAsia="Times New Roman" w:hint="default"/>
                <w:sz w:val="18"/>
                <w:szCs w:val="18"/>
              </w:rPr>
              <w:t>/</w:t>
            </w:r>
            <w:r>
              <w:rPr>
                <w:rFonts w:ascii="宋体" w:hAnsi="宋体" w:cs="宋体" w:eastAsia="宋体" w:hint="default"/>
                <w:sz w:val="18"/>
                <w:szCs w:val="18"/>
              </w:rPr>
              <w:t>日 元汇 率中 间价， 取值 四舍 五入 至小 数点</w:t>
            </w:r>
          </w:p>
          <w:p>
            <w:pPr>
              <w:pStyle w:val="TableParagraph"/>
              <w:spacing w:line="316" w:lineRule="auto" w:before="20"/>
              <w:ind w:left="23" w:right="-13"/>
              <w:jc w:val="left"/>
              <w:rPr>
                <w:rFonts w:ascii="宋体" w:hAnsi="宋体" w:cs="宋体" w:eastAsia="宋体" w:hint="default"/>
                <w:sz w:val="18"/>
                <w:szCs w:val="18"/>
              </w:rPr>
            </w:pPr>
            <w:r>
              <w:rPr>
                <w:rFonts w:ascii="宋体" w:hAnsi="宋体" w:cs="宋体" w:eastAsia="宋体" w:hint="default"/>
                <w:sz w:val="18"/>
                <w:szCs w:val="18"/>
              </w:rPr>
              <w:t>后</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 </w:t>
            </w:r>
            <w:r>
              <w:rPr>
                <w:rFonts w:ascii="宋体" w:hAnsi="宋体" w:cs="宋体" w:eastAsia="宋体" w:hint="default"/>
                <w:spacing w:val="-12"/>
                <w:sz w:val="18"/>
                <w:szCs w:val="18"/>
              </w:rPr>
              <w:t>位，表</w:t>
            </w:r>
            <w:r>
              <w:rPr>
                <w:rFonts w:ascii="宋体" w:hAnsi="宋体" w:cs="宋体" w:eastAsia="宋体" w:hint="default"/>
                <w:sz w:val="18"/>
                <w:szCs w:val="18"/>
              </w:rPr>
              <w:t> 示为 一美 元可 兑换 的日 元数。 如果 某日 彭博</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“BFIX</w:t>
            </w:r>
          </w:p>
          <w:p>
            <w:pPr>
              <w:pStyle w:val="TableParagraph"/>
              <w:spacing w:line="316" w:lineRule="auto" w:before="63"/>
              <w:ind w:left="23"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页面 上没 有显 示相 关数 </w:t>
            </w:r>
            <w:r>
              <w:rPr>
                <w:rFonts w:ascii="宋体" w:hAnsi="宋体" w:cs="宋体" w:eastAsia="宋体" w:hint="default"/>
                <w:spacing w:val="-12"/>
                <w:sz w:val="18"/>
                <w:szCs w:val="18"/>
              </w:rPr>
              <w:t>据，则</w:t>
            </w:r>
            <w:r>
              <w:rPr>
                <w:rFonts w:ascii="宋体" w:hAnsi="宋体" w:cs="宋体" w:eastAsia="宋体" w:hint="default"/>
                <w:sz w:val="18"/>
                <w:szCs w:val="18"/>
              </w:rPr>
              <w:t> 该日 指标 采用 此日 期前 最近 一个 可获 得的 东京</w:t>
            </w: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21"/>
              <w:jc w:val="left"/>
              <w:rPr>
                <w:rFonts w:ascii="宋体" w:hAnsi="宋体" w:cs="宋体" w:eastAsia="宋体" w:hint="default"/>
                <w:sz w:val="18"/>
                <w:szCs w:val="18"/>
              </w:rPr>
            </w:pPr>
            <w:r>
              <w:rPr>
                <w:rFonts w:ascii="宋体" w:hAnsi="宋体" w:cs="宋体" w:eastAsia="宋体" w:hint="default"/>
                <w:sz w:val="18"/>
                <w:szCs w:val="18"/>
              </w:rPr>
              <w:t>证券 时报、 证券 日报 及巨 潮资 讯网 上的 关于 公司 使用 部分 闲置 募集 资金 进行 结构 性存 款的 进展 公告 </w:t>
            </w:r>
            <w:r>
              <w:rPr>
                <w:rFonts w:ascii="Times New Roman" w:hAnsi="Times New Roman" w:cs="Times New Roman" w:eastAsia="Times New Roman" w:hint="default"/>
                <w:sz w:val="18"/>
                <w:szCs w:val="18"/>
              </w:rPr>
              <w:t>(</w:t>
            </w:r>
            <w:r>
              <w:rPr>
                <w:rFonts w:ascii="宋体" w:hAnsi="宋体" w:cs="宋体" w:eastAsia="宋体" w:hint="default"/>
                <w:sz w:val="18"/>
                <w:szCs w:val="18"/>
              </w:rPr>
              <w:t>公告 编号：</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022)</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60"/>
        <w:gridCol w:w="562"/>
        <w:gridCol w:w="562"/>
        <w:gridCol w:w="562"/>
        <w:gridCol w:w="548"/>
        <w:gridCol w:w="547"/>
        <w:gridCol w:w="547"/>
        <w:gridCol w:w="538"/>
      </w:tblGrid>
      <w:tr>
        <w:trPr>
          <w:trHeight w:val="3795"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23" w:right="163"/>
              <w:jc w:val="both"/>
              <w:rPr>
                <w:rFonts w:ascii="宋体" w:hAnsi="宋体" w:cs="宋体" w:eastAsia="宋体" w:hint="default"/>
                <w:sz w:val="18"/>
                <w:szCs w:val="18"/>
              </w:rPr>
            </w:pPr>
            <w:r>
              <w:rPr>
                <w:rFonts w:ascii="宋体" w:hAnsi="宋体" w:cs="宋体" w:eastAsia="宋体" w:hint="default"/>
                <w:sz w:val="18"/>
                <w:szCs w:val="18"/>
              </w:rPr>
              <w:t>时间 下午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点 彭博</w:t>
            </w:r>
          </w:p>
          <w:p>
            <w:pPr>
              <w:pStyle w:val="TableParagraph"/>
              <w:spacing w:line="240" w:lineRule="auto" w:before="6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“BFIX</w:t>
            </w:r>
          </w:p>
          <w:p>
            <w:pPr>
              <w:pStyle w:val="TableParagraph"/>
              <w:spacing w:line="312" w:lineRule="auto" w:before="63"/>
              <w:ind w:left="23" w:right="-13"/>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页面 显示 的美 元</w:t>
            </w:r>
            <w:r>
              <w:rPr>
                <w:rFonts w:ascii="Times New Roman" w:hAnsi="Times New Roman" w:cs="Times New Roman" w:eastAsia="Times New Roman" w:hint="default"/>
                <w:sz w:val="18"/>
                <w:szCs w:val="18"/>
              </w:rPr>
              <w:t>/</w:t>
            </w:r>
            <w:r>
              <w:rPr>
                <w:rFonts w:ascii="宋体" w:hAnsi="宋体" w:cs="宋体" w:eastAsia="宋体" w:hint="default"/>
                <w:sz w:val="18"/>
                <w:szCs w:val="18"/>
              </w:rPr>
              <w:t>日 元汇 率中 间价。</w:t>
            </w: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9450"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316" w:lineRule="auto"/>
              <w:ind w:left="24" w:right="176"/>
              <w:jc w:val="both"/>
              <w:rPr>
                <w:rFonts w:ascii="宋体" w:hAnsi="宋体" w:cs="宋体" w:eastAsia="宋体" w:hint="default"/>
                <w:sz w:val="18"/>
                <w:szCs w:val="18"/>
              </w:rPr>
            </w:pPr>
            <w:r>
              <w:rPr>
                <w:rFonts w:ascii="宋体" w:hAnsi="宋体" w:cs="宋体" w:eastAsia="宋体" w:hint="default"/>
                <w:sz w:val="18"/>
                <w:szCs w:val="18"/>
              </w:rPr>
              <w:t>工商 银行 即墨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4" w:lineRule="auto"/>
              <w:ind w:left="23" w:right="31"/>
              <w:jc w:val="left"/>
              <w:rPr>
                <w:rFonts w:ascii="宋体" w:hAnsi="宋体" w:cs="宋体" w:eastAsia="宋体" w:hint="default"/>
                <w:sz w:val="18"/>
                <w:szCs w:val="18"/>
              </w:rPr>
            </w:pPr>
            <w:r>
              <w:rPr>
                <w:rFonts w:ascii="宋体" w:hAnsi="宋体" w:cs="宋体" w:eastAsia="宋体" w:hint="default"/>
                <w:sz w:val="18"/>
                <w:szCs w:val="18"/>
              </w:rPr>
              <w:t>保本浮 动收益 型</w:t>
            </w:r>
            <w:r>
              <w:rPr>
                <w:rFonts w:ascii="Times New Roman" w:hAnsi="Times New Roman" w:cs="Times New Roman" w:eastAsia="Times New Roman" w:hint="default"/>
                <w:sz w:val="18"/>
                <w:szCs w:val="18"/>
              </w:rPr>
              <w:t>(</w:t>
            </w:r>
            <w:r>
              <w:rPr>
                <w:rFonts w:ascii="宋体" w:hAnsi="宋体" w:cs="宋体" w:eastAsia="宋体" w:hint="default"/>
                <w:sz w:val="18"/>
                <w:szCs w:val="18"/>
              </w:rPr>
              <w:t>结 构性存 款）</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316" w:lineRule="auto"/>
              <w:ind w:left="24" w:right="166"/>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4" w:lineRule="auto"/>
              <w:ind w:left="23" w:right="-13"/>
              <w:jc w:val="left"/>
              <w:rPr>
                <w:rFonts w:ascii="宋体" w:hAnsi="宋体" w:cs="宋体" w:eastAsia="宋体" w:hint="default"/>
                <w:sz w:val="18"/>
                <w:szCs w:val="18"/>
              </w:rPr>
            </w:pPr>
            <w:r>
              <w:rPr>
                <w:rFonts w:ascii="宋体" w:hAnsi="宋体" w:cs="宋体" w:eastAsia="宋体" w:hint="default"/>
                <w:sz w:val="18"/>
                <w:szCs w:val="18"/>
              </w:rPr>
              <w:t>欧元</w:t>
            </w:r>
            <w:r>
              <w:rPr>
                <w:rFonts w:ascii="Times New Roman" w:hAnsi="Times New Roman" w:cs="Times New Roman" w:eastAsia="Times New Roman" w:hint="default"/>
                <w:sz w:val="18"/>
                <w:szCs w:val="18"/>
              </w:rPr>
              <w:t>/ </w:t>
            </w:r>
            <w:r>
              <w:rPr>
                <w:rFonts w:ascii="宋体" w:hAnsi="宋体" w:cs="宋体" w:eastAsia="宋体" w:hint="default"/>
                <w:sz w:val="18"/>
                <w:szCs w:val="18"/>
              </w:rPr>
              <w:t>美元 即期 汇率： 每周 一悉 尼时 间上</w:t>
            </w:r>
          </w:p>
          <w:p>
            <w:pPr>
              <w:pStyle w:val="TableParagraph"/>
              <w:spacing w:line="314" w:lineRule="auto" w:before="20"/>
              <w:ind w:left="23" w:right="115"/>
              <w:jc w:val="both"/>
              <w:rPr>
                <w:rFonts w:ascii="宋体" w:hAnsi="宋体" w:cs="宋体" w:eastAsia="宋体" w:hint="default"/>
                <w:sz w:val="18"/>
                <w:szCs w:val="18"/>
              </w:rPr>
            </w:pPr>
            <w:r>
              <w:rPr>
                <w:rFonts w:ascii="宋体" w:hAnsi="宋体" w:cs="宋体" w:eastAsia="宋体" w:hint="default"/>
                <w:sz w:val="18"/>
                <w:szCs w:val="18"/>
              </w:rPr>
              <w:t>午</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点至 每周 五纽 约时 间下 午</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点之 间全 球银 行间 外汇 商场 的欧 元</w:t>
            </w:r>
            <w:r>
              <w:rPr>
                <w:rFonts w:ascii="Times New Roman" w:hAnsi="Times New Roman" w:cs="Times New Roman" w:eastAsia="Times New Roman" w:hint="default"/>
                <w:sz w:val="18"/>
                <w:szCs w:val="18"/>
              </w:rPr>
              <w:t>/</w:t>
            </w:r>
            <w:r>
              <w:rPr>
                <w:rFonts w:ascii="宋体" w:hAnsi="宋体" w:cs="宋体" w:eastAsia="宋体" w:hint="default"/>
                <w:sz w:val="18"/>
                <w:szCs w:val="18"/>
              </w:rPr>
              <w:t>美 元汇 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2"/>
              <w:ind w:left="23"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2.90%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7"/>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20"/>
                <w:sz w:val="18"/>
                <w:szCs w:val="18"/>
              </w:rPr>
              <w:t>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海证 券报、 证券 时报、 证券 日报 及巨 潮资 讯网 上的 关于 公司 使用 部分 闲置 募集 资金 进行 结构 性存 款的 进展 公告 </w:t>
            </w:r>
            <w:r>
              <w:rPr>
                <w:rFonts w:ascii="Times New Roman" w:hAnsi="Times New Roman" w:cs="Times New Roman" w:eastAsia="Times New Roman" w:hint="default"/>
                <w:sz w:val="18"/>
                <w:szCs w:val="18"/>
              </w:rPr>
              <w:t>(</w:t>
            </w:r>
            <w:r>
              <w:rPr>
                <w:rFonts w:ascii="宋体" w:hAnsi="宋体" w:cs="宋体" w:eastAsia="宋体" w:hint="default"/>
                <w:sz w:val="18"/>
                <w:szCs w:val="18"/>
              </w:rPr>
              <w:t>公告 编号：</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023)</w:t>
            </w:r>
          </w:p>
        </w:tc>
      </w:tr>
      <w:tr>
        <w:trPr>
          <w:trHeight w:val="674"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left"/>
              <w:rPr>
                <w:rFonts w:ascii="宋体" w:hAnsi="宋体" w:cs="宋体" w:eastAsia="宋体" w:hint="default"/>
                <w:sz w:val="18"/>
                <w:szCs w:val="18"/>
              </w:rPr>
            </w:pPr>
            <w:r>
              <w:rPr>
                <w:rFonts w:ascii="宋体" w:hAnsi="宋体" w:cs="宋体" w:eastAsia="宋体" w:hint="default"/>
                <w:sz w:val="18"/>
                <w:szCs w:val="18"/>
              </w:rPr>
              <w:t>工商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1"/>
              <w:jc w:val="left"/>
              <w:rPr>
                <w:rFonts w:ascii="宋体" w:hAnsi="宋体" w:cs="宋体" w:eastAsia="宋体" w:hint="default"/>
                <w:sz w:val="18"/>
                <w:szCs w:val="18"/>
              </w:rPr>
            </w:pPr>
            <w:r>
              <w:rPr>
                <w:rFonts w:ascii="宋体" w:hAnsi="宋体" w:cs="宋体" w:eastAsia="宋体" w:hint="default"/>
                <w:sz w:val="18"/>
                <w:szCs w:val="18"/>
              </w:rPr>
              <w:t>保本浮 动收益</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1,010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募投</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17"/>
              <w:jc w:val="left"/>
              <w:rPr>
                <w:rFonts w:ascii="宋体" w:hAnsi="宋体" w:cs="宋体" w:eastAsia="宋体" w:hint="default"/>
                <w:sz w:val="18"/>
                <w:szCs w:val="18"/>
              </w:rPr>
            </w:pPr>
            <w:r>
              <w:rPr>
                <w:rFonts w:ascii="宋体" w:hAnsi="宋体" w:cs="宋体" w:eastAsia="宋体" w:hint="default"/>
                <w:sz w:val="18"/>
                <w:szCs w:val="18"/>
              </w:rPr>
              <w:t>欧元</w:t>
            </w:r>
            <w:r>
              <w:rPr>
                <w:rFonts w:ascii="Times New Roman" w:hAnsi="Times New Roman" w:cs="Times New Roman" w:eastAsia="Times New Roman" w:hint="default"/>
                <w:sz w:val="18"/>
                <w:szCs w:val="18"/>
              </w:rPr>
              <w:t>/ </w:t>
            </w:r>
            <w:r>
              <w:rPr>
                <w:rFonts w:ascii="宋体" w:hAnsi="宋体" w:cs="宋体" w:eastAsia="宋体" w:hint="default"/>
                <w:sz w:val="18"/>
                <w:szCs w:val="18"/>
              </w:rPr>
              <w:t>美元</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7"/>
              <w:jc w:val="left"/>
              <w:rPr>
                <w:rFonts w:ascii="宋体" w:hAnsi="宋体" w:cs="宋体" w:eastAsia="宋体" w:hint="default"/>
                <w:sz w:val="18"/>
                <w:szCs w:val="18"/>
              </w:rPr>
            </w:pPr>
            <w:r>
              <w:rPr>
                <w:rFonts w:ascii="宋体" w:hAnsi="宋体" w:cs="宋体" w:eastAsia="宋体" w:hint="default"/>
                <w:sz w:val="18"/>
                <w:szCs w:val="18"/>
              </w:rPr>
              <w:t>到期 收回</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2.90%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已收</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3"/>
              <w:jc w:val="left"/>
              <w:rPr>
                <w:rFonts w:ascii="宋体" w:hAnsi="宋体" w:cs="宋体" w:eastAsia="宋体" w:hint="default"/>
                <w:sz w:val="18"/>
                <w:szCs w:val="18"/>
              </w:rPr>
            </w:pPr>
            <w:r>
              <w:rPr>
                <w:rFonts w:ascii="宋体" w:hAnsi="宋体" w:cs="宋体" w:eastAsia="宋体" w:hint="default"/>
                <w:sz w:val="18"/>
                <w:szCs w:val="18"/>
              </w:rPr>
              <w:t>中国 证券</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60"/>
        <w:gridCol w:w="562"/>
        <w:gridCol w:w="562"/>
        <w:gridCol w:w="562"/>
        <w:gridCol w:w="548"/>
        <w:gridCol w:w="547"/>
        <w:gridCol w:w="547"/>
        <w:gridCol w:w="538"/>
      </w:tblGrid>
      <w:tr>
        <w:trPr>
          <w:trHeight w:val="878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76"/>
              <w:jc w:val="left"/>
              <w:rPr>
                <w:rFonts w:ascii="宋体" w:hAnsi="宋体" w:cs="宋体" w:eastAsia="宋体" w:hint="default"/>
                <w:sz w:val="18"/>
                <w:szCs w:val="18"/>
              </w:rPr>
            </w:pPr>
            <w:r>
              <w:rPr>
                <w:rFonts w:ascii="宋体" w:hAnsi="宋体" w:cs="宋体" w:eastAsia="宋体" w:hint="default"/>
                <w:sz w:val="18"/>
                <w:szCs w:val="18"/>
              </w:rPr>
              <w:t>即墨 支行</w:t>
            </w:r>
          </w:p>
        </w:tc>
        <w:tc>
          <w:tcPr>
            <w:tcW w:w="590"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23" w:right="31"/>
              <w:jc w:val="left"/>
              <w:rPr>
                <w:rFonts w:ascii="宋体" w:hAnsi="宋体" w:cs="宋体" w:eastAsia="宋体" w:hint="default"/>
                <w:sz w:val="18"/>
                <w:szCs w:val="18"/>
              </w:rPr>
            </w:pPr>
            <w:r>
              <w:rPr>
                <w:rFonts w:ascii="宋体" w:hAnsi="宋体" w:cs="宋体" w:eastAsia="宋体" w:hint="default"/>
                <w:sz w:val="18"/>
                <w:szCs w:val="18"/>
              </w:rPr>
              <w:t>型</w:t>
            </w:r>
            <w:r>
              <w:rPr>
                <w:rFonts w:ascii="Times New Roman" w:hAnsi="Times New Roman" w:cs="Times New Roman" w:eastAsia="Times New Roman" w:hint="default"/>
                <w:sz w:val="18"/>
                <w:szCs w:val="18"/>
              </w:rPr>
              <w:t>(</w:t>
            </w:r>
            <w:r>
              <w:rPr>
                <w:rFonts w:ascii="宋体" w:hAnsi="宋体" w:cs="宋体" w:eastAsia="宋体" w:hint="default"/>
                <w:sz w:val="18"/>
                <w:szCs w:val="18"/>
              </w:rPr>
              <w:t>结 构性存 款）</w:t>
            </w:r>
          </w:p>
        </w:tc>
        <w:tc>
          <w:tcPr>
            <w:tcW w:w="57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3"/>
              <w:jc w:val="left"/>
              <w:rPr>
                <w:rFonts w:ascii="宋体" w:hAnsi="宋体" w:cs="宋体" w:eastAsia="宋体" w:hint="default"/>
                <w:sz w:val="18"/>
                <w:szCs w:val="18"/>
              </w:rPr>
            </w:pPr>
            <w:r>
              <w:rPr>
                <w:rFonts w:ascii="宋体" w:hAnsi="宋体" w:cs="宋体" w:eastAsia="宋体" w:hint="default"/>
                <w:sz w:val="18"/>
                <w:szCs w:val="18"/>
              </w:rPr>
              <w:t>即期 汇率： 每周 一悉 尼时 间上</w:t>
            </w:r>
          </w:p>
          <w:p>
            <w:pPr>
              <w:pStyle w:val="TableParagraph"/>
              <w:spacing w:line="314" w:lineRule="auto" w:before="19"/>
              <w:ind w:left="23" w:right="115"/>
              <w:jc w:val="both"/>
              <w:rPr>
                <w:rFonts w:ascii="宋体" w:hAnsi="宋体" w:cs="宋体" w:eastAsia="宋体" w:hint="default"/>
                <w:sz w:val="18"/>
                <w:szCs w:val="18"/>
              </w:rPr>
            </w:pPr>
            <w:r>
              <w:rPr>
                <w:rFonts w:ascii="宋体" w:hAnsi="宋体" w:cs="宋体" w:eastAsia="宋体" w:hint="default"/>
                <w:sz w:val="18"/>
                <w:szCs w:val="18"/>
              </w:rPr>
              <w:t>午</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点至 每周 五纽 约时 间下 午</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点之 间全 球银 行间 外汇 商场 的欧 元</w:t>
            </w:r>
            <w:r>
              <w:rPr>
                <w:rFonts w:ascii="Times New Roman" w:hAnsi="Times New Roman" w:cs="Times New Roman" w:eastAsia="Times New Roman" w:hint="default"/>
                <w:sz w:val="18"/>
                <w:szCs w:val="18"/>
              </w:rPr>
              <w:t>/</w:t>
            </w:r>
            <w:r>
              <w:rPr>
                <w:rFonts w:ascii="宋体" w:hAnsi="宋体" w:cs="宋体" w:eastAsia="宋体" w:hint="default"/>
                <w:sz w:val="18"/>
                <w:szCs w:val="18"/>
              </w:rPr>
              <w:t>美 元汇 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本息</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回</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37"/>
              <w:jc w:val="left"/>
              <w:rPr>
                <w:rFonts w:ascii="宋体" w:hAnsi="宋体" w:cs="宋体" w:eastAsia="宋体" w:hint="default"/>
                <w:sz w:val="18"/>
                <w:szCs w:val="18"/>
              </w:rPr>
            </w:pPr>
            <w:r>
              <w:rPr>
                <w:rFonts w:ascii="宋体" w:hAnsi="宋体" w:cs="宋体" w:eastAsia="宋体" w:hint="default"/>
                <w:spacing w:val="-20"/>
                <w:sz w:val="18"/>
                <w:szCs w:val="18"/>
              </w:rPr>
              <w:t>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海证 券报、 证券 时报、 证券 日报 及巨 潮资 讯网 上的 关于 公司 使用 部分 闲置 募集 资金 进行 结构 性存 款的 进展 公告 </w:t>
            </w:r>
            <w:r>
              <w:rPr>
                <w:rFonts w:ascii="Times New Roman" w:hAnsi="Times New Roman" w:cs="Times New Roman" w:eastAsia="Times New Roman" w:hint="default"/>
                <w:sz w:val="18"/>
                <w:szCs w:val="18"/>
              </w:rPr>
              <w:t>(</w:t>
            </w:r>
            <w:r>
              <w:rPr>
                <w:rFonts w:ascii="宋体" w:hAnsi="宋体" w:cs="宋体" w:eastAsia="宋体" w:hint="default"/>
                <w:sz w:val="18"/>
                <w:szCs w:val="18"/>
              </w:rPr>
              <w:t>公告 编号：</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025)</w:t>
            </w:r>
          </w:p>
        </w:tc>
      </w:tr>
      <w:tr>
        <w:trPr>
          <w:trHeight w:val="5043"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316" w:lineRule="auto"/>
              <w:ind w:left="24" w:right="176"/>
              <w:jc w:val="both"/>
              <w:rPr>
                <w:rFonts w:ascii="宋体" w:hAnsi="宋体" w:cs="宋体" w:eastAsia="宋体" w:hint="default"/>
                <w:sz w:val="18"/>
                <w:szCs w:val="18"/>
              </w:rPr>
            </w:pPr>
            <w:r>
              <w:rPr>
                <w:rFonts w:ascii="宋体" w:hAnsi="宋体" w:cs="宋体" w:eastAsia="宋体" w:hint="default"/>
                <w:sz w:val="18"/>
                <w:szCs w:val="18"/>
              </w:rPr>
              <w:t>兴业 银行 青岛 即墨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312" w:lineRule="auto"/>
              <w:ind w:left="23" w:right="31"/>
              <w:jc w:val="left"/>
              <w:rPr>
                <w:rFonts w:ascii="宋体" w:hAnsi="宋体" w:cs="宋体" w:eastAsia="宋体" w:hint="default"/>
                <w:sz w:val="18"/>
                <w:szCs w:val="18"/>
              </w:rPr>
            </w:pPr>
            <w:r>
              <w:rPr>
                <w:rFonts w:ascii="宋体" w:hAnsi="宋体" w:cs="宋体" w:eastAsia="宋体" w:hint="default"/>
                <w:sz w:val="18"/>
                <w:szCs w:val="18"/>
              </w:rPr>
              <w:t>保本浮 动收益 型</w:t>
            </w:r>
            <w:r>
              <w:rPr>
                <w:rFonts w:ascii="Times New Roman" w:hAnsi="Times New Roman" w:cs="Times New Roman" w:eastAsia="Times New Roman" w:hint="default"/>
                <w:sz w:val="18"/>
                <w:szCs w:val="18"/>
              </w:rPr>
              <w:t>(</w:t>
            </w:r>
            <w:r>
              <w:rPr>
                <w:rFonts w:ascii="宋体" w:hAnsi="宋体" w:cs="宋体" w:eastAsia="宋体" w:hint="default"/>
                <w:sz w:val="18"/>
                <w:szCs w:val="18"/>
              </w:rPr>
              <w:t>结 构性存 款）</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left="136" w:right="0"/>
              <w:jc w:val="left"/>
              <w:rPr>
                <w:rFonts w:ascii="Times New Roman" w:hAnsi="Times New Roman" w:cs="Times New Roman" w:eastAsia="Times New Roman" w:hint="default"/>
                <w:sz w:val="18"/>
                <w:szCs w:val="18"/>
              </w:rPr>
            </w:pPr>
            <w:r>
              <w:rPr>
                <w:rFonts w:ascii="Times New Roman"/>
                <w:sz w:val="18"/>
              </w:rPr>
              <w:t>2,000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44"/>
              <w:ind w:left="24" w:right="166"/>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上海 黄金 交易 所之 上海 金上 午基 准价</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left="62" w:right="0"/>
              <w:jc w:val="left"/>
              <w:rPr>
                <w:rFonts w:ascii="Times New Roman" w:hAnsi="Times New Roman" w:cs="Times New Roman" w:eastAsia="Times New Roman" w:hint="default"/>
                <w:sz w:val="18"/>
                <w:szCs w:val="18"/>
              </w:rPr>
            </w:pPr>
            <w:r>
              <w:rPr>
                <w:rFonts w:ascii="Times New Roman"/>
                <w:sz w:val="18"/>
              </w:rPr>
              <w:t>3.83%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left="122" w:right="0"/>
              <w:jc w:val="left"/>
              <w:rPr>
                <w:rFonts w:ascii="Times New Roman" w:hAnsi="Times New Roman" w:cs="Times New Roman" w:eastAsia="Times New Roman" w:hint="default"/>
                <w:sz w:val="18"/>
                <w:szCs w:val="18"/>
              </w:rPr>
            </w:pPr>
            <w:r>
              <w:rPr>
                <w:rFonts w:ascii="Times New Roman"/>
                <w:sz w:val="18"/>
              </w:rPr>
              <w:t>18.74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left="122" w:right="0"/>
              <w:jc w:val="left"/>
              <w:rPr>
                <w:rFonts w:ascii="Times New Roman" w:hAnsi="Times New Roman" w:cs="Times New Roman" w:eastAsia="Times New Roman" w:hint="default"/>
                <w:sz w:val="18"/>
                <w:szCs w:val="18"/>
              </w:rPr>
            </w:pPr>
            <w:r>
              <w:rPr>
                <w:rFonts w:ascii="Times New Roman"/>
                <w:sz w:val="18"/>
              </w:rPr>
              <w:t>18.74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44"/>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7"/>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20"/>
                <w:sz w:val="18"/>
                <w:szCs w:val="18"/>
              </w:rPr>
              <w:t>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海证 券报、 证券 时报、 证券 日报 及巨 潮资 讯网 上的 关于 公司 使用</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60"/>
        <w:gridCol w:w="562"/>
        <w:gridCol w:w="562"/>
        <w:gridCol w:w="562"/>
        <w:gridCol w:w="548"/>
        <w:gridCol w:w="547"/>
        <w:gridCol w:w="547"/>
        <w:gridCol w:w="538"/>
      </w:tblGrid>
      <w:tr>
        <w:trPr>
          <w:trHeight w:val="4419"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37"/>
              <w:jc w:val="both"/>
              <w:rPr>
                <w:rFonts w:ascii="宋体" w:hAnsi="宋体" w:cs="宋体" w:eastAsia="宋体" w:hint="default"/>
                <w:sz w:val="18"/>
                <w:szCs w:val="18"/>
              </w:rPr>
            </w:pPr>
            <w:r>
              <w:rPr>
                <w:rFonts w:ascii="宋体" w:hAnsi="宋体" w:cs="宋体" w:eastAsia="宋体" w:hint="default"/>
                <w:sz w:val="18"/>
                <w:szCs w:val="18"/>
              </w:rPr>
              <w:t>部分 闲置 募集 资金 进行 结构 性存 款的 进展 公告 </w:t>
            </w:r>
            <w:r>
              <w:rPr>
                <w:rFonts w:ascii="Times New Roman" w:hAnsi="Times New Roman" w:cs="Times New Roman" w:eastAsia="Times New Roman" w:hint="default"/>
                <w:sz w:val="18"/>
                <w:szCs w:val="18"/>
              </w:rPr>
              <w:t>(</w:t>
            </w:r>
            <w:r>
              <w:rPr>
                <w:rFonts w:ascii="宋体" w:hAnsi="宋体" w:cs="宋体" w:eastAsia="宋体" w:hint="default"/>
                <w:sz w:val="18"/>
                <w:szCs w:val="18"/>
              </w:rPr>
              <w:t>公告 编号：</w:t>
            </w:r>
          </w:p>
          <w:p>
            <w:pPr>
              <w:pStyle w:val="TableParagraph"/>
              <w:spacing w:line="240" w:lineRule="auto" w:before="61"/>
              <w:ind w:left="23" w:right="0"/>
              <w:jc w:val="both"/>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105"/>
              <w:ind w:left="23" w:right="0"/>
              <w:jc w:val="both"/>
              <w:rPr>
                <w:rFonts w:ascii="Times New Roman" w:hAnsi="Times New Roman" w:cs="Times New Roman" w:eastAsia="Times New Roman" w:hint="default"/>
                <w:sz w:val="18"/>
                <w:szCs w:val="18"/>
              </w:rPr>
            </w:pPr>
            <w:r>
              <w:rPr>
                <w:rFonts w:ascii="Times New Roman"/>
                <w:sz w:val="18"/>
              </w:rPr>
              <w:t>025)</w:t>
            </w:r>
          </w:p>
        </w:tc>
      </w:tr>
      <w:tr>
        <w:trPr>
          <w:trHeight w:val="9450"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24" w:right="176"/>
              <w:jc w:val="both"/>
              <w:rPr>
                <w:rFonts w:ascii="宋体" w:hAnsi="宋体" w:cs="宋体" w:eastAsia="宋体" w:hint="default"/>
                <w:sz w:val="18"/>
                <w:szCs w:val="18"/>
              </w:rPr>
            </w:pPr>
            <w:r>
              <w:rPr>
                <w:rFonts w:ascii="宋体" w:hAnsi="宋体" w:cs="宋体" w:eastAsia="宋体" w:hint="default"/>
                <w:sz w:val="18"/>
                <w:szCs w:val="18"/>
              </w:rPr>
              <w:t>光大 银行 青岛 即墨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4" w:lineRule="auto"/>
              <w:ind w:left="23" w:right="31"/>
              <w:jc w:val="left"/>
              <w:rPr>
                <w:rFonts w:ascii="宋体" w:hAnsi="宋体" w:cs="宋体" w:eastAsia="宋体" w:hint="default"/>
                <w:sz w:val="18"/>
                <w:szCs w:val="18"/>
              </w:rPr>
            </w:pPr>
            <w:r>
              <w:rPr>
                <w:rFonts w:ascii="宋体" w:hAnsi="宋体" w:cs="宋体" w:eastAsia="宋体" w:hint="default"/>
                <w:sz w:val="18"/>
                <w:szCs w:val="18"/>
              </w:rPr>
              <w:t>保证收 益型 </w:t>
            </w:r>
            <w:r>
              <w:rPr>
                <w:rFonts w:ascii="Times New Roman" w:hAnsi="Times New Roman" w:cs="Times New Roman" w:eastAsia="Times New Roman" w:hint="default"/>
                <w:sz w:val="18"/>
                <w:szCs w:val="18"/>
              </w:rPr>
              <w:t>(</w:t>
            </w:r>
            <w:r>
              <w:rPr>
                <w:rFonts w:ascii="宋体" w:hAnsi="宋体" w:cs="宋体" w:eastAsia="宋体" w:hint="default"/>
                <w:sz w:val="18"/>
                <w:szCs w:val="18"/>
              </w:rPr>
              <w:t>结构 性存 款）</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2,000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316" w:lineRule="auto"/>
              <w:ind w:left="24" w:right="166"/>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特定 的金 融要 素</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1"/>
              <w:ind w:left="23"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3.65%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12.2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12.2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7"/>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20"/>
                <w:sz w:val="18"/>
                <w:szCs w:val="18"/>
              </w:rPr>
              <w:t>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海证 券报、 证券 时报、 证券 日报 及巨 潮资 讯网 上的 关于 公司 使用 部分 闲置 募集 资金 进行 结构 性存 款的 进展 公告 </w:t>
            </w:r>
            <w:r>
              <w:rPr>
                <w:rFonts w:ascii="Times New Roman" w:hAnsi="Times New Roman" w:cs="Times New Roman" w:eastAsia="Times New Roman" w:hint="default"/>
                <w:sz w:val="18"/>
                <w:szCs w:val="18"/>
              </w:rPr>
              <w:t>(</w:t>
            </w:r>
            <w:r>
              <w:rPr>
                <w:rFonts w:ascii="宋体" w:hAnsi="宋体" w:cs="宋体" w:eastAsia="宋体" w:hint="default"/>
                <w:sz w:val="18"/>
                <w:szCs w:val="18"/>
              </w:rPr>
              <w:t>公告 编号：</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025)</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60"/>
        <w:gridCol w:w="562"/>
        <w:gridCol w:w="562"/>
        <w:gridCol w:w="562"/>
        <w:gridCol w:w="548"/>
        <w:gridCol w:w="547"/>
        <w:gridCol w:w="547"/>
        <w:gridCol w:w="538"/>
      </w:tblGrid>
      <w:tr>
        <w:trPr>
          <w:trHeight w:val="12883"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316" w:lineRule="auto"/>
              <w:ind w:left="24" w:right="176"/>
              <w:jc w:val="both"/>
              <w:rPr>
                <w:rFonts w:ascii="宋体" w:hAnsi="宋体" w:cs="宋体" w:eastAsia="宋体" w:hint="default"/>
                <w:sz w:val="18"/>
                <w:szCs w:val="18"/>
              </w:rPr>
            </w:pPr>
            <w:r>
              <w:rPr>
                <w:rFonts w:ascii="宋体" w:hAnsi="宋体" w:cs="宋体" w:eastAsia="宋体" w:hint="default"/>
                <w:sz w:val="18"/>
                <w:szCs w:val="18"/>
              </w:rPr>
              <w:t>浦发 银行 青岛 即墨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314" w:lineRule="auto"/>
              <w:ind w:left="23" w:right="31"/>
              <w:jc w:val="left"/>
              <w:rPr>
                <w:rFonts w:ascii="宋体" w:hAnsi="宋体" w:cs="宋体" w:eastAsia="宋体" w:hint="default"/>
                <w:sz w:val="18"/>
                <w:szCs w:val="18"/>
              </w:rPr>
            </w:pPr>
            <w:r>
              <w:rPr>
                <w:rFonts w:ascii="宋体" w:hAnsi="宋体" w:cs="宋体" w:eastAsia="宋体" w:hint="default"/>
                <w:sz w:val="18"/>
                <w:szCs w:val="18"/>
              </w:rPr>
              <w:t>保证收 益型 </w:t>
            </w:r>
            <w:r>
              <w:rPr>
                <w:rFonts w:ascii="Times New Roman" w:hAnsi="Times New Roman" w:cs="Times New Roman" w:eastAsia="Times New Roman" w:hint="default"/>
                <w:sz w:val="18"/>
                <w:szCs w:val="18"/>
              </w:rPr>
              <w:t>(</w:t>
            </w:r>
            <w:r>
              <w:rPr>
                <w:rFonts w:ascii="宋体" w:hAnsi="宋体" w:cs="宋体" w:eastAsia="宋体" w:hint="default"/>
                <w:sz w:val="18"/>
                <w:szCs w:val="18"/>
              </w:rPr>
              <w:t>结构 性存 款）</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17"/>
              <w:jc w:val="right"/>
              <w:rPr>
                <w:rFonts w:ascii="Times New Roman" w:hAnsi="Times New Roman" w:cs="Times New Roman" w:eastAsia="Times New Roman" w:hint="default"/>
                <w:sz w:val="18"/>
                <w:szCs w:val="18"/>
              </w:rPr>
            </w:pPr>
            <w:r>
              <w:rPr>
                <w:rFonts w:ascii="Times New Roman"/>
                <w:sz w:val="18"/>
              </w:rPr>
              <w:t>2,000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1"/>
              <w:ind w:left="24" w:right="166"/>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
              <w:jc w:val="left"/>
              <w:rPr>
                <w:rFonts w:ascii="宋体" w:hAnsi="宋体" w:cs="宋体" w:eastAsia="宋体" w:hint="default"/>
                <w:sz w:val="18"/>
                <w:szCs w:val="18"/>
              </w:rPr>
            </w:pPr>
            <w:r>
              <w:rPr>
                <w:rFonts w:ascii="宋体" w:hAnsi="宋体" w:cs="宋体" w:eastAsia="宋体" w:hint="default"/>
                <w:sz w:val="18"/>
                <w:szCs w:val="18"/>
              </w:rPr>
              <w:t>主要 投资 于银 行间 市场 央票、 国债 金融 </w:t>
            </w:r>
            <w:r>
              <w:rPr>
                <w:rFonts w:ascii="宋体" w:hAnsi="宋体" w:cs="宋体" w:eastAsia="宋体" w:hint="default"/>
                <w:spacing w:val="-12"/>
                <w:sz w:val="18"/>
                <w:szCs w:val="18"/>
              </w:rPr>
              <w:t>债、企</w:t>
            </w:r>
            <w:r>
              <w:rPr>
                <w:rFonts w:ascii="宋体" w:hAnsi="宋体" w:cs="宋体" w:eastAsia="宋体" w:hint="default"/>
                <w:sz w:val="18"/>
                <w:szCs w:val="18"/>
              </w:rPr>
              <w:t> 业债、 短融、 中期 票据、 同业 拆借、 同业 存款、 债券 或票 据回 购等， 同时 银行 通过 主动 性管 理和 运用 结构 简单、 风险 较低 的相 关金 融工 具来 提高 该产 品的 收益 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left="62" w:right="0"/>
              <w:jc w:val="left"/>
              <w:rPr>
                <w:rFonts w:ascii="Times New Roman" w:hAnsi="Times New Roman" w:cs="Times New Roman" w:eastAsia="Times New Roman" w:hint="default"/>
                <w:sz w:val="18"/>
                <w:szCs w:val="18"/>
              </w:rPr>
            </w:pPr>
            <w:r>
              <w:rPr>
                <w:rFonts w:ascii="Times New Roman"/>
                <w:sz w:val="18"/>
              </w:rPr>
              <w:t>3.45%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left="190" w:right="0"/>
              <w:jc w:val="center"/>
              <w:rPr>
                <w:rFonts w:ascii="Times New Roman" w:hAnsi="Times New Roman" w:cs="Times New Roman" w:eastAsia="Times New Roman" w:hint="default"/>
                <w:sz w:val="18"/>
                <w:szCs w:val="18"/>
              </w:rPr>
            </w:pPr>
            <w:r>
              <w:rPr>
                <w:rFonts w:ascii="Times New Roman"/>
                <w:sz w:val="18"/>
              </w:rPr>
              <w:t>6.71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left="190" w:right="0"/>
              <w:jc w:val="center"/>
              <w:rPr>
                <w:rFonts w:ascii="Times New Roman" w:hAnsi="Times New Roman" w:cs="Times New Roman" w:eastAsia="Times New Roman" w:hint="default"/>
                <w:sz w:val="18"/>
                <w:szCs w:val="18"/>
              </w:rPr>
            </w:pPr>
            <w:r>
              <w:rPr>
                <w:rFonts w:ascii="Times New Roman"/>
                <w:sz w:val="18"/>
              </w:rPr>
              <w:t>6.71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1"/>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3" w:right="-37"/>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20"/>
                <w:sz w:val="18"/>
                <w:szCs w:val="18"/>
              </w:rPr>
              <w:t>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海证 券报、 证券 时报、 证券 日报 及巨 潮资 讯网 上的 关于 公司 使用 部分 闲置 募集 资金 进行 结构 性存 款的 进展 公告 </w:t>
            </w:r>
            <w:r>
              <w:rPr>
                <w:rFonts w:ascii="Times New Roman" w:hAnsi="Times New Roman" w:cs="Times New Roman" w:eastAsia="Times New Roman" w:hint="default"/>
                <w:sz w:val="18"/>
                <w:szCs w:val="18"/>
              </w:rPr>
              <w:t>(</w:t>
            </w:r>
            <w:r>
              <w:rPr>
                <w:rFonts w:ascii="宋体" w:hAnsi="宋体" w:cs="宋体" w:eastAsia="宋体" w:hint="default"/>
                <w:sz w:val="18"/>
                <w:szCs w:val="18"/>
              </w:rPr>
              <w:t>公告 编号：</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028)</w:t>
            </w:r>
          </w:p>
        </w:tc>
      </w:tr>
      <w:tr>
        <w:trPr>
          <w:trHeight w:val="1027"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4" w:right="176"/>
              <w:jc w:val="both"/>
              <w:rPr>
                <w:rFonts w:ascii="宋体" w:hAnsi="宋体" w:cs="宋体" w:eastAsia="宋体" w:hint="default"/>
                <w:sz w:val="18"/>
                <w:szCs w:val="18"/>
              </w:rPr>
            </w:pPr>
            <w:r>
              <w:rPr>
                <w:rFonts w:ascii="宋体" w:hAnsi="宋体" w:cs="宋体" w:eastAsia="宋体" w:hint="default"/>
                <w:sz w:val="18"/>
                <w:szCs w:val="18"/>
              </w:rPr>
              <w:t>建行 延安 三路</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3" w:right="31"/>
              <w:jc w:val="both"/>
              <w:rPr>
                <w:rFonts w:ascii="宋体" w:hAnsi="宋体" w:cs="宋体" w:eastAsia="宋体" w:hint="default"/>
                <w:sz w:val="18"/>
                <w:szCs w:val="18"/>
              </w:rPr>
            </w:pPr>
            <w:r>
              <w:rPr>
                <w:rFonts w:ascii="宋体" w:hAnsi="宋体" w:cs="宋体" w:eastAsia="宋体" w:hint="default"/>
                <w:sz w:val="18"/>
                <w:szCs w:val="18"/>
              </w:rPr>
              <w:t>保本浮 动收益 型</w:t>
            </w:r>
            <w:r>
              <w:rPr>
                <w:rFonts w:ascii="Times New Roman" w:hAnsi="Times New Roman" w:cs="Times New Roman" w:eastAsia="Times New Roman" w:hint="default"/>
                <w:sz w:val="18"/>
                <w:szCs w:val="18"/>
              </w:rPr>
              <w:t>(</w:t>
            </w:r>
            <w:r>
              <w:rPr>
                <w:rFonts w:ascii="宋体" w:hAnsi="宋体" w:cs="宋体" w:eastAsia="宋体" w:hint="default"/>
                <w:sz w:val="18"/>
                <w:szCs w:val="18"/>
              </w:rPr>
              <w:t>银</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22,320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166"/>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3" w:right="23"/>
              <w:jc w:val="left"/>
              <w:rPr>
                <w:rFonts w:ascii="宋体" w:hAnsi="宋体" w:cs="宋体" w:eastAsia="宋体" w:hint="default"/>
                <w:sz w:val="18"/>
                <w:szCs w:val="18"/>
              </w:rPr>
            </w:pPr>
            <w:r>
              <w:rPr>
                <w:rFonts w:ascii="宋体" w:hAnsi="宋体" w:cs="宋体" w:eastAsia="宋体" w:hint="default"/>
                <w:sz w:val="18"/>
                <w:szCs w:val="18"/>
              </w:rPr>
              <w:t>投资 于国 </w:t>
            </w:r>
            <w:r>
              <w:rPr>
                <w:rFonts w:ascii="宋体" w:hAnsi="宋体" w:cs="宋体" w:eastAsia="宋体" w:hint="default"/>
                <w:spacing w:val="-12"/>
                <w:sz w:val="18"/>
                <w:szCs w:val="18"/>
              </w:rPr>
              <w:t>债、金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3.30%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70.63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70.63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3" w:right="19"/>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20"/>
                <w:sz w:val="18"/>
                <w:szCs w:val="18"/>
              </w:rPr>
              <w:t>报、上</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60"/>
        <w:gridCol w:w="562"/>
        <w:gridCol w:w="562"/>
        <w:gridCol w:w="562"/>
        <w:gridCol w:w="548"/>
        <w:gridCol w:w="547"/>
        <w:gridCol w:w="547"/>
        <w:gridCol w:w="538"/>
      </w:tblGrid>
      <w:tr>
        <w:trPr>
          <w:trHeight w:val="1190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支行</w:t>
            </w:r>
          </w:p>
        </w:tc>
        <w:tc>
          <w:tcPr>
            <w:tcW w:w="590"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211"/>
              <w:jc w:val="left"/>
              <w:rPr>
                <w:rFonts w:ascii="宋体" w:hAnsi="宋体" w:cs="宋体" w:eastAsia="宋体" w:hint="default"/>
                <w:sz w:val="18"/>
                <w:szCs w:val="18"/>
              </w:rPr>
            </w:pPr>
            <w:r>
              <w:rPr>
                <w:rFonts w:ascii="宋体" w:hAnsi="宋体" w:cs="宋体" w:eastAsia="宋体" w:hint="default"/>
                <w:sz w:val="18"/>
                <w:szCs w:val="18"/>
              </w:rPr>
              <w:t>行理 财）</w:t>
            </w:r>
          </w:p>
        </w:tc>
        <w:tc>
          <w:tcPr>
            <w:tcW w:w="57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3"/>
              <w:jc w:val="left"/>
              <w:rPr>
                <w:rFonts w:ascii="宋体" w:hAnsi="宋体" w:cs="宋体" w:eastAsia="宋体" w:hint="default"/>
                <w:sz w:val="18"/>
                <w:szCs w:val="18"/>
              </w:rPr>
            </w:pPr>
            <w:r>
              <w:rPr>
                <w:rFonts w:ascii="宋体" w:hAnsi="宋体" w:cs="宋体" w:eastAsia="宋体" w:hint="default"/>
                <w:sz w:val="18"/>
                <w:szCs w:val="18"/>
              </w:rPr>
              <w:t>融债、 央行 票据、 企业 短期 融资 </w:t>
            </w:r>
            <w:r>
              <w:rPr>
                <w:rFonts w:ascii="宋体" w:hAnsi="宋体" w:cs="宋体" w:eastAsia="宋体" w:hint="default"/>
                <w:spacing w:val="-12"/>
                <w:sz w:val="18"/>
                <w:szCs w:val="18"/>
              </w:rPr>
              <w:t>券、超</w:t>
            </w:r>
            <w:r>
              <w:rPr>
                <w:rFonts w:ascii="宋体" w:hAnsi="宋体" w:cs="宋体" w:eastAsia="宋体" w:hint="default"/>
                <w:sz w:val="18"/>
                <w:szCs w:val="18"/>
              </w:rPr>
              <w:t> 短期 融资 </w:t>
            </w:r>
            <w:r>
              <w:rPr>
                <w:rFonts w:ascii="宋体" w:hAnsi="宋体" w:cs="宋体" w:eastAsia="宋体" w:hint="default"/>
                <w:spacing w:val="-12"/>
                <w:sz w:val="18"/>
                <w:szCs w:val="18"/>
              </w:rPr>
              <w:t>券、中</w:t>
            </w:r>
            <w:r>
              <w:rPr>
                <w:rFonts w:ascii="宋体" w:hAnsi="宋体" w:cs="宋体" w:eastAsia="宋体" w:hint="default"/>
                <w:sz w:val="18"/>
                <w:szCs w:val="18"/>
              </w:rPr>
              <w:t> 期票 </w:t>
            </w:r>
            <w:r>
              <w:rPr>
                <w:rFonts w:ascii="宋体" w:hAnsi="宋体" w:cs="宋体" w:eastAsia="宋体" w:hint="default"/>
                <w:spacing w:val="-12"/>
                <w:sz w:val="18"/>
                <w:szCs w:val="18"/>
              </w:rPr>
              <w:t>据、企</w:t>
            </w:r>
            <w:r>
              <w:rPr>
                <w:rFonts w:ascii="宋体" w:hAnsi="宋体" w:cs="宋体" w:eastAsia="宋体" w:hint="default"/>
                <w:sz w:val="18"/>
                <w:szCs w:val="18"/>
              </w:rPr>
              <w:t> 业债、 公司 </w:t>
            </w:r>
            <w:r>
              <w:rPr>
                <w:rFonts w:ascii="宋体" w:hAnsi="宋体" w:cs="宋体" w:eastAsia="宋体" w:hint="default"/>
                <w:spacing w:val="-12"/>
                <w:sz w:val="18"/>
                <w:szCs w:val="18"/>
              </w:rPr>
              <w:t>债、私</w:t>
            </w:r>
            <w:r>
              <w:rPr>
                <w:rFonts w:ascii="宋体" w:hAnsi="宋体" w:cs="宋体" w:eastAsia="宋体" w:hint="default"/>
                <w:sz w:val="18"/>
                <w:szCs w:val="18"/>
              </w:rPr>
              <w:t> 募债、 债券 逆回 </w:t>
            </w:r>
            <w:r>
              <w:rPr>
                <w:rFonts w:ascii="宋体" w:hAnsi="宋体" w:cs="宋体" w:eastAsia="宋体" w:hint="default"/>
                <w:spacing w:val="-12"/>
                <w:sz w:val="18"/>
                <w:szCs w:val="18"/>
              </w:rPr>
              <w:t>购、资</w:t>
            </w:r>
            <w:r>
              <w:rPr>
                <w:rFonts w:ascii="宋体" w:hAnsi="宋体" w:cs="宋体" w:eastAsia="宋体" w:hint="default"/>
                <w:sz w:val="18"/>
                <w:szCs w:val="18"/>
              </w:rPr>
              <w:t> 金拆 </w:t>
            </w:r>
            <w:r>
              <w:rPr>
                <w:rFonts w:ascii="宋体" w:hAnsi="宋体" w:cs="宋体" w:eastAsia="宋体" w:hint="default"/>
                <w:spacing w:val="-12"/>
                <w:sz w:val="18"/>
                <w:szCs w:val="18"/>
              </w:rPr>
              <w:t>借、存</w:t>
            </w:r>
            <w:r>
              <w:rPr>
                <w:rFonts w:ascii="宋体" w:hAnsi="宋体" w:cs="宋体" w:eastAsia="宋体" w:hint="default"/>
                <w:sz w:val="18"/>
                <w:szCs w:val="18"/>
              </w:rPr>
              <w:t> 放同 业等 债券 和货 币市 场工 具类 资产， 债权 类资 </w:t>
            </w:r>
            <w:r>
              <w:rPr>
                <w:rFonts w:ascii="宋体" w:hAnsi="宋体" w:cs="宋体" w:eastAsia="宋体" w:hint="default"/>
                <w:spacing w:val="-12"/>
                <w:sz w:val="18"/>
                <w:szCs w:val="18"/>
              </w:rPr>
              <w:t>产，以</w:t>
            </w:r>
            <w:r>
              <w:rPr>
                <w:rFonts w:ascii="宋体" w:hAnsi="宋体" w:cs="宋体" w:eastAsia="宋体" w:hint="default"/>
                <w:sz w:val="18"/>
                <w:szCs w:val="18"/>
              </w:rPr>
              <w:t> 及其 他符 合监 管要 求的 资产。</w:t>
            </w: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37"/>
              <w:jc w:val="left"/>
              <w:rPr>
                <w:rFonts w:ascii="宋体" w:hAnsi="宋体" w:cs="宋体" w:eastAsia="宋体" w:hint="default"/>
                <w:sz w:val="18"/>
                <w:szCs w:val="18"/>
              </w:rPr>
            </w:pPr>
            <w:r>
              <w:rPr>
                <w:rFonts w:ascii="宋体" w:hAnsi="宋体" w:cs="宋体" w:eastAsia="宋体" w:hint="default"/>
                <w:sz w:val="18"/>
                <w:szCs w:val="18"/>
              </w:rPr>
              <w:t>海证 券报、 证券 时报、 证券 日报 及巨 潮资 讯网 上的 关于 公司 使用 部分 闲置 募集 资金 进行 银行 理财 的进 展公 </w:t>
            </w:r>
            <w:r>
              <w:rPr>
                <w:rFonts w:ascii="宋体" w:hAnsi="宋体" w:cs="宋体" w:eastAsia="宋体" w:hint="default"/>
                <w:spacing w:val="-20"/>
                <w:sz w:val="18"/>
                <w:szCs w:val="18"/>
              </w:rPr>
              <w:t>告（公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告编 号：</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060</w:t>
            </w:r>
            <w:r>
              <w:rPr>
                <w:rFonts w:ascii="宋体" w:hAnsi="宋体" w:cs="宋体" w:eastAsia="宋体" w:hint="default"/>
                <w:sz w:val="18"/>
                <w:szCs w:val="18"/>
              </w:rPr>
              <w:t>）</w:t>
            </w:r>
          </w:p>
        </w:tc>
      </w:tr>
      <w:tr>
        <w:trPr>
          <w:trHeight w:val="1961"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76"/>
              <w:jc w:val="both"/>
              <w:rPr>
                <w:rFonts w:ascii="宋体" w:hAnsi="宋体" w:cs="宋体" w:eastAsia="宋体" w:hint="default"/>
                <w:sz w:val="18"/>
                <w:szCs w:val="18"/>
              </w:rPr>
            </w:pPr>
            <w:r>
              <w:rPr>
                <w:rFonts w:ascii="宋体" w:hAnsi="宋体" w:cs="宋体" w:eastAsia="宋体" w:hint="default"/>
                <w:sz w:val="18"/>
                <w:szCs w:val="18"/>
              </w:rPr>
              <w:t>交通 银行 即墨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4" w:lineRule="auto"/>
              <w:ind w:left="23" w:right="31"/>
              <w:jc w:val="left"/>
              <w:rPr>
                <w:rFonts w:ascii="宋体" w:hAnsi="宋体" w:cs="宋体" w:eastAsia="宋体" w:hint="default"/>
                <w:sz w:val="18"/>
                <w:szCs w:val="18"/>
              </w:rPr>
            </w:pPr>
            <w:r>
              <w:rPr>
                <w:rFonts w:ascii="宋体" w:hAnsi="宋体" w:cs="宋体" w:eastAsia="宋体" w:hint="default"/>
                <w:sz w:val="18"/>
                <w:szCs w:val="18"/>
              </w:rPr>
              <w:t>期限结 构型 </w:t>
            </w:r>
            <w:r>
              <w:rPr>
                <w:rFonts w:ascii="Times New Roman" w:hAnsi="Times New Roman" w:cs="Times New Roman" w:eastAsia="Times New Roman" w:hint="default"/>
                <w:sz w:val="18"/>
                <w:szCs w:val="18"/>
              </w:rPr>
              <w:t>(</w:t>
            </w:r>
            <w:r>
              <w:rPr>
                <w:rFonts w:ascii="宋体" w:hAnsi="宋体" w:cs="宋体" w:eastAsia="宋体" w:hint="default"/>
                <w:sz w:val="18"/>
                <w:szCs w:val="18"/>
              </w:rPr>
              <w:t>结构 性存 款）</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7,500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4" w:right="166"/>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3M</w:t>
            </w:r>
          </w:p>
          <w:p>
            <w:pPr>
              <w:pStyle w:val="TableParagraph"/>
              <w:spacing w:line="312" w:lineRule="exact" w:before="23"/>
              <w:ind w:left="23" w:right="44"/>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Shibor </w:t>
            </w:r>
            <w:r>
              <w:rPr>
                <w:rFonts w:ascii="宋体" w:hAnsi="宋体" w:cs="宋体" w:eastAsia="宋体" w:hint="default"/>
                <w:sz w:val="18"/>
                <w:szCs w:val="18"/>
              </w:rPr>
              <w:t>基准 比较 值为 </w:t>
            </w:r>
            <w:r>
              <w:rPr>
                <w:rFonts w:ascii="Times New Roman" w:hAnsi="Times New Roman" w:cs="Times New Roman" w:eastAsia="Times New Roman" w:hint="default"/>
                <w:sz w:val="18"/>
                <w:szCs w:val="18"/>
              </w:rPr>
              <w:t>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3.40%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24.45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24.45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37"/>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20"/>
                <w:sz w:val="18"/>
                <w:szCs w:val="18"/>
              </w:rPr>
              <w:t>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海证 券报、 证券</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60"/>
        <w:gridCol w:w="562"/>
        <w:gridCol w:w="562"/>
        <w:gridCol w:w="562"/>
        <w:gridCol w:w="548"/>
        <w:gridCol w:w="547"/>
        <w:gridCol w:w="547"/>
        <w:gridCol w:w="538"/>
      </w:tblGrid>
      <w:tr>
        <w:trPr>
          <w:trHeight w:val="7852"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37"/>
              <w:jc w:val="left"/>
              <w:rPr>
                <w:rFonts w:ascii="宋体" w:hAnsi="宋体" w:cs="宋体" w:eastAsia="宋体" w:hint="default"/>
                <w:sz w:val="18"/>
                <w:szCs w:val="18"/>
              </w:rPr>
            </w:pPr>
            <w:r>
              <w:rPr>
                <w:rFonts w:ascii="宋体" w:hAnsi="宋体" w:cs="宋体" w:eastAsia="宋体" w:hint="default"/>
                <w:sz w:val="18"/>
                <w:szCs w:val="18"/>
              </w:rPr>
              <w:t>时报、 证券 日报 及巨 潮资 讯网 上的 关于 公司 使用 部分 闲置 募集 资金 进行 结构 性存 款的 进展 公告</w:t>
            </w:r>
          </w:p>
          <w:p>
            <w:pPr>
              <w:pStyle w:val="TableParagraph"/>
              <w:spacing w:line="316" w:lineRule="auto" w:before="19"/>
              <w:ind w:left="23" w:right="79"/>
              <w:jc w:val="both"/>
              <w:rPr>
                <w:rFonts w:ascii="宋体" w:hAnsi="宋体" w:cs="宋体" w:eastAsia="宋体" w:hint="default"/>
                <w:sz w:val="18"/>
                <w:szCs w:val="18"/>
              </w:rPr>
            </w:pPr>
            <w:r>
              <w:rPr>
                <w:rFonts w:ascii="宋体" w:hAnsi="宋体" w:cs="宋体" w:eastAsia="宋体" w:hint="default"/>
                <w:sz w:val="18"/>
                <w:szCs w:val="18"/>
              </w:rPr>
              <w:t>（公 告编 号：</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062</w:t>
            </w:r>
            <w:r>
              <w:rPr>
                <w:rFonts w:ascii="宋体" w:hAnsi="宋体" w:cs="宋体" w:eastAsia="宋体" w:hint="default"/>
                <w:sz w:val="18"/>
                <w:szCs w:val="18"/>
              </w:rPr>
              <w:t>）</w:t>
            </w:r>
          </w:p>
        </w:tc>
      </w:tr>
      <w:tr>
        <w:trPr>
          <w:trHeight w:val="5979"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316" w:lineRule="auto"/>
              <w:ind w:left="24" w:right="176"/>
              <w:jc w:val="both"/>
              <w:rPr>
                <w:rFonts w:ascii="宋体" w:hAnsi="宋体" w:cs="宋体" w:eastAsia="宋体" w:hint="default"/>
                <w:sz w:val="18"/>
                <w:szCs w:val="18"/>
              </w:rPr>
            </w:pPr>
            <w:r>
              <w:rPr>
                <w:rFonts w:ascii="宋体" w:hAnsi="宋体" w:cs="宋体" w:eastAsia="宋体" w:hint="default"/>
                <w:sz w:val="18"/>
                <w:szCs w:val="18"/>
              </w:rPr>
              <w:t>工商 银行 即墨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44"/>
              <w:ind w:left="23" w:right="31"/>
              <w:jc w:val="left"/>
              <w:rPr>
                <w:rFonts w:ascii="宋体" w:hAnsi="宋体" w:cs="宋体" w:eastAsia="宋体" w:hint="default"/>
                <w:sz w:val="18"/>
                <w:szCs w:val="18"/>
              </w:rPr>
            </w:pPr>
            <w:r>
              <w:rPr>
                <w:rFonts w:ascii="宋体" w:hAnsi="宋体" w:cs="宋体" w:eastAsia="宋体" w:hint="default"/>
                <w:sz w:val="18"/>
                <w:szCs w:val="18"/>
              </w:rPr>
              <w:t>保本浮 动收益 型</w:t>
            </w:r>
            <w:r>
              <w:rPr>
                <w:rFonts w:ascii="Times New Roman" w:hAnsi="Times New Roman" w:cs="Times New Roman" w:eastAsia="Times New Roman" w:hint="default"/>
                <w:sz w:val="18"/>
                <w:szCs w:val="18"/>
              </w:rPr>
              <w:t>(</w:t>
            </w:r>
            <w:r>
              <w:rPr>
                <w:rFonts w:ascii="宋体" w:hAnsi="宋体" w:cs="宋体" w:eastAsia="宋体" w:hint="default"/>
                <w:sz w:val="18"/>
                <w:szCs w:val="18"/>
              </w:rPr>
              <w:t>结 构性存 款）</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316" w:lineRule="auto"/>
              <w:ind w:left="24" w:right="166"/>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3" w:right="30"/>
              <w:jc w:val="left"/>
              <w:rPr>
                <w:rFonts w:ascii="Times New Roman" w:hAnsi="Times New Roman" w:cs="Times New Roman" w:eastAsia="Times New Roman" w:hint="default"/>
                <w:sz w:val="18"/>
                <w:szCs w:val="18"/>
              </w:rPr>
            </w:pPr>
            <w:r>
              <w:rPr>
                <w:rFonts w:ascii="宋体" w:hAnsi="宋体" w:cs="宋体" w:eastAsia="宋体" w:hint="default"/>
                <w:sz w:val="18"/>
                <w:szCs w:val="18"/>
              </w:rPr>
              <w:t>观察 期内 每日 东京 时间 下午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点彭 博 </w:t>
            </w:r>
            <w:r>
              <w:rPr>
                <w:rFonts w:ascii="Times New Roman" w:hAnsi="Times New Roman" w:cs="Times New Roman" w:eastAsia="Times New Roman" w:hint="default"/>
                <w:sz w:val="18"/>
                <w:szCs w:val="18"/>
              </w:rPr>
              <w:t>“BFIX</w:t>
            </w:r>
          </w:p>
          <w:p>
            <w:pPr>
              <w:pStyle w:val="TableParagraph"/>
              <w:spacing w:line="314" w:lineRule="auto" w:before="39"/>
              <w:ind w:left="23" w:right="-13"/>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页面 显示 的美 元</w:t>
            </w:r>
            <w:r>
              <w:rPr>
                <w:rFonts w:ascii="Times New Roman" w:hAnsi="Times New Roman" w:cs="Times New Roman" w:eastAsia="Times New Roman" w:hint="default"/>
                <w:sz w:val="18"/>
                <w:szCs w:val="18"/>
              </w:rPr>
              <w:t>/</w:t>
            </w:r>
            <w:r>
              <w:rPr>
                <w:rFonts w:ascii="宋体" w:hAnsi="宋体" w:cs="宋体" w:eastAsia="宋体" w:hint="default"/>
                <w:sz w:val="18"/>
                <w:szCs w:val="18"/>
              </w:rPr>
              <w:t>日 元汇 率中 间价， 取值 四舍 五入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33.7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33.7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7"/>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20"/>
                <w:sz w:val="18"/>
                <w:szCs w:val="18"/>
              </w:rPr>
              <w:t>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海证 券报、 证券 时报、 证券 日报 及巨 潮资 讯网 上的 关于 公司 使用 部分 闲置 募集</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60"/>
        <w:gridCol w:w="562"/>
        <w:gridCol w:w="562"/>
        <w:gridCol w:w="562"/>
        <w:gridCol w:w="548"/>
        <w:gridCol w:w="547"/>
        <w:gridCol w:w="547"/>
        <w:gridCol w:w="538"/>
      </w:tblGrid>
      <w:tr>
        <w:trPr>
          <w:trHeight w:val="13156"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23"/>
              <w:jc w:val="left"/>
              <w:rPr>
                <w:rFonts w:ascii="宋体" w:hAnsi="宋体" w:cs="宋体" w:eastAsia="宋体" w:hint="default"/>
                <w:sz w:val="18"/>
                <w:szCs w:val="18"/>
              </w:rPr>
            </w:pPr>
            <w:r>
              <w:rPr>
                <w:rFonts w:ascii="宋体" w:hAnsi="宋体" w:cs="宋体" w:eastAsia="宋体" w:hint="default"/>
                <w:sz w:val="18"/>
                <w:szCs w:val="18"/>
              </w:rPr>
              <w:t>至小 数点 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pacing w:val="-12"/>
                <w:sz w:val="18"/>
                <w:szCs w:val="18"/>
              </w:rPr>
              <w:t>位，表</w:t>
            </w:r>
            <w:r>
              <w:rPr>
                <w:rFonts w:ascii="宋体" w:hAnsi="宋体" w:cs="宋体" w:eastAsia="宋体" w:hint="default"/>
                <w:sz w:val="18"/>
                <w:szCs w:val="18"/>
              </w:rPr>
              <w:t> 示为 一美 元可 兑换 的日</w:t>
            </w:r>
          </w:p>
          <w:p>
            <w:pPr>
              <w:pStyle w:val="TableParagraph"/>
              <w:spacing w:line="319" w:lineRule="auto" w:before="19"/>
              <w:ind w:left="23" w:right="-13"/>
              <w:jc w:val="left"/>
              <w:rPr>
                <w:rFonts w:ascii="宋体" w:hAnsi="宋体" w:cs="宋体" w:eastAsia="宋体" w:hint="default"/>
                <w:sz w:val="18"/>
                <w:szCs w:val="18"/>
              </w:rPr>
            </w:pPr>
            <w:r>
              <w:rPr>
                <w:rFonts w:ascii="宋体" w:hAnsi="宋体" w:cs="宋体" w:eastAsia="宋体" w:hint="default"/>
                <w:sz w:val="18"/>
                <w:szCs w:val="18"/>
              </w:rPr>
              <w:t>元数。 如果 某日 彭博</w:t>
            </w:r>
          </w:p>
          <w:p>
            <w:pPr>
              <w:pStyle w:val="TableParagraph"/>
              <w:spacing w:line="240" w:lineRule="auto" w:before="5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“BFIX</w:t>
            </w:r>
          </w:p>
          <w:p>
            <w:pPr>
              <w:pStyle w:val="TableParagraph"/>
              <w:spacing w:line="316" w:lineRule="auto" w:before="63"/>
              <w:ind w:left="23"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页面 上没 有显 示相 关数 </w:t>
            </w:r>
            <w:r>
              <w:rPr>
                <w:rFonts w:ascii="宋体" w:hAnsi="宋体" w:cs="宋体" w:eastAsia="宋体" w:hint="default"/>
                <w:spacing w:val="-12"/>
                <w:sz w:val="18"/>
                <w:szCs w:val="18"/>
              </w:rPr>
              <w:t>据，则</w:t>
            </w:r>
            <w:r>
              <w:rPr>
                <w:rFonts w:ascii="宋体" w:hAnsi="宋体" w:cs="宋体" w:eastAsia="宋体" w:hint="default"/>
                <w:sz w:val="18"/>
                <w:szCs w:val="18"/>
              </w:rPr>
              <w:t> 该日 指标 采用 此日 期前 最近 一个 可获 得的 东京 时间 下午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点彭 博</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“BFIX</w:t>
            </w:r>
          </w:p>
          <w:p>
            <w:pPr>
              <w:pStyle w:val="TableParagraph"/>
              <w:spacing w:line="312" w:lineRule="auto" w:before="63"/>
              <w:ind w:left="23" w:right="-13"/>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页面 显示 的美 元</w:t>
            </w:r>
            <w:r>
              <w:rPr>
                <w:rFonts w:ascii="Times New Roman" w:hAnsi="Times New Roman" w:cs="Times New Roman" w:eastAsia="Times New Roman" w:hint="default"/>
                <w:sz w:val="18"/>
                <w:szCs w:val="18"/>
              </w:rPr>
              <w:t>/</w:t>
            </w:r>
            <w:r>
              <w:rPr>
                <w:rFonts w:ascii="宋体" w:hAnsi="宋体" w:cs="宋体" w:eastAsia="宋体" w:hint="default"/>
                <w:sz w:val="18"/>
                <w:szCs w:val="18"/>
              </w:rPr>
              <w:t>日 元汇 率中 间价。</w:t>
            </w: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43"/>
              <w:jc w:val="both"/>
              <w:rPr>
                <w:rFonts w:ascii="宋体" w:hAnsi="宋体" w:cs="宋体" w:eastAsia="宋体" w:hint="default"/>
                <w:sz w:val="18"/>
                <w:szCs w:val="18"/>
              </w:rPr>
            </w:pPr>
            <w:r>
              <w:rPr>
                <w:rFonts w:ascii="宋体" w:hAnsi="宋体" w:cs="宋体" w:eastAsia="宋体" w:hint="default"/>
                <w:sz w:val="18"/>
                <w:szCs w:val="18"/>
              </w:rPr>
              <w:t>资金 进行 结构 性存 款的 进展 公告</w:t>
            </w:r>
          </w:p>
          <w:p>
            <w:pPr>
              <w:pStyle w:val="TableParagraph"/>
              <w:spacing w:line="316" w:lineRule="auto" w:before="19"/>
              <w:ind w:left="23" w:right="79"/>
              <w:jc w:val="both"/>
              <w:rPr>
                <w:rFonts w:ascii="宋体" w:hAnsi="宋体" w:cs="宋体" w:eastAsia="宋体" w:hint="default"/>
                <w:sz w:val="18"/>
                <w:szCs w:val="18"/>
              </w:rPr>
            </w:pPr>
            <w:r>
              <w:rPr>
                <w:rFonts w:ascii="宋体" w:hAnsi="宋体" w:cs="宋体" w:eastAsia="宋体" w:hint="default"/>
                <w:sz w:val="18"/>
                <w:szCs w:val="18"/>
              </w:rPr>
              <w:t>（公 告编 号：</w:t>
            </w:r>
          </w:p>
          <w:p>
            <w:pPr>
              <w:pStyle w:val="TableParagraph"/>
              <w:spacing w:line="240" w:lineRule="auto" w:before="61"/>
              <w:ind w:left="23" w:right="0"/>
              <w:jc w:val="both"/>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062</w:t>
            </w:r>
            <w:r>
              <w:rPr>
                <w:rFonts w:ascii="宋体" w:hAnsi="宋体" w:cs="宋体" w:eastAsia="宋体" w:hint="default"/>
                <w:sz w:val="18"/>
                <w:szCs w:val="18"/>
              </w:rPr>
              <w:t>）</w:t>
            </w:r>
          </w:p>
        </w:tc>
      </w:tr>
      <w:tr>
        <w:trPr>
          <w:trHeight w:val="713"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176"/>
              <w:jc w:val="left"/>
              <w:rPr>
                <w:rFonts w:ascii="宋体" w:hAnsi="宋体" w:cs="宋体" w:eastAsia="宋体" w:hint="default"/>
                <w:sz w:val="18"/>
                <w:szCs w:val="18"/>
              </w:rPr>
            </w:pPr>
            <w:r>
              <w:rPr>
                <w:rFonts w:ascii="宋体" w:hAnsi="宋体" w:cs="宋体" w:eastAsia="宋体" w:hint="default"/>
                <w:sz w:val="18"/>
                <w:szCs w:val="18"/>
              </w:rPr>
              <w:t>民生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31"/>
              <w:jc w:val="left"/>
              <w:rPr>
                <w:rFonts w:ascii="宋体" w:hAnsi="宋体" w:cs="宋体" w:eastAsia="宋体" w:hint="default"/>
                <w:sz w:val="18"/>
                <w:szCs w:val="18"/>
              </w:rPr>
            </w:pPr>
            <w:r>
              <w:rPr>
                <w:rFonts w:ascii="宋体" w:hAnsi="宋体" w:cs="宋体" w:eastAsia="宋体" w:hint="default"/>
                <w:sz w:val="18"/>
                <w:szCs w:val="18"/>
              </w:rPr>
              <w:t>保本浮 动收益</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15,000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6"/>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110"/>
              <w:ind w:left="23" w:right="77"/>
              <w:jc w:val="left"/>
              <w:rPr>
                <w:rFonts w:ascii="Times New Roman" w:hAnsi="Times New Roman" w:cs="Times New Roman" w:eastAsia="Times New Roman" w:hint="default"/>
                <w:sz w:val="18"/>
                <w:szCs w:val="18"/>
              </w:rPr>
            </w:pPr>
            <w:r>
              <w:rPr>
                <w:rFonts w:ascii="Times New Roman"/>
                <w:sz w:val="18"/>
              </w:rPr>
              <w:t>USD3</w:t>
            </w:r>
            <w:r>
              <w:rPr>
                <w:rFonts w:ascii="Times New Roman"/>
                <w:w w:val="99"/>
                <w:sz w:val="18"/>
              </w:rPr>
              <w:t> </w:t>
            </w:r>
            <w:r>
              <w:rPr>
                <w:rFonts w:ascii="Times New Roman"/>
                <w:sz w:val="18"/>
              </w:rPr>
              <w:t>M-LI</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167"/>
              <w:jc w:val="left"/>
              <w:rPr>
                <w:rFonts w:ascii="宋体" w:hAnsi="宋体" w:cs="宋体" w:eastAsia="宋体" w:hint="default"/>
                <w:sz w:val="18"/>
                <w:szCs w:val="18"/>
              </w:rPr>
            </w:pPr>
            <w:r>
              <w:rPr>
                <w:rFonts w:ascii="宋体" w:hAnsi="宋体" w:cs="宋体" w:eastAsia="宋体" w:hint="default"/>
                <w:sz w:val="18"/>
                <w:szCs w:val="18"/>
              </w:rPr>
              <w:t>到期 收回</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3.45%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42.53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42.53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143"/>
              <w:jc w:val="left"/>
              <w:rPr>
                <w:rFonts w:ascii="宋体" w:hAnsi="宋体" w:cs="宋体" w:eastAsia="宋体" w:hint="default"/>
                <w:sz w:val="18"/>
                <w:szCs w:val="18"/>
              </w:rPr>
            </w:pPr>
            <w:r>
              <w:rPr>
                <w:rFonts w:ascii="宋体" w:hAnsi="宋体" w:cs="宋体" w:eastAsia="宋体" w:hint="default"/>
                <w:sz w:val="18"/>
                <w:szCs w:val="18"/>
              </w:rPr>
              <w:t>中国 证券</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60"/>
        <w:gridCol w:w="562"/>
        <w:gridCol w:w="562"/>
        <w:gridCol w:w="562"/>
        <w:gridCol w:w="548"/>
        <w:gridCol w:w="547"/>
        <w:gridCol w:w="547"/>
        <w:gridCol w:w="538"/>
      </w:tblGrid>
      <w:tr>
        <w:trPr>
          <w:trHeight w:val="9100"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76"/>
              <w:jc w:val="left"/>
              <w:rPr>
                <w:rFonts w:ascii="宋体" w:hAnsi="宋体" w:cs="宋体" w:eastAsia="宋体" w:hint="default"/>
                <w:sz w:val="18"/>
                <w:szCs w:val="18"/>
              </w:rPr>
            </w:pPr>
            <w:r>
              <w:rPr>
                <w:rFonts w:ascii="宋体" w:hAnsi="宋体" w:cs="宋体" w:eastAsia="宋体" w:hint="default"/>
                <w:sz w:val="18"/>
                <w:szCs w:val="18"/>
              </w:rPr>
              <w:t>即墨 支行</w:t>
            </w:r>
          </w:p>
        </w:tc>
        <w:tc>
          <w:tcPr>
            <w:tcW w:w="590"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23" w:right="31"/>
              <w:jc w:val="left"/>
              <w:rPr>
                <w:rFonts w:ascii="宋体" w:hAnsi="宋体" w:cs="宋体" w:eastAsia="宋体" w:hint="default"/>
                <w:sz w:val="18"/>
                <w:szCs w:val="18"/>
              </w:rPr>
            </w:pPr>
            <w:r>
              <w:rPr>
                <w:rFonts w:ascii="宋体" w:hAnsi="宋体" w:cs="宋体" w:eastAsia="宋体" w:hint="default"/>
                <w:sz w:val="18"/>
                <w:szCs w:val="18"/>
              </w:rPr>
              <w:t>型</w:t>
            </w:r>
            <w:r>
              <w:rPr>
                <w:rFonts w:ascii="Times New Roman" w:hAnsi="Times New Roman" w:cs="Times New Roman" w:eastAsia="Times New Roman" w:hint="default"/>
                <w:sz w:val="18"/>
                <w:szCs w:val="18"/>
              </w:rPr>
              <w:t>(</w:t>
            </w:r>
            <w:r>
              <w:rPr>
                <w:rFonts w:ascii="宋体" w:hAnsi="宋体" w:cs="宋体" w:eastAsia="宋体" w:hint="default"/>
                <w:sz w:val="18"/>
                <w:szCs w:val="18"/>
              </w:rPr>
              <w:t>结 构性存 款）</w:t>
            </w:r>
          </w:p>
        </w:tc>
        <w:tc>
          <w:tcPr>
            <w:tcW w:w="57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BOR</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本息</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37"/>
              <w:jc w:val="left"/>
              <w:rPr>
                <w:rFonts w:ascii="宋体" w:hAnsi="宋体" w:cs="宋体" w:eastAsia="宋体" w:hint="default"/>
                <w:sz w:val="18"/>
                <w:szCs w:val="18"/>
              </w:rPr>
            </w:pPr>
            <w:r>
              <w:rPr>
                <w:rFonts w:ascii="宋体" w:hAnsi="宋体" w:cs="宋体" w:eastAsia="宋体" w:hint="default"/>
                <w:spacing w:val="-20"/>
                <w:sz w:val="18"/>
                <w:szCs w:val="18"/>
              </w:rPr>
              <w:t>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海证 券报、 证券 时报、 证券 日报 及巨 潮资 讯网 上的 关于 公司 使用 部分 闲置 募集 资金 进行 结构 性存 款的 进展 公告</w:t>
            </w:r>
          </w:p>
          <w:p>
            <w:pPr>
              <w:pStyle w:val="TableParagraph"/>
              <w:spacing w:line="316" w:lineRule="auto" w:before="19"/>
              <w:ind w:left="23" w:right="79"/>
              <w:jc w:val="both"/>
              <w:rPr>
                <w:rFonts w:ascii="宋体" w:hAnsi="宋体" w:cs="宋体" w:eastAsia="宋体" w:hint="default"/>
                <w:sz w:val="18"/>
                <w:szCs w:val="18"/>
              </w:rPr>
            </w:pPr>
            <w:r>
              <w:rPr>
                <w:rFonts w:ascii="宋体" w:hAnsi="宋体" w:cs="宋体" w:eastAsia="宋体" w:hint="default"/>
                <w:sz w:val="18"/>
                <w:szCs w:val="18"/>
              </w:rPr>
              <w:t>（公 告编 号：</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064</w:t>
            </w:r>
            <w:r>
              <w:rPr>
                <w:rFonts w:ascii="宋体" w:hAnsi="宋体" w:cs="宋体" w:eastAsia="宋体" w:hint="default"/>
                <w:sz w:val="18"/>
                <w:szCs w:val="18"/>
              </w:rPr>
              <w:t>）</w:t>
            </w:r>
          </w:p>
        </w:tc>
      </w:tr>
      <w:tr>
        <w:trPr>
          <w:trHeight w:val="4731"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6" w:lineRule="auto"/>
              <w:ind w:left="24" w:right="176"/>
              <w:jc w:val="both"/>
              <w:rPr>
                <w:rFonts w:ascii="宋体" w:hAnsi="宋体" w:cs="宋体" w:eastAsia="宋体" w:hint="default"/>
                <w:sz w:val="18"/>
                <w:szCs w:val="18"/>
              </w:rPr>
            </w:pPr>
            <w:r>
              <w:rPr>
                <w:rFonts w:ascii="宋体" w:hAnsi="宋体" w:cs="宋体" w:eastAsia="宋体" w:hint="default"/>
                <w:sz w:val="18"/>
                <w:szCs w:val="18"/>
              </w:rPr>
              <w:t>交通 银行 即墨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41"/>
              <w:ind w:left="23" w:right="31"/>
              <w:jc w:val="left"/>
              <w:rPr>
                <w:rFonts w:ascii="宋体" w:hAnsi="宋体" w:cs="宋体" w:eastAsia="宋体" w:hint="default"/>
                <w:sz w:val="18"/>
                <w:szCs w:val="18"/>
              </w:rPr>
            </w:pPr>
            <w:r>
              <w:rPr>
                <w:rFonts w:ascii="宋体" w:hAnsi="宋体" w:cs="宋体" w:eastAsia="宋体" w:hint="default"/>
                <w:sz w:val="18"/>
                <w:szCs w:val="18"/>
              </w:rPr>
              <w:t>期限结 构型 </w:t>
            </w:r>
            <w:r>
              <w:rPr>
                <w:rFonts w:ascii="Times New Roman" w:hAnsi="Times New Roman" w:cs="Times New Roman" w:eastAsia="Times New Roman" w:hint="default"/>
                <w:sz w:val="18"/>
                <w:szCs w:val="18"/>
              </w:rPr>
              <w:t>(</w:t>
            </w:r>
            <w:r>
              <w:rPr>
                <w:rFonts w:ascii="宋体" w:hAnsi="宋体" w:cs="宋体" w:eastAsia="宋体" w:hint="default"/>
                <w:sz w:val="18"/>
                <w:szCs w:val="18"/>
              </w:rPr>
              <w:t>结构 性存 款）</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3,000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314" w:lineRule="auto"/>
              <w:ind w:left="24" w:right="166"/>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3M</w:t>
            </w:r>
          </w:p>
          <w:p>
            <w:pPr>
              <w:pStyle w:val="TableParagraph"/>
              <w:spacing w:line="312" w:lineRule="exact" w:before="21"/>
              <w:ind w:left="23" w:right="44"/>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Shibor </w:t>
            </w:r>
            <w:r>
              <w:rPr>
                <w:rFonts w:ascii="宋体" w:hAnsi="宋体" w:cs="宋体" w:eastAsia="宋体" w:hint="default"/>
                <w:sz w:val="18"/>
                <w:szCs w:val="18"/>
              </w:rPr>
              <w:t>基准 比较 值为 </w:t>
            </w:r>
            <w:r>
              <w:rPr>
                <w:rFonts w:ascii="Times New Roman" w:hAnsi="Times New Roman" w:cs="Times New Roman" w:eastAsia="Times New Roman" w:hint="default"/>
                <w:sz w:val="18"/>
                <w:szCs w:val="18"/>
              </w:rPr>
              <w:t>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2.80%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3.22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3.22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314" w:lineRule="auto"/>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7"/>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20"/>
                <w:sz w:val="18"/>
                <w:szCs w:val="18"/>
              </w:rPr>
              <w:t>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海证 券报、 证券 时报、 证券 日报 及巨 潮资 讯网 上的 关于 公司</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60"/>
        <w:gridCol w:w="562"/>
        <w:gridCol w:w="562"/>
        <w:gridCol w:w="562"/>
        <w:gridCol w:w="548"/>
        <w:gridCol w:w="547"/>
        <w:gridCol w:w="547"/>
        <w:gridCol w:w="538"/>
      </w:tblGrid>
      <w:tr>
        <w:trPr>
          <w:trHeight w:val="5043"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43"/>
              <w:jc w:val="both"/>
              <w:rPr>
                <w:rFonts w:ascii="宋体" w:hAnsi="宋体" w:cs="宋体" w:eastAsia="宋体" w:hint="default"/>
                <w:sz w:val="18"/>
                <w:szCs w:val="18"/>
              </w:rPr>
            </w:pPr>
            <w:r>
              <w:rPr>
                <w:rFonts w:ascii="宋体" w:hAnsi="宋体" w:cs="宋体" w:eastAsia="宋体" w:hint="default"/>
                <w:sz w:val="18"/>
                <w:szCs w:val="18"/>
              </w:rPr>
              <w:t>使用 部分 闲置 募集 资金 进行 结构 性存 款的 进展 公告</w:t>
            </w:r>
          </w:p>
          <w:p>
            <w:pPr>
              <w:pStyle w:val="TableParagraph"/>
              <w:spacing w:line="319" w:lineRule="auto" w:before="19"/>
              <w:ind w:left="23" w:right="79"/>
              <w:jc w:val="both"/>
              <w:rPr>
                <w:rFonts w:ascii="宋体" w:hAnsi="宋体" w:cs="宋体" w:eastAsia="宋体" w:hint="default"/>
                <w:sz w:val="18"/>
                <w:szCs w:val="18"/>
              </w:rPr>
            </w:pPr>
            <w:r>
              <w:rPr>
                <w:rFonts w:ascii="宋体" w:hAnsi="宋体" w:cs="宋体" w:eastAsia="宋体" w:hint="default"/>
                <w:sz w:val="18"/>
                <w:szCs w:val="18"/>
              </w:rPr>
              <w:t>（公 告编 号：</w:t>
            </w:r>
          </w:p>
          <w:p>
            <w:pPr>
              <w:pStyle w:val="TableParagraph"/>
              <w:spacing w:line="240" w:lineRule="auto" w:before="59"/>
              <w:ind w:left="23" w:right="0"/>
              <w:jc w:val="both"/>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069</w:t>
            </w:r>
            <w:r>
              <w:rPr>
                <w:rFonts w:ascii="宋体" w:hAnsi="宋体" w:cs="宋体" w:eastAsia="宋体" w:hint="default"/>
                <w:sz w:val="18"/>
                <w:szCs w:val="18"/>
              </w:rPr>
              <w:t>）</w:t>
            </w:r>
          </w:p>
        </w:tc>
      </w:tr>
      <w:tr>
        <w:trPr>
          <w:trHeight w:val="8787"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316" w:lineRule="auto"/>
              <w:ind w:left="24" w:right="176"/>
              <w:jc w:val="both"/>
              <w:rPr>
                <w:rFonts w:ascii="宋体" w:hAnsi="宋体" w:cs="宋体" w:eastAsia="宋体" w:hint="default"/>
                <w:sz w:val="18"/>
                <w:szCs w:val="18"/>
              </w:rPr>
            </w:pPr>
            <w:r>
              <w:rPr>
                <w:rFonts w:ascii="宋体" w:hAnsi="宋体" w:cs="宋体" w:eastAsia="宋体" w:hint="default"/>
                <w:sz w:val="18"/>
                <w:szCs w:val="18"/>
              </w:rPr>
              <w:t>工商 银行 即墨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312" w:lineRule="auto"/>
              <w:ind w:left="23" w:right="31"/>
              <w:jc w:val="left"/>
              <w:rPr>
                <w:rFonts w:ascii="宋体" w:hAnsi="宋体" w:cs="宋体" w:eastAsia="宋体" w:hint="default"/>
                <w:sz w:val="18"/>
                <w:szCs w:val="18"/>
              </w:rPr>
            </w:pPr>
            <w:r>
              <w:rPr>
                <w:rFonts w:ascii="宋体" w:hAnsi="宋体" w:cs="宋体" w:eastAsia="宋体" w:hint="default"/>
                <w:sz w:val="18"/>
                <w:szCs w:val="18"/>
              </w:rPr>
              <w:t>保本浮 动收益 型</w:t>
            </w:r>
            <w:r>
              <w:rPr>
                <w:rFonts w:ascii="Times New Roman" w:hAnsi="Times New Roman" w:cs="Times New Roman" w:eastAsia="Times New Roman" w:hint="default"/>
                <w:sz w:val="18"/>
                <w:szCs w:val="18"/>
              </w:rPr>
              <w:t>(</w:t>
            </w:r>
            <w:r>
              <w:rPr>
                <w:rFonts w:ascii="宋体" w:hAnsi="宋体" w:cs="宋体" w:eastAsia="宋体" w:hint="default"/>
                <w:sz w:val="18"/>
                <w:szCs w:val="18"/>
              </w:rPr>
              <w:t>结 构性存 款）</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47" w:right="0"/>
              <w:jc w:val="left"/>
              <w:rPr>
                <w:rFonts w:ascii="Times New Roman" w:hAnsi="Times New Roman" w:cs="Times New Roman" w:eastAsia="Times New Roman" w:hint="default"/>
                <w:sz w:val="18"/>
                <w:szCs w:val="18"/>
              </w:rPr>
            </w:pPr>
            <w:r>
              <w:rPr>
                <w:rFonts w:ascii="Times New Roman"/>
                <w:sz w:val="18"/>
              </w:rPr>
              <w:t>10,000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3"/>
              <w:ind w:left="24" w:right="166"/>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30"/>
              <w:jc w:val="left"/>
              <w:rPr>
                <w:rFonts w:ascii="宋体" w:hAnsi="宋体" w:cs="宋体" w:eastAsia="宋体" w:hint="default"/>
                <w:sz w:val="18"/>
                <w:szCs w:val="18"/>
              </w:rPr>
            </w:pPr>
            <w:r>
              <w:rPr>
                <w:rFonts w:ascii="宋体" w:hAnsi="宋体" w:cs="宋体" w:eastAsia="宋体" w:hint="default"/>
                <w:sz w:val="18"/>
                <w:szCs w:val="18"/>
              </w:rPr>
              <w:t>观察 期内 每日 东京 时间 下午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点彭 博</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“BFIX</w:t>
            </w:r>
          </w:p>
          <w:p>
            <w:pPr>
              <w:pStyle w:val="TableParagraph"/>
              <w:spacing w:line="314" w:lineRule="auto" w:before="63"/>
              <w:ind w:left="23" w:right="-13"/>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页面 显示 的美 元</w:t>
            </w:r>
            <w:r>
              <w:rPr>
                <w:rFonts w:ascii="Times New Roman" w:hAnsi="Times New Roman" w:cs="Times New Roman" w:eastAsia="Times New Roman" w:hint="default"/>
                <w:sz w:val="18"/>
                <w:szCs w:val="18"/>
              </w:rPr>
              <w:t>/</w:t>
            </w:r>
            <w:r>
              <w:rPr>
                <w:rFonts w:ascii="宋体" w:hAnsi="宋体" w:cs="宋体" w:eastAsia="宋体" w:hint="default"/>
                <w:sz w:val="18"/>
                <w:szCs w:val="18"/>
              </w:rPr>
              <w:t>日 元汇 率中 间价， 取值 四舍 五入 至小 数点</w:t>
            </w:r>
          </w:p>
          <w:p>
            <w:pPr>
              <w:pStyle w:val="TableParagraph"/>
              <w:spacing w:line="314" w:lineRule="auto" w:before="20"/>
              <w:ind w:left="23" w:right="23"/>
              <w:jc w:val="left"/>
              <w:rPr>
                <w:rFonts w:ascii="宋体" w:hAnsi="宋体" w:cs="宋体" w:eastAsia="宋体" w:hint="default"/>
                <w:sz w:val="18"/>
                <w:szCs w:val="18"/>
              </w:rPr>
            </w:pPr>
            <w:r>
              <w:rPr>
                <w:rFonts w:ascii="宋体" w:hAnsi="宋体" w:cs="宋体" w:eastAsia="宋体" w:hint="default"/>
                <w:sz w:val="18"/>
                <w:szCs w:val="18"/>
              </w:rPr>
              <w:t>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pacing w:val="-12"/>
                <w:sz w:val="18"/>
                <w:szCs w:val="18"/>
              </w:rPr>
              <w:t>位，表</w:t>
            </w:r>
            <w:r>
              <w:rPr>
                <w:rFonts w:ascii="宋体" w:hAnsi="宋体" w:cs="宋体" w:eastAsia="宋体" w:hint="default"/>
                <w:sz w:val="18"/>
                <w:szCs w:val="18"/>
              </w:rPr>
              <w:t> 示为 一美 元可 兑换 的日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62" w:right="0"/>
              <w:jc w:val="left"/>
              <w:rPr>
                <w:rFonts w:ascii="Times New Roman" w:hAnsi="Times New Roman" w:cs="Times New Roman" w:eastAsia="Times New Roman" w:hint="default"/>
                <w:sz w:val="18"/>
                <w:szCs w:val="18"/>
              </w:rPr>
            </w:pPr>
            <w:r>
              <w:rPr>
                <w:rFonts w:ascii="Times New Roman"/>
                <w:sz w:val="18"/>
              </w:rPr>
              <w:t>3.20%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13" w:right="0"/>
              <w:jc w:val="left"/>
              <w:rPr>
                <w:rFonts w:ascii="Times New Roman" w:hAnsi="Times New Roman" w:cs="Times New Roman" w:eastAsia="Times New Roman" w:hint="default"/>
                <w:sz w:val="18"/>
                <w:szCs w:val="18"/>
              </w:rPr>
            </w:pPr>
            <w:r>
              <w:rPr>
                <w:rFonts w:ascii="Times New Roman"/>
                <w:sz w:val="18"/>
              </w:rPr>
              <w:t>49.1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13" w:right="0"/>
              <w:jc w:val="left"/>
              <w:rPr>
                <w:rFonts w:ascii="Times New Roman" w:hAnsi="Times New Roman" w:cs="Times New Roman" w:eastAsia="Times New Roman" w:hint="default"/>
                <w:sz w:val="18"/>
                <w:szCs w:val="18"/>
              </w:rPr>
            </w:pPr>
            <w:r>
              <w:rPr>
                <w:rFonts w:ascii="Times New Roman"/>
                <w:sz w:val="18"/>
              </w:rPr>
              <w:t>49.1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3"/>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7"/>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20"/>
                <w:sz w:val="18"/>
                <w:szCs w:val="18"/>
              </w:rPr>
              <w:t>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海证 券报、 证券 时报、 证券 日报 及巨 潮资 讯网 上的 关于 公司 使用 部分 闲置 募集 资金 进行 现金 管理 的进 展公 </w:t>
            </w:r>
            <w:r>
              <w:rPr>
                <w:rFonts w:ascii="宋体" w:hAnsi="宋体" w:cs="宋体" w:eastAsia="宋体" w:hint="default"/>
                <w:spacing w:val="-20"/>
                <w:sz w:val="18"/>
                <w:szCs w:val="18"/>
              </w:rPr>
              <w:t>告（公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告编 号：</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60"/>
        <w:gridCol w:w="562"/>
        <w:gridCol w:w="562"/>
        <w:gridCol w:w="562"/>
        <w:gridCol w:w="548"/>
        <w:gridCol w:w="547"/>
        <w:gridCol w:w="547"/>
        <w:gridCol w:w="538"/>
      </w:tblGrid>
      <w:tr>
        <w:trPr>
          <w:trHeight w:val="10348"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3"/>
              <w:jc w:val="left"/>
              <w:rPr>
                <w:rFonts w:ascii="宋体" w:hAnsi="宋体" w:cs="宋体" w:eastAsia="宋体" w:hint="default"/>
                <w:sz w:val="18"/>
                <w:szCs w:val="18"/>
              </w:rPr>
            </w:pPr>
            <w:r>
              <w:rPr>
                <w:rFonts w:ascii="宋体" w:hAnsi="宋体" w:cs="宋体" w:eastAsia="宋体" w:hint="default"/>
                <w:sz w:val="18"/>
                <w:szCs w:val="18"/>
              </w:rPr>
              <w:t>元数。 如果 某日 彭博</w:t>
            </w:r>
          </w:p>
          <w:p>
            <w:pPr>
              <w:pStyle w:val="TableParagraph"/>
              <w:spacing w:line="240" w:lineRule="auto" w:before="5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“BFIX</w:t>
            </w:r>
          </w:p>
          <w:p>
            <w:pPr>
              <w:pStyle w:val="TableParagraph"/>
              <w:spacing w:line="316" w:lineRule="auto" w:before="63"/>
              <w:ind w:left="23"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页面 上没 有显 示相 关数 </w:t>
            </w:r>
            <w:r>
              <w:rPr>
                <w:rFonts w:ascii="宋体" w:hAnsi="宋体" w:cs="宋体" w:eastAsia="宋体" w:hint="default"/>
                <w:spacing w:val="-12"/>
                <w:sz w:val="18"/>
                <w:szCs w:val="18"/>
              </w:rPr>
              <w:t>据，则</w:t>
            </w:r>
            <w:r>
              <w:rPr>
                <w:rFonts w:ascii="宋体" w:hAnsi="宋体" w:cs="宋体" w:eastAsia="宋体" w:hint="default"/>
                <w:sz w:val="18"/>
                <w:szCs w:val="18"/>
              </w:rPr>
              <w:t> 该日 指标 采用 此日 期前 最近 一个 可获 得的 东京 时间 下午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点彭 博</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“BFIX</w:t>
            </w:r>
          </w:p>
          <w:p>
            <w:pPr>
              <w:pStyle w:val="TableParagraph"/>
              <w:spacing w:line="312" w:lineRule="auto" w:before="63"/>
              <w:ind w:left="23" w:right="-13"/>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页面 显示 的美 元</w:t>
            </w:r>
            <w:r>
              <w:rPr>
                <w:rFonts w:ascii="Times New Roman" w:hAnsi="Times New Roman" w:cs="Times New Roman" w:eastAsia="Times New Roman" w:hint="default"/>
                <w:sz w:val="18"/>
                <w:szCs w:val="18"/>
              </w:rPr>
              <w:t>/</w:t>
            </w:r>
            <w:r>
              <w:rPr>
                <w:rFonts w:ascii="宋体" w:hAnsi="宋体" w:cs="宋体" w:eastAsia="宋体" w:hint="default"/>
                <w:sz w:val="18"/>
                <w:szCs w:val="18"/>
              </w:rPr>
              <w:t>日 元汇 率中 间价。</w:t>
            </w: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076</w:t>
            </w:r>
            <w:r>
              <w:rPr>
                <w:rFonts w:ascii="宋体" w:hAnsi="宋体" w:cs="宋体" w:eastAsia="宋体" w:hint="default"/>
                <w:sz w:val="18"/>
                <w:szCs w:val="18"/>
              </w:rPr>
              <w:t>）</w:t>
            </w:r>
          </w:p>
        </w:tc>
      </w:tr>
      <w:tr>
        <w:trPr>
          <w:trHeight w:val="3483"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316" w:lineRule="auto"/>
              <w:ind w:left="24" w:right="176"/>
              <w:jc w:val="both"/>
              <w:rPr>
                <w:rFonts w:ascii="宋体" w:hAnsi="宋体" w:cs="宋体" w:eastAsia="宋体" w:hint="default"/>
                <w:sz w:val="18"/>
                <w:szCs w:val="18"/>
              </w:rPr>
            </w:pPr>
            <w:r>
              <w:rPr>
                <w:rFonts w:ascii="宋体" w:hAnsi="宋体" w:cs="宋体" w:eastAsia="宋体" w:hint="default"/>
                <w:sz w:val="18"/>
                <w:szCs w:val="18"/>
              </w:rPr>
              <w:t>民生 银行 即墨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38"/>
              <w:ind w:left="23" w:right="31"/>
              <w:jc w:val="left"/>
              <w:rPr>
                <w:rFonts w:ascii="宋体" w:hAnsi="宋体" w:cs="宋体" w:eastAsia="宋体" w:hint="default"/>
                <w:sz w:val="18"/>
                <w:szCs w:val="18"/>
              </w:rPr>
            </w:pPr>
            <w:r>
              <w:rPr>
                <w:rFonts w:ascii="宋体" w:hAnsi="宋体" w:cs="宋体" w:eastAsia="宋体" w:hint="default"/>
                <w:sz w:val="18"/>
                <w:szCs w:val="18"/>
              </w:rPr>
              <w:t>保本浮 动收益 型</w:t>
            </w:r>
            <w:r>
              <w:rPr>
                <w:rFonts w:ascii="Times New Roman" w:hAnsi="Times New Roman" w:cs="Times New Roman" w:eastAsia="Times New Roman" w:hint="default"/>
                <w:sz w:val="18"/>
                <w:szCs w:val="18"/>
              </w:rPr>
              <w:t>(</w:t>
            </w:r>
            <w:r>
              <w:rPr>
                <w:rFonts w:ascii="宋体" w:hAnsi="宋体" w:cs="宋体" w:eastAsia="宋体" w:hint="default"/>
                <w:sz w:val="18"/>
                <w:szCs w:val="18"/>
              </w:rPr>
              <w:t>结 构性存 款）</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314" w:lineRule="auto"/>
              <w:ind w:left="24" w:right="166"/>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360" w:lineRule="auto"/>
              <w:ind w:left="23" w:right="77"/>
              <w:jc w:val="left"/>
              <w:rPr>
                <w:rFonts w:ascii="Times New Roman" w:hAnsi="Times New Roman" w:cs="Times New Roman" w:eastAsia="Times New Roman" w:hint="default"/>
                <w:sz w:val="18"/>
                <w:szCs w:val="18"/>
              </w:rPr>
            </w:pPr>
            <w:r>
              <w:rPr>
                <w:rFonts w:ascii="Times New Roman"/>
                <w:sz w:val="18"/>
              </w:rPr>
              <w:t>USD3</w:t>
            </w:r>
            <w:r>
              <w:rPr>
                <w:rFonts w:ascii="Times New Roman"/>
                <w:w w:val="99"/>
                <w:sz w:val="18"/>
              </w:rPr>
              <w:t> </w:t>
            </w:r>
            <w:r>
              <w:rPr>
                <w:rFonts w:ascii="Times New Roman"/>
                <w:sz w:val="18"/>
              </w:rPr>
              <w:t>M-LI</w:t>
            </w:r>
            <w:r>
              <w:rPr>
                <w:rFonts w:ascii="Times New Roman"/>
                <w:spacing w:val="-2"/>
                <w:w w:val="99"/>
                <w:sz w:val="18"/>
              </w:rPr>
              <w:t> </w:t>
            </w:r>
            <w:r>
              <w:rPr>
                <w:rFonts w:ascii="Times New Roman"/>
                <w:sz w:val="18"/>
              </w:rPr>
              <w:t>BOR</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3.75%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100.68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100.68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314" w:lineRule="auto"/>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7"/>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20"/>
                <w:sz w:val="18"/>
                <w:szCs w:val="18"/>
              </w:rPr>
              <w:t>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海证 券报、 证券 时报、 证券 日报 及巨 潮资</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60"/>
        <w:gridCol w:w="562"/>
        <w:gridCol w:w="562"/>
        <w:gridCol w:w="562"/>
        <w:gridCol w:w="548"/>
        <w:gridCol w:w="547"/>
        <w:gridCol w:w="547"/>
        <w:gridCol w:w="538"/>
      </w:tblGrid>
      <w:tr>
        <w:trPr>
          <w:trHeight w:val="5979"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讯网 上的 关于 公司 使用 部分 闲置 募集 资金 进行 现金 管理 的进 展公 </w:t>
            </w:r>
            <w:r>
              <w:rPr>
                <w:rFonts w:ascii="宋体" w:hAnsi="宋体" w:cs="宋体" w:eastAsia="宋体" w:hint="default"/>
                <w:spacing w:val="-20"/>
                <w:sz w:val="18"/>
                <w:szCs w:val="18"/>
              </w:rPr>
              <w:t>告（公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告编 号：</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076</w:t>
            </w:r>
            <w:r>
              <w:rPr>
                <w:rFonts w:ascii="宋体" w:hAnsi="宋体" w:cs="宋体" w:eastAsia="宋体" w:hint="default"/>
                <w:sz w:val="18"/>
                <w:szCs w:val="18"/>
              </w:rPr>
              <w:t>）</w:t>
            </w:r>
          </w:p>
        </w:tc>
      </w:tr>
      <w:tr>
        <w:trPr>
          <w:trHeight w:val="7851"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316" w:lineRule="auto"/>
              <w:ind w:left="24" w:right="176"/>
              <w:jc w:val="both"/>
              <w:rPr>
                <w:rFonts w:ascii="宋体" w:hAnsi="宋体" w:cs="宋体" w:eastAsia="宋体" w:hint="default"/>
                <w:sz w:val="18"/>
                <w:szCs w:val="18"/>
              </w:rPr>
            </w:pPr>
            <w:r>
              <w:rPr>
                <w:rFonts w:ascii="宋体" w:hAnsi="宋体" w:cs="宋体" w:eastAsia="宋体" w:hint="default"/>
                <w:sz w:val="18"/>
                <w:szCs w:val="18"/>
              </w:rPr>
              <w:t>建行 延安 三路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2" w:lineRule="auto"/>
              <w:ind w:left="23" w:right="31"/>
              <w:jc w:val="left"/>
              <w:rPr>
                <w:rFonts w:ascii="宋体" w:hAnsi="宋体" w:cs="宋体" w:eastAsia="宋体" w:hint="default"/>
                <w:sz w:val="18"/>
                <w:szCs w:val="18"/>
              </w:rPr>
            </w:pPr>
            <w:r>
              <w:rPr>
                <w:rFonts w:ascii="宋体" w:hAnsi="宋体" w:cs="宋体" w:eastAsia="宋体" w:hint="default"/>
                <w:sz w:val="18"/>
                <w:szCs w:val="18"/>
              </w:rPr>
              <w:t>保本浮 动收益 型</w:t>
            </w:r>
            <w:r>
              <w:rPr>
                <w:rFonts w:ascii="Times New Roman" w:hAnsi="Times New Roman" w:cs="Times New Roman" w:eastAsia="Times New Roman" w:hint="default"/>
                <w:sz w:val="18"/>
                <w:szCs w:val="18"/>
              </w:rPr>
              <w:t>(</w:t>
            </w:r>
            <w:r>
              <w:rPr>
                <w:rFonts w:ascii="宋体" w:hAnsi="宋体" w:cs="宋体" w:eastAsia="宋体" w:hint="default"/>
                <w:sz w:val="18"/>
                <w:szCs w:val="18"/>
              </w:rPr>
              <w:t>银 行理 财）</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314" w:lineRule="auto"/>
              <w:ind w:left="24" w:right="166"/>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
              <w:jc w:val="left"/>
              <w:rPr>
                <w:rFonts w:ascii="宋体" w:hAnsi="宋体" w:cs="宋体" w:eastAsia="宋体" w:hint="default"/>
                <w:sz w:val="18"/>
                <w:szCs w:val="18"/>
              </w:rPr>
            </w:pPr>
            <w:r>
              <w:rPr>
                <w:rFonts w:ascii="宋体" w:hAnsi="宋体" w:cs="宋体" w:eastAsia="宋体" w:hint="default"/>
                <w:sz w:val="18"/>
                <w:szCs w:val="18"/>
              </w:rPr>
              <w:t>投资 于国 </w:t>
            </w:r>
            <w:r>
              <w:rPr>
                <w:rFonts w:ascii="宋体" w:hAnsi="宋体" w:cs="宋体" w:eastAsia="宋体" w:hint="default"/>
                <w:spacing w:val="-12"/>
                <w:sz w:val="18"/>
                <w:szCs w:val="18"/>
              </w:rPr>
              <w:t>债、金</w:t>
            </w:r>
            <w:r>
              <w:rPr>
                <w:rFonts w:ascii="宋体" w:hAnsi="宋体" w:cs="宋体" w:eastAsia="宋体" w:hint="default"/>
                <w:sz w:val="18"/>
                <w:szCs w:val="18"/>
              </w:rPr>
              <w:t> 融债、 央行 票据、 企业 短期 融资 </w:t>
            </w:r>
            <w:r>
              <w:rPr>
                <w:rFonts w:ascii="宋体" w:hAnsi="宋体" w:cs="宋体" w:eastAsia="宋体" w:hint="default"/>
                <w:spacing w:val="-12"/>
                <w:sz w:val="18"/>
                <w:szCs w:val="18"/>
              </w:rPr>
              <w:t>券、超</w:t>
            </w:r>
            <w:r>
              <w:rPr>
                <w:rFonts w:ascii="宋体" w:hAnsi="宋体" w:cs="宋体" w:eastAsia="宋体" w:hint="default"/>
                <w:sz w:val="18"/>
                <w:szCs w:val="18"/>
              </w:rPr>
              <w:t> 短期 融资 </w:t>
            </w:r>
            <w:r>
              <w:rPr>
                <w:rFonts w:ascii="宋体" w:hAnsi="宋体" w:cs="宋体" w:eastAsia="宋体" w:hint="default"/>
                <w:spacing w:val="-12"/>
                <w:sz w:val="18"/>
                <w:szCs w:val="18"/>
              </w:rPr>
              <w:t>券、中</w:t>
            </w:r>
            <w:r>
              <w:rPr>
                <w:rFonts w:ascii="宋体" w:hAnsi="宋体" w:cs="宋体" w:eastAsia="宋体" w:hint="default"/>
                <w:sz w:val="18"/>
                <w:szCs w:val="18"/>
              </w:rPr>
              <w:t> 期票 </w:t>
            </w:r>
            <w:r>
              <w:rPr>
                <w:rFonts w:ascii="宋体" w:hAnsi="宋体" w:cs="宋体" w:eastAsia="宋体" w:hint="default"/>
                <w:spacing w:val="-12"/>
                <w:sz w:val="18"/>
                <w:szCs w:val="18"/>
              </w:rPr>
              <w:t>据、企</w:t>
            </w:r>
            <w:r>
              <w:rPr>
                <w:rFonts w:ascii="宋体" w:hAnsi="宋体" w:cs="宋体" w:eastAsia="宋体" w:hint="default"/>
                <w:sz w:val="18"/>
                <w:szCs w:val="18"/>
              </w:rPr>
              <w:t> 业债、 公司 </w:t>
            </w:r>
            <w:r>
              <w:rPr>
                <w:rFonts w:ascii="宋体" w:hAnsi="宋体" w:cs="宋体" w:eastAsia="宋体" w:hint="default"/>
                <w:spacing w:val="-12"/>
                <w:sz w:val="18"/>
                <w:szCs w:val="18"/>
              </w:rPr>
              <w:t>债、私</w:t>
            </w:r>
            <w:r>
              <w:rPr>
                <w:rFonts w:ascii="宋体" w:hAnsi="宋体" w:cs="宋体" w:eastAsia="宋体" w:hint="default"/>
                <w:sz w:val="18"/>
                <w:szCs w:val="18"/>
              </w:rPr>
              <w:t> 募债、 债券 逆回 </w:t>
            </w:r>
            <w:r>
              <w:rPr>
                <w:rFonts w:ascii="宋体" w:hAnsi="宋体" w:cs="宋体" w:eastAsia="宋体" w:hint="default"/>
                <w:spacing w:val="-12"/>
                <w:sz w:val="18"/>
                <w:szCs w:val="18"/>
              </w:rPr>
              <w:t>购、资</w:t>
            </w:r>
            <w:r>
              <w:rPr>
                <w:rFonts w:ascii="宋体" w:hAnsi="宋体" w:cs="宋体" w:eastAsia="宋体" w:hint="default"/>
                <w:sz w:val="18"/>
                <w:szCs w:val="18"/>
              </w:rPr>
              <w:t> 金拆 </w:t>
            </w:r>
            <w:r>
              <w:rPr>
                <w:rFonts w:ascii="宋体" w:hAnsi="宋体" w:cs="宋体" w:eastAsia="宋体" w:hint="default"/>
                <w:spacing w:val="-12"/>
                <w:sz w:val="18"/>
                <w:szCs w:val="18"/>
              </w:rPr>
              <w:t>借、存</w:t>
            </w:r>
            <w:r>
              <w:rPr>
                <w:rFonts w:ascii="宋体" w:hAnsi="宋体" w:cs="宋体" w:eastAsia="宋体" w:hint="default"/>
                <w:sz w:val="18"/>
                <w:szCs w:val="18"/>
              </w:rPr>
              <w:t> 放同</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0"/>
              <w:ind w:left="23"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3.30%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292.47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292.47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314" w:lineRule="auto"/>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7"/>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20"/>
                <w:sz w:val="18"/>
                <w:szCs w:val="18"/>
              </w:rPr>
              <w:t>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海证 券报、 证券 时报、 证券 日报 及巨 潮资 讯网 上的 关于 公司 使用 部分 闲置 募集 资金 进行 现金 管理 的进 展公</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60"/>
        <w:gridCol w:w="562"/>
        <w:gridCol w:w="562"/>
        <w:gridCol w:w="562"/>
        <w:gridCol w:w="548"/>
        <w:gridCol w:w="547"/>
        <w:gridCol w:w="547"/>
        <w:gridCol w:w="538"/>
      </w:tblGrid>
      <w:tr>
        <w:trPr>
          <w:trHeight w:val="5043"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3"/>
              <w:jc w:val="left"/>
              <w:rPr>
                <w:rFonts w:ascii="宋体" w:hAnsi="宋体" w:cs="宋体" w:eastAsia="宋体" w:hint="default"/>
                <w:sz w:val="18"/>
                <w:szCs w:val="18"/>
              </w:rPr>
            </w:pPr>
            <w:r>
              <w:rPr>
                <w:rFonts w:ascii="宋体" w:hAnsi="宋体" w:cs="宋体" w:eastAsia="宋体" w:hint="default"/>
                <w:sz w:val="18"/>
                <w:szCs w:val="18"/>
              </w:rPr>
              <w:t>业等 债券 和货 币市 场工 具类 资产， 债权 类资 </w:t>
            </w:r>
            <w:r>
              <w:rPr>
                <w:rFonts w:ascii="宋体" w:hAnsi="宋体" w:cs="宋体" w:eastAsia="宋体" w:hint="default"/>
                <w:spacing w:val="-12"/>
                <w:sz w:val="18"/>
                <w:szCs w:val="18"/>
              </w:rPr>
              <w:t>产，以</w:t>
            </w:r>
            <w:r>
              <w:rPr>
                <w:rFonts w:ascii="宋体" w:hAnsi="宋体" w:cs="宋体" w:eastAsia="宋体" w:hint="default"/>
                <w:sz w:val="18"/>
                <w:szCs w:val="18"/>
              </w:rPr>
              <w:t> 及其 他符 合监 管要 求的 资产。</w:t>
            </w: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9"/>
              <w:jc w:val="left"/>
              <w:rPr>
                <w:rFonts w:ascii="宋体" w:hAnsi="宋体" w:cs="宋体" w:eastAsia="宋体" w:hint="default"/>
                <w:sz w:val="18"/>
                <w:szCs w:val="18"/>
              </w:rPr>
            </w:pPr>
            <w:r>
              <w:rPr>
                <w:rFonts w:ascii="宋体" w:hAnsi="宋体" w:cs="宋体" w:eastAsia="宋体" w:hint="default"/>
                <w:spacing w:val="-20"/>
                <w:sz w:val="18"/>
                <w:szCs w:val="18"/>
              </w:rPr>
              <w:t>告（公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告编 号：</w:t>
            </w:r>
          </w:p>
          <w:p>
            <w:pPr>
              <w:pStyle w:val="TableParagraph"/>
              <w:spacing w:line="240" w:lineRule="auto" w:before="59"/>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076</w:t>
            </w:r>
            <w:r>
              <w:rPr>
                <w:rFonts w:ascii="宋体" w:hAnsi="宋体" w:cs="宋体" w:eastAsia="宋体" w:hint="default"/>
                <w:sz w:val="18"/>
                <w:szCs w:val="18"/>
              </w:rPr>
              <w:t>）</w:t>
            </w:r>
          </w:p>
        </w:tc>
      </w:tr>
      <w:tr>
        <w:trPr>
          <w:trHeight w:val="8787"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316" w:lineRule="auto"/>
              <w:ind w:left="24" w:right="176"/>
              <w:jc w:val="both"/>
              <w:rPr>
                <w:rFonts w:ascii="宋体" w:hAnsi="宋体" w:cs="宋体" w:eastAsia="宋体" w:hint="default"/>
                <w:sz w:val="18"/>
                <w:szCs w:val="18"/>
              </w:rPr>
            </w:pPr>
            <w:r>
              <w:rPr>
                <w:rFonts w:ascii="宋体" w:hAnsi="宋体" w:cs="宋体" w:eastAsia="宋体" w:hint="default"/>
                <w:sz w:val="18"/>
                <w:szCs w:val="18"/>
              </w:rPr>
              <w:t>交通 银行 即墨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312" w:lineRule="auto"/>
              <w:ind w:left="23" w:right="31"/>
              <w:jc w:val="left"/>
              <w:rPr>
                <w:rFonts w:ascii="宋体" w:hAnsi="宋体" w:cs="宋体" w:eastAsia="宋体" w:hint="default"/>
                <w:sz w:val="18"/>
                <w:szCs w:val="18"/>
              </w:rPr>
            </w:pPr>
            <w:r>
              <w:rPr>
                <w:rFonts w:ascii="宋体" w:hAnsi="宋体" w:cs="宋体" w:eastAsia="宋体" w:hint="default"/>
                <w:sz w:val="18"/>
                <w:szCs w:val="18"/>
              </w:rPr>
              <w:t>保本浮 动收益 型</w:t>
            </w:r>
            <w:r>
              <w:rPr>
                <w:rFonts w:ascii="Times New Roman" w:hAnsi="Times New Roman" w:cs="Times New Roman" w:eastAsia="Times New Roman" w:hint="default"/>
                <w:sz w:val="18"/>
                <w:szCs w:val="18"/>
              </w:rPr>
              <w:t>(</w:t>
            </w:r>
            <w:r>
              <w:rPr>
                <w:rFonts w:ascii="宋体" w:hAnsi="宋体" w:cs="宋体" w:eastAsia="宋体" w:hint="default"/>
                <w:sz w:val="18"/>
                <w:szCs w:val="18"/>
              </w:rPr>
              <w:t>结 构性存 款）</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47" w:right="0"/>
              <w:jc w:val="left"/>
              <w:rPr>
                <w:rFonts w:ascii="Times New Roman" w:hAnsi="Times New Roman" w:cs="Times New Roman" w:eastAsia="Times New Roman" w:hint="default"/>
                <w:sz w:val="18"/>
                <w:szCs w:val="18"/>
              </w:rPr>
            </w:pPr>
            <w:r>
              <w:rPr>
                <w:rFonts w:ascii="Times New Roman"/>
                <w:sz w:val="18"/>
              </w:rPr>
              <w:t>10,000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3"/>
              <w:ind w:left="24" w:right="166"/>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上海 黄金 交易 所</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sz w:val="18"/>
              </w:rPr>
              <w:t>AU99.</w:t>
            </w:r>
          </w:p>
          <w:p>
            <w:pPr>
              <w:pStyle w:val="TableParagraph"/>
              <w:spacing w:line="309" w:lineRule="auto" w:before="63"/>
              <w:ind w:left="23" w:right="119"/>
              <w:jc w:val="both"/>
              <w:rPr>
                <w:rFonts w:ascii="宋体" w:hAnsi="宋体" w:cs="宋体" w:eastAsia="宋体" w:hint="default"/>
                <w:sz w:val="18"/>
                <w:szCs w:val="18"/>
              </w:rPr>
            </w:pPr>
            <w:r>
              <w:rPr>
                <w:rFonts w:ascii="Times New Roman" w:hAnsi="Times New Roman" w:cs="Times New Roman" w:eastAsia="Times New Roman" w:hint="default"/>
                <w:sz w:val="18"/>
                <w:szCs w:val="18"/>
              </w:rPr>
              <w:t>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合 约收 盘价</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62" w:right="0"/>
              <w:jc w:val="left"/>
              <w:rPr>
                <w:rFonts w:ascii="Times New Roman" w:hAnsi="Times New Roman" w:cs="Times New Roman" w:eastAsia="Times New Roman" w:hint="default"/>
                <w:sz w:val="18"/>
                <w:szCs w:val="18"/>
              </w:rPr>
            </w:pPr>
            <w:r>
              <w:rPr>
                <w:rFonts w:ascii="Times New Roman"/>
                <w:sz w:val="18"/>
              </w:rPr>
              <w:t>3.75%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347" w:right="0"/>
              <w:jc w:val="left"/>
              <w:rPr>
                <w:rFonts w:ascii="Times New Roman" w:hAnsi="Times New Roman" w:cs="Times New Roman" w:eastAsia="Times New Roman" w:hint="default"/>
                <w:sz w:val="18"/>
                <w:szCs w:val="18"/>
              </w:rPr>
            </w:pPr>
            <w:r>
              <w:rPr>
                <w:rFonts w:ascii="Times New Roman"/>
                <w:sz w:val="18"/>
              </w:rPr>
              <w:t>95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348" w:right="0"/>
              <w:jc w:val="left"/>
              <w:rPr>
                <w:rFonts w:ascii="Times New Roman" w:hAnsi="Times New Roman" w:cs="Times New Roman" w:eastAsia="Times New Roman" w:hint="default"/>
                <w:sz w:val="18"/>
                <w:szCs w:val="18"/>
              </w:rPr>
            </w:pPr>
            <w:r>
              <w:rPr>
                <w:rFonts w:ascii="Times New Roman"/>
                <w:sz w:val="18"/>
              </w:rPr>
              <w:t>95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3"/>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7"/>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20"/>
                <w:sz w:val="18"/>
                <w:szCs w:val="18"/>
              </w:rPr>
              <w:t>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海证 券报、 证券 时报、 证券 日报 及巨 潮资 讯网 上的 关于 公司 使用 部分 闲置 募集 资金 进行 结构 性存 款的 进展 公告 </w:t>
            </w:r>
            <w:r>
              <w:rPr>
                <w:rFonts w:ascii="Times New Roman" w:hAnsi="Times New Roman" w:cs="Times New Roman" w:eastAsia="Times New Roman" w:hint="default"/>
                <w:sz w:val="18"/>
                <w:szCs w:val="18"/>
              </w:rPr>
              <w:t>(</w:t>
            </w:r>
            <w:r>
              <w:rPr>
                <w:rFonts w:ascii="宋体" w:hAnsi="宋体" w:cs="宋体" w:eastAsia="宋体" w:hint="default"/>
                <w:sz w:val="18"/>
                <w:szCs w:val="18"/>
              </w:rPr>
              <w:t>公告 编号：</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60"/>
        <w:gridCol w:w="562"/>
        <w:gridCol w:w="562"/>
        <w:gridCol w:w="562"/>
        <w:gridCol w:w="548"/>
        <w:gridCol w:w="547"/>
        <w:gridCol w:w="547"/>
        <w:gridCol w:w="538"/>
      </w:tblGrid>
      <w:tr>
        <w:trPr>
          <w:trHeight w:val="675"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077)</w:t>
            </w:r>
          </w:p>
        </w:tc>
      </w:tr>
      <w:tr>
        <w:trPr>
          <w:trHeight w:val="9450"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24" w:right="176"/>
              <w:jc w:val="both"/>
              <w:rPr>
                <w:rFonts w:ascii="宋体" w:hAnsi="宋体" w:cs="宋体" w:eastAsia="宋体" w:hint="default"/>
                <w:sz w:val="18"/>
                <w:szCs w:val="18"/>
              </w:rPr>
            </w:pPr>
            <w:r>
              <w:rPr>
                <w:rFonts w:ascii="宋体" w:hAnsi="宋体" w:cs="宋体" w:eastAsia="宋体" w:hint="default"/>
                <w:sz w:val="18"/>
                <w:szCs w:val="18"/>
              </w:rPr>
              <w:t>兴业 银行 青岛 即墨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4" w:lineRule="auto"/>
              <w:ind w:left="23" w:right="31"/>
              <w:jc w:val="left"/>
              <w:rPr>
                <w:rFonts w:ascii="宋体" w:hAnsi="宋体" w:cs="宋体" w:eastAsia="宋体" w:hint="default"/>
                <w:sz w:val="18"/>
                <w:szCs w:val="18"/>
              </w:rPr>
            </w:pPr>
            <w:r>
              <w:rPr>
                <w:rFonts w:ascii="宋体" w:hAnsi="宋体" w:cs="宋体" w:eastAsia="宋体" w:hint="default"/>
                <w:sz w:val="18"/>
                <w:szCs w:val="18"/>
              </w:rPr>
              <w:t>保本浮 动收益 型</w:t>
            </w:r>
            <w:r>
              <w:rPr>
                <w:rFonts w:ascii="Times New Roman" w:hAnsi="Times New Roman" w:cs="Times New Roman" w:eastAsia="Times New Roman" w:hint="default"/>
                <w:sz w:val="18"/>
                <w:szCs w:val="18"/>
              </w:rPr>
              <w:t>(</w:t>
            </w:r>
            <w:r>
              <w:rPr>
                <w:rFonts w:ascii="宋体" w:hAnsi="宋体" w:cs="宋体" w:eastAsia="宋体" w:hint="default"/>
                <w:sz w:val="18"/>
                <w:szCs w:val="18"/>
              </w:rPr>
              <w:t>结 构性存 款）</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316" w:lineRule="auto"/>
              <w:ind w:left="24" w:right="166"/>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9"/>
              <w:ind w:left="23" w:right="167"/>
              <w:jc w:val="both"/>
              <w:rPr>
                <w:rFonts w:ascii="宋体" w:hAnsi="宋体" w:cs="宋体" w:eastAsia="宋体" w:hint="default"/>
                <w:sz w:val="18"/>
                <w:szCs w:val="18"/>
              </w:rPr>
            </w:pPr>
            <w:r>
              <w:rPr>
                <w:rFonts w:ascii="宋体" w:hAnsi="宋体" w:cs="宋体" w:eastAsia="宋体" w:hint="default"/>
                <w:sz w:val="18"/>
                <w:szCs w:val="18"/>
              </w:rPr>
              <w:t>上海 黄金 交易 所至 上海 金上 午基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2"/>
              <w:ind w:left="23"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3.63%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6.12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6.12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7"/>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20"/>
                <w:sz w:val="18"/>
                <w:szCs w:val="18"/>
              </w:rPr>
              <w:t>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海证 券报、 证券 时报、 证券 日报 及巨 潮资 讯网 上的 关于 公司 使用 部分 闲置 募集 资金 进行 结构 性存 款的 进展 公告 </w:t>
            </w:r>
            <w:r>
              <w:rPr>
                <w:rFonts w:ascii="Times New Roman" w:hAnsi="Times New Roman" w:cs="Times New Roman" w:eastAsia="Times New Roman" w:hint="default"/>
                <w:sz w:val="18"/>
                <w:szCs w:val="18"/>
              </w:rPr>
              <w:t>(</w:t>
            </w:r>
            <w:r>
              <w:rPr>
                <w:rFonts w:ascii="宋体" w:hAnsi="宋体" w:cs="宋体" w:eastAsia="宋体" w:hint="default"/>
                <w:sz w:val="18"/>
                <w:szCs w:val="18"/>
              </w:rPr>
              <w:t>公告 编号：</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077)</w:t>
            </w:r>
          </w:p>
        </w:tc>
      </w:tr>
      <w:tr>
        <w:trPr>
          <w:trHeight w:val="3795"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316" w:lineRule="auto"/>
              <w:ind w:left="24" w:right="176"/>
              <w:jc w:val="both"/>
              <w:rPr>
                <w:rFonts w:ascii="宋体" w:hAnsi="宋体" w:cs="宋体" w:eastAsia="宋体" w:hint="default"/>
                <w:sz w:val="18"/>
                <w:szCs w:val="18"/>
              </w:rPr>
            </w:pPr>
            <w:r>
              <w:rPr>
                <w:rFonts w:ascii="宋体" w:hAnsi="宋体" w:cs="宋体" w:eastAsia="宋体" w:hint="default"/>
                <w:sz w:val="18"/>
                <w:szCs w:val="18"/>
              </w:rPr>
              <w:t>兴业 银行 青岛 即墨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314" w:lineRule="auto"/>
              <w:ind w:left="23" w:right="31"/>
              <w:jc w:val="left"/>
              <w:rPr>
                <w:rFonts w:ascii="宋体" w:hAnsi="宋体" w:cs="宋体" w:eastAsia="宋体" w:hint="default"/>
                <w:sz w:val="18"/>
                <w:szCs w:val="18"/>
              </w:rPr>
            </w:pPr>
            <w:r>
              <w:rPr>
                <w:rFonts w:ascii="宋体" w:hAnsi="宋体" w:cs="宋体" w:eastAsia="宋体" w:hint="default"/>
                <w:sz w:val="18"/>
                <w:szCs w:val="18"/>
              </w:rPr>
              <w:t>保本浮 动收益 型</w:t>
            </w:r>
            <w:r>
              <w:rPr>
                <w:rFonts w:ascii="Times New Roman" w:hAnsi="Times New Roman" w:cs="Times New Roman" w:eastAsia="Times New Roman" w:hint="default"/>
                <w:sz w:val="18"/>
                <w:szCs w:val="18"/>
              </w:rPr>
              <w:t>(</w:t>
            </w:r>
            <w:r>
              <w:rPr>
                <w:rFonts w:ascii="宋体" w:hAnsi="宋体" w:cs="宋体" w:eastAsia="宋体" w:hint="default"/>
                <w:sz w:val="18"/>
                <w:szCs w:val="18"/>
              </w:rPr>
              <w:t>结 构性存 款）</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right="18"/>
              <w:jc w:val="right"/>
              <w:rPr>
                <w:rFonts w:ascii="Times New Roman" w:hAnsi="Times New Roman" w:cs="Times New Roman" w:eastAsia="Times New Roman" w:hint="default"/>
                <w:sz w:val="18"/>
                <w:szCs w:val="18"/>
              </w:rPr>
            </w:pPr>
            <w:r>
              <w:rPr>
                <w:rFonts w:ascii="Times New Roman"/>
                <w:sz w:val="18"/>
              </w:rPr>
              <w:t>2,900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1"/>
              <w:ind w:left="24" w:right="166"/>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上海 黄金 交易 所至 上海 金上 午基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left="62" w:right="0"/>
              <w:jc w:val="left"/>
              <w:rPr>
                <w:rFonts w:ascii="Times New Roman" w:hAnsi="Times New Roman" w:cs="Times New Roman" w:eastAsia="Times New Roman" w:hint="default"/>
                <w:sz w:val="18"/>
                <w:szCs w:val="18"/>
              </w:rPr>
            </w:pPr>
            <w:r>
              <w:rPr>
                <w:rFonts w:ascii="Times New Roman"/>
                <w:sz w:val="18"/>
              </w:rPr>
              <w:t>3.92%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left="99" w:right="0"/>
              <w:jc w:val="center"/>
              <w:rPr>
                <w:rFonts w:ascii="Times New Roman" w:hAnsi="Times New Roman" w:cs="Times New Roman" w:eastAsia="Times New Roman" w:hint="default"/>
                <w:sz w:val="18"/>
                <w:szCs w:val="18"/>
              </w:rPr>
            </w:pPr>
            <w:r>
              <w:rPr>
                <w:rFonts w:ascii="Times New Roman"/>
                <w:sz w:val="18"/>
              </w:rPr>
              <w:t>28.43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left="99" w:right="0"/>
              <w:jc w:val="center"/>
              <w:rPr>
                <w:rFonts w:ascii="Times New Roman" w:hAnsi="Times New Roman" w:cs="Times New Roman" w:eastAsia="Times New Roman" w:hint="default"/>
                <w:sz w:val="18"/>
                <w:szCs w:val="18"/>
              </w:rPr>
            </w:pPr>
            <w:r>
              <w:rPr>
                <w:rFonts w:ascii="Times New Roman"/>
                <w:sz w:val="18"/>
              </w:rPr>
              <w:t>28.43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1"/>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7"/>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20"/>
                <w:sz w:val="18"/>
                <w:szCs w:val="18"/>
              </w:rPr>
              <w:t>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海证 券报、 证券 时报、 证券 日报 及巨 潮资 讯网</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60"/>
        <w:gridCol w:w="562"/>
        <w:gridCol w:w="562"/>
        <w:gridCol w:w="562"/>
        <w:gridCol w:w="548"/>
        <w:gridCol w:w="547"/>
        <w:gridCol w:w="547"/>
        <w:gridCol w:w="538"/>
      </w:tblGrid>
      <w:tr>
        <w:trPr>
          <w:trHeight w:val="5667"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37"/>
              <w:jc w:val="both"/>
              <w:rPr>
                <w:rFonts w:ascii="宋体" w:hAnsi="宋体" w:cs="宋体" w:eastAsia="宋体" w:hint="default"/>
                <w:sz w:val="18"/>
                <w:szCs w:val="18"/>
              </w:rPr>
            </w:pPr>
            <w:r>
              <w:rPr>
                <w:rFonts w:ascii="宋体" w:hAnsi="宋体" w:cs="宋体" w:eastAsia="宋体" w:hint="default"/>
                <w:sz w:val="18"/>
                <w:szCs w:val="18"/>
              </w:rPr>
              <w:t>上的 关于 公司 使用 部分 闲置 募集 资金 进行 结构 性存 款的 进展 公告 </w:t>
            </w:r>
            <w:r>
              <w:rPr>
                <w:rFonts w:ascii="Times New Roman" w:hAnsi="Times New Roman" w:cs="Times New Roman" w:eastAsia="Times New Roman" w:hint="default"/>
                <w:sz w:val="18"/>
                <w:szCs w:val="18"/>
              </w:rPr>
              <w:t>(</w:t>
            </w:r>
            <w:r>
              <w:rPr>
                <w:rFonts w:ascii="宋体" w:hAnsi="宋体" w:cs="宋体" w:eastAsia="宋体" w:hint="default"/>
                <w:sz w:val="18"/>
                <w:szCs w:val="18"/>
              </w:rPr>
              <w:t>公告 编号：</w:t>
            </w:r>
          </w:p>
          <w:p>
            <w:pPr>
              <w:pStyle w:val="TableParagraph"/>
              <w:spacing w:line="240" w:lineRule="auto" w:before="61"/>
              <w:ind w:left="23" w:right="0"/>
              <w:jc w:val="both"/>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105"/>
              <w:ind w:left="23" w:right="0"/>
              <w:jc w:val="both"/>
              <w:rPr>
                <w:rFonts w:ascii="Times New Roman" w:hAnsi="Times New Roman" w:cs="Times New Roman" w:eastAsia="Times New Roman" w:hint="default"/>
                <w:sz w:val="18"/>
                <w:szCs w:val="18"/>
              </w:rPr>
            </w:pPr>
            <w:r>
              <w:rPr>
                <w:rFonts w:ascii="Times New Roman"/>
                <w:sz w:val="18"/>
              </w:rPr>
              <w:t>078)</w:t>
            </w:r>
          </w:p>
        </w:tc>
      </w:tr>
      <w:tr>
        <w:trPr>
          <w:trHeight w:val="8163"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0"/>
              <w:ind w:left="24" w:right="176"/>
              <w:jc w:val="both"/>
              <w:rPr>
                <w:rFonts w:ascii="宋体" w:hAnsi="宋体" w:cs="宋体" w:eastAsia="宋体" w:hint="default"/>
                <w:sz w:val="18"/>
                <w:szCs w:val="18"/>
              </w:rPr>
            </w:pPr>
            <w:r>
              <w:rPr>
                <w:rFonts w:ascii="宋体" w:hAnsi="宋体" w:cs="宋体" w:eastAsia="宋体" w:hint="default"/>
                <w:sz w:val="18"/>
                <w:szCs w:val="18"/>
              </w:rPr>
              <w:t>工商 银行 即墨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312" w:lineRule="auto"/>
              <w:ind w:left="23" w:right="31"/>
              <w:jc w:val="left"/>
              <w:rPr>
                <w:rFonts w:ascii="宋体" w:hAnsi="宋体" w:cs="宋体" w:eastAsia="宋体" w:hint="default"/>
                <w:sz w:val="18"/>
                <w:szCs w:val="18"/>
              </w:rPr>
            </w:pPr>
            <w:r>
              <w:rPr>
                <w:rFonts w:ascii="宋体" w:hAnsi="宋体" w:cs="宋体" w:eastAsia="宋体" w:hint="default"/>
                <w:sz w:val="18"/>
                <w:szCs w:val="18"/>
              </w:rPr>
              <w:t>保本浮 动收益 型</w:t>
            </w:r>
            <w:r>
              <w:rPr>
                <w:rFonts w:ascii="Times New Roman" w:hAnsi="Times New Roman" w:cs="Times New Roman" w:eastAsia="Times New Roman" w:hint="default"/>
                <w:sz w:val="18"/>
                <w:szCs w:val="18"/>
              </w:rPr>
              <w:t>(</w:t>
            </w:r>
            <w:r>
              <w:rPr>
                <w:rFonts w:ascii="宋体" w:hAnsi="宋体" w:cs="宋体" w:eastAsia="宋体" w:hint="default"/>
                <w:sz w:val="18"/>
                <w:szCs w:val="18"/>
              </w:rPr>
              <w:t>结 构性存 款）</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314" w:lineRule="auto"/>
              <w:ind w:left="24" w:right="166"/>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30"/>
              <w:jc w:val="left"/>
              <w:rPr>
                <w:rFonts w:ascii="宋体" w:hAnsi="宋体" w:cs="宋体" w:eastAsia="宋体" w:hint="default"/>
                <w:sz w:val="18"/>
                <w:szCs w:val="18"/>
              </w:rPr>
            </w:pPr>
            <w:r>
              <w:rPr>
                <w:rFonts w:ascii="宋体" w:hAnsi="宋体" w:cs="宋体" w:eastAsia="宋体" w:hint="default"/>
                <w:sz w:val="18"/>
                <w:szCs w:val="18"/>
              </w:rPr>
              <w:t>观察 期内 每日 东京 时间 下午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点彭 博</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“BFIX</w:t>
            </w:r>
          </w:p>
          <w:p>
            <w:pPr>
              <w:pStyle w:val="TableParagraph"/>
              <w:spacing w:line="314" w:lineRule="auto" w:before="63"/>
              <w:ind w:left="23" w:right="-13"/>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页面 显示 的美 元</w:t>
            </w:r>
            <w:r>
              <w:rPr>
                <w:rFonts w:ascii="Times New Roman" w:hAnsi="Times New Roman" w:cs="Times New Roman" w:eastAsia="Times New Roman" w:hint="default"/>
                <w:sz w:val="18"/>
                <w:szCs w:val="18"/>
              </w:rPr>
              <w:t>/</w:t>
            </w:r>
            <w:r>
              <w:rPr>
                <w:rFonts w:ascii="宋体" w:hAnsi="宋体" w:cs="宋体" w:eastAsia="宋体" w:hint="default"/>
                <w:sz w:val="18"/>
                <w:szCs w:val="18"/>
              </w:rPr>
              <w:t>日 元汇 率中 间价， 取值 四舍 五入 至小 数点</w:t>
            </w:r>
          </w:p>
          <w:p>
            <w:pPr>
              <w:pStyle w:val="TableParagraph"/>
              <w:spacing w:line="314" w:lineRule="auto" w:before="20"/>
              <w:ind w:left="23" w:right="23"/>
              <w:jc w:val="left"/>
              <w:rPr>
                <w:rFonts w:ascii="宋体" w:hAnsi="宋体" w:cs="宋体" w:eastAsia="宋体" w:hint="default"/>
                <w:sz w:val="18"/>
                <w:szCs w:val="18"/>
              </w:rPr>
            </w:pPr>
            <w:r>
              <w:rPr>
                <w:rFonts w:ascii="宋体" w:hAnsi="宋体" w:cs="宋体" w:eastAsia="宋体" w:hint="default"/>
                <w:sz w:val="18"/>
                <w:szCs w:val="18"/>
              </w:rPr>
              <w:t>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pacing w:val="-12"/>
                <w:sz w:val="18"/>
                <w:szCs w:val="18"/>
              </w:rPr>
              <w:t>位，表</w:t>
            </w:r>
            <w:r>
              <w:rPr>
                <w:rFonts w:ascii="宋体" w:hAnsi="宋体" w:cs="宋体" w:eastAsia="宋体" w:hint="default"/>
                <w:sz w:val="18"/>
                <w:szCs w:val="18"/>
              </w:rPr>
              <w:t> 示为 一美 元可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3.40%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63.34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63.34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314" w:lineRule="auto"/>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7"/>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20"/>
                <w:sz w:val="18"/>
                <w:szCs w:val="18"/>
              </w:rPr>
              <w:t>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海证 券报、 证券 时报、 证券 日报 及巨 潮资 讯网 上的 关于 使用 部分 闲置 募集 资金 进行 结构 性存 款的 进展 公告</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（公</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60"/>
        <w:gridCol w:w="562"/>
        <w:gridCol w:w="562"/>
        <w:gridCol w:w="562"/>
        <w:gridCol w:w="548"/>
        <w:gridCol w:w="547"/>
        <w:gridCol w:w="547"/>
        <w:gridCol w:w="538"/>
      </w:tblGrid>
      <w:tr>
        <w:trPr>
          <w:trHeight w:val="11284"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23"/>
              <w:jc w:val="left"/>
              <w:rPr>
                <w:rFonts w:ascii="宋体" w:hAnsi="宋体" w:cs="宋体" w:eastAsia="宋体" w:hint="default"/>
                <w:sz w:val="18"/>
                <w:szCs w:val="18"/>
              </w:rPr>
            </w:pPr>
            <w:r>
              <w:rPr>
                <w:rFonts w:ascii="宋体" w:hAnsi="宋体" w:cs="宋体" w:eastAsia="宋体" w:hint="default"/>
                <w:sz w:val="18"/>
                <w:szCs w:val="18"/>
              </w:rPr>
              <w:t>兑换 的的 日元 </w:t>
            </w:r>
            <w:r>
              <w:rPr>
                <w:rFonts w:ascii="宋体" w:hAnsi="宋体" w:cs="宋体" w:eastAsia="宋体" w:hint="default"/>
                <w:spacing w:val="-12"/>
                <w:sz w:val="18"/>
                <w:szCs w:val="18"/>
              </w:rPr>
              <w:t>数，如</w:t>
            </w:r>
            <w:r>
              <w:rPr>
                <w:rFonts w:ascii="宋体" w:hAnsi="宋体" w:cs="宋体" w:eastAsia="宋体" w:hint="default"/>
                <w:sz w:val="18"/>
                <w:szCs w:val="18"/>
              </w:rPr>
              <w:t> 果某 日彭 博</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“BFIX</w:t>
            </w:r>
          </w:p>
          <w:p>
            <w:pPr>
              <w:pStyle w:val="TableParagraph"/>
              <w:spacing w:line="316" w:lineRule="auto" w:before="63"/>
              <w:ind w:left="23"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页面 上没 有显 示相 关数 </w:t>
            </w:r>
            <w:r>
              <w:rPr>
                <w:rFonts w:ascii="宋体" w:hAnsi="宋体" w:cs="宋体" w:eastAsia="宋体" w:hint="default"/>
                <w:spacing w:val="-12"/>
                <w:sz w:val="18"/>
                <w:szCs w:val="18"/>
              </w:rPr>
              <w:t>据，则</w:t>
            </w:r>
            <w:r>
              <w:rPr>
                <w:rFonts w:ascii="宋体" w:hAnsi="宋体" w:cs="宋体" w:eastAsia="宋体" w:hint="default"/>
                <w:sz w:val="18"/>
                <w:szCs w:val="18"/>
              </w:rPr>
              <w:t> 该日 指标 采用 此日 期前 最近 一个 可获 得的 东京 时间 下午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点彭 博</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“BFIX</w:t>
            </w:r>
          </w:p>
          <w:p>
            <w:pPr>
              <w:pStyle w:val="TableParagraph"/>
              <w:spacing w:line="312" w:lineRule="auto" w:before="63"/>
              <w:ind w:left="23" w:right="-13"/>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页面 显示 的美 元</w:t>
            </w:r>
            <w:r>
              <w:rPr>
                <w:rFonts w:ascii="Times New Roman" w:hAnsi="Times New Roman" w:cs="Times New Roman" w:eastAsia="Times New Roman" w:hint="default"/>
                <w:sz w:val="18"/>
                <w:szCs w:val="18"/>
              </w:rPr>
              <w:t>/</w:t>
            </w:r>
            <w:r>
              <w:rPr>
                <w:rFonts w:ascii="宋体" w:hAnsi="宋体" w:cs="宋体" w:eastAsia="宋体" w:hint="default"/>
                <w:sz w:val="18"/>
                <w:szCs w:val="18"/>
              </w:rPr>
              <w:t>日 元汇 率中 间价。</w:t>
            </w: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8"/>
              <w:ind w:left="23" w:right="79"/>
              <w:jc w:val="both"/>
              <w:rPr>
                <w:rFonts w:ascii="Times New Roman" w:hAnsi="Times New Roman" w:cs="Times New Roman" w:eastAsia="Times New Roman" w:hint="default"/>
                <w:sz w:val="18"/>
                <w:szCs w:val="18"/>
              </w:rPr>
            </w:pPr>
            <w:r>
              <w:rPr>
                <w:rFonts w:ascii="宋体" w:hAnsi="宋体" w:cs="宋体" w:eastAsia="宋体" w:hint="default"/>
                <w:sz w:val="18"/>
                <w:szCs w:val="18"/>
              </w:rPr>
              <w:t>告编 号： </w:t>
            </w:r>
            <w:r>
              <w:rPr>
                <w:rFonts w:ascii="Times New Roman" w:hAnsi="Times New Roman" w:cs="Times New Roman" w:eastAsia="Times New Roman" w:hint="default"/>
                <w:sz w:val="18"/>
                <w:szCs w:val="18"/>
              </w:rPr>
              <w:t>2019-</w:t>
            </w:r>
          </w:p>
          <w:p>
            <w:pPr>
              <w:pStyle w:val="TableParagraph"/>
              <w:spacing w:line="230"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w:t>
            </w:r>
          </w:p>
        </w:tc>
      </w:tr>
      <w:tr>
        <w:trPr>
          <w:trHeight w:val="2546"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16" w:lineRule="auto"/>
              <w:ind w:left="24" w:right="176"/>
              <w:jc w:val="both"/>
              <w:rPr>
                <w:rFonts w:ascii="宋体" w:hAnsi="宋体" w:cs="宋体" w:eastAsia="宋体" w:hint="default"/>
                <w:sz w:val="18"/>
                <w:szCs w:val="18"/>
              </w:rPr>
            </w:pPr>
            <w:r>
              <w:rPr>
                <w:rFonts w:ascii="宋体" w:hAnsi="宋体" w:cs="宋体" w:eastAsia="宋体" w:hint="default"/>
                <w:sz w:val="18"/>
                <w:szCs w:val="18"/>
              </w:rPr>
              <w:t>交通 银行 即墨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314" w:lineRule="auto"/>
              <w:ind w:left="23" w:right="31"/>
              <w:jc w:val="left"/>
              <w:rPr>
                <w:rFonts w:ascii="宋体" w:hAnsi="宋体" w:cs="宋体" w:eastAsia="宋体" w:hint="default"/>
                <w:sz w:val="18"/>
                <w:szCs w:val="18"/>
              </w:rPr>
            </w:pPr>
            <w:r>
              <w:rPr>
                <w:rFonts w:ascii="宋体" w:hAnsi="宋体" w:cs="宋体" w:eastAsia="宋体" w:hint="default"/>
                <w:sz w:val="18"/>
                <w:szCs w:val="18"/>
              </w:rPr>
              <w:t>价格结 构型</w:t>
            </w:r>
          </w:p>
          <w:p>
            <w:pPr>
              <w:pStyle w:val="TableParagraph"/>
              <w:spacing w:line="316" w:lineRule="auto" w:before="20"/>
              <w:ind w:left="23" w:right="31"/>
              <w:jc w:val="left"/>
              <w:rPr>
                <w:rFonts w:ascii="宋体" w:hAnsi="宋体" w:cs="宋体" w:eastAsia="宋体" w:hint="default"/>
                <w:sz w:val="18"/>
                <w:szCs w:val="18"/>
              </w:rPr>
            </w:pPr>
            <w:r>
              <w:rPr>
                <w:rFonts w:ascii="宋体" w:hAnsi="宋体" w:cs="宋体" w:eastAsia="宋体" w:hint="default"/>
                <w:sz w:val="18"/>
                <w:szCs w:val="18"/>
              </w:rPr>
              <w:t>（结构 性存 款）</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left="47" w:right="0"/>
              <w:jc w:val="left"/>
              <w:rPr>
                <w:rFonts w:ascii="Times New Roman" w:hAnsi="Times New Roman" w:cs="Times New Roman" w:eastAsia="Times New Roman" w:hint="default"/>
                <w:sz w:val="18"/>
                <w:szCs w:val="18"/>
              </w:rPr>
            </w:pPr>
            <w:r>
              <w:rPr>
                <w:rFonts w:ascii="Times New Roman"/>
                <w:sz w:val="18"/>
              </w:rPr>
              <w:t>10,000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38"/>
              <w:ind w:left="24" w:right="166"/>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三个 月期 限的 上海 银行 间同 业拆</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left="62" w:right="0"/>
              <w:jc w:val="left"/>
              <w:rPr>
                <w:rFonts w:ascii="Times New Roman" w:hAnsi="Times New Roman" w:cs="Times New Roman" w:eastAsia="Times New Roman" w:hint="default"/>
                <w:sz w:val="18"/>
                <w:szCs w:val="18"/>
              </w:rPr>
            </w:pPr>
            <w:r>
              <w:rPr>
                <w:rFonts w:ascii="Times New Roman"/>
                <w:sz w:val="18"/>
              </w:rPr>
              <w:t>3.25%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left="122" w:right="0"/>
              <w:jc w:val="left"/>
              <w:rPr>
                <w:rFonts w:ascii="Times New Roman" w:hAnsi="Times New Roman" w:cs="Times New Roman" w:eastAsia="Times New Roman" w:hint="default"/>
                <w:sz w:val="18"/>
                <w:szCs w:val="18"/>
              </w:rPr>
            </w:pPr>
            <w:r>
              <w:rPr>
                <w:rFonts w:ascii="Times New Roman"/>
                <w:sz w:val="18"/>
              </w:rPr>
              <w:t>70.34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left="122" w:right="0"/>
              <w:jc w:val="left"/>
              <w:rPr>
                <w:rFonts w:ascii="Times New Roman" w:hAnsi="Times New Roman" w:cs="Times New Roman" w:eastAsia="Times New Roman" w:hint="default"/>
                <w:sz w:val="18"/>
                <w:szCs w:val="18"/>
              </w:rPr>
            </w:pPr>
            <w:r>
              <w:rPr>
                <w:rFonts w:ascii="Times New Roman"/>
                <w:sz w:val="18"/>
              </w:rPr>
              <w:t>70.34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38"/>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7"/>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20"/>
                <w:sz w:val="18"/>
                <w:szCs w:val="18"/>
              </w:rPr>
              <w:t>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海证 券报、 证券 时报、 证券</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60"/>
        <w:gridCol w:w="562"/>
        <w:gridCol w:w="562"/>
        <w:gridCol w:w="562"/>
        <w:gridCol w:w="548"/>
        <w:gridCol w:w="547"/>
        <w:gridCol w:w="547"/>
        <w:gridCol w:w="538"/>
      </w:tblGrid>
      <w:tr>
        <w:trPr>
          <w:trHeight w:val="6603"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43"/>
              <w:jc w:val="both"/>
              <w:rPr>
                <w:rFonts w:ascii="宋体" w:hAnsi="宋体" w:cs="宋体" w:eastAsia="宋体" w:hint="default"/>
                <w:sz w:val="18"/>
                <w:szCs w:val="18"/>
              </w:rPr>
            </w:pPr>
            <w:r>
              <w:rPr>
                <w:rFonts w:ascii="宋体" w:hAnsi="宋体" w:cs="宋体" w:eastAsia="宋体" w:hint="default"/>
                <w:sz w:val="18"/>
                <w:szCs w:val="18"/>
              </w:rPr>
              <w:t>日报 及巨 潮资 讯网 上的 关于 使用 部分 闲置 资金 进行 结构 性存 款的 进展 公告</w:t>
            </w:r>
          </w:p>
          <w:p>
            <w:pPr>
              <w:pStyle w:val="TableParagraph"/>
              <w:spacing w:line="316" w:lineRule="auto" w:before="19"/>
              <w:ind w:left="23" w:right="79"/>
              <w:jc w:val="both"/>
              <w:rPr>
                <w:rFonts w:ascii="宋体" w:hAnsi="宋体" w:cs="宋体" w:eastAsia="宋体" w:hint="default"/>
                <w:sz w:val="18"/>
                <w:szCs w:val="18"/>
              </w:rPr>
            </w:pPr>
            <w:r>
              <w:rPr>
                <w:rFonts w:ascii="宋体" w:hAnsi="宋体" w:cs="宋体" w:eastAsia="宋体" w:hint="default"/>
                <w:sz w:val="18"/>
                <w:szCs w:val="18"/>
              </w:rPr>
              <w:t>（公 告编 号：</w:t>
            </w:r>
          </w:p>
          <w:p>
            <w:pPr>
              <w:pStyle w:val="TableParagraph"/>
              <w:spacing w:line="240" w:lineRule="auto" w:before="61"/>
              <w:ind w:left="23" w:right="0"/>
              <w:jc w:val="both"/>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106</w:t>
            </w:r>
            <w:r>
              <w:rPr>
                <w:rFonts w:ascii="宋体" w:hAnsi="宋体" w:cs="宋体" w:eastAsia="宋体" w:hint="default"/>
                <w:sz w:val="18"/>
                <w:szCs w:val="18"/>
              </w:rPr>
              <w:t>）</w:t>
            </w:r>
          </w:p>
        </w:tc>
      </w:tr>
      <w:tr>
        <w:trPr>
          <w:trHeight w:val="7227"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6" w:lineRule="auto"/>
              <w:ind w:left="24" w:right="176"/>
              <w:jc w:val="both"/>
              <w:rPr>
                <w:rFonts w:ascii="宋体" w:hAnsi="宋体" w:cs="宋体" w:eastAsia="宋体" w:hint="default"/>
                <w:sz w:val="18"/>
                <w:szCs w:val="18"/>
              </w:rPr>
            </w:pPr>
            <w:r>
              <w:rPr>
                <w:rFonts w:ascii="宋体" w:hAnsi="宋体" w:cs="宋体" w:eastAsia="宋体" w:hint="default"/>
                <w:sz w:val="18"/>
                <w:szCs w:val="18"/>
              </w:rPr>
              <w:t>民生 银行 即墨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47"/>
              <w:ind w:left="23" w:right="31"/>
              <w:jc w:val="left"/>
              <w:rPr>
                <w:rFonts w:ascii="Times New Roman" w:hAnsi="Times New Roman" w:cs="Times New Roman" w:eastAsia="Times New Roman" w:hint="default"/>
                <w:sz w:val="18"/>
                <w:szCs w:val="18"/>
              </w:rPr>
            </w:pPr>
            <w:r>
              <w:rPr>
                <w:rFonts w:ascii="宋体" w:hAnsi="宋体" w:cs="宋体" w:eastAsia="宋体" w:hint="default"/>
                <w:sz w:val="18"/>
                <w:szCs w:val="18"/>
              </w:rPr>
              <w:t>保本保 证收益 型</w:t>
            </w:r>
            <w:r>
              <w:rPr>
                <w:rFonts w:ascii="Times New Roman" w:hAnsi="Times New Roman" w:cs="Times New Roman" w:eastAsia="Times New Roman" w:hint="default"/>
                <w:sz w:val="18"/>
                <w:szCs w:val="18"/>
              </w:rPr>
              <w:t>(</w:t>
            </w:r>
            <w:r>
              <w:rPr>
                <w:rFonts w:ascii="宋体" w:hAnsi="宋体" w:cs="宋体" w:eastAsia="宋体" w:hint="default"/>
                <w:sz w:val="18"/>
                <w:szCs w:val="18"/>
              </w:rPr>
              <w:t>结 构性存 款</w:t>
            </w:r>
            <w:r>
              <w:rPr>
                <w:rFonts w:ascii="Times New Roman" w:hAnsi="Times New Roman" w:cs="Times New Roman" w:eastAsia="Times New Roman" w:hint="default"/>
                <w:sz w:val="18"/>
                <w:szCs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314" w:lineRule="auto"/>
              <w:ind w:left="24" w:right="166"/>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360" w:lineRule="auto"/>
              <w:ind w:left="23" w:right="77"/>
              <w:jc w:val="left"/>
              <w:rPr>
                <w:rFonts w:ascii="Times New Roman" w:hAnsi="Times New Roman" w:cs="Times New Roman" w:eastAsia="Times New Roman" w:hint="default"/>
                <w:sz w:val="18"/>
                <w:szCs w:val="18"/>
              </w:rPr>
            </w:pPr>
            <w:r>
              <w:rPr>
                <w:rFonts w:ascii="Times New Roman"/>
                <w:sz w:val="18"/>
              </w:rPr>
              <w:t>USD3</w:t>
            </w:r>
            <w:r>
              <w:rPr>
                <w:rFonts w:ascii="Times New Roman"/>
                <w:w w:val="99"/>
                <w:sz w:val="18"/>
              </w:rPr>
              <w:t> </w:t>
            </w:r>
            <w:r>
              <w:rPr>
                <w:rFonts w:ascii="Times New Roman"/>
                <w:sz w:val="18"/>
              </w:rPr>
              <w:t>M-LI</w:t>
            </w:r>
            <w:r>
              <w:rPr>
                <w:rFonts w:ascii="Times New Roman"/>
                <w:spacing w:val="-2"/>
                <w:w w:val="99"/>
                <w:sz w:val="18"/>
              </w:rPr>
              <w:t> </w:t>
            </w:r>
            <w:r>
              <w:rPr>
                <w:rFonts w:ascii="Times New Roman"/>
                <w:sz w:val="18"/>
              </w:rPr>
              <w:t>BOR</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3.50%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38.36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38.36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314" w:lineRule="auto"/>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7"/>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20"/>
                <w:sz w:val="18"/>
                <w:szCs w:val="18"/>
              </w:rPr>
              <w:t>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海证 券报、 证券 时报、 证券 日报 及巨 潮资 讯网 上的 关于 使用 部分 闲置 资金 进行 结构 性存 款的 进展</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60"/>
        <w:gridCol w:w="562"/>
        <w:gridCol w:w="562"/>
        <w:gridCol w:w="562"/>
        <w:gridCol w:w="548"/>
        <w:gridCol w:w="547"/>
        <w:gridCol w:w="547"/>
        <w:gridCol w:w="538"/>
      </w:tblGrid>
      <w:tr>
        <w:trPr>
          <w:trHeight w:val="1923"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both"/>
              <w:rPr>
                <w:rFonts w:ascii="宋体" w:hAnsi="宋体" w:cs="宋体" w:eastAsia="宋体" w:hint="default"/>
                <w:sz w:val="18"/>
                <w:szCs w:val="18"/>
              </w:rPr>
            </w:pPr>
            <w:r>
              <w:rPr>
                <w:rFonts w:ascii="宋体" w:hAnsi="宋体" w:cs="宋体" w:eastAsia="宋体" w:hint="default"/>
                <w:sz w:val="18"/>
                <w:szCs w:val="18"/>
              </w:rPr>
              <w:t>公告</w:t>
            </w:r>
          </w:p>
          <w:p>
            <w:pPr>
              <w:pStyle w:val="TableParagraph"/>
              <w:spacing w:line="312" w:lineRule="exact" w:before="37"/>
              <w:ind w:left="23" w:right="79"/>
              <w:jc w:val="both"/>
              <w:rPr>
                <w:rFonts w:ascii="Times New Roman" w:hAnsi="Times New Roman" w:cs="Times New Roman" w:eastAsia="Times New Roman" w:hint="default"/>
                <w:sz w:val="18"/>
                <w:szCs w:val="18"/>
              </w:rPr>
            </w:pPr>
            <w:r>
              <w:rPr>
                <w:rFonts w:ascii="宋体" w:hAnsi="宋体" w:cs="宋体" w:eastAsia="宋体" w:hint="default"/>
                <w:sz w:val="18"/>
                <w:szCs w:val="18"/>
              </w:rPr>
              <w:t>（公 告编 号： </w:t>
            </w:r>
            <w:r>
              <w:rPr>
                <w:rFonts w:ascii="Times New Roman" w:hAnsi="Times New Roman" w:cs="Times New Roman" w:eastAsia="Times New Roman" w:hint="default"/>
                <w:sz w:val="18"/>
                <w:szCs w:val="18"/>
              </w:rPr>
              <w:t>2019-</w:t>
            </w:r>
          </w:p>
          <w:p>
            <w:pPr>
              <w:pStyle w:val="TableParagraph"/>
              <w:spacing w:line="240" w:lineRule="auto" w:before="39"/>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106</w:t>
            </w:r>
            <w:r>
              <w:rPr>
                <w:rFonts w:ascii="宋体" w:hAnsi="宋体" w:cs="宋体" w:eastAsia="宋体" w:hint="default"/>
                <w:sz w:val="18"/>
                <w:szCs w:val="18"/>
              </w:rPr>
              <w:t>）</w:t>
            </w:r>
          </w:p>
        </w:tc>
      </w:tr>
      <w:tr>
        <w:trPr>
          <w:trHeight w:val="9450"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24" w:right="176"/>
              <w:jc w:val="both"/>
              <w:rPr>
                <w:rFonts w:ascii="宋体" w:hAnsi="宋体" w:cs="宋体" w:eastAsia="宋体" w:hint="default"/>
                <w:sz w:val="18"/>
                <w:szCs w:val="18"/>
              </w:rPr>
            </w:pPr>
            <w:r>
              <w:rPr>
                <w:rFonts w:ascii="宋体" w:hAnsi="宋体" w:cs="宋体" w:eastAsia="宋体" w:hint="default"/>
                <w:sz w:val="18"/>
                <w:szCs w:val="18"/>
              </w:rPr>
              <w:t>兴业 银行 青岛 即墨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23" w:right="31"/>
              <w:jc w:val="both"/>
              <w:rPr>
                <w:rFonts w:ascii="宋体" w:hAnsi="宋体" w:cs="宋体" w:eastAsia="宋体" w:hint="default"/>
                <w:sz w:val="18"/>
                <w:szCs w:val="18"/>
              </w:rPr>
            </w:pPr>
            <w:r>
              <w:rPr>
                <w:rFonts w:ascii="宋体" w:hAnsi="宋体" w:cs="宋体" w:eastAsia="宋体" w:hint="default"/>
                <w:sz w:val="18"/>
                <w:szCs w:val="18"/>
              </w:rPr>
              <w:t>保本浮 动收益 型（结 构性存 款）</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2,900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316" w:lineRule="auto"/>
              <w:ind w:left="24" w:right="166"/>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上海 黄金 交易 所之 上海 金上 午基 准价</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2"/>
              <w:ind w:left="23"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3.41%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7"/>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20"/>
                <w:sz w:val="18"/>
                <w:szCs w:val="18"/>
              </w:rPr>
              <w:t>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海证 券报、 证券 时报、 证券 日报 及巨 潮资 讯网 上的 关于 使用 部分 闲置 募集 资金 进行 结构 性存 款的 进展 公告</w:t>
            </w:r>
          </w:p>
          <w:p>
            <w:pPr>
              <w:pStyle w:val="TableParagraph"/>
              <w:spacing w:line="316" w:lineRule="auto" w:before="19"/>
              <w:ind w:left="23" w:right="79"/>
              <w:jc w:val="both"/>
              <w:rPr>
                <w:rFonts w:ascii="宋体" w:hAnsi="宋体" w:cs="宋体" w:eastAsia="宋体" w:hint="default"/>
                <w:sz w:val="18"/>
                <w:szCs w:val="18"/>
              </w:rPr>
            </w:pPr>
            <w:r>
              <w:rPr>
                <w:rFonts w:ascii="宋体" w:hAnsi="宋体" w:cs="宋体" w:eastAsia="宋体" w:hint="default"/>
                <w:sz w:val="18"/>
                <w:szCs w:val="18"/>
              </w:rPr>
              <w:t>（公 告编 号：</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107</w:t>
            </w:r>
            <w:r>
              <w:rPr>
                <w:rFonts w:ascii="宋体" w:hAnsi="宋体" w:cs="宋体" w:eastAsia="宋体" w:hint="default"/>
                <w:sz w:val="18"/>
                <w:szCs w:val="18"/>
              </w:rPr>
              <w:t>）</w:t>
            </w:r>
          </w:p>
        </w:tc>
      </w:tr>
      <w:tr>
        <w:trPr>
          <w:trHeight w:val="2546"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316" w:lineRule="auto"/>
              <w:ind w:left="24" w:right="176"/>
              <w:jc w:val="both"/>
              <w:rPr>
                <w:rFonts w:ascii="宋体" w:hAnsi="宋体" w:cs="宋体" w:eastAsia="宋体" w:hint="default"/>
                <w:sz w:val="18"/>
                <w:szCs w:val="18"/>
              </w:rPr>
            </w:pPr>
            <w:r>
              <w:rPr>
                <w:rFonts w:ascii="宋体" w:hAnsi="宋体" w:cs="宋体" w:eastAsia="宋体" w:hint="default"/>
                <w:sz w:val="18"/>
                <w:szCs w:val="18"/>
              </w:rPr>
              <w:t>兴业 银行 青岛 即墨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316" w:lineRule="auto"/>
              <w:ind w:left="23" w:right="31"/>
              <w:jc w:val="both"/>
              <w:rPr>
                <w:rFonts w:ascii="宋体" w:hAnsi="宋体" w:cs="宋体" w:eastAsia="宋体" w:hint="default"/>
                <w:sz w:val="18"/>
                <w:szCs w:val="18"/>
              </w:rPr>
            </w:pPr>
            <w:r>
              <w:rPr>
                <w:rFonts w:ascii="宋体" w:hAnsi="宋体" w:cs="宋体" w:eastAsia="宋体" w:hint="default"/>
                <w:sz w:val="18"/>
                <w:szCs w:val="18"/>
              </w:rPr>
              <w:t>保本浮 动收益 型（结 构性存 款）</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right="18"/>
              <w:jc w:val="right"/>
              <w:rPr>
                <w:rFonts w:ascii="Times New Roman" w:hAnsi="Times New Roman" w:cs="Times New Roman" w:eastAsia="Times New Roman" w:hint="default"/>
                <w:sz w:val="18"/>
                <w:szCs w:val="18"/>
              </w:rPr>
            </w:pPr>
            <w:r>
              <w:rPr>
                <w:rFonts w:ascii="Times New Roman"/>
                <w:sz w:val="18"/>
              </w:rPr>
              <w:t>2,900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8"/>
              <w:ind w:left="24" w:right="166"/>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上海 黄金 交易 所之 上海 金上 午基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left="62" w:right="0"/>
              <w:jc w:val="left"/>
              <w:rPr>
                <w:rFonts w:ascii="Times New Roman" w:hAnsi="Times New Roman" w:cs="Times New Roman" w:eastAsia="Times New Roman" w:hint="default"/>
                <w:sz w:val="18"/>
                <w:szCs w:val="18"/>
              </w:rPr>
            </w:pPr>
            <w:r>
              <w:rPr>
                <w:rFonts w:ascii="Times New Roman"/>
                <w:sz w:val="18"/>
              </w:rPr>
              <w:t>3.41%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2"/>
                <w:sz w:val="18"/>
              </w:rPr>
              <w:t>11.38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2"/>
                <w:sz w:val="18"/>
              </w:rPr>
              <w:t>11.38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8"/>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7"/>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20"/>
                <w:sz w:val="18"/>
                <w:szCs w:val="18"/>
              </w:rPr>
              <w:t>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海证 券报、 证券 时报、 证券</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60"/>
        <w:gridCol w:w="562"/>
        <w:gridCol w:w="562"/>
        <w:gridCol w:w="562"/>
        <w:gridCol w:w="548"/>
        <w:gridCol w:w="547"/>
        <w:gridCol w:w="547"/>
        <w:gridCol w:w="538"/>
      </w:tblGrid>
      <w:tr>
        <w:trPr>
          <w:trHeight w:val="6915"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43"/>
              <w:jc w:val="both"/>
              <w:rPr>
                <w:rFonts w:ascii="宋体" w:hAnsi="宋体" w:cs="宋体" w:eastAsia="宋体" w:hint="default"/>
                <w:sz w:val="18"/>
                <w:szCs w:val="18"/>
              </w:rPr>
            </w:pPr>
            <w:r>
              <w:rPr>
                <w:rFonts w:ascii="宋体" w:hAnsi="宋体" w:cs="宋体" w:eastAsia="宋体" w:hint="default"/>
                <w:sz w:val="18"/>
                <w:szCs w:val="18"/>
              </w:rPr>
              <w:t>日报 及巨 潮资 讯网 上的 关于 使用 部分 闲置 募集 资金 进行 结构 性存 款的 进展 公告</w:t>
            </w:r>
          </w:p>
          <w:p>
            <w:pPr>
              <w:pStyle w:val="TableParagraph"/>
              <w:spacing w:line="316" w:lineRule="auto" w:before="19"/>
              <w:ind w:left="23" w:right="79"/>
              <w:jc w:val="both"/>
              <w:rPr>
                <w:rFonts w:ascii="宋体" w:hAnsi="宋体" w:cs="宋体" w:eastAsia="宋体" w:hint="default"/>
                <w:sz w:val="18"/>
                <w:szCs w:val="18"/>
              </w:rPr>
            </w:pPr>
            <w:r>
              <w:rPr>
                <w:rFonts w:ascii="宋体" w:hAnsi="宋体" w:cs="宋体" w:eastAsia="宋体" w:hint="default"/>
                <w:sz w:val="18"/>
                <w:szCs w:val="18"/>
              </w:rPr>
              <w:t>（公 告编 号：</w:t>
            </w:r>
          </w:p>
          <w:p>
            <w:pPr>
              <w:pStyle w:val="TableParagraph"/>
              <w:spacing w:line="240" w:lineRule="auto" w:before="61"/>
              <w:ind w:left="23" w:right="0"/>
              <w:jc w:val="both"/>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129</w:t>
            </w:r>
            <w:r>
              <w:rPr>
                <w:rFonts w:ascii="宋体" w:hAnsi="宋体" w:cs="宋体" w:eastAsia="宋体" w:hint="default"/>
                <w:sz w:val="18"/>
                <w:szCs w:val="18"/>
              </w:rPr>
              <w:t>）</w:t>
            </w:r>
          </w:p>
        </w:tc>
      </w:tr>
      <w:tr>
        <w:trPr>
          <w:trHeight w:val="6915"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7"/>
              <w:ind w:left="24" w:right="176"/>
              <w:jc w:val="both"/>
              <w:rPr>
                <w:rFonts w:ascii="宋体" w:hAnsi="宋体" w:cs="宋体" w:eastAsia="宋体" w:hint="default"/>
                <w:sz w:val="18"/>
                <w:szCs w:val="18"/>
              </w:rPr>
            </w:pPr>
            <w:r>
              <w:rPr>
                <w:rFonts w:ascii="宋体" w:hAnsi="宋体" w:cs="宋体" w:eastAsia="宋体" w:hint="default"/>
                <w:sz w:val="18"/>
                <w:szCs w:val="18"/>
              </w:rPr>
              <w:t>工商 银行 即墨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316" w:lineRule="auto"/>
              <w:ind w:left="23" w:right="31"/>
              <w:jc w:val="both"/>
              <w:rPr>
                <w:rFonts w:ascii="宋体" w:hAnsi="宋体" w:cs="宋体" w:eastAsia="宋体" w:hint="default"/>
                <w:sz w:val="18"/>
                <w:szCs w:val="18"/>
              </w:rPr>
            </w:pPr>
            <w:r>
              <w:rPr>
                <w:rFonts w:ascii="宋体" w:hAnsi="宋体" w:cs="宋体" w:eastAsia="宋体" w:hint="default"/>
                <w:sz w:val="18"/>
                <w:szCs w:val="18"/>
              </w:rPr>
              <w:t>保本浮 动收益 型（结 构性存 款）</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4" w:lineRule="auto"/>
              <w:ind w:left="24" w:right="166"/>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38"/>
              <w:ind w:left="23" w:right="163"/>
              <w:jc w:val="both"/>
              <w:rPr>
                <w:rFonts w:ascii="宋体" w:hAnsi="宋体" w:cs="宋体" w:eastAsia="宋体" w:hint="default"/>
                <w:sz w:val="18"/>
                <w:szCs w:val="18"/>
              </w:rPr>
            </w:pPr>
            <w:r>
              <w:rPr>
                <w:rFonts w:ascii="宋体" w:hAnsi="宋体" w:cs="宋体" w:eastAsia="宋体" w:hint="default"/>
                <w:sz w:val="18"/>
                <w:szCs w:val="18"/>
              </w:rPr>
              <w:t>观察 期内 每日 东京 时间 下午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点 彭博</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“BFIX</w:t>
            </w:r>
          </w:p>
          <w:p>
            <w:pPr>
              <w:pStyle w:val="TableParagraph"/>
              <w:spacing w:line="312" w:lineRule="auto" w:before="63"/>
              <w:ind w:left="23" w:right="86"/>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页面 显示 的美 元</w:t>
            </w:r>
            <w:r>
              <w:rPr>
                <w:rFonts w:ascii="Times New Roman" w:hAnsi="Times New Roman" w:cs="Times New Roman" w:eastAsia="Times New Roman" w:hint="default"/>
                <w:sz w:val="18"/>
                <w:szCs w:val="18"/>
              </w:rPr>
              <w:t>/</w:t>
            </w:r>
            <w:r>
              <w:rPr>
                <w:rFonts w:ascii="宋体" w:hAnsi="宋体" w:cs="宋体" w:eastAsia="宋体" w:hint="default"/>
                <w:sz w:val="18"/>
                <w:szCs w:val="18"/>
              </w:rPr>
              <w:t>日 元汇 率中 间价</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3.40%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38.19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38.19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4" w:lineRule="auto"/>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7"/>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20"/>
                <w:sz w:val="18"/>
                <w:szCs w:val="18"/>
              </w:rPr>
              <w:t>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海证 券报、 证券 时报、 证券 日报 及巨 潮资 讯网 上的 关于 使用 部分 闲置 募集 资金 进行 结构 性存</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60"/>
        <w:gridCol w:w="562"/>
        <w:gridCol w:w="562"/>
        <w:gridCol w:w="562"/>
        <w:gridCol w:w="548"/>
        <w:gridCol w:w="547"/>
        <w:gridCol w:w="547"/>
        <w:gridCol w:w="538"/>
      </w:tblGrid>
      <w:tr>
        <w:trPr>
          <w:trHeight w:val="2547"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43"/>
              <w:jc w:val="both"/>
              <w:rPr>
                <w:rFonts w:ascii="宋体" w:hAnsi="宋体" w:cs="宋体" w:eastAsia="宋体" w:hint="default"/>
                <w:sz w:val="18"/>
                <w:szCs w:val="18"/>
              </w:rPr>
            </w:pPr>
            <w:r>
              <w:rPr>
                <w:rFonts w:ascii="宋体" w:hAnsi="宋体" w:cs="宋体" w:eastAsia="宋体" w:hint="default"/>
                <w:sz w:val="18"/>
                <w:szCs w:val="18"/>
              </w:rPr>
              <w:t>款的 进展 公告</w:t>
            </w:r>
          </w:p>
          <w:p>
            <w:pPr>
              <w:pStyle w:val="TableParagraph"/>
              <w:spacing w:line="316" w:lineRule="auto" w:before="17"/>
              <w:ind w:left="23" w:right="79"/>
              <w:jc w:val="both"/>
              <w:rPr>
                <w:rFonts w:ascii="宋体" w:hAnsi="宋体" w:cs="宋体" w:eastAsia="宋体" w:hint="default"/>
                <w:sz w:val="18"/>
                <w:szCs w:val="18"/>
              </w:rPr>
            </w:pPr>
            <w:r>
              <w:rPr>
                <w:rFonts w:ascii="宋体" w:hAnsi="宋体" w:cs="宋体" w:eastAsia="宋体" w:hint="default"/>
                <w:sz w:val="18"/>
                <w:szCs w:val="18"/>
              </w:rPr>
              <w:t>（公 告编 号：</w:t>
            </w:r>
          </w:p>
          <w:p>
            <w:pPr>
              <w:pStyle w:val="TableParagraph"/>
              <w:spacing w:line="240" w:lineRule="auto" w:before="61"/>
              <w:ind w:left="23" w:right="0"/>
              <w:jc w:val="both"/>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129</w:t>
            </w:r>
            <w:r>
              <w:rPr>
                <w:rFonts w:ascii="宋体" w:hAnsi="宋体" w:cs="宋体" w:eastAsia="宋体" w:hint="default"/>
                <w:sz w:val="18"/>
                <w:szCs w:val="18"/>
              </w:rPr>
              <w:t>）</w:t>
            </w:r>
          </w:p>
        </w:tc>
      </w:tr>
      <w:tr>
        <w:trPr>
          <w:trHeight w:val="9450"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319" w:lineRule="auto"/>
              <w:ind w:left="24" w:right="176"/>
              <w:jc w:val="both"/>
              <w:rPr>
                <w:rFonts w:ascii="宋体" w:hAnsi="宋体" w:cs="宋体" w:eastAsia="宋体" w:hint="default"/>
                <w:sz w:val="18"/>
                <w:szCs w:val="18"/>
              </w:rPr>
            </w:pPr>
            <w:r>
              <w:rPr>
                <w:rFonts w:ascii="宋体" w:hAnsi="宋体" w:cs="宋体" w:eastAsia="宋体" w:hint="default"/>
                <w:sz w:val="18"/>
                <w:szCs w:val="18"/>
              </w:rPr>
              <w:t>民生 银行 即墨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9" w:lineRule="auto"/>
              <w:ind w:left="23" w:right="31"/>
              <w:jc w:val="both"/>
              <w:rPr>
                <w:rFonts w:ascii="宋体" w:hAnsi="宋体" w:cs="宋体" w:eastAsia="宋体" w:hint="default"/>
                <w:sz w:val="18"/>
                <w:szCs w:val="18"/>
              </w:rPr>
            </w:pPr>
            <w:r>
              <w:rPr>
                <w:rFonts w:ascii="宋体" w:hAnsi="宋体" w:cs="宋体" w:eastAsia="宋体" w:hint="default"/>
                <w:sz w:val="18"/>
                <w:szCs w:val="18"/>
              </w:rPr>
              <w:t>保本保 证收益 型（结 构性存 款）</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319" w:lineRule="auto"/>
              <w:ind w:left="24" w:right="166"/>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319" w:lineRule="auto"/>
              <w:ind w:left="23" w:right="167"/>
              <w:jc w:val="both"/>
              <w:rPr>
                <w:rFonts w:ascii="宋体" w:hAnsi="宋体" w:cs="宋体" w:eastAsia="宋体" w:hint="default"/>
                <w:sz w:val="18"/>
                <w:szCs w:val="18"/>
              </w:rPr>
            </w:pPr>
            <w:r>
              <w:rPr>
                <w:rFonts w:ascii="宋体" w:hAnsi="宋体" w:cs="宋体" w:eastAsia="宋体" w:hint="default"/>
                <w:sz w:val="18"/>
                <w:szCs w:val="18"/>
              </w:rPr>
              <w:t>美元 对日 元汇 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22"/>
              <w:ind w:left="23"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3.60%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40.44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40.44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319" w:lineRule="auto"/>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7"/>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20"/>
                <w:sz w:val="18"/>
                <w:szCs w:val="18"/>
              </w:rPr>
              <w:t>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海证 券报、 证券 时报、 证券 日报 及巨 潮资 讯网 上的 关于 使用 部分 闲置 募集 资金 进行 结构 性存 款的 进展 公告</w:t>
            </w:r>
          </w:p>
          <w:p>
            <w:pPr>
              <w:pStyle w:val="TableParagraph"/>
              <w:spacing w:line="319" w:lineRule="auto" w:before="19"/>
              <w:ind w:left="23" w:right="79"/>
              <w:jc w:val="both"/>
              <w:rPr>
                <w:rFonts w:ascii="宋体" w:hAnsi="宋体" w:cs="宋体" w:eastAsia="宋体" w:hint="default"/>
                <w:sz w:val="18"/>
                <w:szCs w:val="18"/>
              </w:rPr>
            </w:pPr>
            <w:r>
              <w:rPr>
                <w:rFonts w:ascii="宋体" w:hAnsi="宋体" w:cs="宋体" w:eastAsia="宋体" w:hint="default"/>
                <w:sz w:val="18"/>
                <w:szCs w:val="18"/>
              </w:rPr>
              <w:t>（公 告编 号：</w:t>
            </w:r>
          </w:p>
          <w:p>
            <w:pPr>
              <w:pStyle w:val="TableParagraph"/>
              <w:spacing w:line="240" w:lineRule="auto" w:before="59"/>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129</w:t>
            </w:r>
            <w:r>
              <w:rPr>
                <w:rFonts w:ascii="宋体" w:hAnsi="宋体" w:cs="宋体" w:eastAsia="宋体" w:hint="default"/>
                <w:sz w:val="18"/>
                <w:szCs w:val="18"/>
              </w:rPr>
              <w:t>）</w:t>
            </w:r>
          </w:p>
        </w:tc>
      </w:tr>
      <w:tr>
        <w:trPr>
          <w:trHeight w:val="1922"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6" w:lineRule="auto"/>
              <w:ind w:left="24" w:right="176"/>
              <w:jc w:val="both"/>
              <w:rPr>
                <w:rFonts w:ascii="宋体" w:hAnsi="宋体" w:cs="宋体" w:eastAsia="宋体" w:hint="default"/>
                <w:sz w:val="18"/>
                <w:szCs w:val="18"/>
              </w:rPr>
            </w:pPr>
            <w:r>
              <w:rPr>
                <w:rFonts w:ascii="宋体" w:hAnsi="宋体" w:cs="宋体" w:eastAsia="宋体" w:hint="default"/>
                <w:sz w:val="18"/>
                <w:szCs w:val="18"/>
              </w:rPr>
              <w:t>浦发 银行 青岛 即墨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6" w:lineRule="auto"/>
              <w:ind w:left="23" w:right="31"/>
              <w:jc w:val="both"/>
              <w:rPr>
                <w:rFonts w:ascii="宋体" w:hAnsi="宋体" w:cs="宋体" w:eastAsia="宋体" w:hint="default"/>
                <w:sz w:val="18"/>
                <w:szCs w:val="18"/>
              </w:rPr>
            </w:pPr>
            <w:r>
              <w:rPr>
                <w:rFonts w:ascii="宋体" w:hAnsi="宋体" w:cs="宋体" w:eastAsia="宋体" w:hint="default"/>
                <w:sz w:val="18"/>
                <w:szCs w:val="18"/>
              </w:rPr>
              <w:t>保本浮 动收益 型（结 构性存 款）</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16" w:lineRule="auto"/>
              <w:ind w:left="24" w:right="166"/>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7"/>
              <w:jc w:val="both"/>
              <w:rPr>
                <w:rFonts w:ascii="宋体" w:hAnsi="宋体" w:cs="宋体" w:eastAsia="宋体" w:hint="default"/>
                <w:sz w:val="18"/>
                <w:szCs w:val="18"/>
              </w:rPr>
            </w:pPr>
            <w:r>
              <w:rPr>
                <w:rFonts w:ascii="宋体" w:hAnsi="宋体" w:cs="宋体" w:eastAsia="宋体" w:hint="default"/>
                <w:sz w:val="18"/>
                <w:szCs w:val="18"/>
              </w:rPr>
              <w:t>伦敦 银行 间美 元一 个月 拆借</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3.85%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77.08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77.08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7"/>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20"/>
                <w:sz w:val="18"/>
                <w:szCs w:val="18"/>
              </w:rPr>
              <w:t>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海证 券报、 证券</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60"/>
        <w:gridCol w:w="562"/>
        <w:gridCol w:w="562"/>
        <w:gridCol w:w="562"/>
        <w:gridCol w:w="548"/>
        <w:gridCol w:w="547"/>
        <w:gridCol w:w="547"/>
        <w:gridCol w:w="538"/>
      </w:tblGrid>
      <w:tr>
        <w:trPr>
          <w:trHeight w:val="6915"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37"/>
              <w:jc w:val="left"/>
              <w:rPr>
                <w:rFonts w:ascii="宋体" w:hAnsi="宋体" w:cs="宋体" w:eastAsia="宋体" w:hint="default"/>
                <w:sz w:val="18"/>
                <w:szCs w:val="18"/>
              </w:rPr>
            </w:pPr>
            <w:r>
              <w:rPr>
                <w:rFonts w:ascii="宋体" w:hAnsi="宋体" w:cs="宋体" w:eastAsia="宋体" w:hint="default"/>
                <w:sz w:val="18"/>
                <w:szCs w:val="18"/>
              </w:rPr>
              <w:t>时报、 证券 日报 及巨 潮资 讯网 上的 关于 使用 部分 闲置 资金 进行 结构 性存 款的 进展 公告 </w:t>
            </w:r>
            <w:r>
              <w:rPr>
                <w:rFonts w:ascii="Times New Roman" w:hAnsi="Times New Roman" w:cs="Times New Roman" w:eastAsia="Times New Roman" w:hint="default"/>
                <w:sz w:val="18"/>
                <w:szCs w:val="18"/>
              </w:rPr>
              <w:t>(</w:t>
            </w:r>
            <w:r>
              <w:rPr>
                <w:rFonts w:ascii="宋体" w:hAnsi="宋体" w:cs="宋体" w:eastAsia="宋体" w:hint="default"/>
                <w:sz w:val="18"/>
                <w:szCs w:val="18"/>
              </w:rPr>
              <w:t>公告 编号：</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106)</w:t>
            </w:r>
          </w:p>
        </w:tc>
      </w:tr>
      <w:tr>
        <w:trPr>
          <w:trHeight w:val="6915"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316" w:lineRule="auto"/>
              <w:ind w:left="24" w:right="176"/>
              <w:jc w:val="both"/>
              <w:rPr>
                <w:rFonts w:ascii="宋体" w:hAnsi="宋体" w:cs="宋体" w:eastAsia="宋体" w:hint="default"/>
                <w:sz w:val="18"/>
                <w:szCs w:val="18"/>
              </w:rPr>
            </w:pPr>
            <w:r>
              <w:rPr>
                <w:rFonts w:ascii="宋体" w:hAnsi="宋体" w:cs="宋体" w:eastAsia="宋体" w:hint="default"/>
                <w:sz w:val="18"/>
                <w:szCs w:val="18"/>
              </w:rPr>
              <w:t>浦发 银行 青岛 即墨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316" w:lineRule="auto"/>
              <w:ind w:left="23" w:right="31"/>
              <w:jc w:val="both"/>
              <w:rPr>
                <w:rFonts w:ascii="宋体" w:hAnsi="宋体" w:cs="宋体" w:eastAsia="宋体" w:hint="default"/>
                <w:sz w:val="18"/>
                <w:szCs w:val="18"/>
              </w:rPr>
            </w:pPr>
            <w:r>
              <w:rPr>
                <w:rFonts w:ascii="宋体" w:hAnsi="宋体" w:cs="宋体" w:eastAsia="宋体" w:hint="default"/>
                <w:sz w:val="18"/>
                <w:szCs w:val="18"/>
              </w:rPr>
              <w:t>保本浮 动收益 型（结 构性存 款）</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9,000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4" w:lineRule="auto"/>
              <w:ind w:left="24" w:right="166"/>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伦敦 银行 间美 元一 个月 拆借 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3.60%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45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348" w:right="0"/>
              <w:jc w:val="left"/>
              <w:rPr>
                <w:rFonts w:ascii="Times New Roman" w:hAnsi="Times New Roman" w:cs="Times New Roman" w:eastAsia="Times New Roman" w:hint="default"/>
                <w:sz w:val="18"/>
                <w:szCs w:val="18"/>
              </w:rPr>
            </w:pPr>
            <w:r>
              <w:rPr>
                <w:rFonts w:ascii="Times New Roman"/>
                <w:sz w:val="18"/>
              </w:rPr>
              <w:t>45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4" w:lineRule="auto"/>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7"/>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20"/>
                <w:sz w:val="18"/>
                <w:szCs w:val="18"/>
              </w:rPr>
              <w:t>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海证 券报、 证券 时报、 证券 日报 及巨 潮资 讯网 上的 关于 公司 全资 子公 司使 用部 分闲 置自 有资</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60"/>
        <w:gridCol w:w="562"/>
        <w:gridCol w:w="562"/>
        <w:gridCol w:w="562"/>
        <w:gridCol w:w="548"/>
        <w:gridCol w:w="547"/>
        <w:gridCol w:w="547"/>
        <w:gridCol w:w="538"/>
      </w:tblGrid>
      <w:tr>
        <w:trPr>
          <w:trHeight w:val="3483"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金进 行结 构性 存款 的进 展公 </w:t>
            </w:r>
            <w:r>
              <w:rPr>
                <w:rFonts w:ascii="宋体" w:hAnsi="宋体" w:cs="宋体" w:eastAsia="宋体" w:hint="default"/>
                <w:spacing w:val="-20"/>
                <w:sz w:val="18"/>
                <w:szCs w:val="18"/>
              </w:rPr>
              <w:t>告（公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告编 号：</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124</w:t>
            </w:r>
            <w:r>
              <w:rPr>
                <w:rFonts w:ascii="宋体" w:hAnsi="宋体" w:cs="宋体" w:eastAsia="宋体" w:hint="default"/>
                <w:sz w:val="18"/>
                <w:szCs w:val="18"/>
              </w:rPr>
              <w:t>）</w:t>
            </w:r>
          </w:p>
        </w:tc>
      </w:tr>
      <w:tr>
        <w:trPr>
          <w:trHeight w:val="1034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4" w:right="176"/>
              <w:jc w:val="both"/>
              <w:rPr>
                <w:rFonts w:ascii="宋体" w:hAnsi="宋体" w:cs="宋体" w:eastAsia="宋体" w:hint="default"/>
                <w:sz w:val="18"/>
                <w:szCs w:val="18"/>
              </w:rPr>
            </w:pPr>
            <w:r>
              <w:rPr>
                <w:rFonts w:ascii="宋体" w:hAnsi="宋体" w:cs="宋体" w:eastAsia="宋体" w:hint="default"/>
                <w:sz w:val="18"/>
                <w:szCs w:val="18"/>
              </w:rPr>
              <w:t>浦发 银行 金融 街支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2" w:lineRule="auto"/>
              <w:ind w:left="23" w:right="31"/>
              <w:jc w:val="left"/>
              <w:rPr>
                <w:rFonts w:ascii="宋体" w:hAnsi="宋体" w:cs="宋体" w:eastAsia="宋体" w:hint="default"/>
                <w:sz w:val="18"/>
                <w:szCs w:val="18"/>
              </w:rPr>
            </w:pPr>
            <w:r>
              <w:rPr>
                <w:rFonts w:ascii="宋体" w:hAnsi="宋体" w:cs="宋体" w:eastAsia="宋体" w:hint="default"/>
                <w:sz w:val="18"/>
                <w:szCs w:val="18"/>
              </w:rPr>
              <w:t>保证收 益型 </w:t>
            </w:r>
            <w:r>
              <w:rPr>
                <w:rFonts w:ascii="Times New Roman" w:hAnsi="Times New Roman" w:cs="Times New Roman" w:eastAsia="Times New Roman" w:hint="default"/>
                <w:sz w:val="18"/>
                <w:szCs w:val="18"/>
              </w:rPr>
              <w:t>(</w:t>
            </w:r>
            <w:r>
              <w:rPr>
                <w:rFonts w:ascii="宋体" w:hAnsi="宋体" w:cs="宋体" w:eastAsia="宋体" w:hint="default"/>
                <w:sz w:val="18"/>
                <w:szCs w:val="18"/>
              </w:rPr>
              <w:t>结构 性存 款）</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4,000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6"/>
              <w:ind w:left="24" w:right="166"/>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
              <w:jc w:val="left"/>
              <w:rPr>
                <w:rFonts w:ascii="宋体" w:hAnsi="宋体" w:cs="宋体" w:eastAsia="宋体" w:hint="default"/>
                <w:sz w:val="18"/>
                <w:szCs w:val="18"/>
              </w:rPr>
            </w:pPr>
            <w:r>
              <w:rPr>
                <w:rFonts w:ascii="宋体" w:hAnsi="宋体" w:cs="宋体" w:eastAsia="宋体" w:hint="default"/>
                <w:sz w:val="18"/>
                <w:szCs w:val="18"/>
              </w:rPr>
              <w:t>银行 间市 场央 </w:t>
            </w:r>
            <w:r>
              <w:rPr>
                <w:rFonts w:ascii="宋体" w:hAnsi="宋体" w:cs="宋体" w:eastAsia="宋体" w:hint="default"/>
                <w:spacing w:val="-12"/>
                <w:sz w:val="18"/>
                <w:szCs w:val="18"/>
              </w:rPr>
              <w:t>票、国</w:t>
            </w:r>
            <w:r>
              <w:rPr>
                <w:rFonts w:ascii="宋体" w:hAnsi="宋体" w:cs="宋体" w:eastAsia="宋体" w:hint="default"/>
                <w:sz w:val="18"/>
                <w:szCs w:val="18"/>
              </w:rPr>
              <w:t> 债金 融债、 企</w:t>
            </w:r>
            <w:r>
              <w:rPr>
                <w:rFonts w:ascii="宋体" w:hAnsi="宋体" w:cs="宋体" w:eastAsia="宋体" w:hint="default"/>
                <w:spacing w:val="1"/>
                <w:sz w:val="18"/>
                <w:szCs w:val="18"/>
              </w:rPr>
              <w:t> </w:t>
            </w:r>
            <w:r>
              <w:rPr>
                <w:rFonts w:ascii="宋体" w:hAnsi="宋体" w:cs="宋体" w:eastAsia="宋体" w:hint="default"/>
                <w:sz w:val="18"/>
                <w:szCs w:val="18"/>
              </w:rPr>
              <w:t>业</w:t>
            </w:r>
            <w:r>
              <w:rPr>
                <w:rFonts w:ascii="宋体" w:hAnsi="宋体" w:cs="宋体" w:eastAsia="宋体" w:hint="default"/>
                <w:sz w:val="18"/>
                <w:szCs w:val="18"/>
              </w:rPr>
              <w:t> </w:t>
            </w:r>
            <w:r>
              <w:rPr>
                <w:rFonts w:ascii="宋体" w:hAnsi="宋体" w:cs="宋体" w:eastAsia="宋体" w:hint="default"/>
                <w:spacing w:val="-12"/>
                <w:sz w:val="18"/>
                <w:szCs w:val="18"/>
              </w:rPr>
              <w:t>债、短</w:t>
            </w:r>
            <w:r>
              <w:rPr>
                <w:rFonts w:ascii="宋体" w:hAnsi="宋体" w:cs="宋体" w:eastAsia="宋体" w:hint="default"/>
                <w:sz w:val="18"/>
                <w:szCs w:val="18"/>
              </w:rPr>
              <w:t> </w:t>
            </w:r>
            <w:r>
              <w:rPr>
                <w:rFonts w:ascii="宋体" w:hAnsi="宋体" w:cs="宋体" w:eastAsia="宋体" w:hint="default"/>
                <w:spacing w:val="-12"/>
                <w:sz w:val="18"/>
                <w:szCs w:val="18"/>
              </w:rPr>
              <w:t>融、中</w:t>
            </w:r>
            <w:r>
              <w:rPr>
                <w:rFonts w:ascii="宋体" w:hAnsi="宋体" w:cs="宋体" w:eastAsia="宋体" w:hint="default"/>
                <w:sz w:val="18"/>
                <w:szCs w:val="18"/>
              </w:rPr>
              <w:t> 期票 </w:t>
            </w:r>
            <w:r>
              <w:rPr>
                <w:rFonts w:ascii="宋体" w:hAnsi="宋体" w:cs="宋体" w:eastAsia="宋体" w:hint="default"/>
                <w:spacing w:val="-12"/>
                <w:sz w:val="18"/>
                <w:szCs w:val="18"/>
              </w:rPr>
              <w:t>据、同</w:t>
            </w:r>
            <w:r>
              <w:rPr>
                <w:rFonts w:ascii="宋体" w:hAnsi="宋体" w:cs="宋体" w:eastAsia="宋体" w:hint="default"/>
                <w:sz w:val="18"/>
                <w:szCs w:val="18"/>
              </w:rPr>
              <w:t> 业拆 借、 同业 存款、 债券 或票 据回 购等， 同</w:t>
            </w:r>
            <w:r>
              <w:rPr>
                <w:rFonts w:ascii="宋体" w:hAnsi="宋体" w:cs="宋体" w:eastAsia="宋体" w:hint="default"/>
                <w:spacing w:val="1"/>
                <w:sz w:val="18"/>
                <w:szCs w:val="18"/>
              </w:rPr>
              <w:t> </w:t>
            </w:r>
            <w:r>
              <w:rPr>
                <w:rFonts w:ascii="宋体" w:hAnsi="宋体" w:cs="宋体" w:eastAsia="宋体" w:hint="default"/>
                <w:sz w:val="18"/>
                <w:szCs w:val="18"/>
              </w:rPr>
              <w:t>时</w:t>
            </w:r>
            <w:r>
              <w:rPr>
                <w:rFonts w:ascii="宋体" w:hAnsi="宋体" w:cs="宋体" w:eastAsia="宋体" w:hint="default"/>
                <w:sz w:val="18"/>
                <w:szCs w:val="18"/>
              </w:rPr>
              <w:t> 银行 通过 主动 性管 理和 运用 结构 简单、 风险 较低 的相 关金 融工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3.70%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13.98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13.98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6"/>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5"/>
              <w:ind w:left="23" w:right="-37"/>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20"/>
                <w:sz w:val="18"/>
                <w:szCs w:val="18"/>
              </w:rPr>
              <w:t>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海证 券报、 证券 时报、 证券 日报 及巨 潮资 讯网 上的 关于 公司 及子 公司 使用 部分 闲置 资金 进行 现金 管理 的进 展公 </w:t>
            </w:r>
            <w:r>
              <w:rPr>
                <w:rFonts w:ascii="宋体" w:hAnsi="宋体" w:cs="宋体" w:eastAsia="宋体" w:hint="default"/>
                <w:spacing w:val="-20"/>
                <w:sz w:val="18"/>
                <w:szCs w:val="18"/>
              </w:rPr>
              <w:t>告（公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告编 号：</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007</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60"/>
        <w:gridCol w:w="562"/>
        <w:gridCol w:w="562"/>
        <w:gridCol w:w="562"/>
        <w:gridCol w:w="548"/>
        <w:gridCol w:w="547"/>
        <w:gridCol w:w="547"/>
        <w:gridCol w:w="538"/>
      </w:tblGrid>
      <w:tr>
        <w:trPr>
          <w:trHeight w:val="1923"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67"/>
              <w:jc w:val="both"/>
              <w:rPr>
                <w:rFonts w:ascii="宋体" w:hAnsi="宋体" w:cs="宋体" w:eastAsia="宋体" w:hint="default"/>
                <w:sz w:val="18"/>
                <w:szCs w:val="18"/>
              </w:rPr>
            </w:pPr>
            <w:r>
              <w:rPr>
                <w:rFonts w:ascii="宋体" w:hAnsi="宋体" w:cs="宋体" w:eastAsia="宋体" w:hint="default"/>
                <w:sz w:val="18"/>
                <w:szCs w:val="18"/>
              </w:rPr>
              <w:t>具来 提高 该产 品的 收益 率。</w:t>
            </w: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190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4" w:right="176"/>
              <w:jc w:val="both"/>
              <w:rPr>
                <w:rFonts w:ascii="宋体" w:hAnsi="宋体" w:cs="宋体" w:eastAsia="宋体" w:hint="default"/>
                <w:sz w:val="18"/>
                <w:szCs w:val="18"/>
              </w:rPr>
            </w:pPr>
            <w:r>
              <w:rPr>
                <w:rFonts w:ascii="宋体" w:hAnsi="宋体" w:cs="宋体" w:eastAsia="宋体" w:hint="default"/>
                <w:sz w:val="18"/>
                <w:szCs w:val="18"/>
              </w:rPr>
              <w:t>中国 工商 银行 深圳 东门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3" w:right="31"/>
              <w:jc w:val="left"/>
              <w:rPr>
                <w:rFonts w:ascii="宋体" w:hAnsi="宋体" w:cs="宋体" w:eastAsia="宋体" w:hint="default"/>
                <w:sz w:val="18"/>
                <w:szCs w:val="18"/>
              </w:rPr>
            </w:pPr>
            <w:r>
              <w:rPr>
                <w:rFonts w:ascii="宋体" w:hAnsi="宋体" w:cs="宋体" w:eastAsia="宋体" w:hint="default"/>
                <w:sz w:val="18"/>
                <w:szCs w:val="18"/>
              </w:rPr>
              <w:t>保本浮 动收益 型（银 行理 财）</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2,000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4" w:lineRule="auto"/>
              <w:ind w:left="24" w:right="166"/>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
              <w:jc w:val="left"/>
              <w:rPr>
                <w:rFonts w:ascii="宋体" w:hAnsi="宋体" w:cs="宋体" w:eastAsia="宋体" w:hint="default"/>
                <w:sz w:val="18"/>
                <w:szCs w:val="18"/>
              </w:rPr>
            </w:pPr>
            <w:r>
              <w:rPr>
                <w:rFonts w:ascii="宋体" w:hAnsi="宋体" w:cs="宋体" w:eastAsia="宋体" w:hint="default"/>
                <w:sz w:val="18"/>
                <w:szCs w:val="18"/>
              </w:rPr>
              <w:t>一是 债券、 存款 等高 流动 性资 产， 包括 但不 限于 各类 债券、 存款、 货</w:t>
            </w:r>
            <w:r>
              <w:rPr>
                <w:rFonts w:ascii="宋体" w:hAnsi="宋体" w:cs="宋体" w:eastAsia="宋体" w:hint="default"/>
                <w:spacing w:val="1"/>
                <w:sz w:val="18"/>
                <w:szCs w:val="18"/>
              </w:rPr>
              <w:t> </w:t>
            </w:r>
            <w:r>
              <w:rPr>
                <w:rFonts w:ascii="宋体" w:hAnsi="宋体" w:cs="宋体" w:eastAsia="宋体" w:hint="default"/>
                <w:sz w:val="18"/>
                <w:szCs w:val="18"/>
              </w:rPr>
              <w:t>币</w:t>
            </w:r>
            <w:r>
              <w:rPr>
                <w:rFonts w:ascii="宋体" w:hAnsi="宋体" w:cs="宋体" w:eastAsia="宋体" w:hint="default"/>
                <w:sz w:val="18"/>
                <w:szCs w:val="18"/>
              </w:rPr>
              <w:t> 市场 基金、 债券 基金、 质押 式回 购等 货币 市场 交易 工具； 二是 其他 资产 或者 资产 组合， 包括 但不 限于 证券 公司 集合 资产</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3"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3.10%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7.47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7.47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4" w:lineRule="auto"/>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316" w:lineRule="auto"/>
              <w:ind w:left="23" w:right="-37"/>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20"/>
                <w:sz w:val="18"/>
                <w:szCs w:val="18"/>
              </w:rPr>
              <w:t>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海证 券报、 证券 时报、 证券 日报 及巨 潮资 讯网 上的 关于 公司 及子 公司 使用 部分 闲置 资金 进行 现金 管理 的进 展公 </w:t>
            </w:r>
            <w:r>
              <w:rPr>
                <w:rFonts w:ascii="宋体" w:hAnsi="宋体" w:cs="宋体" w:eastAsia="宋体" w:hint="default"/>
                <w:spacing w:val="-20"/>
                <w:sz w:val="18"/>
                <w:szCs w:val="18"/>
              </w:rPr>
              <w:t>告（公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告编 号：</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007</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60"/>
        <w:gridCol w:w="562"/>
        <w:gridCol w:w="562"/>
        <w:gridCol w:w="562"/>
        <w:gridCol w:w="548"/>
        <w:gridCol w:w="547"/>
        <w:gridCol w:w="547"/>
        <w:gridCol w:w="538"/>
      </w:tblGrid>
      <w:tr>
        <w:trPr>
          <w:trHeight w:val="12220"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23"/>
              <w:jc w:val="left"/>
              <w:rPr>
                <w:rFonts w:ascii="宋体" w:hAnsi="宋体" w:cs="宋体" w:eastAsia="宋体" w:hint="default"/>
                <w:sz w:val="18"/>
                <w:szCs w:val="18"/>
              </w:rPr>
            </w:pPr>
            <w:r>
              <w:rPr>
                <w:rFonts w:ascii="宋体" w:hAnsi="宋体" w:cs="宋体" w:eastAsia="宋体" w:hint="default"/>
                <w:sz w:val="18"/>
                <w:szCs w:val="18"/>
              </w:rPr>
              <w:t>管理 计划 或定 向</w:t>
            </w:r>
            <w:r>
              <w:rPr>
                <w:rFonts w:ascii="宋体" w:hAnsi="宋体" w:cs="宋体" w:eastAsia="宋体" w:hint="default"/>
                <w:spacing w:val="1"/>
                <w:sz w:val="18"/>
                <w:szCs w:val="18"/>
              </w:rPr>
              <w:t> </w:t>
            </w:r>
            <w:r>
              <w:rPr>
                <w:rFonts w:ascii="宋体" w:hAnsi="宋体" w:cs="宋体" w:eastAsia="宋体" w:hint="default"/>
                <w:sz w:val="18"/>
                <w:szCs w:val="18"/>
              </w:rPr>
              <w:t>资</w:t>
            </w:r>
            <w:r>
              <w:rPr>
                <w:rFonts w:ascii="宋体" w:hAnsi="宋体" w:cs="宋体" w:eastAsia="宋体" w:hint="default"/>
                <w:sz w:val="18"/>
                <w:szCs w:val="18"/>
              </w:rPr>
              <w:t> 产管 理计 </w:t>
            </w:r>
            <w:r>
              <w:rPr>
                <w:rFonts w:ascii="宋体" w:hAnsi="宋体" w:cs="宋体" w:eastAsia="宋体" w:hint="default"/>
                <w:spacing w:val="-12"/>
                <w:sz w:val="18"/>
                <w:szCs w:val="18"/>
              </w:rPr>
              <w:t>划、基</w:t>
            </w:r>
            <w:r>
              <w:rPr>
                <w:rFonts w:ascii="宋体" w:hAnsi="宋体" w:cs="宋体" w:eastAsia="宋体" w:hint="default"/>
                <w:sz w:val="18"/>
                <w:szCs w:val="18"/>
              </w:rPr>
              <w:t> 金管 理公 司特 定</w:t>
            </w:r>
            <w:r>
              <w:rPr>
                <w:rFonts w:ascii="宋体" w:hAnsi="宋体" w:cs="宋体" w:eastAsia="宋体" w:hint="default"/>
                <w:spacing w:val="1"/>
                <w:sz w:val="18"/>
                <w:szCs w:val="18"/>
              </w:rPr>
              <w:t> </w:t>
            </w:r>
            <w:r>
              <w:rPr>
                <w:rFonts w:ascii="宋体" w:hAnsi="宋体" w:cs="宋体" w:eastAsia="宋体" w:hint="default"/>
                <w:sz w:val="18"/>
                <w:szCs w:val="18"/>
              </w:rPr>
              <w:t>客</w:t>
            </w:r>
            <w:r>
              <w:rPr>
                <w:rFonts w:ascii="宋体" w:hAnsi="宋体" w:cs="宋体" w:eastAsia="宋体" w:hint="default"/>
                <w:sz w:val="18"/>
                <w:szCs w:val="18"/>
              </w:rPr>
              <w:t> 户资 产管 理计 </w:t>
            </w:r>
            <w:r>
              <w:rPr>
                <w:rFonts w:ascii="宋体" w:hAnsi="宋体" w:cs="宋体" w:eastAsia="宋体" w:hint="default"/>
                <w:spacing w:val="-12"/>
                <w:sz w:val="18"/>
                <w:szCs w:val="18"/>
              </w:rPr>
              <w:t>划、保</w:t>
            </w:r>
            <w:r>
              <w:rPr>
                <w:rFonts w:ascii="宋体" w:hAnsi="宋体" w:cs="宋体" w:eastAsia="宋体" w:hint="default"/>
                <w:sz w:val="18"/>
                <w:szCs w:val="18"/>
              </w:rPr>
              <w:t> 险资 产管 理</w:t>
            </w:r>
            <w:r>
              <w:rPr>
                <w:rFonts w:ascii="宋体" w:hAnsi="宋体" w:cs="宋体" w:eastAsia="宋体" w:hint="default"/>
                <w:spacing w:val="1"/>
                <w:sz w:val="18"/>
                <w:szCs w:val="18"/>
              </w:rPr>
              <w:t> </w:t>
            </w:r>
            <w:r>
              <w:rPr>
                <w:rFonts w:ascii="宋体" w:hAnsi="宋体" w:cs="宋体" w:eastAsia="宋体" w:hint="default"/>
                <w:sz w:val="18"/>
                <w:szCs w:val="18"/>
              </w:rPr>
              <w:t>公</w:t>
            </w:r>
            <w:r>
              <w:rPr>
                <w:rFonts w:ascii="宋体" w:hAnsi="宋体" w:cs="宋体" w:eastAsia="宋体" w:hint="default"/>
                <w:sz w:val="18"/>
                <w:szCs w:val="18"/>
              </w:rPr>
              <w:t> 司投 资计</w:t>
            </w:r>
          </w:p>
          <w:p>
            <w:pPr>
              <w:pStyle w:val="TableParagraph"/>
              <w:spacing w:line="316" w:lineRule="auto" w:before="19"/>
              <w:ind w:left="23" w:right="-13"/>
              <w:jc w:val="left"/>
              <w:rPr>
                <w:rFonts w:ascii="宋体" w:hAnsi="宋体" w:cs="宋体" w:eastAsia="宋体" w:hint="default"/>
                <w:sz w:val="18"/>
                <w:szCs w:val="18"/>
              </w:rPr>
            </w:pPr>
            <w:r>
              <w:rPr>
                <w:rFonts w:ascii="宋体" w:hAnsi="宋体" w:cs="宋体" w:eastAsia="宋体" w:hint="default"/>
                <w:sz w:val="18"/>
                <w:szCs w:val="18"/>
              </w:rPr>
              <w:t>划等； 三是 债权 类资 产， 包括 但不 限于 债权 类信 托计 </w:t>
            </w:r>
            <w:r>
              <w:rPr>
                <w:rFonts w:ascii="宋体" w:hAnsi="宋体" w:cs="宋体" w:eastAsia="宋体" w:hint="default"/>
                <w:spacing w:val="-12"/>
                <w:sz w:val="18"/>
                <w:szCs w:val="18"/>
              </w:rPr>
              <w:t>划、北</w:t>
            </w:r>
            <w:r>
              <w:rPr>
                <w:rFonts w:ascii="宋体" w:hAnsi="宋体" w:cs="宋体" w:eastAsia="宋体" w:hint="default"/>
                <w:sz w:val="18"/>
                <w:szCs w:val="18"/>
              </w:rPr>
              <w:t> 京金 融资 产交 易所 委托 债权 等。</w:t>
            </w: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浦发 银行 金融 街支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31"/>
              <w:jc w:val="left"/>
              <w:rPr>
                <w:rFonts w:ascii="宋体" w:hAnsi="宋体" w:cs="宋体" w:eastAsia="宋体" w:hint="default"/>
                <w:sz w:val="18"/>
                <w:szCs w:val="18"/>
              </w:rPr>
            </w:pPr>
            <w:r>
              <w:rPr>
                <w:rFonts w:ascii="宋体" w:hAnsi="宋体" w:cs="宋体" w:eastAsia="宋体" w:hint="default"/>
                <w:sz w:val="18"/>
                <w:szCs w:val="18"/>
              </w:rPr>
              <w:t>保证收 益型 </w:t>
            </w:r>
            <w:r>
              <w:rPr>
                <w:rFonts w:ascii="Times New Roman" w:hAnsi="Times New Roman" w:cs="Times New Roman" w:eastAsia="Times New Roman" w:hint="default"/>
                <w:sz w:val="18"/>
                <w:szCs w:val="18"/>
              </w:rPr>
              <w:t>(</w:t>
            </w:r>
            <w:r>
              <w:rPr>
                <w:rFonts w:ascii="宋体" w:hAnsi="宋体" w:cs="宋体" w:eastAsia="宋体" w:hint="default"/>
                <w:sz w:val="18"/>
                <w:szCs w:val="18"/>
              </w:rPr>
              <w:t>结构 性存 款）</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4,000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166"/>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167"/>
              <w:jc w:val="both"/>
              <w:rPr>
                <w:rFonts w:ascii="宋体" w:hAnsi="宋体" w:cs="宋体" w:eastAsia="宋体" w:hint="default"/>
                <w:sz w:val="18"/>
                <w:szCs w:val="18"/>
              </w:rPr>
            </w:pPr>
            <w:r>
              <w:rPr>
                <w:rFonts w:ascii="宋体" w:hAnsi="宋体" w:cs="宋体" w:eastAsia="宋体" w:hint="default"/>
                <w:sz w:val="18"/>
                <w:szCs w:val="18"/>
              </w:rPr>
              <w:t>主要 投资 于银 行间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3.45%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13.03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13.03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37"/>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20"/>
                <w:sz w:val="18"/>
                <w:szCs w:val="18"/>
              </w:rPr>
              <w:t>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海证 券报、</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60"/>
        <w:gridCol w:w="562"/>
        <w:gridCol w:w="562"/>
        <w:gridCol w:w="562"/>
        <w:gridCol w:w="548"/>
        <w:gridCol w:w="547"/>
        <w:gridCol w:w="547"/>
        <w:gridCol w:w="538"/>
      </w:tblGrid>
      <w:tr>
        <w:trPr>
          <w:trHeight w:val="11284"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3"/>
              <w:jc w:val="left"/>
              <w:rPr>
                <w:rFonts w:ascii="宋体" w:hAnsi="宋体" w:cs="宋体" w:eastAsia="宋体" w:hint="default"/>
                <w:sz w:val="18"/>
                <w:szCs w:val="18"/>
              </w:rPr>
            </w:pPr>
            <w:r>
              <w:rPr>
                <w:rFonts w:ascii="宋体" w:hAnsi="宋体" w:cs="宋体" w:eastAsia="宋体" w:hint="default"/>
                <w:sz w:val="18"/>
                <w:szCs w:val="18"/>
              </w:rPr>
              <w:t>央票、 国债 金融 </w:t>
            </w:r>
            <w:r>
              <w:rPr>
                <w:rFonts w:ascii="宋体" w:hAnsi="宋体" w:cs="宋体" w:eastAsia="宋体" w:hint="default"/>
                <w:spacing w:val="-12"/>
                <w:sz w:val="18"/>
                <w:szCs w:val="18"/>
              </w:rPr>
              <w:t>债、企</w:t>
            </w:r>
            <w:r>
              <w:rPr>
                <w:rFonts w:ascii="宋体" w:hAnsi="宋体" w:cs="宋体" w:eastAsia="宋体" w:hint="default"/>
                <w:sz w:val="18"/>
                <w:szCs w:val="18"/>
              </w:rPr>
              <w:t> 业债、 短融、 中期 票据、 同业 拆借、 同业 存款、 债券 或票</w:t>
            </w:r>
          </w:p>
          <w:p>
            <w:pPr>
              <w:pStyle w:val="TableParagraph"/>
              <w:spacing w:line="316" w:lineRule="auto" w:before="19"/>
              <w:ind w:left="23" w:right="-13"/>
              <w:jc w:val="left"/>
              <w:rPr>
                <w:rFonts w:ascii="宋体" w:hAnsi="宋体" w:cs="宋体" w:eastAsia="宋体" w:hint="default"/>
                <w:sz w:val="18"/>
                <w:szCs w:val="18"/>
              </w:rPr>
            </w:pPr>
            <w:r>
              <w:rPr>
                <w:rFonts w:ascii="宋体" w:hAnsi="宋体" w:cs="宋体" w:eastAsia="宋体" w:hint="default"/>
                <w:sz w:val="18"/>
                <w:szCs w:val="18"/>
              </w:rPr>
              <w:t>据</w:t>
            </w:r>
            <w:r>
              <w:rPr>
                <w:rFonts w:ascii="宋体" w:hAnsi="宋体" w:cs="宋体" w:eastAsia="宋体" w:hint="default"/>
                <w:spacing w:val="1"/>
                <w:sz w:val="18"/>
                <w:szCs w:val="18"/>
              </w:rPr>
              <w:t> </w:t>
            </w:r>
            <w:r>
              <w:rPr>
                <w:rFonts w:ascii="宋体" w:hAnsi="宋体" w:cs="宋体" w:eastAsia="宋体" w:hint="default"/>
                <w:sz w:val="18"/>
                <w:szCs w:val="18"/>
              </w:rPr>
              <w:t>回</w:t>
            </w:r>
            <w:r>
              <w:rPr>
                <w:rFonts w:ascii="宋体" w:hAnsi="宋体" w:cs="宋体" w:eastAsia="宋体" w:hint="default"/>
                <w:sz w:val="18"/>
                <w:szCs w:val="18"/>
              </w:rPr>
              <w:t> 购等， 同时 银行 通过 主动 性管</w:t>
            </w:r>
          </w:p>
          <w:p>
            <w:pPr>
              <w:pStyle w:val="TableParagraph"/>
              <w:spacing w:line="316" w:lineRule="auto" w:before="19"/>
              <w:ind w:left="23" w:right="-13"/>
              <w:jc w:val="left"/>
              <w:rPr>
                <w:rFonts w:ascii="宋体" w:hAnsi="宋体" w:cs="宋体" w:eastAsia="宋体" w:hint="default"/>
                <w:sz w:val="18"/>
                <w:szCs w:val="18"/>
              </w:rPr>
            </w:pPr>
            <w:r>
              <w:rPr>
                <w:rFonts w:ascii="宋体" w:hAnsi="宋体" w:cs="宋体" w:eastAsia="宋体" w:hint="default"/>
                <w:sz w:val="18"/>
                <w:szCs w:val="18"/>
              </w:rPr>
              <w:t>理</w:t>
            </w:r>
            <w:r>
              <w:rPr>
                <w:rFonts w:ascii="宋体" w:hAnsi="宋体" w:cs="宋体" w:eastAsia="宋体" w:hint="default"/>
                <w:spacing w:val="1"/>
                <w:sz w:val="18"/>
                <w:szCs w:val="18"/>
              </w:rPr>
              <w:t> </w:t>
            </w:r>
            <w:r>
              <w:rPr>
                <w:rFonts w:ascii="宋体" w:hAnsi="宋体" w:cs="宋体" w:eastAsia="宋体" w:hint="default"/>
                <w:sz w:val="18"/>
                <w:szCs w:val="18"/>
              </w:rPr>
              <w:t>和</w:t>
            </w:r>
            <w:r>
              <w:rPr>
                <w:rFonts w:ascii="宋体" w:hAnsi="宋体" w:cs="宋体" w:eastAsia="宋体" w:hint="default"/>
                <w:sz w:val="18"/>
                <w:szCs w:val="18"/>
              </w:rPr>
              <w:t> 运用 结构 简单、 风险 较低 的相</w:t>
            </w:r>
          </w:p>
          <w:p>
            <w:pPr>
              <w:pStyle w:val="TableParagraph"/>
              <w:spacing w:line="316" w:lineRule="auto" w:before="19"/>
              <w:ind w:left="23" w:right="74"/>
              <w:jc w:val="left"/>
              <w:rPr>
                <w:rFonts w:ascii="宋体" w:hAnsi="宋体" w:cs="宋体" w:eastAsia="宋体" w:hint="default"/>
                <w:sz w:val="18"/>
                <w:szCs w:val="18"/>
              </w:rPr>
            </w:pPr>
            <w:r>
              <w:rPr>
                <w:rFonts w:ascii="宋体" w:hAnsi="宋体" w:cs="宋体" w:eastAsia="宋体" w:hint="default"/>
                <w:sz w:val="18"/>
                <w:szCs w:val="18"/>
              </w:rPr>
              <w:t>关</w:t>
            </w:r>
            <w:r>
              <w:rPr>
                <w:rFonts w:ascii="宋体" w:hAnsi="宋体" w:cs="宋体" w:eastAsia="宋体" w:hint="default"/>
                <w:spacing w:val="1"/>
                <w:sz w:val="18"/>
                <w:szCs w:val="18"/>
              </w:rPr>
              <w:t> </w:t>
            </w:r>
            <w:r>
              <w:rPr>
                <w:rFonts w:ascii="宋体" w:hAnsi="宋体" w:cs="宋体" w:eastAsia="宋体" w:hint="default"/>
                <w:sz w:val="18"/>
                <w:szCs w:val="18"/>
              </w:rPr>
              <w:t>金</w:t>
            </w:r>
            <w:r>
              <w:rPr>
                <w:rFonts w:ascii="宋体" w:hAnsi="宋体" w:cs="宋体" w:eastAsia="宋体" w:hint="default"/>
                <w:sz w:val="18"/>
                <w:szCs w:val="18"/>
              </w:rPr>
              <w:t> 融工 具来 提高 该产 品的 收益 率。</w:t>
            </w: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37"/>
              <w:jc w:val="left"/>
              <w:rPr>
                <w:rFonts w:ascii="宋体" w:hAnsi="宋体" w:cs="宋体" w:eastAsia="宋体" w:hint="default"/>
                <w:sz w:val="18"/>
                <w:szCs w:val="18"/>
              </w:rPr>
            </w:pPr>
            <w:r>
              <w:rPr>
                <w:rFonts w:ascii="宋体" w:hAnsi="宋体" w:cs="宋体" w:eastAsia="宋体" w:hint="default"/>
                <w:sz w:val="18"/>
                <w:szCs w:val="18"/>
              </w:rPr>
              <w:t>证券 时报、 证券 日报 及巨 潮资 讯网 上的 关于 公司 及子 公司 使用 部分 闲置 资金 进行 结构 性存 款的 进展 公告</w:t>
            </w:r>
          </w:p>
          <w:p>
            <w:pPr>
              <w:pStyle w:val="TableParagraph"/>
              <w:spacing w:line="319" w:lineRule="auto" w:before="19"/>
              <w:ind w:left="23" w:right="79"/>
              <w:jc w:val="both"/>
              <w:rPr>
                <w:rFonts w:ascii="宋体" w:hAnsi="宋体" w:cs="宋体" w:eastAsia="宋体" w:hint="default"/>
                <w:sz w:val="18"/>
                <w:szCs w:val="18"/>
              </w:rPr>
            </w:pPr>
            <w:r>
              <w:rPr>
                <w:rFonts w:ascii="宋体" w:hAnsi="宋体" w:cs="宋体" w:eastAsia="宋体" w:hint="default"/>
                <w:sz w:val="18"/>
                <w:szCs w:val="18"/>
              </w:rPr>
              <w:t>（公 告编 号：</w:t>
            </w:r>
          </w:p>
          <w:p>
            <w:pPr>
              <w:pStyle w:val="TableParagraph"/>
              <w:spacing w:line="240" w:lineRule="auto" w:before="59"/>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019</w:t>
            </w:r>
            <w:r>
              <w:rPr>
                <w:rFonts w:ascii="宋体" w:hAnsi="宋体" w:cs="宋体" w:eastAsia="宋体" w:hint="default"/>
                <w:sz w:val="18"/>
                <w:szCs w:val="18"/>
              </w:rPr>
              <w:t>）</w:t>
            </w:r>
          </w:p>
        </w:tc>
      </w:tr>
      <w:tr>
        <w:trPr>
          <w:trHeight w:val="2546"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4"/>
              <w:ind w:left="24" w:right="176"/>
              <w:jc w:val="both"/>
              <w:rPr>
                <w:rFonts w:ascii="宋体" w:hAnsi="宋体" w:cs="宋体" w:eastAsia="宋体" w:hint="default"/>
                <w:sz w:val="18"/>
                <w:szCs w:val="18"/>
              </w:rPr>
            </w:pPr>
            <w:r>
              <w:rPr>
                <w:rFonts w:ascii="宋体" w:hAnsi="宋体" w:cs="宋体" w:eastAsia="宋体" w:hint="default"/>
                <w:sz w:val="18"/>
                <w:szCs w:val="18"/>
              </w:rPr>
              <w:t>中国 民生 银行 股份 有限 公司</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316" w:lineRule="auto"/>
              <w:ind w:left="23" w:right="31"/>
              <w:jc w:val="both"/>
              <w:rPr>
                <w:rFonts w:ascii="宋体" w:hAnsi="宋体" w:cs="宋体" w:eastAsia="宋体" w:hint="default"/>
                <w:sz w:val="18"/>
                <w:szCs w:val="18"/>
              </w:rPr>
            </w:pPr>
            <w:r>
              <w:rPr>
                <w:rFonts w:ascii="宋体" w:hAnsi="宋体" w:cs="宋体" w:eastAsia="宋体" w:hint="default"/>
                <w:sz w:val="18"/>
                <w:szCs w:val="18"/>
              </w:rPr>
              <w:t>保本浮 动收益 型（结 构性存 款）</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left="136" w:right="0"/>
              <w:jc w:val="left"/>
              <w:rPr>
                <w:rFonts w:ascii="Times New Roman" w:hAnsi="Times New Roman" w:cs="Times New Roman" w:eastAsia="Times New Roman" w:hint="default"/>
                <w:sz w:val="18"/>
                <w:szCs w:val="18"/>
              </w:rPr>
            </w:pPr>
            <w:r>
              <w:rPr>
                <w:rFonts w:ascii="Times New Roman"/>
                <w:sz w:val="18"/>
              </w:rPr>
              <w:t>4,000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38"/>
              <w:ind w:left="24" w:right="166"/>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360" w:lineRule="auto"/>
              <w:ind w:left="23" w:right="77"/>
              <w:jc w:val="left"/>
              <w:rPr>
                <w:rFonts w:ascii="Times New Roman" w:hAnsi="Times New Roman" w:cs="Times New Roman" w:eastAsia="Times New Roman" w:hint="default"/>
                <w:sz w:val="18"/>
                <w:szCs w:val="18"/>
              </w:rPr>
            </w:pPr>
            <w:r>
              <w:rPr>
                <w:rFonts w:ascii="Times New Roman"/>
                <w:sz w:val="18"/>
              </w:rPr>
              <w:t>USD3</w:t>
            </w:r>
            <w:r>
              <w:rPr>
                <w:rFonts w:ascii="Times New Roman"/>
                <w:w w:val="99"/>
                <w:sz w:val="18"/>
              </w:rPr>
              <w:t> </w:t>
            </w:r>
            <w:r>
              <w:rPr>
                <w:rFonts w:ascii="Times New Roman"/>
                <w:sz w:val="18"/>
              </w:rPr>
              <w:t>M-LI</w:t>
            </w:r>
            <w:r>
              <w:rPr>
                <w:rFonts w:ascii="Times New Roman"/>
                <w:spacing w:val="-2"/>
                <w:w w:val="99"/>
                <w:sz w:val="18"/>
              </w:rPr>
              <w:t> </w:t>
            </w:r>
            <w:r>
              <w:rPr>
                <w:rFonts w:ascii="Times New Roman"/>
                <w:sz w:val="18"/>
              </w:rPr>
              <w:t>BOR</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left="62" w:right="0"/>
              <w:jc w:val="left"/>
              <w:rPr>
                <w:rFonts w:ascii="Times New Roman" w:hAnsi="Times New Roman" w:cs="Times New Roman" w:eastAsia="Times New Roman" w:hint="default"/>
                <w:sz w:val="18"/>
                <w:szCs w:val="18"/>
              </w:rPr>
            </w:pPr>
            <w:r>
              <w:rPr>
                <w:rFonts w:ascii="Times New Roman"/>
                <w:sz w:val="18"/>
              </w:rPr>
              <w:t>3.60%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left="122" w:right="0"/>
              <w:jc w:val="left"/>
              <w:rPr>
                <w:rFonts w:ascii="Times New Roman" w:hAnsi="Times New Roman" w:cs="Times New Roman" w:eastAsia="Times New Roman" w:hint="default"/>
                <w:sz w:val="18"/>
                <w:szCs w:val="18"/>
              </w:rPr>
            </w:pPr>
            <w:r>
              <w:rPr>
                <w:rFonts w:ascii="Times New Roman"/>
                <w:sz w:val="18"/>
              </w:rPr>
              <w:t>15.78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left="122" w:right="0"/>
              <w:jc w:val="left"/>
              <w:rPr>
                <w:rFonts w:ascii="Times New Roman" w:hAnsi="Times New Roman" w:cs="Times New Roman" w:eastAsia="Times New Roman" w:hint="default"/>
                <w:sz w:val="18"/>
                <w:szCs w:val="18"/>
              </w:rPr>
            </w:pPr>
            <w:r>
              <w:rPr>
                <w:rFonts w:ascii="Times New Roman"/>
                <w:sz w:val="18"/>
              </w:rPr>
              <w:t>15.78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38"/>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7"/>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20"/>
                <w:sz w:val="18"/>
                <w:szCs w:val="18"/>
              </w:rPr>
              <w:t>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海证 券报、 证券 时报、 证券</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60"/>
        <w:gridCol w:w="562"/>
        <w:gridCol w:w="562"/>
        <w:gridCol w:w="562"/>
        <w:gridCol w:w="548"/>
        <w:gridCol w:w="547"/>
        <w:gridCol w:w="547"/>
        <w:gridCol w:w="538"/>
      </w:tblGrid>
      <w:tr>
        <w:trPr>
          <w:trHeight w:val="7540"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43"/>
              <w:jc w:val="both"/>
              <w:rPr>
                <w:rFonts w:ascii="宋体" w:hAnsi="宋体" w:cs="宋体" w:eastAsia="宋体" w:hint="default"/>
                <w:sz w:val="18"/>
                <w:szCs w:val="18"/>
              </w:rPr>
            </w:pPr>
            <w:r>
              <w:rPr>
                <w:rFonts w:ascii="宋体" w:hAnsi="宋体" w:cs="宋体" w:eastAsia="宋体" w:hint="default"/>
                <w:sz w:val="18"/>
                <w:szCs w:val="18"/>
              </w:rPr>
              <w:t>日报 及巨 潮资 讯网 上的 关于 公司 及子 公司 使用 部分 闲置 资金 进行 结构 性存 款的 进展 公告</w:t>
            </w:r>
          </w:p>
          <w:p>
            <w:pPr>
              <w:pStyle w:val="TableParagraph"/>
              <w:spacing w:line="316" w:lineRule="auto" w:before="19"/>
              <w:ind w:left="23" w:right="79"/>
              <w:jc w:val="both"/>
              <w:rPr>
                <w:rFonts w:ascii="宋体" w:hAnsi="宋体" w:cs="宋体" w:eastAsia="宋体" w:hint="default"/>
                <w:sz w:val="18"/>
                <w:szCs w:val="18"/>
              </w:rPr>
            </w:pPr>
            <w:r>
              <w:rPr>
                <w:rFonts w:ascii="宋体" w:hAnsi="宋体" w:cs="宋体" w:eastAsia="宋体" w:hint="default"/>
                <w:sz w:val="18"/>
                <w:szCs w:val="18"/>
              </w:rPr>
              <w:t>（公 告编 号：</w:t>
            </w:r>
          </w:p>
          <w:p>
            <w:pPr>
              <w:pStyle w:val="TableParagraph"/>
              <w:spacing w:line="240" w:lineRule="auto" w:before="61"/>
              <w:ind w:left="23" w:right="0"/>
              <w:jc w:val="both"/>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019</w:t>
            </w:r>
            <w:r>
              <w:rPr>
                <w:rFonts w:ascii="宋体" w:hAnsi="宋体" w:cs="宋体" w:eastAsia="宋体" w:hint="default"/>
                <w:sz w:val="18"/>
                <w:szCs w:val="18"/>
              </w:rPr>
              <w:t>）</w:t>
            </w:r>
          </w:p>
        </w:tc>
      </w:tr>
      <w:tr>
        <w:trPr>
          <w:trHeight w:val="6291"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4"/>
              <w:ind w:left="24" w:right="176"/>
              <w:jc w:val="both"/>
              <w:rPr>
                <w:rFonts w:ascii="宋体" w:hAnsi="宋体" w:cs="宋体" w:eastAsia="宋体" w:hint="default"/>
                <w:sz w:val="18"/>
                <w:szCs w:val="18"/>
              </w:rPr>
            </w:pPr>
            <w:r>
              <w:rPr>
                <w:rFonts w:ascii="宋体" w:hAnsi="宋体" w:cs="宋体" w:eastAsia="宋体" w:hint="default"/>
                <w:sz w:val="18"/>
                <w:szCs w:val="18"/>
              </w:rPr>
              <w:t>中国 工商 银行 深圳 东门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316" w:lineRule="auto"/>
              <w:ind w:left="23" w:right="31"/>
              <w:jc w:val="left"/>
              <w:rPr>
                <w:rFonts w:ascii="宋体" w:hAnsi="宋体" w:cs="宋体" w:eastAsia="宋体" w:hint="default"/>
                <w:sz w:val="18"/>
                <w:szCs w:val="18"/>
              </w:rPr>
            </w:pPr>
            <w:r>
              <w:rPr>
                <w:rFonts w:ascii="宋体" w:hAnsi="宋体" w:cs="宋体" w:eastAsia="宋体" w:hint="default"/>
                <w:sz w:val="18"/>
                <w:szCs w:val="18"/>
              </w:rPr>
              <w:t>保本浮 动收益 型（银 行理 财）</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36" w:right="0"/>
              <w:jc w:val="left"/>
              <w:rPr>
                <w:rFonts w:ascii="Times New Roman" w:hAnsi="Times New Roman" w:cs="Times New Roman" w:eastAsia="Times New Roman" w:hint="default"/>
                <w:sz w:val="18"/>
                <w:szCs w:val="18"/>
              </w:rPr>
            </w:pPr>
            <w:r>
              <w:rPr>
                <w:rFonts w:ascii="Times New Roman"/>
                <w:sz w:val="18"/>
              </w:rPr>
              <w:t>2,000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47"/>
              <w:ind w:left="24" w:right="166"/>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
              <w:jc w:val="left"/>
              <w:rPr>
                <w:rFonts w:ascii="宋体" w:hAnsi="宋体" w:cs="宋体" w:eastAsia="宋体" w:hint="default"/>
                <w:sz w:val="18"/>
                <w:szCs w:val="18"/>
              </w:rPr>
            </w:pPr>
            <w:r>
              <w:rPr>
                <w:rFonts w:ascii="宋体" w:hAnsi="宋体" w:cs="宋体" w:eastAsia="宋体" w:hint="default"/>
                <w:sz w:val="18"/>
                <w:szCs w:val="18"/>
              </w:rPr>
              <w:t>一是 债券、 存款 等高 流动 性资 产， 包括 但不 限于 各类 债券、 存款、 货</w:t>
            </w:r>
            <w:r>
              <w:rPr>
                <w:rFonts w:ascii="宋体" w:hAnsi="宋体" w:cs="宋体" w:eastAsia="宋体" w:hint="default"/>
                <w:spacing w:val="1"/>
                <w:sz w:val="18"/>
                <w:szCs w:val="18"/>
              </w:rPr>
              <w:t> </w:t>
            </w:r>
            <w:r>
              <w:rPr>
                <w:rFonts w:ascii="宋体" w:hAnsi="宋体" w:cs="宋体" w:eastAsia="宋体" w:hint="default"/>
                <w:sz w:val="18"/>
                <w:szCs w:val="18"/>
              </w:rPr>
              <w:t>币</w:t>
            </w:r>
            <w:r>
              <w:rPr>
                <w:rFonts w:ascii="宋体" w:hAnsi="宋体" w:cs="宋体" w:eastAsia="宋体" w:hint="default"/>
                <w:sz w:val="18"/>
                <w:szCs w:val="18"/>
              </w:rPr>
              <w:t> 市场 基金、 债券 基金、 质押 式回</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62" w:right="0"/>
              <w:jc w:val="left"/>
              <w:rPr>
                <w:rFonts w:ascii="Times New Roman" w:hAnsi="Times New Roman" w:cs="Times New Roman" w:eastAsia="Times New Roman" w:hint="default"/>
                <w:sz w:val="18"/>
                <w:szCs w:val="18"/>
              </w:rPr>
            </w:pPr>
            <w:r>
              <w:rPr>
                <w:rFonts w:ascii="Times New Roman"/>
                <w:sz w:val="18"/>
              </w:rPr>
              <w:t>3.10%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13" w:right="0"/>
              <w:jc w:val="left"/>
              <w:rPr>
                <w:rFonts w:ascii="Times New Roman" w:hAnsi="Times New Roman" w:cs="Times New Roman" w:eastAsia="Times New Roman" w:hint="default"/>
                <w:sz w:val="18"/>
                <w:szCs w:val="18"/>
              </w:rPr>
            </w:pPr>
            <w:r>
              <w:rPr>
                <w:rFonts w:ascii="Times New Roman"/>
                <w:sz w:val="18"/>
              </w:rPr>
              <w:t>9.68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13" w:right="0"/>
              <w:jc w:val="left"/>
              <w:rPr>
                <w:rFonts w:ascii="Times New Roman" w:hAnsi="Times New Roman" w:cs="Times New Roman" w:eastAsia="Times New Roman" w:hint="default"/>
                <w:sz w:val="18"/>
                <w:szCs w:val="18"/>
              </w:rPr>
            </w:pPr>
            <w:r>
              <w:rPr>
                <w:rFonts w:ascii="Times New Roman"/>
                <w:sz w:val="18"/>
              </w:rPr>
              <w:t>9.68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47"/>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7"/>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20"/>
                <w:sz w:val="18"/>
                <w:szCs w:val="18"/>
              </w:rPr>
              <w:t>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海证 券报、 证券 时报、 证券 日报 及巨 潮资 讯网 上的 关于 公司 全资 三级 子公 司使 用部</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60"/>
        <w:gridCol w:w="562"/>
        <w:gridCol w:w="562"/>
        <w:gridCol w:w="562"/>
        <w:gridCol w:w="548"/>
        <w:gridCol w:w="547"/>
        <w:gridCol w:w="547"/>
        <w:gridCol w:w="540"/>
      </w:tblGrid>
      <w:tr>
        <w:trPr>
          <w:trHeight w:val="13740"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3"/>
              <w:jc w:val="left"/>
              <w:rPr>
                <w:rFonts w:ascii="宋体" w:hAnsi="宋体" w:cs="宋体" w:eastAsia="宋体" w:hint="default"/>
                <w:sz w:val="18"/>
                <w:szCs w:val="18"/>
              </w:rPr>
            </w:pPr>
            <w:r>
              <w:rPr>
                <w:rFonts w:ascii="宋体" w:hAnsi="宋体" w:cs="宋体" w:eastAsia="宋体" w:hint="default"/>
                <w:sz w:val="18"/>
                <w:szCs w:val="18"/>
              </w:rPr>
              <w:t>购等 货币 市场 交易 工具； 二是 其他 资产 或者 资产 组合， 包括 但不 限于 证券 公司 集合 资产 管理 计划 或定 向资 产管 理计 </w:t>
            </w:r>
            <w:r>
              <w:rPr>
                <w:rFonts w:ascii="宋体" w:hAnsi="宋体" w:cs="宋体" w:eastAsia="宋体" w:hint="default"/>
                <w:spacing w:val="-12"/>
                <w:sz w:val="18"/>
                <w:szCs w:val="18"/>
              </w:rPr>
              <w:t>划、基</w:t>
            </w:r>
            <w:r>
              <w:rPr>
                <w:rFonts w:ascii="宋体" w:hAnsi="宋体" w:cs="宋体" w:eastAsia="宋体" w:hint="default"/>
                <w:sz w:val="18"/>
                <w:szCs w:val="18"/>
              </w:rPr>
              <w:t> 金管 理公 司特 定客 户资 产管 理计 </w:t>
            </w:r>
            <w:r>
              <w:rPr>
                <w:rFonts w:ascii="宋体" w:hAnsi="宋体" w:cs="宋体" w:eastAsia="宋体" w:hint="default"/>
                <w:spacing w:val="-12"/>
                <w:sz w:val="18"/>
                <w:szCs w:val="18"/>
              </w:rPr>
              <w:t>划、保</w:t>
            </w:r>
            <w:r>
              <w:rPr>
                <w:rFonts w:ascii="宋体" w:hAnsi="宋体" w:cs="宋体" w:eastAsia="宋体" w:hint="default"/>
                <w:sz w:val="18"/>
                <w:szCs w:val="18"/>
              </w:rPr>
              <w:t> 险资 产管 理公 司投 资计 划等； 三是 债权 类资 </w:t>
            </w:r>
            <w:r>
              <w:rPr>
                <w:rFonts w:ascii="宋体" w:hAnsi="宋体" w:cs="宋体" w:eastAsia="宋体" w:hint="default"/>
                <w:spacing w:val="-12"/>
                <w:sz w:val="18"/>
                <w:szCs w:val="18"/>
              </w:rPr>
              <w:t>产，包</w:t>
            </w:r>
            <w:r>
              <w:rPr>
                <w:rFonts w:ascii="宋体" w:hAnsi="宋体" w:cs="宋体" w:eastAsia="宋体" w:hint="default"/>
                <w:sz w:val="18"/>
                <w:szCs w:val="18"/>
              </w:rPr>
              <w:t> 括但</w:t>
            </w: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44"/>
              <w:jc w:val="both"/>
              <w:rPr>
                <w:rFonts w:ascii="宋体" w:hAnsi="宋体" w:cs="宋体" w:eastAsia="宋体" w:hint="default"/>
                <w:sz w:val="18"/>
                <w:szCs w:val="18"/>
              </w:rPr>
            </w:pPr>
            <w:r>
              <w:rPr>
                <w:rFonts w:ascii="宋体" w:hAnsi="宋体" w:cs="宋体" w:eastAsia="宋体" w:hint="default"/>
                <w:sz w:val="18"/>
                <w:szCs w:val="18"/>
              </w:rPr>
              <w:t>分闲 置自 有资 金进 行银 行理 财的 进展 公告</w:t>
            </w:r>
          </w:p>
          <w:p>
            <w:pPr>
              <w:pStyle w:val="TableParagraph"/>
              <w:spacing w:line="316" w:lineRule="auto" w:before="19"/>
              <w:ind w:left="23" w:right="82"/>
              <w:jc w:val="both"/>
              <w:rPr>
                <w:rFonts w:ascii="宋体" w:hAnsi="宋体" w:cs="宋体" w:eastAsia="宋体" w:hint="default"/>
                <w:sz w:val="18"/>
                <w:szCs w:val="18"/>
              </w:rPr>
            </w:pPr>
            <w:r>
              <w:rPr>
                <w:rFonts w:ascii="宋体" w:hAnsi="宋体" w:cs="宋体" w:eastAsia="宋体" w:hint="default"/>
                <w:sz w:val="18"/>
                <w:szCs w:val="18"/>
              </w:rPr>
              <w:t>（公 告编 号：</w:t>
            </w:r>
          </w:p>
          <w:p>
            <w:pPr>
              <w:pStyle w:val="TableParagraph"/>
              <w:spacing w:line="240" w:lineRule="auto" w:before="61"/>
              <w:ind w:left="23" w:right="0"/>
              <w:jc w:val="both"/>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027</w:t>
            </w:r>
            <w:r>
              <w:rPr>
                <w:rFonts w:ascii="宋体" w:hAnsi="宋体" w:cs="宋体" w:eastAsia="宋体" w:hint="default"/>
                <w:sz w:val="18"/>
                <w:szCs w:val="18"/>
              </w:rPr>
              <w:t>）</w:t>
            </w:r>
          </w:p>
        </w:tc>
      </w:tr>
    </w:tbl>
    <w:p>
      <w:pPr>
        <w:spacing w:after="0" w:line="240" w:lineRule="auto"/>
        <w:jc w:val="both"/>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60"/>
        <w:gridCol w:w="562"/>
        <w:gridCol w:w="562"/>
        <w:gridCol w:w="562"/>
        <w:gridCol w:w="548"/>
        <w:gridCol w:w="547"/>
        <w:gridCol w:w="547"/>
        <w:gridCol w:w="538"/>
      </w:tblGrid>
      <w:tr>
        <w:trPr>
          <w:trHeight w:val="4107"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23"/>
              <w:jc w:val="left"/>
              <w:rPr>
                <w:rFonts w:ascii="宋体" w:hAnsi="宋体" w:cs="宋体" w:eastAsia="宋体" w:hint="default"/>
                <w:sz w:val="18"/>
                <w:szCs w:val="18"/>
              </w:rPr>
            </w:pPr>
            <w:r>
              <w:rPr>
                <w:rFonts w:ascii="宋体" w:hAnsi="宋体" w:cs="宋体" w:eastAsia="宋体" w:hint="default"/>
                <w:sz w:val="18"/>
                <w:szCs w:val="18"/>
              </w:rPr>
              <w:t>不限 于债 权类 信托 计 </w:t>
            </w:r>
            <w:r>
              <w:rPr>
                <w:rFonts w:ascii="宋体" w:hAnsi="宋体" w:cs="宋体" w:eastAsia="宋体" w:hint="default"/>
                <w:spacing w:val="-12"/>
                <w:sz w:val="18"/>
                <w:szCs w:val="18"/>
              </w:rPr>
              <w:t>划、北</w:t>
            </w:r>
            <w:r>
              <w:rPr>
                <w:rFonts w:ascii="宋体" w:hAnsi="宋体" w:cs="宋体" w:eastAsia="宋体" w:hint="default"/>
                <w:sz w:val="18"/>
                <w:szCs w:val="18"/>
              </w:rPr>
              <w:t> 京金 融资 产交 易所 委托 债权 等。</w:t>
            </w: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9723"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3"/>
              <w:ind w:left="24" w:right="176"/>
              <w:jc w:val="both"/>
              <w:rPr>
                <w:rFonts w:ascii="宋体" w:hAnsi="宋体" w:cs="宋体" w:eastAsia="宋体" w:hint="default"/>
                <w:sz w:val="18"/>
                <w:szCs w:val="18"/>
              </w:rPr>
            </w:pPr>
            <w:r>
              <w:rPr>
                <w:rFonts w:ascii="宋体" w:hAnsi="宋体" w:cs="宋体" w:eastAsia="宋体" w:hint="default"/>
                <w:sz w:val="18"/>
                <w:szCs w:val="18"/>
              </w:rPr>
              <w:t>民生 银行 西长 安街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3"/>
              <w:ind w:left="23" w:right="31"/>
              <w:jc w:val="both"/>
              <w:rPr>
                <w:rFonts w:ascii="宋体" w:hAnsi="宋体" w:cs="宋体" w:eastAsia="宋体" w:hint="default"/>
                <w:sz w:val="18"/>
                <w:szCs w:val="18"/>
              </w:rPr>
            </w:pPr>
            <w:r>
              <w:rPr>
                <w:rFonts w:ascii="宋体" w:hAnsi="宋体" w:cs="宋体" w:eastAsia="宋体" w:hint="default"/>
                <w:sz w:val="18"/>
                <w:szCs w:val="18"/>
              </w:rPr>
              <w:t>保本浮 动收益 型（结 构性存 款）</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3,000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4" w:lineRule="auto"/>
              <w:ind w:left="24" w:right="166"/>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60" w:lineRule="auto"/>
              <w:ind w:left="23" w:right="77"/>
              <w:jc w:val="left"/>
              <w:rPr>
                <w:rFonts w:ascii="Times New Roman" w:hAnsi="Times New Roman" w:cs="Times New Roman" w:eastAsia="Times New Roman" w:hint="default"/>
                <w:sz w:val="18"/>
                <w:szCs w:val="18"/>
              </w:rPr>
            </w:pPr>
            <w:r>
              <w:rPr>
                <w:rFonts w:ascii="Times New Roman"/>
                <w:sz w:val="18"/>
              </w:rPr>
              <w:t>USD3</w:t>
            </w:r>
            <w:r>
              <w:rPr>
                <w:rFonts w:ascii="Times New Roman"/>
                <w:w w:val="99"/>
                <w:sz w:val="18"/>
              </w:rPr>
              <w:t> </w:t>
            </w:r>
            <w:r>
              <w:rPr>
                <w:rFonts w:ascii="Times New Roman"/>
                <w:sz w:val="18"/>
              </w:rPr>
              <w:t>M-LI</w:t>
            </w:r>
            <w:r>
              <w:rPr>
                <w:rFonts w:ascii="Times New Roman"/>
                <w:spacing w:val="-2"/>
                <w:w w:val="99"/>
                <w:sz w:val="18"/>
              </w:rPr>
              <w:t> </w:t>
            </w:r>
            <w:r>
              <w:rPr>
                <w:rFonts w:ascii="Times New Roman"/>
                <w:sz w:val="18"/>
              </w:rPr>
              <w:t>BOR</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3.45%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11.34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11.34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4" w:lineRule="auto"/>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7"/>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20"/>
                <w:sz w:val="18"/>
                <w:szCs w:val="18"/>
              </w:rPr>
              <w:t>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海证 券报、 证券 时报、 证券 日报 及巨 潮资 讯网 上的 关于 公司 全资 子公 司使 用部 分闲 置自 有资 金进 行结 构性 存款 的进 展公 </w:t>
            </w:r>
            <w:r>
              <w:rPr>
                <w:rFonts w:ascii="宋体" w:hAnsi="宋体" w:cs="宋体" w:eastAsia="宋体" w:hint="default"/>
                <w:spacing w:val="-20"/>
                <w:sz w:val="18"/>
                <w:szCs w:val="18"/>
              </w:rPr>
              <w:t>告（公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告编 号：</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60"/>
        <w:gridCol w:w="562"/>
        <w:gridCol w:w="562"/>
        <w:gridCol w:w="562"/>
        <w:gridCol w:w="548"/>
        <w:gridCol w:w="547"/>
        <w:gridCol w:w="547"/>
        <w:gridCol w:w="538"/>
      </w:tblGrid>
      <w:tr>
        <w:trPr>
          <w:trHeight w:val="675"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083</w:t>
            </w:r>
            <w:r>
              <w:rPr>
                <w:rFonts w:ascii="宋体" w:hAnsi="宋体" w:cs="宋体" w:eastAsia="宋体" w:hint="default"/>
                <w:sz w:val="18"/>
                <w:szCs w:val="18"/>
              </w:rPr>
              <w:t>）</w:t>
            </w:r>
          </w:p>
        </w:tc>
      </w:tr>
      <w:tr>
        <w:trPr>
          <w:trHeight w:val="10386"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316" w:lineRule="auto"/>
              <w:ind w:left="24" w:right="176"/>
              <w:jc w:val="both"/>
              <w:rPr>
                <w:rFonts w:ascii="宋体" w:hAnsi="宋体" w:cs="宋体" w:eastAsia="宋体" w:hint="default"/>
                <w:sz w:val="18"/>
                <w:szCs w:val="18"/>
              </w:rPr>
            </w:pPr>
            <w:r>
              <w:rPr>
                <w:rFonts w:ascii="宋体" w:hAnsi="宋体" w:cs="宋体" w:eastAsia="宋体" w:hint="default"/>
                <w:sz w:val="18"/>
                <w:szCs w:val="18"/>
              </w:rPr>
              <w:t>民生 银行 金融 街支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316" w:lineRule="auto"/>
              <w:ind w:left="23" w:right="31"/>
              <w:jc w:val="both"/>
              <w:rPr>
                <w:rFonts w:ascii="宋体" w:hAnsi="宋体" w:cs="宋体" w:eastAsia="宋体" w:hint="default"/>
                <w:sz w:val="18"/>
                <w:szCs w:val="18"/>
              </w:rPr>
            </w:pPr>
            <w:r>
              <w:rPr>
                <w:rFonts w:ascii="宋体" w:hAnsi="宋体" w:cs="宋体" w:eastAsia="宋体" w:hint="default"/>
                <w:sz w:val="18"/>
                <w:szCs w:val="18"/>
              </w:rPr>
              <w:t>保本浮 动收益 型（结 构性存 款）</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8"/>
              <w:jc w:val="right"/>
              <w:rPr>
                <w:rFonts w:ascii="Times New Roman" w:hAnsi="Times New Roman" w:cs="Times New Roman" w:eastAsia="Times New Roman" w:hint="default"/>
                <w:sz w:val="18"/>
                <w:szCs w:val="18"/>
              </w:rPr>
            </w:pPr>
            <w:r>
              <w:rPr>
                <w:rFonts w:ascii="Times New Roman"/>
                <w:sz w:val="18"/>
              </w:rPr>
              <w:t>2,000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5"/>
              <w:ind w:left="24" w:right="166"/>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62" w:lineRule="auto"/>
              <w:ind w:left="23" w:right="77"/>
              <w:jc w:val="left"/>
              <w:rPr>
                <w:rFonts w:ascii="Times New Roman" w:hAnsi="Times New Roman" w:cs="Times New Roman" w:eastAsia="Times New Roman" w:hint="default"/>
                <w:sz w:val="18"/>
                <w:szCs w:val="18"/>
              </w:rPr>
            </w:pPr>
            <w:r>
              <w:rPr>
                <w:rFonts w:ascii="Times New Roman"/>
                <w:sz w:val="18"/>
              </w:rPr>
              <w:t>USD3</w:t>
            </w:r>
            <w:r>
              <w:rPr>
                <w:rFonts w:ascii="Times New Roman"/>
                <w:w w:val="99"/>
                <w:sz w:val="18"/>
              </w:rPr>
              <w:t> </w:t>
            </w:r>
            <w:r>
              <w:rPr>
                <w:rFonts w:ascii="Times New Roman"/>
                <w:sz w:val="18"/>
              </w:rPr>
              <w:t>M-LI</w:t>
            </w:r>
            <w:r>
              <w:rPr>
                <w:rFonts w:ascii="Times New Roman"/>
                <w:spacing w:val="-2"/>
                <w:w w:val="99"/>
                <w:sz w:val="18"/>
              </w:rPr>
              <w:t> </w:t>
            </w:r>
            <w:r>
              <w:rPr>
                <w:rFonts w:ascii="Times New Roman"/>
                <w:sz w:val="18"/>
              </w:rPr>
              <w:t>BOR</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62" w:right="0"/>
              <w:jc w:val="left"/>
              <w:rPr>
                <w:rFonts w:ascii="Times New Roman" w:hAnsi="Times New Roman" w:cs="Times New Roman" w:eastAsia="Times New Roman" w:hint="default"/>
                <w:sz w:val="18"/>
                <w:szCs w:val="18"/>
              </w:rPr>
            </w:pPr>
            <w:r>
              <w:rPr>
                <w:rFonts w:ascii="Times New Roman"/>
                <w:sz w:val="18"/>
              </w:rPr>
              <w:t>3.45%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190" w:right="0"/>
              <w:jc w:val="center"/>
              <w:rPr>
                <w:rFonts w:ascii="Times New Roman" w:hAnsi="Times New Roman" w:cs="Times New Roman" w:eastAsia="Times New Roman" w:hint="default"/>
                <w:sz w:val="18"/>
                <w:szCs w:val="18"/>
              </w:rPr>
            </w:pPr>
            <w:r>
              <w:rPr>
                <w:rFonts w:ascii="Times New Roman"/>
                <w:sz w:val="18"/>
              </w:rPr>
              <w:t>7.56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190" w:right="0"/>
              <w:jc w:val="center"/>
              <w:rPr>
                <w:rFonts w:ascii="Times New Roman" w:hAnsi="Times New Roman" w:cs="Times New Roman" w:eastAsia="Times New Roman" w:hint="default"/>
                <w:sz w:val="18"/>
                <w:szCs w:val="18"/>
              </w:rPr>
            </w:pPr>
            <w:r>
              <w:rPr>
                <w:rFonts w:ascii="Times New Roman"/>
                <w:sz w:val="18"/>
              </w:rPr>
              <w:t>7.56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5"/>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7"/>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20"/>
                <w:sz w:val="18"/>
                <w:szCs w:val="18"/>
              </w:rPr>
              <w:t>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海证 券报、 证券 时报、 证券 日报 及巨 潮资 讯网 上的 关于 公司 全资 子公 司使 用部 分闲 置自 有资 金进 行结 构性 存款 的进 展公 </w:t>
            </w:r>
            <w:r>
              <w:rPr>
                <w:rFonts w:ascii="宋体" w:hAnsi="宋体" w:cs="宋体" w:eastAsia="宋体" w:hint="default"/>
                <w:spacing w:val="-20"/>
                <w:sz w:val="18"/>
                <w:szCs w:val="18"/>
              </w:rPr>
              <w:t>告（公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告编 号：</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083</w:t>
            </w:r>
            <w:r>
              <w:rPr>
                <w:rFonts w:ascii="宋体" w:hAnsi="宋体" w:cs="宋体" w:eastAsia="宋体" w:hint="default"/>
                <w:sz w:val="18"/>
                <w:szCs w:val="18"/>
              </w:rPr>
              <w:t>）</w:t>
            </w:r>
          </w:p>
        </w:tc>
      </w:tr>
      <w:tr>
        <w:trPr>
          <w:trHeight w:val="285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316" w:lineRule="auto"/>
              <w:ind w:left="24" w:right="176"/>
              <w:jc w:val="both"/>
              <w:rPr>
                <w:rFonts w:ascii="宋体" w:hAnsi="宋体" w:cs="宋体" w:eastAsia="宋体" w:hint="default"/>
                <w:sz w:val="18"/>
                <w:szCs w:val="18"/>
              </w:rPr>
            </w:pPr>
            <w:r>
              <w:rPr>
                <w:rFonts w:ascii="宋体" w:hAnsi="宋体" w:cs="宋体" w:eastAsia="宋体" w:hint="default"/>
                <w:sz w:val="18"/>
                <w:szCs w:val="18"/>
              </w:rPr>
              <w:t>广东 华兴 银行 股份 有限 公司</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16" w:lineRule="auto"/>
              <w:ind w:left="23" w:right="31"/>
              <w:jc w:val="left"/>
              <w:rPr>
                <w:rFonts w:ascii="宋体" w:hAnsi="宋体" w:cs="宋体" w:eastAsia="宋体" w:hint="default"/>
                <w:sz w:val="18"/>
                <w:szCs w:val="18"/>
              </w:rPr>
            </w:pPr>
            <w:r>
              <w:rPr>
                <w:rFonts w:ascii="宋体" w:hAnsi="宋体" w:cs="宋体" w:eastAsia="宋体" w:hint="default"/>
                <w:sz w:val="18"/>
                <w:szCs w:val="18"/>
              </w:rPr>
              <w:t>保本浮 动收益 型（银 行理 财）</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1,900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316" w:lineRule="auto"/>
              <w:ind w:left="24" w:right="166"/>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7"/>
              <w:jc w:val="both"/>
              <w:rPr>
                <w:rFonts w:ascii="宋体" w:hAnsi="宋体" w:cs="宋体" w:eastAsia="宋体" w:hint="default"/>
                <w:sz w:val="18"/>
                <w:szCs w:val="18"/>
              </w:rPr>
            </w:pPr>
            <w:r>
              <w:rPr>
                <w:rFonts w:ascii="宋体" w:hAnsi="宋体" w:cs="宋体" w:eastAsia="宋体" w:hint="default"/>
                <w:sz w:val="18"/>
                <w:szCs w:val="18"/>
              </w:rPr>
              <w:t>本理 财计 划的 投资 方向 包括 但不 限于 信用</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8"/>
              <w:ind w:left="23"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16.71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16.71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7"/>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20"/>
                <w:sz w:val="18"/>
                <w:szCs w:val="18"/>
              </w:rPr>
              <w:t>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海证 券报、 证券 时报、 证券 日报</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60"/>
        <w:gridCol w:w="562"/>
        <w:gridCol w:w="562"/>
        <w:gridCol w:w="562"/>
        <w:gridCol w:w="548"/>
        <w:gridCol w:w="547"/>
        <w:gridCol w:w="547"/>
        <w:gridCol w:w="538"/>
      </w:tblGrid>
      <w:tr>
        <w:trPr>
          <w:trHeight w:val="9100"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3"/>
              <w:jc w:val="left"/>
              <w:rPr>
                <w:rFonts w:ascii="宋体" w:hAnsi="宋体" w:cs="宋体" w:eastAsia="宋体" w:hint="default"/>
                <w:sz w:val="18"/>
                <w:szCs w:val="18"/>
              </w:rPr>
            </w:pPr>
            <w:r>
              <w:rPr>
                <w:rFonts w:ascii="宋体" w:hAnsi="宋体" w:cs="宋体" w:eastAsia="宋体" w:hint="default"/>
                <w:sz w:val="18"/>
                <w:szCs w:val="18"/>
              </w:rPr>
              <w:t>级别 较高、 流动 性较 好的 金融 工具， 主要 包括 债券 回购、 同</w:t>
            </w:r>
            <w:r>
              <w:rPr>
                <w:rFonts w:ascii="宋体" w:hAnsi="宋体" w:cs="宋体" w:eastAsia="宋体" w:hint="default"/>
                <w:spacing w:val="1"/>
                <w:sz w:val="18"/>
                <w:szCs w:val="18"/>
              </w:rPr>
              <w:t> </w:t>
            </w:r>
            <w:r>
              <w:rPr>
                <w:rFonts w:ascii="宋体" w:hAnsi="宋体" w:cs="宋体" w:eastAsia="宋体" w:hint="default"/>
                <w:sz w:val="18"/>
                <w:szCs w:val="18"/>
              </w:rPr>
              <w:t>业</w:t>
            </w:r>
            <w:r>
              <w:rPr>
                <w:rFonts w:ascii="宋体" w:hAnsi="宋体" w:cs="宋体" w:eastAsia="宋体" w:hint="default"/>
                <w:sz w:val="18"/>
                <w:szCs w:val="18"/>
              </w:rPr>
              <w:t> 拆借、 国债、 金融 </w:t>
            </w:r>
            <w:r>
              <w:rPr>
                <w:rFonts w:ascii="宋体" w:hAnsi="宋体" w:cs="宋体" w:eastAsia="宋体" w:hint="default"/>
                <w:spacing w:val="-12"/>
                <w:sz w:val="18"/>
                <w:szCs w:val="18"/>
              </w:rPr>
              <w:t>债、央</w:t>
            </w:r>
            <w:r>
              <w:rPr>
                <w:rFonts w:ascii="宋体" w:hAnsi="宋体" w:cs="宋体" w:eastAsia="宋体" w:hint="default"/>
                <w:sz w:val="18"/>
                <w:szCs w:val="18"/>
              </w:rPr>
              <w:t> 行票 据、 以及 高信 用级 别的 企业 </w:t>
            </w:r>
            <w:r>
              <w:rPr>
                <w:rFonts w:ascii="宋体" w:hAnsi="宋体" w:cs="宋体" w:eastAsia="宋体" w:hint="default"/>
                <w:spacing w:val="-12"/>
                <w:sz w:val="18"/>
                <w:szCs w:val="18"/>
              </w:rPr>
              <w:t>债、公</w:t>
            </w:r>
            <w:r>
              <w:rPr>
                <w:rFonts w:ascii="宋体" w:hAnsi="宋体" w:cs="宋体" w:eastAsia="宋体" w:hint="default"/>
                <w:sz w:val="18"/>
                <w:szCs w:val="18"/>
              </w:rPr>
              <w:t> 司 </w:t>
            </w:r>
            <w:r>
              <w:rPr>
                <w:rFonts w:ascii="宋体" w:hAnsi="宋体" w:cs="宋体" w:eastAsia="宋体" w:hint="default"/>
                <w:spacing w:val="-12"/>
                <w:sz w:val="18"/>
                <w:szCs w:val="18"/>
              </w:rPr>
              <w:t>债、短</w:t>
            </w:r>
            <w:r>
              <w:rPr>
                <w:rFonts w:ascii="宋体" w:hAnsi="宋体" w:cs="宋体" w:eastAsia="宋体" w:hint="default"/>
                <w:sz w:val="18"/>
                <w:szCs w:val="18"/>
              </w:rPr>
              <w:t> 期融 资券</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等</w:t>
            </w: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及巨 潮资 讯网 上的 关于 公司 及全 资三 级子 公司 使用 部分 闲置 资金 进行 现金 管理 的进 展公 </w:t>
            </w:r>
            <w:r>
              <w:rPr>
                <w:rFonts w:ascii="宋体" w:hAnsi="宋体" w:cs="宋体" w:eastAsia="宋体" w:hint="default"/>
                <w:spacing w:val="-20"/>
                <w:sz w:val="18"/>
                <w:szCs w:val="18"/>
              </w:rPr>
              <w:t>告（公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告编 号：</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008</w:t>
            </w:r>
            <w:r>
              <w:rPr>
                <w:rFonts w:ascii="宋体" w:hAnsi="宋体" w:cs="宋体" w:eastAsia="宋体" w:hint="default"/>
                <w:sz w:val="18"/>
                <w:szCs w:val="18"/>
              </w:rPr>
              <w:t>）</w:t>
            </w:r>
          </w:p>
        </w:tc>
      </w:tr>
      <w:tr>
        <w:trPr>
          <w:trHeight w:val="713" w:hRule="exact"/>
        </w:trPr>
        <w:tc>
          <w:tcPr>
            <w:tcW w:w="17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2,056.</w:t>
            </w:r>
          </w:p>
          <w:p>
            <w:pPr>
              <w:pStyle w:val="TableParagraph"/>
              <w:spacing w:line="240" w:lineRule="auto" w:before="105"/>
              <w:ind w:left="347" w:right="0"/>
              <w:jc w:val="left"/>
              <w:rPr>
                <w:rFonts w:ascii="Times New Roman" w:hAnsi="Times New Roman" w:cs="Times New Roman" w:eastAsia="Times New Roman" w:hint="default"/>
                <w:sz w:val="18"/>
                <w:szCs w:val="18"/>
              </w:rPr>
            </w:pPr>
            <w:r>
              <w:rPr>
                <w:rFonts w:ascii="Times New Roman"/>
                <w:sz w:val="18"/>
              </w:rPr>
              <w:t>81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2,056.</w:t>
            </w:r>
          </w:p>
          <w:p>
            <w:pPr>
              <w:pStyle w:val="TableParagraph"/>
              <w:spacing w:line="240" w:lineRule="auto" w:before="105"/>
              <w:ind w:left="348" w:right="0"/>
              <w:jc w:val="left"/>
              <w:rPr>
                <w:rFonts w:ascii="Times New Roman" w:hAnsi="Times New Roman" w:cs="Times New Roman" w:eastAsia="Times New Roman" w:hint="default"/>
                <w:sz w:val="18"/>
                <w:szCs w:val="18"/>
              </w:rPr>
            </w:pPr>
            <w:r>
              <w:rPr>
                <w:rFonts w:ascii="Times New Roman"/>
                <w:sz w:val="18"/>
              </w:rPr>
              <w:t>81</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委托理财出现预期无法收回本金或存在其他可能导致减值的情形</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6"/>
          <w:szCs w:val="26"/>
        </w:rPr>
      </w:pPr>
    </w:p>
    <w:p>
      <w:pPr>
        <w:pStyle w:val="Heading3"/>
        <w:spacing w:line="240" w:lineRule="auto"/>
        <w:ind w:right="1133"/>
        <w:jc w:val="left"/>
        <w:rPr>
          <w:b w:val="0"/>
          <w:bCs w:val="0"/>
        </w:rPr>
      </w:pPr>
      <w:bookmarkStart w:name="（2）委托贷款情况" w:id="97"/>
      <w:bookmarkEnd w:id="97"/>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5"/>
        <w:rPr>
          <w:rFonts w:ascii="宋体" w:hAnsi="宋体" w:cs="宋体" w:eastAsia="宋体" w:hint="default"/>
          <w:sz w:val="21"/>
          <w:szCs w:val="21"/>
        </w:rPr>
      </w:pPr>
    </w:p>
    <w:p>
      <w:pPr>
        <w:pStyle w:val="Heading3"/>
        <w:spacing w:line="240" w:lineRule="auto"/>
        <w:ind w:right="1133"/>
        <w:jc w:val="left"/>
        <w:rPr>
          <w:b w:val="0"/>
          <w:bCs w:val="0"/>
        </w:rPr>
      </w:pPr>
      <w:bookmarkStart w:name="4、其他重大合同" w:id="98"/>
      <w:bookmarkEnd w:id="98"/>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公司报告期不存在其他重大合同。</w:t>
      </w:r>
    </w:p>
    <w:p>
      <w:pPr>
        <w:spacing w:after="0" w:line="338"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bookmarkStart w:name="十八、社会责任情况" w:id="99"/>
      <w:bookmarkEnd w:id="99"/>
      <w:r>
        <w:rPr>
          <w:b w:val="0"/>
          <w:bCs w:val="0"/>
        </w:rPr>
      </w:r>
      <w:r>
        <w:rPr/>
        <w:t>十八、社会责任情况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履行社会责任情况" w:id="100"/>
      <w:bookmarkEnd w:id="100"/>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2"/>
        <w:rPr>
          <w:rFonts w:ascii="宋体" w:hAnsi="宋体" w:cs="宋体" w:eastAsia="宋体" w:hint="default"/>
          <w:b/>
          <w:bCs/>
          <w:sz w:val="26"/>
          <w:szCs w:val="26"/>
        </w:rPr>
      </w:pPr>
    </w:p>
    <w:p>
      <w:pPr>
        <w:pStyle w:val="BodyText"/>
        <w:spacing w:line="309" w:lineRule="auto"/>
        <w:ind w:right="1034" w:firstLine="360"/>
        <w:jc w:val="left"/>
      </w:pPr>
      <w:r>
        <w:rPr/>
        <w:t>公司秉承</w:t>
      </w:r>
      <w:r>
        <w:rPr>
          <w:rFonts w:ascii="Times New Roman" w:hAnsi="Times New Roman" w:cs="Times New Roman" w:eastAsia="Times New Roman" w:hint="default"/>
        </w:rPr>
        <w:t>“</w:t>
      </w:r>
      <w:r>
        <w:rPr/>
        <w:t>诚信、责任、和谐、感恩</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为社会创造财富，为股东创造价值</w:t>
      </w:r>
      <w:r>
        <w:rPr>
          <w:rFonts w:ascii="Times New Roman" w:hAnsi="Times New Roman" w:cs="Times New Roman" w:eastAsia="Times New Roman" w:hint="default"/>
        </w:rPr>
        <w:t>”</w:t>
      </w:r>
      <w:r>
        <w:rPr/>
        <w:t>的企业使命，充分挖掘内部潜力，调动全体 员工的工作积极性，在企业持续稳健发展、保护股东利益的同时，认真履行对股东、员工、对客户、对供应商的社会责任， 以实际行动履行公司在各方面应尽的责任和义务，创建和谐的发展环境，促进公司和谐发展。</w:t>
      </w:r>
    </w:p>
    <w:p>
      <w:pPr>
        <w:pStyle w:val="BodyText"/>
        <w:spacing w:line="314" w:lineRule="auto" w:before="24"/>
        <w:ind w:right="0" w:firstLine="360"/>
        <w:jc w:val="left"/>
      </w:pPr>
      <w:r>
        <w:rPr>
          <w:rFonts w:ascii="Times New Roman" w:hAnsi="Times New Roman" w:cs="Times New Roman" w:eastAsia="Times New Roman" w:hint="default"/>
          <w:spacing w:val="-2"/>
        </w:rPr>
        <w:t>1</w:t>
      </w:r>
      <w:r>
        <w:rPr>
          <w:spacing w:val="-2"/>
        </w:rPr>
        <w:t>、在保障公司股东特别是中小股东权益方面，公司严格按照《公司法》、《深圳证券交易所上市公司规范运作指引》、</w:t>
      </w:r>
      <w:r>
        <w:rPr/>
        <w:t> </w:t>
      </w:r>
      <w:r>
        <w:rPr>
          <w:spacing w:val="-2"/>
        </w:rPr>
        <w:t>公司《章程》等有关法律法规制度等要求，建立了涵盖公司运营全部环节和多层次的内控体系，使公司各项经营、决策等事</w:t>
      </w:r>
      <w:r>
        <w:rPr>
          <w:spacing w:val="-67"/>
        </w:rPr>
        <w:t> </w:t>
      </w:r>
      <w:r>
        <w:rPr>
          <w:spacing w:val="-67"/>
        </w:rPr>
      </w:r>
      <w:r>
        <w:rPr>
          <w:spacing w:val="-2"/>
        </w:rPr>
        <w:t>项严格按照规定执行，规范公司运作以提升经营业绩。同时公司通过落实分红等政策，积极回报股东，开通股东大会网络投</w:t>
      </w:r>
      <w:r>
        <w:rPr>
          <w:spacing w:val="-65"/>
        </w:rPr>
        <w:t> </w:t>
      </w:r>
      <w:r>
        <w:rPr>
          <w:spacing w:val="-65"/>
        </w:rPr>
      </w:r>
      <w:r>
        <w:rPr>
          <w:spacing w:val="-4"/>
        </w:rPr>
        <w:t>票通道，提高中小投资者参与公司重要事项决策权。公司通过及时、真实、完整的披露信息，保证信息披露的公平、公正性、</w:t>
      </w:r>
      <w:r>
        <w:rPr>
          <w:spacing w:val="-44"/>
        </w:rPr>
        <w:t> </w:t>
      </w:r>
      <w:r>
        <w:rPr>
          <w:spacing w:val="-44"/>
        </w:rPr>
      </w:r>
      <w:r>
        <w:rPr/>
        <w:t>切实维护公司和全体股东的合法权益。</w:t>
      </w:r>
    </w:p>
    <w:p>
      <w:pPr>
        <w:pStyle w:val="BodyText"/>
        <w:spacing w:line="309" w:lineRule="auto" w:before="21"/>
        <w:ind w:right="1135" w:firstLine="360"/>
        <w:jc w:val="both"/>
      </w:pPr>
      <w:r>
        <w:rPr>
          <w:rFonts w:ascii="Times New Roman" w:hAnsi="Times New Roman" w:cs="Times New Roman" w:eastAsia="Times New Roman" w:hint="default"/>
        </w:rPr>
        <w:t>2</w:t>
      </w:r>
      <w:r>
        <w:rPr/>
        <w:t>、公司坚持以人为本的原则，坚持员工利益至上。公司高度重视员工的生产安全、劳动防护、劳动保障工作，积极为 </w:t>
      </w:r>
      <w:r>
        <w:rPr>
          <w:spacing w:val="-2"/>
        </w:rPr>
        <w:t>员工缴纳各项社会保险费、提供多层次、全方位的各类培训，组织多形式的文体活动，不断提升员工的职业技能，丰富员工</w:t>
      </w:r>
      <w:r>
        <w:rPr>
          <w:spacing w:val="-67"/>
        </w:rPr>
        <w:t> </w:t>
      </w:r>
      <w:r>
        <w:rPr>
          <w:spacing w:val="-67"/>
        </w:rPr>
      </w:r>
      <w:r>
        <w:rPr/>
        <w:t>精神生活，提升员工发展空间。</w:t>
      </w:r>
    </w:p>
    <w:p>
      <w:pPr>
        <w:pStyle w:val="BodyText"/>
        <w:spacing w:line="300" w:lineRule="auto" w:before="24"/>
        <w:ind w:right="1144" w:firstLine="360"/>
        <w:jc w:val="left"/>
      </w:pPr>
      <w:r>
        <w:rPr>
          <w:rFonts w:ascii="Times New Roman" w:hAnsi="Times New Roman" w:cs="Times New Roman" w:eastAsia="Times New Roman" w:hint="default"/>
        </w:rPr>
        <w:t>3</w:t>
      </w:r>
      <w:r>
        <w:rPr/>
        <w:t>、公司坚持</w:t>
      </w:r>
      <w:r>
        <w:rPr>
          <w:rFonts w:ascii="Times New Roman" w:hAnsi="Times New Roman" w:cs="Times New Roman" w:eastAsia="Times New Roman" w:hint="default"/>
        </w:rPr>
        <w:t>“</w:t>
      </w:r>
      <w:r>
        <w:rPr/>
        <w:t>客户第一，服务至上</w:t>
      </w:r>
      <w:r>
        <w:rPr>
          <w:rFonts w:ascii="Times New Roman" w:hAnsi="Times New Roman" w:cs="Times New Roman" w:eastAsia="Times New Roman" w:hint="default"/>
        </w:rPr>
        <w:t>”</w:t>
      </w:r>
      <w:r>
        <w:rPr/>
        <w:t>的原则，为下游客户提供优质的产品和便捷的服务，同时加强与上游供应商的沟通 与合作，实现公司与客户多方互惠共赢，创造企业和谐的发展空间。</w:t>
      </w:r>
    </w:p>
    <w:p>
      <w:pPr>
        <w:pStyle w:val="BodyText"/>
        <w:spacing w:line="309" w:lineRule="auto" w:before="31"/>
        <w:ind w:right="1034" w:firstLine="360"/>
        <w:jc w:val="left"/>
      </w:pPr>
      <w:r>
        <w:rPr>
          <w:rFonts w:ascii="Times New Roman" w:hAnsi="Times New Roman" w:cs="Times New Roman" w:eastAsia="Times New Roman" w:hint="default"/>
        </w:rPr>
        <w:t>4</w:t>
      </w:r>
      <w:r>
        <w:rPr/>
        <w:t>、公司在生产经营的的同时，注重噪声、固体污染物的防治工作，通过选择低噪声生产设备，并通过消声、隔音等措 施，确保厂界噪声达标。在生产过程对废料、固体废弃物等按照有关要求进行回收处置，并通过节能降耗等生产工艺改造。 近年来，公司更是引进先进流水线，打造绿色生产制造企业，致力于打造环境友好型生产企业。</w:t>
      </w:r>
    </w:p>
    <w:p>
      <w:pPr>
        <w:spacing w:line="240" w:lineRule="auto" w:before="3"/>
        <w:rPr>
          <w:rFonts w:ascii="宋体" w:hAnsi="宋体" w:cs="宋体" w:eastAsia="宋体" w:hint="default"/>
          <w:sz w:val="23"/>
          <w:szCs w:val="23"/>
        </w:rPr>
      </w:pPr>
    </w:p>
    <w:p>
      <w:pPr>
        <w:pStyle w:val="Heading3"/>
        <w:spacing w:line="240" w:lineRule="auto"/>
        <w:ind w:right="1133"/>
        <w:jc w:val="left"/>
        <w:rPr>
          <w:b w:val="0"/>
          <w:bCs w:val="0"/>
        </w:rPr>
      </w:pPr>
      <w:bookmarkStart w:name="2、履行精准扶贫社会责任情况" w:id="101"/>
      <w:bookmarkEnd w:id="101"/>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精准扶贫规划" w:id="102"/>
      <w:bookmarkEnd w:id="102"/>
      <w:r>
        <w:rPr>
          <w:b w:val="0"/>
          <w:bCs w:val="0"/>
        </w:rPr>
      </w:r>
      <w:r>
        <w:rPr/>
        <w:t>（</w:t>
      </w:r>
      <w:r>
        <w:rPr>
          <w:rFonts w:ascii="Times New Roman" w:hAnsi="Times New Roman" w:cs="Times New Roman" w:eastAsia="Times New Roman" w:hint="default"/>
        </w:rPr>
        <w:t>1</w:t>
      </w:r>
      <w:r>
        <w:rPr/>
        <w:t>）精准扶贫规划</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报告期内公司暂未开展精准扶贫工作。</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2）年度精准扶贫概要" w:id="103"/>
      <w:bookmarkEnd w:id="103"/>
      <w:r>
        <w:rPr>
          <w:b w:val="0"/>
          <w:bCs w:val="0"/>
        </w:rPr>
      </w:r>
      <w:r>
        <w:rPr/>
        <w:t>（</w:t>
      </w:r>
      <w:r>
        <w:rPr>
          <w:rFonts w:ascii="Times New Roman" w:hAnsi="Times New Roman" w:cs="Times New Roman" w:eastAsia="Times New Roman" w:hint="default"/>
        </w:rPr>
        <w:t>2</w:t>
      </w:r>
      <w:r>
        <w:rPr/>
        <w:t>）年度精准扶贫概要</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报告期内公司暂未开展精准扶贫工作。</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3）精准扶贫成效" w:id="104"/>
      <w:bookmarkEnd w:id="104"/>
      <w:r>
        <w:rPr>
          <w:b w:val="0"/>
          <w:bCs w:val="0"/>
        </w:rPr>
      </w:r>
      <w:r>
        <w:rPr/>
        <w:t>（</w:t>
      </w:r>
      <w:r>
        <w:rPr>
          <w:rFonts w:ascii="Times New Roman" w:hAnsi="Times New Roman" w:cs="Times New Roman" w:eastAsia="Times New Roman" w:hint="default"/>
        </w:rPr>
        <w:t>3</w:t>
      </w:r>
      <w:r>
        <w:rPr/>
        <w:t>）精准扶贫成效</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bookmarkStart w:name="无" w:id="105"/>
      <w:bookmarkEnd w:id="105"/>
      <w:r>
        <w:rPr/>
      </w:r>
      <w:r>
        <w:rPr/>
        <w:t>无</w:t>
      </w:r>
    </w:p>
    <w:p>
      <w:pPr>
        <w:spacing w:line="240" w:lineRule="auto" w:before="0"/>
        <w:rPr>
          <w:rFonts w:ascii="宋体" w:hAnsi="宋体" w:cs="宋体" w:eastAsia="宋体" w:hint="default"/>
          <w:sz w:val="18"/>
          <w:szCs w:val="18"/>
        </w:rPr>
      </w:pPr>
    </w:p>
    <w:p>
      <w:pPr>
        <w:pStyle w:val="Heading3"/>
        <w:spacing w:line="240" w:lineRule="auto" w:before="121"/>
        <w:ind w:right="1133"/>
        <w:jc w:val="left"/>
        <w:rPr>
          <w:b w:val="0"/>
          <w:bCs w:val="0"/>
        </w:rPr>
      </w:pPr>
      <w:bookmarkStart w:name="（4）后续精准扶贫计划" w:id="106"/>
      <w:bookmarkEnd w:id="106"/>
      <w:r>
        <w:rPr>
          <w:b w:val="0"/>
          <w:bCs w:val="0"/>
        </w:rPr>
      </w:r>
      <w:r>
        <w:rPr/>
        <w:t>（</w:t>
      </w:r>
      <w:r>
        <w:rPr>
          <w:rFonts w:ascii="Times New Roman" w:hAnsi="Times New Roman" w:cs="Times New Roman" w:eastAsia="Times New Roman" w:hint="default"/>
        </w:rPr>
        <w:t>4</w:t>
      </w:r>
      <w:r>
        <w:rPr/>
        <w:t>）后续精准扶贫计划</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公司将紧紧围绕所在地区的扶贫脱贫战略，履行精准扶贫社会责任。</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3、环境保护相关的情况" w:id="107"/>
      <w:bookmarkEnd w:id="107"/>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5714"/>
        <w:jc w:val="left"/>
      </w:pPr>
      <w:r>
        <w:rPr/>
        <w:t>上市公司及其子公司是否属于环境保护部门公布的重点排污单位 否</w:t>
      </w:r>
    </w:p>
    <w:p>
      <w:pPr>
        <w:pStyle w:val="BodyText"/>
        <w:spacing w:line="240" w:lineRule="auto" w:before="24"/>
        <w:ind w:right="1133"/>
        <w:jc w:val="left"/>
      </w:pPr>
      <w:r>
        <w:rPr/>
        <w:t>公司及其子公司不属于环境保护部门公布的重点排污单位</w:t>
      </w:r>
    </w:p>
    <w:p>
      <w:pPr>
        <w:spacing w:after="0" w:line="240"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bookmarkStart w:name="十九、其他重大事项的说明" w:id="108"/>
      <w:bookmarkEnd w:id="108"/>
      <w:r>
        <w:rPr>
          <w:b w:val="0"/>
          <w:bCs w:val="0"/>
        </w:rPr>
      </w:r>
      <w:r>
        <w:rPr/>
        <w:t>十九、其他重大事项的说明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7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公司报告期不存在需要说明的其他重大事项。</w:t>
      </w:r>
    </w:p>
    <w:p>
      <w:pPr>
        <w:spacing w:line="240" w:lineRule="auto" w:before="8"/>
        <w:rPr>
          <w:rFonts w:ascii="宋体" w:hAnsi="宋体" w:cs="宋体" w:eastAsia="宋体" w:hint="default"/>
          <w:sz w:val="19"/>
          <w:szCs w:val="19"/>
        </w:rPr>
      </w:pPr>
    </w:p>
    <w:p>
      <w:pPr>
        <w:pStyle w:val="Heading2"/>
        <w:spacing w:line="240" w:lineRule="auto"/>
        <w:ind w:right="1133"/>
        <w:jc w:val="left"/>
        <w:rPr>
          <w:b w:val="0"/>
          <w:bCs w:val="0"/>
        </w:rPr>
      </w:pPr>
      <w:bookmarkStart w:name="二十、公司子公司重大事项" w:id="109"/>
      <w:bookmarkEnd w:id="109"/>
      <w:r>
        <w:rPr>
          <w:b w:val="0"/>
          <w:bCs w:val="0"/>
        </w:rPr>
      </w:r>
      <w:r>
        <w:rPr/>
        <w:t>二十、公司子公司重大事项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045" w:right="1133"/>
        <w:jc w:val="left"/>
        <w:rPr>
          <w:b w:val="0"/>
          <w:bCs w:val="0"/>
        </w:rPr>
      </w:pPr>
      <w:bookmarkStart w:name="第六节股份变动及股东情况" w:id="110"/>
      <w:bookmarkEnd w:id="110"/>
      <w:r>
        <w:rPr>
          <w:b w:val="0"/>
          <w:bCs w:val="0"/>
        </w:rPr>
      </w:r>
      <w:bookmarkStart w:name="_bookmark5" w:id="111"/>
      <w:bookmarkEnd w:id="111"/>
      <w:r>
        <w:rPr>
          <w:b w:val="0"/>
          <w:bCs w:val="0"/>
        </w:rPr>
      </w:r>
      <w:r>
        <w:rPr/>
        <w:t>第六节股份变动及股东情况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bookmarkStart w:name="一、股份变动情况" w:id="112"/>
      <w:bookmarkEnd w:id="112"/>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bookmarkStart w:name="1、股份变动情况" w:id="113"/>
      <w:bookmarkEnd w:id="113"/>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单位：股</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62"/>
        <w:gridCol w:w="1147"/>
        <w:gridCol w:w="754"/>
        <w:gridCol w:w="521"/>
        <w:gridCol w:w="569"/>
        <w:gridCol w:w="708"/>
        <w:gridCol w:w="991"/>
        <w:gridCol w:w="994"/>
        <w:gridCol w:w="1124"/>
        <w:gridCol w:w="792"/>
      </w:tblGrid>
      <w:tr>
        <w:trPr>
          <w:trHeight w:val="403" w:hRule="exact"/>
        </w:trPr>
        <w:tc>
          <w:tcPr>
            <w:tcW w:w="19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0"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78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7"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9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1962" w:type="dxa"/>
            <w:vMerge w:val="restart"/>
            <w:tcBorders>
              <w:top w:val="nil" w:sz="6" w:space="0" w:color="auto"/>
              <w:left w:val="single" w:sz="4" w:space="0" w:color="000000"/>
              <w:right w:val="single" w:sz="4" w:space="0" w:color="000000"/>
            </w:tcBorders>
            <w:shd w:val="clear" w:color="auto" w:fill="D2D2D2"/>
          </w:tcPr>
          <w:p>
            <w:pPr/>
          </w:p>
        </w:tc>
        <w:tc>
          <w:tcPr>
            <w:tcW w:w="1147" w:type="dxa"/>
            <w:tcBorders>
              <w:top w:val="single" w:sz="4" w:space="0" w:color="000000"/>
              <w:left w:val="single" w:sz="4" w:space="0" w:color="000000"/>
              <w:bottom w:val="nil" w:sz="6" w:space="0" w:color="auto"/>
              <w:right w:val="single" w:sz="4" w:space="0" w:color="000000"/>
            </w:tcBorders>
            <w:shd w:val="clear" w:color="auto" w:fill="D2D2D2"/>
          </w:tcPr>
          <w:p>
            <w:pPr/>
          </w:p>
        </w:tc>
        <w:tc>
          <w:tcPr>
            <w:tcW w:w="754" w:type="dxa"/>
            <w:tcBorders>
              <w:top w:val="single" w:sz="4" w:space="0" w:color="000000"/>
              <w:left w:val="single" w:sz="4" w:space="0" w:color="000000"/>
              <w:bottom w:val="nil" w:sz="6" w:space="0" w:color="auto"/>
              <w:right w:val="single" w:sz="4" w:space="0" w:color="000000"/>
            </w:tcBorders>
            <w:shd w:val="clear" w:color="auto" w:fill="D2D2D2"/>
          </w:tcPr>
          <w:p>
            <w:pPr/>
          </w:p>
        </w:tc>
        <w:tc>
          <w:tcPr>
            <w:tcW w:w="52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76" w:right="72"/>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569"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170" w:right="77" w:hanging="92"/>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962" w:type="dxa"/>
            <w:vMerge/>
            <w:tcBorders>
              <w:left w:val="single" w:sz="4" w:space="0" w:color="000000"/>
              <w:bottom w:val="nil" w:sz="6" w:space="0" w:color="auto"/>
              <w:right w:val="single" w:sz="4" w:space="0" w:color="000000"/>
            </w:tcBorders>
            <w:shd w:val="clear" w:color="auto" w:fill="D2D2D2"/>
          </w:tcPr>
          <w:p>
            <w:pPr/>
          </w:p>
        </w:tc>
        <w:tc>
          <w:tcPr>
            <w:tcW w:w="114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9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521" w:type="dxa"/>
            <w:vMerge/>
            <w:tcBorders>
              <w:left w:val="single" w:sz="4" w:space="0" w:color="000000"/>
              <w:right w:val="single" w:sz="4" w:space="0" w:color="000000"/>
            </w:tcBorders>
            <w:shd w:val="clear" w:color="auto" w:fill="D2D2D2"/>
          </w:tcPr>
          <w:p>
            <w:pPr/>
          </w:p>
        </w:tc>
        <w:tc>
          <w:tcPr>
            <w:tcW w:w="5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08" w:type="dxa"/>
            <w:vMerge/>
            <w:tcBorders>
              <w:left w:val="single" w:sz="4" w:space="0" w:color="000000"/>
              <w:right w:val="single" w:sz="4" w:space="0" w:color="000000"/>
            </w:tcBorders>
            <w:shd w:val="clear" w:color="auto" w:fill="D2D2D2"/>
          </w:tcPr>
          <w:p>
            <w:pP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0" w:hRule="exact"/>
        </w:trPr>
        <w:tc>
          <w:tcPr>
            <w:tcW w:w="1962" w:type="dxa"/>
            <w:vMerge w:val="restart"/>
            <w:tcBorders>
              <w:top w:val="nil" w:sz="6" w:space="0" w:color="auto"/>
              <w:left w:val="single" w:sz="4" w:space="0" w:color="000000"/>
              <w:right w:val="single" w:sz="4" w:space="0" w:color="000000"/>
            </w:tcBorders>
            <w:shd w:val="clear" w:color="auto" w:fill="D2D2D2"/>
          </w:tcPr>
          <w:p>
            <w:pPr/>
          </w:p>
        </w:tc>
        <w:tc>
          <w:tcPr>
            <w:tcW w:w="1147" w:type="dxa"/>
            <w:vMerge/>
            <w:tcBorders>
              <w:left w:val="single" w:sz="4" w:space="0" w:color="000000"/>
              <w:bottom w:val="nil" w:sz="6" w:space="0" w:color="auto"/>
              <w:right w:val="single" w:sz="4" w:space="0" w:color="000000"/>
            </w:tcBorders>
            <w:shd w:val="clear" w:color="auto" w:fill="D2D2D2"/>
          </w:tcPr>
          <w:p>
            <w:pPr/>
          </w:p>
        </w:tc>
        <w:tc>
          <w:tcPr>
            <w:tcW w:w="754" w:type="dxa"/>
            <w:vMerge/>
            <w:tcBorders>
              <w:left w:val="single" w:sz="4" w:space="0" w:color="000000"/>
              <w:bottom w:val="nil" w:sz="6" w:space="0" w:color="auto"/>
              <w:right w:val="single" w:sz="4" w:space="0" w:color="000000"/>
            </w:tcBorders>
            <w:shd w:val="clear" w:color="auto" w:fill="D2D2D2"/>
          </w:tcPr>
          <w:p>
            <w:pPr/>
          </w:p>
        </w:tc>
        <w:tc>
          <w:tcPr>
            <w:tcW w:w="521" w:type="dxa"/>
            <w:vMerge/>
            <w:tcBorders>
              <w:left w:val="single" w:sz="4" w:space="0" w:color="000000"/>
              <w:right w:val="single" w:sz="4" w:space="0" w:color="000000"/>
            </w:tcBorders>
            <w:shd w:val="clear" w:color="auto" w:fill="D2D2D2"/>
          </w:tcPr>
          <w:p>
            <w:pPr/>
          </w:p>
        </w:tc>
        <w:tc>
          <w:tcPr>
            <w:tcW w:w="569"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1124"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62" w:type="dxa"/>
            <w:vMerge/>
            <w:tcBorders>
              <w:left w:val="single" w:sz="4" w:space="0" w:color="000000"/>
              <w:bottom w:val="single" w:sz="4" w:space="0" w:color="000000"/>
              <w:right w:val="single" w:sz="4" w:space="0" w:color="000000"/>
            </w:tcBorders>
            <w:shd w:val="clear" w:color="auto" w:fill="D2D2D2"/>
          </w:tcPr>
          <w:p>
            <w:pPr/>
          </w:p>
        </w:tc>
        <w:tc>
          <w:tcPr>
            <w:tcW w:w="1147" w:type="dxa"/>
            <w:tcBorders>
              <w:top w:val="nil" w:sz="6" w:space="0" w:color="auto"/>
              <w:left w:val="single" w:sz="4" w:space="0" w:color="000000"/>
              <w:bottom w:val="single" w:sz="4" w:space="0" w:color="000000"/>
              <w:right w:val="single" w:sz="4" w:space="0" w:color="000000"/>
            </w:tcBorders>
            <w:shd w:val="clear" w:color="auto" w:fill="D2D2D2"/>
          </w:tcPr>
          <w:p>
            <w:pPr/>
          </w:p>
        </w:tc>
        <w:tc>
          <w:tcPr>
            <w:tcW w:w="754" w:type="dxa"/>
            <w:tcBorders>
              <w:top w:val="nil" w:sz="6" w:space="0" w:color="auto"/>
              <w:left w:val="single" w:sz="4" w:space="0" w:color="000000"/>
              <w:bottom w:val="single" w:sz="4" w:space="0" w:color="000000"/>
              <w:right w:val="single" w:sz="4" w:space="0" w:color="000000"/>
            </w:tcBorders>
            <w:shd w:val="clear" w:color="auto" w:fill="D2D2D2"/>
          </w:tcPr>
          <w:p>
            <w:pPr/>
          </w:p>
        </w:tc>
        <w:tc>
          <w:tcPr>
            <w:tcW w:w="521" w:type="dxa"/>
            <w:vMerge/>
            <w:tcBorders>
              <w:left w:val="single" w:sz="4" w:space="0" w:color="000000"/>
              <w:bottom w:val="single" w:sz="4" w:space="0" w:color="000000"/>
              <w:right w:val="single" w:sz="4" w:space="0" w:color="000000"/>
            </w:tcBorders>
            <w:shd w:val="clear" w:color="auto" w:fill="D2D2D2"/>
          </w:tcPr>
          <w:p>
            <w:pPr/>
          </w:p>
        </w:tc>
        <w:tc>
          <w:tcPr>
            <w:tcW w:w="569"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52,333,136</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4.20%</w:t>
            </w:r>
          </w:p>
        </w:tc>
        <w:tc>
          <w:tcPr>
            <w:tcW w:w="52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-46,633,136</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-46,633,136</w:t>
            </w:r>
            <w:r>
              <w:rPr>
                <w:rFonts w:ascii="Times New Roman"/>
                <w:sz w:val="18"/>
              </w:rPr>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5,700,000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0.46%</w:t>
            </w: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1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52,333,136</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4.20%</w:t>
            </w:r>
          </w:p>
        </w:tc>
        <w:tc>
          <w:tcPr>
            <w:tcW w:w="52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-46,633,136</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-46,633,136</w:t>
            </w:r>
            <w:r>
              <w:rPr>
                <w:rFonts w:ascii="Times New Roman"/>
                <w:sz w:val="18"/>
              </w:rPr>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5,700,000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0.46%</w:t>
            </w: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1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42,833,136</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3.44%</w:t>
            </w:r>
          </w:p>
        </w:tc>
        <w:tc>
          <w:tcPr>
            <w:tcW w:w="52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-42,833,136</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-42,833,136</w:t>
            </w:r>
            <w:r>
              <w:rPr>
                <w:rFonts w:ascii="Times New Roman"/>
                <w:sz w:val="18"/>
              </w:rPr>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1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9,500,000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0.76%</w:t>
            </w:r>
          </w:p>
        </w:tc>
        <w:tc>
          <w:tcPr>
            <w:tcW w:w="52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-3,800,000</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5,700,000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0.46%</w:t>
            </w: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1,195,002,103</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95.80%</w:t>
            </w:r>
          </w:p>
        </w:tc>
        <w:tc>
          <w:tcPr>
            <w:tcW w:w="52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42,833,136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42,833,136</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1,237,835,239</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99.54%</w:t>
            </w: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1,195,002,103</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95.80%</w:t>
            </w:r>
          </w:p>
        </w:tc>
        <w:tc>
          <w:tcPr>
            <w:tcW w:w="52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42,833,136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42,833,136</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1,237,835,239</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99.54%</w:t>
            </w: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1,247,335,239</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52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-3,800,000</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1,243,535,239</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right="0"/>
        <w:jc w:val="both"/>
      </w:pPr>
      <w:r>
        <w:rPr/>
        <w:t>股份变动的原因</w:t>
      </w:r>
    </w:p>
    <w:p>
      <w:pPr>
        <w:pStyle w:val="BodyText"/>
        <w:spacing w:line="340" w:lineRule="auto" w:before="115"/>
        <w:ind w:left="513" w:right="1119"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报告期内，公司回购注销已授予但未达到第一个解除销售期条件的限制性股票限售股份</w:t>
      </w:r>
      <w:r>
        <w:rPr>
          <w:rFonts w:ascii="Times New Roman" w:hAnsi="Times New Roman" w:cs="Times New Roman" w:eastAsia="Times New Roman" w:hint="default"/>
          <w:spacing w:val="-2"/>
        </w:rPr>
        <w:t>3,800,000</w:t>
      </w:r>
      <w:r>
        <w:rPr>
          <w:spacing w:val="-2"/>
        </w:rPr>
        <w:t>股，博升优势解除限售</w:t>
      </w:r>
    </w:p>
    <w:p>
      <w:pPr>
        <w:pStyle w:val="BodyText"/>
        <w:spacing w:line="228" w:lineRule="exact"/>
        <w:ind w:right="0"/>
        <w:jc w:val="both"/>
      </w:pPr>
      <w:r>
        <w:rPr/>
        <w:t>股份</w:t>
      </w:r>
      <w:r>
        <w:rPr>
          <w:rFonts w:ascii="Times New Roman" w:hAnsi="Times New Roman" w:cs="Times New Roman" w:eastAsia="Times New Roman" w:hint="default"/>
        </w:rPr>
        <w:t>42,833,136</w:t>
      </w:r>
      <w:r>
        <w:rPr/>
        <w:t>股，公司总股本由</w:t>
      </w:r>
      <w:r>
        <w:rPr>
          <w:rFonts w:ascii="Times New Roman" w:hAnsi="Times New Roman" w:cs="Times New Roman" w:eastAsia="Times New Roman" w:hint="default"/>
        </w:rPr>
        <w:t>1,247,335,239</w:t>
      </w:r>
      <w:r>
        <w:rPr/>
        <w:t>股减至</w:t>
      </w:r>
      <w:r>
        <w:rPr>
          <w:rFonts w:ascii="Times New Roman" w:hAnsi="Times New Roman" w:cs="Times New Roman" w:eastAsia="Times New Roman" w:hint="default"/>
        </w:rPr>
        <w:t>1,243,535,239</w:t>
      </w:r>
      <w:r>
        <w:rPr/>
        <w:t>股，限售股份由</w:t>
      </w:r>
      <w:r>
        <w:rPr>
          <w:rFonts w:ascii="Times New Roman" w:hAnsi="Times New Roman" w:cs="Times New Roman" w:eastAsia="Times New Roman" w:hint="default"/>
        </w:rPr>
        <w:t>52,333,136</w:t>
      </w:r>
      <w:r>
        <w:rPr/>
        <w:t>股减至</w:t>
      </w:r>
      <w:r>
        <w:rPr>
          <w:rFonts w:ascii="Times New Roman" w:hAnsi="Times New Roman" w:cs="Times New Roman" w:eastAsia="Times New Roman" w:hint="default"/>
        </w:rPr>
        <w:t>5,700,000</w:t>
      </w:r>
      <w:r>
        <w:rPr/>
        <w:t>股。</w:t>
      </w:r>
    </w:p>
    <w:p>
      <w:pPr>
        <w:pStyle w:val="BodyText"/>
        <w:spacing w:line="240" w:lineRule="auto" w:before="103"/>
        <w:ind w:right="0"/>
        <w:jc w:val="both"/>
      </w:pPr>
      <w:r>
        <w:rPr/>
        <w:t>股份变动的批准情况</w:t>
      </w:r>
    </w:p>
    <w:p>
      <w:pPr>
        <w:pStyle w:val="BodyText"/>
        <w:spacing w:line="240" w:lineRule="auto" w:before="115"/>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right="1129" w:firstLine="360"/>
        <w:jc w:val="both"/>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15</w:t>
      </w:r>
      <w:r>
        <w:rPr>
          <w:spacing w:val="-2"/>
        </w:rPr>
        <w:t>日召开的公司第四届董事会第四次会议和</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10</w:t>
      </w:r>
      <w:r>
        <w:rPr>
          <w:spacing w:val="-2"/>
        </w:rPr>
        <w:t>日召开的</w:t>
      </w:r>
      <w:r>
        <w:rPr>
          <w:rFonts w:ascii="Times New Roman" w:hAnsi="Times New Roman" w:cs="Times New Roman" w:eastAsia="Times New Roman" w:hint="default"/>
          <w:spacing w:val="-2"/>
        </w:rPr>
        <w:t>2018</w:t>
      </w:r>
      <w:r>
        <w:rPr>
          <w:spacing w:val="-2"/>
        </w:rPr>
        <w:t>年度股东大会审议通过了《关于回购注</w:t>
      </w:r>
      <w:r>
        <w:rPr/>
        <w:t> 销未达到第一期解除限售条件的限制性股票的议案》，同意对激励对象获授的未达到第一期解除限售条件的</w:t>
      </w:r>
      <w:r>
        <w:rPr>
          <w:rFonts w:ascii="Times New Roman" w:hAnsi="Times New Roman" w:cs="Times New Roman" w:eastAsia="Times New Roman" w:hint="default"/>
        </w:rPr>
        <w:t>380</w:t>
      </w:r>
      <w:r>
        <w:rPr/>
        <w:t>万股限制性 股票进行回购注销，回购价格为</w:t>
      </w:r>
      <w:r>
        <w:rPr>
          <w:rFonts w:ascii="Times New Roman" w:hAnsi="Times New Roman" w:cs="Times New Roman" w:eastAsia="Times New Roman" w:hint="default"/>
        </w:rPr>
        <w:t>5.04</w:t>
      </w:r>
      <w:r>
        <w:rPr/>
        <w:t>元</w:t>
      </w:r>
      <w:r>
        <w:rPr>
          <w:rFonts w:ascii="Times New Roman" w:hAnsi="Times New Roman" w:cs="Times New Roman" w:eastAsia="Times New Roman" w:hint="default"/>
        </w:rPr>
        <w:t>/</w:t>
      </w:r>
      <w:r>
        <w:rPr/>
        <w:t>股。</w:t>
      </w:r>
    </w:p>
    <w:p>
      <w:pPr>
        <w:pStyle w:val="BodyText"/>
        <w:spacing w:line="240" w:lineRule="auto" w:before="53"/>
        <w:ind w:right="0"/>
        <w:jc w:val="both"/>
      </w:pPr>
      <w:r>
        <w:rPr/>
        <w:t>股份变动的过户情况</w:t>
      </w:r>
    </w:p>
    <w:p>
      <w:pPr>
        <w:pStyle w:val="BodyText"/>
        <w:spacing w:line="240" w:lineRule="auto" w:before="115"/>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right="1138" w:firstLine="36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10</w:t>
      </w:r>
      <w:r>
        <w:rPr/>
        <w:t>日，公司回购未达到第一期解除限售条件的限制性股票</w:t>
      </w:r>
      <w:r>
        <w:rPr>
          <w:rFonts w:ascii="Times New Roman" w:hAnsi="Times New Roman" w:cs="Times New Roman" w:eastAsia="Times New Roman" w:hint="default"/>
        </w:rPr>
        <w:t>3,800,000</w:t>
      </w:r>
      <w:r>
        <w:rPr/>
        <w:t>股已在中国证券登记结算有限责任公司深 圳分公司完成注销手续。</w:t>
      </w:r>
    </w:p>
    <w:p>
      <w:pPr>
        <w:pStyle w:val="BodyText"/>
        <w:spacing w:line="240" w:lineRule="auto" w:before="72"/>
        <w:ind w:right="0"/>
        <w:jc w:val="both"/>
      </w:pPr>
      <w:r>
        <w:rPr/>
        <w:t>股份回购的实施进展情况</w:t>
      </w:r>
    </w:p>
    <w:p>
      <w:pPr>
        <w:pStyle w:val="BodyText"/>
        <w:spacing w:line="240" w:lineRule="auto" w:before="115"/>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left="513" w:right="1123"/>
        <w:jc w:val="left"/>
      </w:pPr>
      <w:r>
        <w:rPr>
          <w:rFonts w:ascii="Times New Roman" w:hAnsi="Times New Roman" w:cs="Times New Roman" w:eastAsia="Times New Roman" w:hint="default"/>
        </w:rPr>
        <w:t>1</w:t>
      </w:r>
      <w:r>
        <w:rPr/>
        <w:t>、关于公司第二次回购公司股份进展情况 公司分别于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8</w:t>
      </w:r>
      <w:r>
        <w:rPr/>
        <w:t>日、</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24</w:t>
      </w:r>
      <w:r>
        <w:rPr/>
        <w:t>日召开的第三届董事会第三十一次（临时）会议、</w:t>
      </w:r>
      <w:r>
        <w:rPr>
          <w:rFonts w:ascii="Times New Roman" w:hAnsi="Times New Roman" w:cs="Times New Roman" w:eastAsia="Times New Roman" w:hint="default"/>
        </w:rPr>
        <w:t>2018</w:t>
      </w:r>
      <w:r>
        <w:rPr/>
        <w:t>年第二次临时股东大会，审议</w:t>
      </w:r>
    </w:p>
    <w:p>
      <w:pPr>
        <w:pStyle w:val="BodyText"/>
        <w:spacing w:line="307" w:lineRule="auto" w:before="13"/>
        <w:ind w:right="1131"/>
        <w:jc w:val="both"/>
      </w:pPr>
      <w:r>
        <w:rPr>
          <w:spacing w:val="-2"/>
        </w:rPr>
        <w:t>通过了《关于采用集中竞价方式回购公司股份的预案》、《关于提请股东大会授权公司董事会全权办理回购股份相关事宜的</w:t>
      </w:r>
      <w:r>
        <w:rPr>
          <w:spacing w:val="-66"/>
        </w:rPr>
        <w:t> </w:t>
      </w:r>
      <w:r>
        <w:rPr>
          <w:spacing w:val="-66"/>
        </w:rPr>
      </w:r>
      <w:r>
        <w:rPr>
          <w:spacing w:val="-2"/>
        </w:rPr>
        <w:t>议案》，并于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31</w:t>
      </w:r>
      <w:r>
        <w:rPr>
          <w:spacing w:val="-2"/>
        </w:rPr>
        <w:t>日披露了《回购股份报告书》。截至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21</w:t>
      </w:r>
      <w:r>
        <w:rPr>
          <w:spacing w:val="-2"/>
        </w:rPr>
        <w:t>日，公司本次回购股份计划已全部实施完毕，累</w:t>
      </w:r>
      <w:r>
        <w:rPr>
          <w:spacing w:val="-63"/>
        </w:rPr>
        <w:t> </w:t>
      </w:r>
      <w:r>
        <w:rPr>
          <w:spacing w:val="-63"/>
        </w:rPr>
      </w:r>
      <w:r>
        <w:rPr/>
        <w:t>计回购股份 </w:t>
      </w:r>
      <w:r>
        <w:rPr>
          <w:rFonts w:ascii="Times New Roman" w:hAnsi="Times New Roman" w:cs="Times New Roman" w:eastAsia="Times New Roman" w:hint="default"/>
        </w:rPr>
        <w:t>37,919,094</w:t>
      </w:r>
      <w:r>
        <w:rPr>
          <w:rFonts w:ascii="Times New Roman" w:hAnsi="Times New Roman" w:cs="Times New Roman" w:eastAsia="Times New Roman" w:hint="default"/>
          <w:spacing w:val="18"/>
        </w:rPr>
        <w:t> </w:t>
      </w:r>
      <w:r>
        <w:rPr/>
        <w:t>股，占公司当时总股本</w:t>
      </w:r>
      <w:r>
        <w:rPr>
          <w:rFonts w:ascii="Times New Roman" w:hAnsi="Times New Roman" w:cs="Times New Roman" w:eastAsia="Times New Roman" w:hint="default"/>
        </w:rPr>
        <w:t>3.04%</w:t>
      </w:r>
      <w:r>
        <w:rPr/>
        <w:t>，最高成交价为</w:t>
      </w:r>
      <w:r>
        <w:rPr>
          <w:rFonts w:ascii="Times New Roman" w:hAnsi="Times New Roman" w:cs="Times New Roman" w:eastAsia="Times New Roman" w:hint="default"/>
        </w:rPr>
        <w:t>11.1598</w:t>
      </w:r>
      <w:r>
        <w:rPr/>
        <w:t>元</w:t>
      </w:r>
      <w:r>
        <w:rPr>
          <w:rFonts w:ascii="Times New Roman" w:hAnsi="Times New Roman" w:cs="Times New Roman" w:eastAsia="Times New Roman" w:hint="default"/>
        </w:rPr>
        <w:t>/</w:t>
      </w:r>
      <w:r>
        <w:rPr/>
        <w:t>股，最低成交价为</w:t>
      </w:r>
      <w:r>
        <w:rPr>
          <w:rFonts w:ascii="Times New Roman" w:hAnsi="Times New Roman" w:cs="Times New Roman" w:eastAsia="Times New Roman" w:hint="default"/>
        </w:rPr>
        <w:t>9.60</w:t>
      </w:r>
      <w:r>
        <w:rPr/>
        <w:t>元</w:t>
      </w:r>
      <w:r>
        <w:rPr>
          <w:rFonts w:ascii="Times New Roman" w:hAnsi="Times New Roman" w:cs="Times New Roman" w:eastAsia="Times New Roman" w:hint="default"/>
        </w:rPr>
        <w:t>/</w:t>
      </w:r>
      <w:r>
        <w:rPr/>
        <w:t>股，支付的总金额 为</w:t>
      </w:r>
      <w:r>
        <w:rPr>
          <w:rFonts w:ascii="Times New Roman" w:hAnsi="Times New Roman" w:cs="Times New Roman" w:eastAsia="Times New Roman" w:hint="default"/>
        </w:rPr>
        <w:t>393,365,756.19 </w:t>
      </w:r>
      <w:r>
        <w:rPr>
          <w:rFonts w:ascii="Times New Roman" w:hAnsi="Times New Roman" w:cs="Times New Roman" w:eastAsia="Times New Roman" w:hint="default"/>
          <w:spacing w:val="33"/>
        </w:rPr>
        <w:t> </w:t>
      </w:r>
      <w:r>
        <w:rPr/>
        <w:t>元（不含交易费用）。具体内容详见公司分别在</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23</w:t>
      </w:r>
      <w:r>
        <w:rPr/>
        <w:t>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w:t>
      </w:r>
      <w:r>
        <w:rPr/>
        <w:t>日披露于《中国证券报》、</w:t>
      </w:r>
    </w:p>
    <w:p>
      <w:pPr>
        <w:spacing w:after="0" w:line="307"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131"/>
        <w:jc w:val="both"/>
      </w:pPr>
      <w:r>
        <w:rPr/>
        <w:t>《上海证券报》、《证券时报》、证券日报》和公司指定信息披露网站巨潮资讯网</w:t>
      </w:r>
      <w:hyperlink r:id="rId16">
        <w:r>
          <w:rPr>
            <w:rFonts w:ascii="Times New Roman" w:hAnsi="Times New Roman" w:cs="Times New Roman" w:eastAsia="Times New Roman" w:hint="default"/>
          </w:rPr>
          <w:t>http://www.cninfo.com.cn</w:t>
        </w:r>
        <w:r>
          <w:rPr/>
          <w:t>的《关于回购公</w:t>
        </w:r>
      </w:hyperlink>
      <w:r>
        <w:rPr/>
        <w:t> 司股份完成暨回购公司股份比例达</w:t>
      </w:r>
      <w:r>
        <w:rPr>
          <w:rFonts w:ascii="Times New Roman" w:hAnsi="Times New Roman" w:cs="Times New Roman" w:eastAsia="Times New Roman" w:hint="default"/>
        </w:rPr>
        <w:t>3%</w:t>
      </w:r>
      <w:r>
        <w:rPr/>
        <w:t>的公告》（公告编号：</w:t>
      </w:r>
      <w:r>
        <w:rPr>
          <w:rFonts w:ascii="Times New Roman" w:hAnsi="Times New Roman" w:cs="Times New Roman" w:eastAsia="Times New Roman" w:hint="default"/>
        </w:rPr>
        <w:t>2019-006</w:t>
      </w:r>
      <w:r>
        <w:rPr/>
        <w:t>）《关于回购公司股份完成暨回购公司股份比例达</w:t>
      </w:r>
      <w:r>
        <w:rPr>
          <w:rFonts w:ascii="Times New Roman" w:hAnsi="Times New Roman" w:cs="Times New Roman" w:eastAsia="Times New Roman" w:hint="default"/>
        </w:rPr>
        <w:t>3%</w:t>
      </w:r>
      <w:r>
        <w:rPr>
          <w:rFonts w:ascii="Times New Roman" w:hAnsi="Times New Roman" w:cs="Times New Roman" w:eastAsia="Times New Roman" w:hint="default"/>
          <w:spacing w:val="-40"/>
        </w:rPr>
        <w:t> </w:t>
      </w:r>
      <w:r>
        <w:rPr/>
        <w:t>的补充公告》（公告编号：</w:t>
      </w:r>
      <w:r>
        <w:rPr>
          <w:rFonts w:ascii="Times New Roman" w:hAnsi="Times New Roman" w:cs="Times New Roman" w:eastAsia="Times New Roman" w:hint="default"/>
        </w:rPr>
        <w:t>2019-026</w:t>
      </w:r>
      <w:r>
        <w:rPr/>
        <w:t>）。</w:t>
      </w:r>
    </w:p>
    <w:p>
      <w:pPr>
        <w:pStyle w:val="BodyText"/>
        <w:spacing w:line="300" w:lineRule="auto" w:before="13"/>
        <w:ind w:left="513" w:right="1123"/>
        <w:jc w:val="left"/>
      </w:pPr>
      <w:r>
        <w:rPr>
          <w:rFonts w:ascii="Times New Roman" w:hAnsi="Times New Roman" w:cs="Times New Roman" w:eastAsia="Times New Roman" w:hint="default"/>
        </w:rPr>
        <w:t>2</w:t>
      </w:r>
      <w:r>
        <w:rPr/>
        <w:t>、关于公司第三次回购公司股份进展情况 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日召开的第四届董事会第六次（临时）会议，审议通过了《关于采用集中竞价方式回购公司股份的</w:t>
      </w:r>
    </w:p>
    <w:p>
      <w:pPr>
        <w:pStyle w:val="BodyText"/>
        <w:spacing w:line="300" w:lineRule="auto" w:before="13"/>
        <w:ind w:right="1129"/>
        <w:jc w:val="both"/>
        <w:rPr>
          <w:rFonts w:ascii="MS Gothic" w:hAnsi="MS Gothic" w:cs="MS Gothic" w:eastAsia="MS Gothic" w:hint="default"/>
        </w:rPr>
      </w:pPr>
      <w:r>
        <w:rPr>
          <w:spacing w:val="-2"/>
        </w:rPr>
        <w:t>方案》，并于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15</w:t>
      </w:r>
      <w:r>
        <w:rPr>
          <w:spacing w:val="-2"/>
        </w:rPr>
        <w:t>日披露了《回购股份报告书》。公司于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17</w:t>
      </w:r>
      <w:r>
        <w:rPr>
          <w:spacing w:val="-2"/>
        </w:rPr>
        <w:t>日首次通过股份回购专用证券账户以集中竞价</w:t>
      </w:r>
      <w:r>
        <w:rPr>
          <w:spacing w:val="-55"/>
        </w:rPr>
        <w:t> </w:t>
      </w:r>
      <w:r>
        <w:rPr>
          <w:spacing w:val="-55"/>
        </w:rPr>
      </w:r>
      <w:r>
        <w:rPr/>
        <w:t>交易方式回购公司股份，截至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日，公司累计回购公司股份</w:t>
      </w:r>
      <w:r>
        <w:rPr>
          <w:rFonts w:ascii="Times New Roman" w:hAnsi="Times New Roman" w:cs="Times New Roman" w:eastAsia="Times New Roman" w:hint="default"/>
        </w:rPr>
        <w:t>25,799,400</w:t>
      </w:r>
      <w:r>
        <w:rPr/>
        <w:t>股，占公司当时总股本的</w:t>
      </w:r>
      <w:r>
        <w:rPr>
          <w:rFonts w:ascii="Times New Roman" w:hAnsi="Times New Roman" w:cs="Times New Roman" w:eastAsia="Times New Roman" w:hint="default"/>
        </w:rPr>
        <w:t>2.07%</w:t>
      </w:r>
      <w:r>
        <w:rPr/>
        <w:t>，最高成</w:t>
      </w:r>
      <w:r>
        <w:rPr>
          <w:spacing w:val="-23"/>
        </w:rPr>
        <w:t> </w:t>
      </w:r>
      <w:r>
        <w:rPr>
          <w:spacing w:val="-23"/>
        </w:rPr>
      </w:r>
      <w:r>
        <w:rPr/>
        <w:t>交价为</w:t>
      </w:r>
      <w:r>
        <w:rPr>
          <w:rFonts w:ascii="Times New Roman" w:hAnsi="Times New Roman" w:cs="Times New Roman" w:eastAsia="Times New Roman" w:hint="default"/>
        </w:rPr>
        <w:t>9.30</w:t>
      </w:r>
      <w:r>
        <w:rPr/>
        <w:t>元</w:t>
      </w:r>
      <w:r>
        <w:rPr>
          <w:rFonts w:ascii="Times New Roman" w:hAnsi="Times New Roman" w:cs="Times New Roman" w:eastAsia="Times New Roman" w:hint="default"/>
        </w:rPr>
        <w:t>/</w:t>
      </w:r>
      <w:r>
        <w:rPr/>
        <w:t>股，最低成交价为</w:t>
      </w:r>
      <w:r>
        <w:rPr>
          <w:rFonts w:ascii="Times New Roman" w:hAnsi="Times New Roman" w:cs="Times New Roman" w:eastAsia="Times New Roman" w:hint="default"/>
        </w:rPr>
        <w:t>6.27</w:t>
      </w:r>
      <w:r>
        <w:rPr/>
        <w:t>元</w:t>
      </w:r>
      <w:r>
        <w:rPr>
          <w:rFonts w:ascii="Times New Roman" w:hAnsi="Times New Roman" w:cs="Times New Roman" w:eastAsia="Times New Roman" w:hint="default"/>
        </w:rPr>
        <w:t>/</w:t>
      </w:r>
      <w:r>
        <w:rPr/>
        <w:t>股，成交总金额为</w:t>
      </w:r>
      <w:r>
        <w:rPr>
          <w:rFonts w:ascii="Times New Roman" w:hAnsi="Times New Roman" w:cs="Times New Roman" w:eastAsia="Times New Roman" w:hint="default"/>
        </w:rPr>
        <w:t>197,949,632.06</w:t>
      </w:r>
      <w:r>
        <w:rPr>
          <w:rFonts w:ascii="Times New Roman" w:hAnsi="Times New Roman" w:cs="Times New Roman" w:eastAsia="Times New Roman" w:hint="default"/>
          <w:spacing w:val="-5"/>
        </w:rPr>
        <w:t> </w:t>
      </w:r>
      <w:r>
        <w:rPr/>
        <w:t>元（不含交易费用）。具体内容详见公司在</w:t>
      </w:r>
      <w:r>
        <w:rPr>
          <w:rFonts w:ascii="Times New Roman" w:hAnsi="Times New Roman" w:cs="Times New Roman" w:eastAsia="Times New Roman" w:hint="default"/>
        </w:rPr>
        <w:t>2020</w:t>
      </w:r>
      <w:r>
        <w:rPr/>
        <w:t>年 </w:t>
      </w:r>
      <w:r>
        <w:rPr>
          <w:rFonts w:ascii="Times New Roman" w:hAnsi="Times New Roman" w:cs="Times New Roman" w:eastAsia="Times New Roman" w:hint="default"/>
          <w:spacing w:val="8"/>
        </w:rPr>
        <w:t>1</w:t>
      </w:r>
      <w:r>
        <w:rPr>
          <w:spacing w:val="8"/>
        </w:rPr>
        <w:t>月</w:t>
      </w:r>
      <w:r>
        <w:rPr>
          <w:rFonts w:ascii="Times New Roman" w:hAnsi="Times New Roman" w:cs="Times New Roman" w:eastAsia="Times New Roman" w:hint="default"/>
          <w:spacing w:val="8"/>
        </w:rPr>
        <w:t>3</w:t>
      </w:r>
      <w:r>
        <w:rPr>
          <w:spacing w:val="8"/>
        </w:rPr>
        <w:t>日披露于《中国证券报》、《上海证券报》、《证券时报》、《证券日报》和公司指定信息披露网站巨潮资讯网</w:t>
      </w:r>
      <w:r>
        <w:rPr>
          <w:spacing w:val="-72"/>
        </w:rPr>
        <w:t> </w:t>
      </w:r>
      <w:r>
        <w:rPr>
          <w:spacing w:val="-72"/>
        </w:rPr>
      </w:r>
      <w:hyperlink r:id="rId16">
        <w:r>
          <w:rPr>
            <w:rFonts w:ascii="Times New Roman" w:hAnsi="Times New Roman" w:cs="Times New Roman" w:eastAsia="Times New Roman" w:hint="default"/>
          </w:rPr>
          <w:t>http://www.cninfo.com.cn</w:t>
        </w:r>
        <w:r>
          <w:rPr/>
          <w:t>的《</w:t>
        </w:r>
      </w:hyperlink>
      <w:r>
        <w:rPr/>
        <w:t>关于公司回购股份的进展公告》（公告编号：</w:t>
      </w:r>
      <w:r>
        <w:rPr>
          <w:rFonts w:ascii="Times New Roman" w:hAnsi="Times New Roman" w:cs="Times New Roman" w:eastAsia="Times New Roman" w:hint="default"/>
        </w:rPr>
        <w:t>2020-002</w:t>
      </w:r>
      <w:r>
        <w:rPr/>
        <w:t>）</w:t>
      </w:r>
      <w:r>
        <w:rPr>
          <w:rFonts w:ascii="MS Gothic" w:hAnsi="MS Gothic" w:cs="MS Gothic" w:eastAsia="MS Gothic" w:hint="default"/>
        </w:rPr>
        <w:t>｡</w:t>
      </w:r>
    </w:p>
    <w:p>
      <w:pPr>
        <w:pStyle w:val="BodyText"/>
        <w:spacing w:line="240" w:lineRule="auto" w:before="53"/>
        <w:ind w:right="0"/>
        <w:jc w:val="both"/>
      </w:pPr>
      <w:r>
        <w:rPr/>
        <w:t>采用集中竞价方式减持回购股份的实施进展情况</w:t>
      </w:r>
    </w:p>
    <w:p>
      <w:pPr>
        <w:pStyle w:val="BodyText"/>
        <w:spacing w:line="340" w:lineRule="auto" w:before="115"/>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股份变动对最近一年和最近一期基本每股收益和稀释每股收益、归属于公司普通股股东的每股净资产等财务指标的影响</w:t>
      </w:r>
    </w:p>
    <w:p>
      <w:pPr>
        <w:pStyle w:val="BodyText"/>
        <w:spacing w:line="324" w:lineRule="auto" w:before="41"/>
        <w:ind w:right="56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按新股本</w:t>
      </w:r>
      <w:r>
        <w:rPr>
          <w:rFonts w:ascii="Times New Roman" w:hAnsi="Times New Roman" w:cs="Times New Roman" w:eastAsia="Times New Roman" w:hint="default"/>
        </w:rPr>
        <w:t>1,243,535,239</w:t>
      </w:r>
      <w:r>
        <w:rPr/>
        <w:t>股，公司</w:t>
      </w:r>
      <w:r>
        <w:rPr>
          <w:rFonts w:ascii="Times New Roman" w:hAnsi="Times New Roman" w:cs="Times New Roman" w:eastAsia="Times New Roman" w:hint="default"/>
        </w:rPr>
        <w:t>2018</w:t>
      </w:r>
      <w:r>
        <w:rPr/>
        <w:t>年度每股收益为</w:t>
      </w:r>
      <w:r>
        <w:rPr>
          <w:rFonts w:ascii="Times New Roman" w:hAnsi="Times New Roman" w:cs="Times New Roman" w:eastAsia="Times New Roman" w:hint="default"/>
        </w:rPr>
        <w:t>0.11</w:t>
      </w:r>
      <w:r>
        <w:rPr>
          <w:rFonts w:ascii="Times New Roman" w:hAnsi="Times New Roman" w:cs="Times New Roman" w:eastAsia="Times New Roman" w:hint="default"/>
          <w:spacing w:val="19"/>
        </w:rPr>
        <w:t> </w:t>
      </w:r>
      <w:r>
        <w:rPr/>
        <w:t>元</w:t>
      </w:r>
      <w:r>
        <w:rPr>
          <w:rFonts w:ascii="Times New Roman" w:hAnsi="Times New Roman" w:cs="Times New Roman" w:eastAsia="Times New Roman" w:hint="default"/>
        </w:rPr>
        <w:t>/</w:t>
      </w:r>
      <w:r>
        <w:rPr/>
        <w:t>股</w:t>
      </w:r>
      <w:r>
        <w:rPr>
          <w:sz w:val="20"/>
          <w:szCs w:val="20"/>
        </w:rPr>
        <w:t>。</w:t>
      </w:r>
      <w:r>
        <w:rPr>
          <w:w w:val="99"/>
          <w:sz w:val="20"/>
          <w:szCs w:val="20"/>
        </w:rPr>
        <w:t> </w:t>
      </w:r>
      <w:r>
        <w:rPr/>
        <w:t>公司认为必要或证券监管机构要求披露的其他内容</w:t>
      </w:r>
    </w:p>
    <w:p>
      <w:pPr>
        <w:pStyle w:val="BodyText"/>
        <w:spacing w:line="240" w:lineRule="auto" w:before="54"/>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both"/>
        <w:rPr>
          <w:b w:val="0"/>
          <w:bCs w:val="0"/>
        </w:rPr>
      </w:pPr>
      <w:bookmarkStart w:name="2、限售股份变动情况" w:id="114"/>
      <w:bookmarkEnd w:id="114"/>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87" w:right="4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88" w:right="46"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165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72"/>
              <w:jc w:val="left"/>
              <w:rPr>
                <w:rFonts w:ascii="宋体" w:hAnsi="宋体" w:cs="宋体" w:eastAsia="宋体" w:hint="default"/>
                <w:sz w:val="18"/>
                <w:szCs w:val="18"/>
              </w:rPr>
            </w:pPr>
            <w:r>
              <w:rPr>
                <w:rFonts w:ascii="宋体" w:hAnsi="宋体" w:cs="宋体" w:eastAsia="宋体" w:hint="default"/>
                <w:sz w:val="18"/>
                <w:szCs w:val="18"/>
              </w:rPr>
              <w:t>北京博升优势科 技发展有限公司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42,833,136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42,833,136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根据《业绩补偿 </w:t>
            </w:r>
            <w:r>
              <w:rPr>
                <w:rFonts w:ascii="宋体" w:hAnsi="宋体" w:cs="宋体" w:eastAsia="宋体" w:hint="default"/>
                <w:spacing w:val="-17"/>
                <w:sz w:val="18"/>
                <w:szCs w:val="18"/>
              </w:rPr>
              <w:t>协议》，博升优势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继续锁定 </w:t>
            </w:r>
            <w:r>
              <w:rPr>
                <w:rFonts w:ascii="Times New Roman" w:hAnsi="Times New Roman" w:cs="Times New Roman" w:eastAsia="Times New Roman" w:hint="default"/>
                <w:sz w:val="18"/>
                <w:szCs w:val="18"/>
              </w:rPr>
              <w:t>42,833,136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w:t>
            </w:r>
          </w:p>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227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戴兵</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1,730,000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1,038,000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年限制性股 票激励计划锁定 </w:t>
            </w:r>
            <w:r>
              <w:rPr>
                <w:rFonts w:ascii="Times New Roman" w:hAnsi="Times New Roman" w:cs="Times New Roman" w:eastAsia="Times New Roman" w:hint="default"/>
                <w:sz w:val="18"/>
                <w:szCs w:val="18"/>
              </w:rPr>
              <w:t>1,730,000 </w:t>
            </w:r>
            <w:r>
              <w:rPr>
                <w:rFonts w:ascii="宋体" w:hAnsi="宋体" w:cs="宋体" w:eastAsia="宋体" w:hint="default"/>
                <w:sz w:val="18"/>
                <w:szCs w:val="18"/>
              </w:rPr>
              <w:t>股，</w:t>
            </w:r>
          </w:p>
          <w:p>
            <w:pPr>
              <w:pStyle w:val="TableParagraph"/>
              <w:spacing w:line="312" w:lineRule="auto" w:before="7"/>
              <w:ind w:left="23"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年回购注销 未达到第一期解 除限售条件的 </w:t>
            </w:r>
            <w:r>
              <w:rPr>
                <w:rFonts w:ascii="Times New Roman" w:hAnsi="Times New Roman" w:cs="Times New Roman" w:eastAsia="Times New Roman" w:hint="default"/>
                <w:sz w:val="18"/>
                <w:szCs w:val="18"/>
              </w:rPr>
              <w:t>692,000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2"/>
              <w:ind w:left="23" w:right="72"/>
              <w:jc w:val="left"/>
              <w:rPr>
                <w:rFonts w:ascii="宋体" w:hAnsi="宋体" w:cs="宋体" w:eastAsia="宋体" w:hint="default"/>
                <w:sz w:val="18"/>
                <w:szCs w:val="18"/>
              </w:rPr>
            </w:pPr>
            <w:r>
              <w:rPr>
                <w:rFonts w:ascii="宋体" w:hAnsi="宋体" w:cs="宋体" w:eastAsia="宋体" w:hint="default"/>
                <w:sz w:val="18"/>
                <w:szCs w:val="18"/>
              </w:rPr>
              <w:t>按股权激励计划 规定</w:t>
            </w:r>
          </w:p>
        </w:tc>
      </w:tr>
      <w:tr>
        <w:trPr>
          <w:trHeight w:val="19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周建孚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500,000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300,000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8"/>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年限制性股 票激励计划锁定 </w:t>
            </w:r>
            <w:r>
              <w:rPr>
                <w:rFonts w:ascii="Times New Roman" w:hAnsi="Times New Roman" w:cs="Times New Roman" w:eastAsia="Times New Roman" w:hint="default"/>
                <w:sz w:val="18"/>
                <w:szCs w:val="18"/>
              </w:rPr>
              <w:t>500,000</w:t>
            </w:r>
            <w:r>
              <w:rPr>
                <w:rFonts w:ascii="Times New Roman" w:hAnsi="Times New Roman" w:cs="Times New Roman" w:eastAsia="Times New Roman" w:hint="default"/>
                <w:spacing w:val="5"/>
                <w:sz w:val="18"/>
                <w:szCs w:val="18"/>
              </w:rPr>
              <w:t> </w:t>
            </w:r>
            <w:r>
              <w:rPr>
                <w:rFonts w:ascii="宋体" w:hAnsi="宋体" w:cs="宋体" w:eastAsia="宋体" w:hint="default"/>
                <w:spacing w:val="-8"/>
                <w:sz w:val="18"/>
                <w:szCs w:val="18"/>
              </w:rPr>
              <w:t>股，</w:t>
            </w:r>
            <w:r>
              <w:rPr>
                <w:rFonts w:ascii="Times New Roman" w:hAnsi="Times New Roman" w:cs="Times New Roman" w:eastAsia="Times New Roman" w:hint="default"/>
                <w:spacing w:val="-8"/>
                <w:sz w:val="18"/>
                <w:szCs w:val="18"/>
              </w:rPr>
              <w:t>2019</w:t>
            </w:r>
          </w:p>
          <w:p>
            <w:pPr>
              <w:pStyle w:val="TableParagraph"/>
              <w:spacing w:line="316" w:lineRule="auto" w:before="5"/>
              <w:ind w:left="23" w:right="70"/>
              <w:jc w:val="both"/>
              <w:rPr>
                <w:rFonts w:ascii="宋体" w:hAnsi="宋体" w:cs="宋体" w:eastAsia="宋体" w:hint="default"/>
                <w:sz w:val="18"/>
                <w:szCs w:val="18"/>
              </w:rPr>
            </w:pPr>
            <w:r>
              <w:rPr>
                <w:rFonts w:ascii="宋体" w:hAnsi="宋体" w:cs="宋体" w:eastAsia="宋体" w:hint="default"/>
                <w:sz w:val="18"/>
                <w:szCs w:val="18"/>
              </w:rPr>
              <w:t>年回购注销未达 到第一期解除限 售条件的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14" w:lineRule="auto"/>
              <w:ind w:left="23" w:right="72"/>
              <w:jc w:val="left"/>
              <w:rPr>
                <w:rFonts w:ascii="宋体" w:hAnsi="宋体" w:cs="宋体" w:eastAsia="宋体" w:hint="default"/>
                <w:sz w:val="18"/>
                <w:szCs w:val="18"/>
              </w:rPr>
            </w:pPr>
            <w:r>
              <w:rPr>
                <w:rFonts w:ascii="宋体" w:hAnsi="宋体" w:cs="宋体" w:eastAsia="宋体" w:hint="default"/>
                <w:sz w:val="18"/>
                <w:szCs w:val="18"/>
              </w:rPr>
              <w:t>按股权激励计划 规定</w:t>
            </w:r>
          </w:p>
        </w:tc>
      </w:tr>
    </w:tbl>
    <w:p>
      <w:pPr>
        <w:spacing w:after="0" w:line="314" w:lineRule="auto"/>
        <w:jc w:val="left"/>
        <w:rPr>
          <w:rFonts w:ascii="宋体" w:hAnsi="宋体" w:cs="宋体" w:eastAsia="宋体" w:hint="default"/>
          <w:sz w:val="18"/>
          <w:szCs w:val="18"/>
        </w:rPr>
        <w:sectPr>
          <w:footerReference w:type="default" r:id="rId15"/>
          <w:pgSz w:w="11910" w:h="16840"/>
          <w:pgMar w:footer="980" w:header="745"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363"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李贲</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288,000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8"/>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年限制性股 票激励计划锁定 </w:t>
            </w:r>
            <w:r>
              <w:rPr>
                <w:rFonts w:ascii="Times New Roman" w:hAnsi="Times New Roman" w:cs="Times New Roman" w:eastAsia="Times New Roman" w:hint="default"/>
                <w:sz w:val="18"/>
                <w:szCs w:val="18"/>
              </w:rPr>
              <w:t>480,000</w:t>
            </w:r>
            <w:r>
              <w:rPr>
                <w:rFonts w:ascii="Times New Roman" w:hAnsi="Times New Roman" w:cs="Times New Roman" w:eastAsia="Times New Roman" w:hint="default"/>
                <w:spacing w:val="5"/>
                <w:sz w:val="18"/>
                <w:szCs w:val="18"/>
              </w:rPr>
              <w:t> </w:t>
            </w:r>
            <w:r>
              <w:rPr>
                <w:rFonts w:ascii="宋体" w:hAnsi="宋体" w:cs="宋体" w:eastAsia="宋体" w:hint="default"/>
                <w:spacing w:val="-8"/>
                <w:sz w:val="18"/>
                <w:szCs w:val="18"/>
              </w:rPr>
              <w:t>股，</w:t>
            </w:r>
            <w:r>
              <w:rPr>
                <w:rFonts w:ascii="Times New Roman" w:hAnsi="Times New Roman" w:cs="Times New Roman" w:eastAsia="Times New Roman" w:hint="default"/>
                <w:spacing w:val="-8"/>
                <w:sz w:val="18"/>
                <w:szCs w:val="18"/>
              </w:rPr>
              <w:t>2019</w:t>
            </w:r>
          </w:p>
          <w:p>
            <w:pPr>
              <w:pStyle w:val="TableParagraph"/>
              <w:spacing w:line="316" w:lineRule="auto" w:before="5"/>
              <w:ind w:left="23" w:right="70"/>
              <w:jc w:val="left"/>
              <w:rPr>
                <w:rFonts w:ascii="宋体" w:hAnsi="宋体" w:cs="宋体" w:eastAsia="宋体" w:hint="default"/>
                <w:sz w:val="18"/>
                <w:szCs w:val="18"/>
              </w:rPr>
            </w:pPr>
            <w:r>
              <w:rPr>
                <w:rFonts w:ascii="宋体" w:hAnsi="宋体" w:cs="宋体" w:eastAsia="宋体" w:hint="default"/>
                <w:sz w:val="18"/>
                <w:szCs w:val="18"/>
              </w:rPr>
              <w:t>年回购注销未达 到第一期解除限 售条件的 </w:t>
            </w:r>
            <w:r>
              <w:rPr>
                <w:rFonts w:ascii="Times New Roman" w:hAnsi="Times New Roman" w:cs="Times New Roman" w:eastAsia="Times New Roman" w:hint="default"/>
                <w:sz w:val="18"/>
                <w:szCs w:val="18"/>
              </w:rPr>
              <w:t>192,000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3" w:right="72"/>
              <w:jc w:val="left"/>
              <w:rPr>
                <w:rFonts w:ascii="宋体" w:hAnsi="宋体" w:cs="宋体" w:eastAsia="宋体" w:hint="default"/>
                <w:sz w:val="18"/>
                <w:szCs w:val="18"/>
              </w:rPr>
            </w:pPr>
            <w:r>
              <w:rPr>
                <w:rFonts w:ascii="宋体" w:hAnsi="宋体" w:cs="宋体" w:eastAsia="宋体" w:hint="default"/>
                <w:sz w:val="18"/>
                <w:szCs w:val="18"/>
              </w:rPr>
              <w:t>按股权激励计划 规定</w:t>
            </w:r>
          </w:p>
        </w:tc>
      </w:tr>
      <w:tr>
        <w:trPr>
          <w:trHeight w:val="227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鲁浩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8"/>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年限制性股 票激励计划锁定 </w:t>
            </w:r>
            <w:r>
              <w:rPr>
                <w:rFonts w:ascii="Times New Roman" w:hAnsi="Times New Roman" w:cs="Times New Roman" w:eastAsia="Times New Roman" w:hint="default"/>
                <w:sz w:val="18"/>
                <w:szCs w:val="18"/>
              </w:rPr>
              <w:t>310,000</w:t>
            </w:r>
            <w:r>
              <w:rPr>
                <w:rFonts w:ascii="Times New Roman" w:hAnsi="Times New Roman" w:cs="Times New Roman" w:eastAsia="Times New Roman" w:hint="default"/>
                <w:spacing w:val="5"/>
                <w:sz w:val="18"/>
                <w:szCs w:val="18"/>
              </w:rPr>
              <w:t> </w:t>
            </w:r>
            <w:r>
              <w:rPr>
                <w:rFonts w:ascii="宋体" w:hAnsi="宋体" w:cs="宋体" w:eastAsia="宋体" w:hint="default"/>
                <w:spacing w:val="-8"/>
                <w:sz w:val="18"/>
                <w:szCs w:val="18"/>
              </w:rPr>
              <w:t>股，</w:t>
            </w:r>
            <w:r>
              <w:rPr>
                <w:rFonts w:ascii="Times New Roman" w:hAnsi="Times New Roman" w:cs="Times New Roman" w:eastAsia="Times New Roman" w:hint="default"/>
                <w:spacing w:val="-8"/>
                <w:sz w:val="18"/>
                <w:szCs w:val="18"/>
              </w:rPr>
              <w:t>2019</w:t>
            </w:r>
          </w:p>
          <w:p>
            <w:pPr>
              <w:pStyle w:val="TableParagraph"/>
              <w:spacing w:line="319" w:lineRule="auto" w:before="5"/>
              <w:ind w:left="23" w:right="70"/>
              <w:jc w:val="left"/>
              <w:rPr>
                <w:rFonts w:ascii="宋体" w:hAnsi="宋体" w:cs="宋体" w:eastAsia="宋体" w:hint="default"/>
                <w:sz w:val="18"/>
                <w:szCs w:val="18"/>
              </w:rPr>
            </w:pPr>
            <w:r>
              <w:rPr>
                <w:rFonts w:ascii="宋体" w:hAnsi="宋体" w:cs="宋体" w:eastAsia="宋体" w:hint="default"/>
                <w:sz w:val="18"/>
                <w:szCs w:val="18"/>
              </w:rPr>
              <w:t>年回购注销未达 到第一期解除限 售条件的 </w:t>
            </w:r>
            <w:r>
              <w:rPr>
                <w:rFonts w:ascii="Times New Roman" w:hAnsi="Times New Roman" w:cs="Times New Roman" w:eastAsia="Times New Roman" w:hint="default"/>
                <w:sz w:val="18"/>
                <w:szCs w:val="18"/>
              </w:rPr>
              <w:t>124,000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2"/>
              <w:ind w:left="23" w:right="72"/>
              <w:jc w:val="left"/>
              <w:rPr>
                <w:rFonts w:ascii="宋体" w:hAnsi="宋体" w:cs="宋体" w:eastAsia="宋体" w:hint="default"/>
                <w:sz w:val="18"/>
                <w:szCs w:val="18"/>
              </w:rPr>
            </w:pPr>
            <w:r>
              <w:rPr>
                <w:rFonts w:ascii="宋体" w:hAnsi="宋体" w:cs="宋体" w:eastAsia="宋体" w:hint="default"/>
                <w:sz w:val="18"/>
                <w:szCs w:val="18"/>
              </w:rPr>
              <w:t>按股权激励计划 规定</w:t>
            </w:r>
          </w:p>
        </w:tc>
      </w:tr>
      <w:tr>
        <w:trPr>
          <w:trHeight w:val="227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洪晓明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8"/>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年限制性股 票激励计划锁定 </w:t>
            </w:r>
            <w:r>
              <w:rPr>
                <w:rFonts w:ascii="Times New Roman" w:hAnsi="Times New Roman" w:cs="Times New Roman" w:eastAsia="Times New Roman" w:hint="default"/>
                <w:sz w:val="18"/>
                <w:szCs w:val="18"/>
              </w:rPr>
              <w:t>100,000</w:t>
            </w:r>
            <w:r>
              <w:rPr>
                <w:rFonts w:ascii="Times New Roman" w:hAnsi="Times New Roman" w:cs="Times New Roman" w:eastAsia="Times New Roman" w:hint="default"/>
                <w:spacing w:val="5"/>
                <w:sz w:val="18"/>
                <w:szCs w:val="18"/>
              </w:rPr>
              <w:t> </w:t>
            </w:r>
            <w:r>
              <w:rPr>
                <w:rFonts w:ascii="宋体" w:hAnsi="宋体" w:cs="宋体" w:eastAsia="宋体" w:hint="default"/>
                <w:spacing w:val="-8"/>
                <w:sz w:val="18"/>
                <w:szCs w:val="18"/>
              </w:rPr>
              <w:t>股，</w:t>
            </w:r>
            <w:r>
              <w:rPr>
                <w:rFonts w:ascii="Times New Roman" w:hAnsi="Times New Roman" w:cs="Times New Roman" w:eastAsia="Times New Roman" w:hint="default"/>
                <w:spacing w:val="-8"/>
                <w:sz w:val="18"/>
                <w:szCs w:val="18"/>
              </w:rPr>
              <w:t>2019</w:t>
            </w:r>
          </w:p>
          <w:p>
            <w:pPr>
              <w:pStyle w:val="TableParagraph"/>
              <w:spacing w:line="312" w:lineRule="auto" w:before="5"/>
              <w:ind w:left="23" w:right="69"/>
              <w:jc w:val="both"/>
              <w:rPr>
                <w:rFonts w:ascii="宋体" w:hAnsi="宋体" w:cs="宋体" w:eastAsia="宋体" w:hint="default"/>
                <w:sz w:val="18"/>
                <w:szCs w:val="18"/>
              </w:rPr>
            </w:pPr>
            <w:r>
              <w:rPr>
                <w:rFonts w:ascii="宋体" w:hAnsi="宋体" w:cs="宋体" w:eastAsia="宋体" w:hint="default"/>
                <w:sz w:val="18"/>
                <w:szCs w:val="18"/>
              </w:rPr>
              <w:t>年回购注销未达 到第一期解除限 售条件的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40,000 </w:t>
            </w:r>
            <w:r>
              <w:rPr>
                <w:rFonts w:ascii="宋体" w:hAnsi="宋体" w:cs="宋体" w:eastAsia="宋体" w:hint="default"/>
                <w:sz w:val="18"/>
                <w:szCs w:val="18"/>
              </w:rPr>
              <w:t>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3" w:right="72"/>
              <w:jc w:val="left"/>
              <w:rPr>
                <w:rFonts w:ascii="宋体" w:hAnsi="宋体" w:cs="宋体" w:eastAsia="宋体" w:hint="default"/>
                <w:sz w:val="18"/>
                <w:szCs w:val="18"/>
              </w:rPr>
            </w:pPr>
            <w:r>
              <w:rPr>
                <w:rFonts w:ascii="宋体" w:hAnsi="宋体" w:cs="宋体" w:eastAsia="宋体" w:hint="default"/>
                <w:sz w:val="18"/>
                <w:szCs w:val="18"/>
              </w:rPr>
              <w:t>按股权激励计划 规定</w:t>
            </w:r>
          </w:p>
        </w:tc>
      </w:tr>
      <w:tr>
        <w:trPr>
          <w:trHeight w:val="227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亓秀美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8"/>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年限制性股 票激励计划锁定 </w:t>
            </w:r>
            <w:r>
              <w:rPr>
                <w:rFonts w:ascii="Times New Roman" w:hAnsi="Times New Roman" w:cs="Times New Roman" w:eastAsia="Times New Roman" w:hint="default"/>
                <w:sz w:val="18"/>
                <w:szCs w:val="18"/>
              </w:rPr>
              <w:t>100,000</w:t>
            </w:r>
            <w:r>
              <w:rPr>
                <w:rFonts w:ascii="Times New Roman" w:hAnsi="Times New Roman" w:cs="Times New Roman" w:eastAsia="Times New Roman" w:hint="default"/>
                <w:spacing w:val="5"/>
                <w:sz w:val="18"/>
                <w:szCs w:val="18"/>
              </w:rPr>
              <w:t> </w:t>
            </w:r>
            <w:r>
              <w:rPr>
                <w:rFonts w:ascii="宋体" w:hAnsi="宋体" w:cs="宋体" w:eastAsia="宋体" w:hint="default"/>
                <w:spacing w:val="-8"/>
                <w:sz w:val="18"/>
                <w:szCs w:val="18"/>
              </w:rPr>
              <w:t>股，</w:t>
            </w:r>
            <w:r>
              <w:rPr>
                <w:rFonts w:ascii="Times New Roman" w:hAnsi="Times New Roman" w:cs="Times New Roman" w:eastAsia="Times New Roman" w:hint="default"/>
                <w:spacing w:val="-8"/>
                <w:sz w:val="18"/>
                <w:szCs w:val="18"/>
              </w:rPr>
              <w:t>2019</w:t>
            </w:r>
          </w:p>
          <w:p>
            <w:pPr>
              <w:pStyle w:val="TableParagraph"/>
              <w:spacing w:line="312" w:lineRule="auto" w:before="5"/>
              <w:ind w:left="23" w:right="69"/>
              <w:jc w:val="both"/>
              <w:rPr>
                <w:rFonts w:ascii="宋体" w:hAnsi="宋体" w:cs="宋体" w:eastAsia="宋体" w:hint="default"/>
                <w:sz w:val="18"/>
                <w:szCs w:val="18"/>
              </w:rPr>
            </w:pPr>
            <w:r>
              <w:rPr>
                <w:rFonts w:ascii="宋体" w:hAnsi="宋体" w:cs="宋体" w:eastAsia="宋体" w:hint="default"/>
                <w:sz w:val="18"/>
                <w:szCs w:val="18"/>
              </w:rPr>
              <w:t>年回购注销未达 到第一期解除限 售条件的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40,000 </w:t>
            </w:r>
            <w:r>
              <w:rPr>
                <w:rFonts w:ascii="宋体" w:hAnsi="宋体" w:cs="宋体" w:eastAsia="宋体" w:hint="default"/>
                <w:sz w:val="18"/>
                <w:szCs w:val="18"/>
              </w:rPr>
              <w:t>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3" w:right="72"/>
              <w:jc w:val="left"/>
              <w:rPr>
                <w:rFonts w:ascii="宋体" w:hAnsi="宋体" w:cs="宋体" w:eastAsia="宋体" w:hint="default"/>
                <w:sz w:val="18"/>
                <w:szCs w:val="18"/>
              </w:rPr>
            </w:pPr>
            <w:r>
              <w:rPr>
                <w:rFonts w:ascii="宋体" w:hAnsi="宋体" w:cs="宋体" w:eastAsia="宋体" w:hint="default"/>
                <w:sz w:val="18"/>
                <w:szCs w:val="18"/>
              </w:rPr>
              <w:t>按股权激励计划 规定</w:t>
            </w:r>
          </w:p>
        </w:tc>
      </w:tr>
      <w:tr>
        <w:trPr>
          <w:trHeight w:val="227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4" w:right="72"/>
              <w:jc w:val="left"/>
              <w:rPr>
                <w:rFonts w:ascii="宋体" w:hAnsi="宋体" w:cs="宋体" w:eastAsia="宋体" w:hint="default"/>
                <w:sz w:val="18"/>
                <w:szCs w:val="18"/>
              </w:rPr>
            </w:pPr>
            <w:r>
              <w:rPr>
                <w:rFonts w:ascii="宋体" w:hAnsi="宋体" w:cs="宋体" w:eastAsia="宋体" w:hint="default"/>
                <w:sz w:val="18"/>
                <w:szCs w:val="18"/>
              </w:rPr>
              <w:t>核心技术及业务 等管理人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6,280,000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3,768,000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年限制性股 票激励计划锁定 </w:t>
            </w:r>
            <w:r>
              <w:rPr>
                <w:rFonts w:ascii="Times New Roman" w:hAnsi="Times New Roman" w:cs="Times New Roman" w:eastAsia="Times New Roman" w:hint="default"/>
                <w:sz w:val="18"/>
                <w:szCs w:val="18"/>
              </w:rPr>
              <w:t>6,280,000 </w:t>
            </w:r>
            <w:r>
              <w:rPr>
                <w:rFonts w:ascii="宋体" w:hAnsi="宋体" w:cs="宋体" w:eastAsia="宋体" w:hint="default"/>
                <w:sz w:val="18"/>
                <w:szCs w:val="18"/>
              </w:rPr>
              <w:t>股，</w:t>
            </w:r>
          </w:p>
          <w:p>
            <w:pPr>
              <w:pStyle w:val="TableParagraph"/>
              <w:spacing w:line="312" w:lineRule="auto" w:before="5"/>
              <w:ind w:left="23"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年回购注销 未达到第一期解 除限售条件的 </w:t>
            </w:r>
            <w:r>
              <w:rPr>
                <w:rFonts w:ascii="Times New Roman" w:hAnsi="Times New Roman" w:cs="Times New Roman" w:eastAsia="Times New Roman" w:hint="default"/>
                <w:sz w:val="18"/>
                <w:szCs w:val="18"/>
              </w:rPr>
              <w:t>2,512,000 </w:t>
            </w:r>
            <w:r>
              <w:rPr>
                <w:rFonts w:ascii="宋体" w:hAnsi="宋体" w:cs="宋体" w:eastAsia="宋体" w:hint="default"/>
                <w:sz w:val="18"/>
                <w:szCs w:val="18"/>
              </w:rPr>
              <w:t>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3" w:right="72"/>
              <w:jc w:val="left"/>
              <w:rPr>
                <w:rFonts w:ascii="宋体" w:hAnsi="宋体" w:cs="宋体" w:eastAsia="宋体" w:hint="default"/>
                <w:sz w:val="18"/>
                <w:szCs w:val="18"/>
              </w:rPr>
            </w:pPr>
            <w:r>
              <w:rPr>
                <w:rFonts w:ascii="宋体" w:hAnsi="宋体" w:cs="宋体" w:eastAsia="宋体" w:hint="default"/>
                <w:sz w:val="18"/>
                <w:szCs w:val="18"/>
              </w:rPr>
              <w:t>按股权激励计划 规定</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52,333,136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42,833,136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5,700,000</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bookmarkStart w:name="二、证券发行与上市情况" w:id="115"/>
      <w:bookmarkEnd w:id="115"/>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bookmarkStart w:name="1、报告期内证券发行（不含优先股）情况" w:id="116"/>
      <w:bookmarkEnd w:id="116"/>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footerReference w:type="default" r:id="rId17"/>
          <w:pgSz w:w="11910" w:h="16840"/>
          <w:pgMar w:footer="980" w:header="745" w:top="1060" w:bottom="1160" w:left="980" w:right="0"/>
          <w:pgNumType w:start="101"/>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2、公司股份总数及股东结构的变动、公司资产和负债结构的变动情况说明" w:id="117"/>
      <w:bookmarkEnd w:id="117"/>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1"/>
        <w:ind w:right="1124" w:firstLine="36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月，公司完成了对已授予但未达到第一期解除限售条件的</w:t>
      </w:r>
      <w:r>
        <w:rPr>
          <w:rFonts w:ascii="Times New Roman" w:hAnsi="Times New Roman" w:cs="Times New Roman" w:eastAsia="Times New Roman" w:hint="default"/>
        </w:rPr>
        <w:t>380</w:t>
      </w:r>
      <w:r>
        <w:rPr/>
        <w:t>万股回购注销；</w:t>
      </w:r>
      <w:r>
        <w:rPr>
          <w:rFonts w:ascii="宋体" w:hAnsi="宋体" w:cs="宋体" w:eastAsia="宋体" w:hint="default"/>
        </w:rPr>
        <w:t>2019</w:t>
      </w:r>
      <w:r>
        <w:rPr/>
        <w:t>年</w:t>
      </w:r>
      <w:r>
        <w:rPr>
          <w:rFonts w:ascii="宋体" w:hAnsi="宋体" w:cs="宋体" w:eastAsia="宋体" w:hint="default"/>
        </w:rPr>
        <w:t>9</w:t>
      </w:r>
      <w:r>
        <w:rPr/>
        <w:t>月，公司完成了对北京博 升优势科技发展有限公司解除限售股份的数量为</w:t>
      </w:r>
      <w:r>
        <w:rPr>
          <w:rFonts w:ascii="宋体" w:hAnsi="宋体" w:cs="宋体" w:eastAsia="宋体" w:hint="default"/>
        </w:rPr>
        <w:t>42,833,136</w:t>
      </w:r>
      <w:r>
        <w:rPr/>
        <w:t>股。</w:t>
      </w:r>
    </w:p>
    <w:p>
      <w:pPr>
        <w:spacing w:line="240" w:lineRule="auto" w:before="10"/>
        <w:rPr>
          <w:rFonts w:ascii="宋体" w:hAnsi="宋体" w:cs="宋体" w:eastAsia="宋体" w:hint="default"/>
          <w:sz w:val="23"/>
          <w:szCs w:val="23"/>
        </w:rPr>
      </w:pPr>
    </w:p>
    <w:p>
      <w:pPr>
        <w:pStyle w:val="Heading3"/>
        <w:spacing w:line="240" w:lineRule="auto"/>
        <w:ind w:right="1133"/>
        <w:jc w:val="left"/>
        <w:rPr>
          <w:b w:val="0"/>
          <w:bCs w:val="0"/>
        </w:rPr>
      </w:pPr>
      <w:bookmarkStart w:name="3、现存的内部职工股情况" w:id="118"/>
      <w:bookmarkEnd w:id="118"/>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bookmarkStart w:name="三、股东和实际控制人情况" w:id="119"/>
      <w:bookmarkEnd w:id="119"/>
      <w:r>
        <w:rPr>
          <w:b w:val="0"/>
          <w:bCs w:val="0"/>
        </w:rPr>
      </w: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公司股东数量及持股情况" w:id="120"/>
      <w:bookmarkEnd w:id="120"/>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6"/>
        <w:gridCol w:w="274"/>
        <w:gridCol w:w="934"/>
        <w:gridCol w:w="433"/>
        <w:gridCol w:w="727"/>
        <w:gridCol w:w="975"/>
        <w:gridCol w:w="259"/>
        <w:gridCol w:w="735"/>
        <w:gridCol w:w="438"/>
        <w:gridCol w:w="553"/>
        <w:gridCol w:w="667"/>
        <w:gridCol w:w="468"/>
        <w:gridCol w:w="705"/>
        <w:gridCol w:w="145"/>
        <w:gridCol w:w="1063"/>
      </w:tblGrid>
      <w:tr>
        <w:trPr>
          <w:trHeight w:val="163"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63" w:right="0"/>
              <w:jc w:val="left"/>
              <w:rPr>
                <w:rFonts w:ascii="Times New Roman" w:hAnsi="Times New Roman" w:cs="Times New Roman" w:eastAsia="Times New Roman" w:hint="default"/>
                <w:sz w:val="18"/>
                <w:szCs w:val="18"/>
              </w:rPr>
            </w:pPr>
            <w:r>
              <w:rPr>
                <w:rFonts w:ascii="Times New Roman"/>
                <w:sz w:val="18"/>
              </w:rPr>
              <w:t>43,832</w:t>
            </w:r>
          </w:p>
        </w:tc>
        <w:tc>
          <w:tcPr>
            <w:tcW w:w="1159" w:type="dxa"/>
            <w:gridSpan w:val="2"/>
            <w:vMerge w:val="restart"/>
            <w:tcBorders>
              <w:top w:val="single" w:sz="4" w:space="0" w:color="000000"/>
              <w:left w:val="single" w:sz="4" w:space="0" w:color="000000"/>
              <w:right w:val="single" w:sz="4" w:space="0" w:color="000000"/>
            </w:tcBorders>
            <w:shd w:val="clear" w:color="auto" w:fill="D2D2D2"/>
          </w:tcPr>
          <w:p>
            <w:pPr/>
          </w:p>
        </w:tc>
        <w:tc>
          <w:tcPr>
            <w:tcW w:w="1234" w:type="dxa"/>
            <w:gridSpan w:val="2"/>
            <w:vMerge w:val="restart"/>
            <w:tcBorders>
              <w:top w:val="single" w:sz="4" w:space="0" w:color="000000"/>
              <w:left w:val="single" w:sz="9"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90" w:right="0"/>
              <w:jc w:val="left"/>
              <w:rPr>
                <w:rFonts w:ascii="Times New Roman" w:hAnsi="Times New Roman" w:cs="Times New Roman" w:eastAsia="Times New Roman" w:hint="default"/>
                <w:sz w:val="18"/>
                <w:szCs w:val="18"/>
              </w:rPr>
            </w:pPr>
            <w:r>
              <w:rPr>
                <w:rFonts w:ascii="Times New Roman"/>
                <w:sz w:val="18"/>
              </w:rPr>
              <w:t>34,601</w:t>
            </w:r>
          </w:p>
        </w:tc>
        <w:tc>
          <w:tcPr>
            <w:tcW w:w="117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20"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8" w:type="dxa"/>
            <w:gridSpan w:val="2"/>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7" w:type="dxa"/>
            <w:gridSpan w:val="2"/>
            <w:vMerge/>
            <w:tcBorders>
              <w:left w:val="single" w:sz="9" w:space="0" w:color="D2D2D2"/>
              <w:right w:val="single" w:sz="9" w:space="0" w:color="D2D2D2"/>
            </w:tcBorders>
          </w:tcPr>
          <w:p>
            <w:pPr/>
          </w:p>
        </w:tc>
        <w:tc>
          <w:tcPr>
            <w:tcW w:w="1159" w:type="dxa"/>
            <w:gridSpan w:val="2"/>
            <w:vMerge/>
            <w:tcBorders>
              <w:left w:val="single" w:sz="4" w:space="0" w:color="000000"/>
              <w:bottom w:val="nil" w:sz="6" w:space="0" w:color="auto"/>
              <w:right w:val="single" w:sz="4" w:space="0" w:color="000000"/>
            </w:tcBorders>
            <w:shd w:val="clear" w:color="auto" w:fill="D2D2D2"/>
          </w:tcPr>
          <w:p>
            <w:pPr/>
          </w:p>
        </w:tc>
        <w:tc>
          <w:tcPr>
            <w:tcW w:w="1234" w:type="dxa"/>
            <w:gridSpan w:val="2"/>
            <w:vMerge/>
            <w:tcBorders>
              <w:left w:val="single" w:sz="9" w:space="0" w:color="D2D2D2"/>
              <w:right w:val="single" w:sz="10" w:space="0" w:color="D2D2D2"/>
            </w:tcBorders>
          </w:tcPr>
          <w:p>
            <w:pPr/>
          </w:p>
        </w:tc>
        <w:tc>
          <w:tcPr>
            <w:tcW w:w="117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 w:right="69"/>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6" w:lineRule="auto" w:before="19"/>
              <w:ind w:left="11" w:right="11"/>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20" w:type="dxa"/>
            <w:gridSpan w:val="2"/>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4" w:space="0" w:color="000000"/>
            </w:tcBorders>
          </w:tcPr>
          <w:p>
            <w:pPr/>
          </w:p>
        </w:tc>
      </w:tr>
      <w:tr>
        <w:trPr>
          <w:trHeight w:val="312"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7" w:type="dxa"/>
            <w:gridSpan w:val="2"/>
            <w:vMerge/>
            <w:tcBorders>
              <w:left w:val="single" w:sz="9" w:space="0" w:color="D2D2D2"/>
              <w:right w:val="single" w:sz="9" w:space="0" w:color="D2D2D2"/>
            </w:tcBorders>
          </w:tcPr>
          <w:p>
            <w:pPr/>
          </w:p>
        </w:tc>
        <w:tc>
          <w:tcPr>
            <w:tcW w:w="115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 w:right="55"/>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34" w:type="dxa"/>
            <w:gridSpan w:val="2"/>
            <w:vMerge/>
            <w:tcBorders>
              <w:left w:val="single" w:sz="9" w:space="0" w:color="D2D2D2"/>
              <w:right w:val="single" w:sz="10"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20" w:type="dxa"/>
            <w:gridSpan w:val="2"/>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4" w:space="0" w:color="000000"/>
            </w:tcBorders>
          </w:tcPr>
          <w:p>
            <w:pPr/>
          </w:p>
        </w:tc>
      </w:tr>
      <w:tr>
        <w:trPr>
          <w:trHeight w:val="703"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7" w:type="dxa"/>
            <w:gridSpan w:val="2"/>
            <w:vMerge/>
            <w:tcBorders>
              <w:left w:val="single" w:sz="9" w:space="0" w:color="D2D2D2"/>
              <w:right w:val="single" w:sz="9" w:space="0" w:color="D2D2D2"/>
            </w:tcBorders>
          </w:tcPr>
          <w:p>
            <w:pPr/>
          </w:p>
        </w:tc>
        <w:tc>
          <w:tcPr>
            <w:tcW w:w="1159" w:type="dxa"/>
            <w:gridSpan w:val="2"/>
            <w:vMerge/>
            <w:tcBorders>
              <w:left w:val="single" w:sz="4" w:space="0" w:color="000000"/>
              <w:right w:val="single" w:sz="4" w:space="0" w:color="000000"/>
            </w:tcBorders>
            <w:shd w:val="clear" w:color="auto" w:fill="D2D2D2"/>
          </w:tcPr>
          <w:p>
            <w:pPr/>
          </w:p>
        </w:tc>
        <w:tc>
          <w:tcPr>
            <w:tcW w:w="1234" w:type="dxa"/>
            <w:gridSpan w:val="2"/>
            <w:vMerge/>
            <w:tcBorders>
              <w:left w:val="single" w:sz="9" w:space="0" w:color="D2D2D2"/>
              <w:right w:val="single" w:sz="10"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20" w:type="dxa"/>
            <w:gridSpan w:val="2"/>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4" w:space="0" w:color="000000"/>
            </w:tcBorders>
          </w:tcPr>
          <w:p>
            <w:pPr/>
          </w:p>
        </w:tc>
      </w:tr>
      <w:tr>
        <w:trPr>
          <w:trHeight w:val="312"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7" w:type="dxa"/>
            <w:gridSpan w:val="2"/>
            <w:vMerge/>
            <w:tcBorders>
              <w:left w:val="single" w:sz="9" w:space="0" w:color="D2D2D2"/>
              <w:right w:val="single" w:sz="9" w:space="0" w:color="D2D2D2"/>
            </w:tcBorders>
          </w:tcPr>
          <w:p>
            <w:pPr/>
          </w:p>
        </w:tc>
        <w:tc>
          <w:tcPr>
            <w:tcW w:w="1159" w:type="dxa"/>
            <w:gridSpan w:val="2"/>
            <w:vMerge/>
            <w:tcBorders>
              <w:left w:val="single" w:sz="4" w:space="0" w:color="000000"/>
              <w:bottom w:val="nil" w:sz="6" w:space="0" w:color="auto"/>
              <w:right w:val="single" w:sz="4" w:space="0" w:color="000000"/>
            </w:tcBorders>
            <w:shd w:val="clear" w:color="auto" w:fill="D2D2D2"/>
          </w:tcPr>
          <w:p>
            <w:pPr/>
          </w:p>
        </w:tc>
        <w:tc>
          <w:tcPr>
            <w:tcW w:w="1234" w:type="dxa"/>
            <w:gridSpan w:val="2"/>
            <w:vMerge/>
            <w:tcBorders>
              <w:left w:val="single" w:sz="9" w:space="0" w:color="D2D2D2"/>
              <w:right w:val="single" w:sz="10"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20" w:type="dxa"/>
            <w:gridSpan w:val="2"/>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4" w:space="0" w:color="000000"/>
            </w:tcBorders>
          </w:tcPr>
          <w:p>
            <w:pP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7" w:type="dxa"/>
            <w:gridSpan w:val="2"/>
            <w:vMerge/>
            <w:tcBorders>
              <w:left w:val="single" w:sz="9" w:space="0" w:color="D2D2D2"/>
              <w:right w:val="single" w:sz="9" w:space="0" w:color="D2D2D2"/>
            </w:tcBorders>
          </w:tcPr>
          <w:p>
            <w:pPr/>
          </w:p>
        </w:tc>
        <w:tc>
          <w:tcPr>
            <w:tcW w:w="1159" w:type="dxa"/>
            <w:gridSpan w:val="2"/>
            <w:vMerge w:val="restart"/>
            <w:tcBorders>
              <w:top w:val="nil" w:sz="6" w:space="0" w:color="auto"/>
              <w:left w:val="single" w:sz="4" w:space="0" w:color="000000"/>
              <w:right w:val="single" w:sz="4" w:space="0" w:color="000000"/>
            </w:tcBorders>
            <w:shd w:val="clear" w:color="auto" w:fill="D2D2D2"/>
          </w:tcPr>
          <w:p>
            <w:pPr/>
          </w:p>
        </w:tc>
        <w:tc>
          <w:tcPr>
            <w:tcW w:w="1234" w:type="dxa"/>
            <w:gridSpan w:val="2"/>
            <w:vMerge/>
            <w:tcBorders>
              <w:left w:val="single" w:sz="9" w:space="0" w:color="D2D2D2"/>
              <w:right w:val="single" w:sz="10" w:space="0" w:color="D2D2D2"/>
            </w:tcBorders>
          </w:tcPr>
          <w:p>
            <w:pPr/>
          </w:p>
        </w:tc>
        <w:tc>
          <w:tcPr>
            <w:tcW w:w="1173" w:type="dxa"/>
            <w:gridSpan w:val="2"/>
            <w:vMerge/>
            <w:tcBorders>
              <w:left w:val="single" w:sz="4" w:space="0" w:color="000000"/>
              <w:bottom w:val="nil" w:sz="6" w:space="0" w:color="auto"/>
              <w:right w:val="single" w:sz="4" w:space="0" w:color="000000"/>
            </w:tcBorders>
            <w:shd w:val="clear" w:color="auto" w:fill="D2D2D2"/>
          </w:tcPr>
          <w:p>
            <w:pPr/>
          </w:p>
        </w:tc>
        <w:tc>
          <w:tcPr>
            <w:tcW w:w="1220" w:type="dxa"/>
            <w:gridSpan w:val="2"/>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4" w:space="0" w:color="000000"/>
            </w:tcBorders>
          </w:tcPr>
          <w:p>
            <w:pPr/>
          </w:p>
        </w:tc>
      </w:tr>
      <w:tr>
        <w:trPr>
          <w:trHeight w:val="166"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07" w:type="dxa"/>
            <w:gridSpan w:val="2"/>
            <w:vMerge/>
            <w:tcBorders>
              <w:left w:val="single" w:sz="9" w:space="0" w:color="D2D2D2"/>
              <w:bottom w:val="single" w:sz="4" w:space="0" w:color="000000"/>
              <w:right w:val="single" w:sz="9" w:space="0" w:color="D2D2D2"/>
            </w:tcBorders>
          </w:tcPr>
          <w:p>
            <w:pPr/>
          </w:p>
        </w:tc>
        <w:tc>
          <w:tcPr>
            <w:tcW w:w="1159" w:type="dxa"/>
            <w:gridSpan w:val="2"/>
            <w:vMerge/>
            <w:tcBorders>
              <w:left w:val="single" w:sz="4" w:space="0" w:color="000000"/>
              <w:bottom w:val="single" w:sz="4" w:space="0" w:color="000000"/>
              <w:right w:val="single" w:sz="4" w:space="0" w:color="000000"/>
            </w:tcBorders>
            <w:shd w:val="clear" w:color="auto" w:fill="D2D2D2"/>
          </w:tcPr>
          <w:p>
            <w:pPr/>
          </w:p>
        </w:tc>
        <w:tc>
          <w:tcPr>
            <w:tcW w:w="1234" w:type="dxa"/>
            <w:gridSpan w:val="2"/>
            <w:vMerge/>
            <w:tcBorders>
              <w:left w:val="single" w:sz="9" w:space="0" w:color="D2D2D2"/>
              <w:bottom w:val="single" w:sz="4" w:space="0" w:color="000000"/>
              <w:right w:val="single" w:sz="10" w:space="0" w:color="D2D2D2"/>
            </w:tcBorders>
          </w:tcPr>
          <w:p>
            <w:pPr/>
          </w:p>
        </w:tc>
        <w:tc>
          <w:tcPr>
            <w:tcW w:w="117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20" w:type="dxa"/>
            <w:gridSpan w:val="2"/>
            <w:vMerge/>
            <w:tcBorders>
              <w:left w:val="single" w:sz="10" w:space="0" w:color="D2D2D2"/>
              <w:bottom w:val="single" w:sz="4" w:space="0" w:color="000000"/>
              <w:right w:val="single" w:sz="13" w:space="0" w:color="D2D2D2"/>
            </w:tcBorders>
          </w:tcPr>
          <w:p>
            <w:pPr/>
          </w:p>
        </w:tc>
        <w:tc>
          <w:tcPr>
            <w:tcW w:w="1173" w:type="dxa"/>
            <w:gridSpan w:val="2"/>
            <w:vMerge/>
            <w:tcBorders>
              <w:left w:val="single" w:sz="4" w:space="0" w:color="000000"/>
              <w:bottom w:val="single" w:sz="4" w:space="0" w:color="000000"/>
              <w:right w:val="single" w:sz="4" w:space="0" w:color="000000"/>
            </w:tcBorders>
            <w:shd w:val="clear" w:color="auto" w:fill="D2D2D2"/>
          </w:tcPr>
          <w:p>
            <w:pPr/>
          </w:p>
        </w:tc>
        <w:tc>
          <w:tcPr>
            <w:tcW w:w="1208" w:type="dxa"/>
            <w:gridSpan w:val="2"/>
            <w:vMerge/>
            <w:tcBorders>
              <w:left w:val="single" w:sz="10" w:space="0" w:color="D2D2D2"/>
              <w:bottom w:val="single" w:sz="4" w:space="0" w:color="000000"/>
              <w:right w:val="single" w:sz="4" w:space="0" w:color="000000"/>
            </w:tcBorders>
          </w:tcPr>
          <w:p>
            <w:pPr/>
          </w:p>
        </w:tc>
      </w:tr>
      <w:tr>
        <w:trPr>
          <w:trHeight w:val="391" w:hRule="exact"/>
        </w:trPr>
        <w:tc>
          <w:tcPr>
            <w:tcW w:w="9571"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8"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366" w:type="dxa"/>
            <w:gridSpan w:val="2"/>
            <w:vMerge w:val="restart"/>
            <w:tcBorders>
              <w:top w:val="single" w:sz="4" w:space="0" w:color="000000"/>
              <w:left w:val="single" w:sz="4" w:space="0" w:color="000000"/>
              <w:right w:val="single" w:sz="4" w:space="0" w:color="000000"/>
            </w:tcBorders>
            <w:shd w:val="clear" w:color="auto" w:fill="D2D2D2"/>
          </w:tcPr>
          <w:p>
            <w:pPr/>
          </w:p>
        </w:tc>
        <w:tc>
          <w:tcPr>
            <w:tcW w:w="727" w:type="dxa"/>
            <w:tcBorders>
              <w:top w:val="single" w:sz="4" w:space="0" w:color="000000"/>
              <w:left w:val="single" w:sz="4" w:space="0" w:color="000000"/>
              <w:bottom w:val="nil" w:sz="6" w:space="0" w:color="auto"/>
              <w:right w:val="single" w:sz="4" w:space="0" w:color="000000"/>
            </w:tcBorders>
            <w:shd w:val="clear" w:color="auto" w:fill="D2D2D2"/>
          </w:tcPr>
          <w:p>
            <w:pPr/>
          </w:p>
        </w:tc>
        <w:tc>
          <w:tcPr>
            <w:tcW w:w="975"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40" w:right="38"/>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11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112" w:right="110"/>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9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2"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366" w:type="dxa"/>
            <w:gridSpan w:val="2"/>
            <w:vMerge/>
            <w:tcBorders>
              <w:left w:val="single" w:sz="4" w:space="0" w:color="000000"/>
              <w:bottom w:val="nil" w:sz="6" w:space="0" w:color="auto"/>
              <w:right w:val="single" w:sz="4" w:space="0" w:color="000000"/>
            </w:tcBorders>
            <w:shd w:val="clear" w:color="auto" w:fill="D2D2D2"/>
          </w:tcPr>
          <w:p>
            <w:pPr/>
          </w:p>
        </w:tc>
        <w:tc>
          <w:tcPr>
            <w:tcW w:w="727"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59" w:right="9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97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04" w:right="38"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9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40" w:right="41"/>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991" w:type="dxa"/>
            <w:gridSpan w:val="2"/>
            <w:vMerge/>
            <w:tcBorders>
              <w:left w:val="single" w:sz="4" w:space="0" w:color="000000"/>
              <w:right w:val="single" w:sz="4" w:space="0" w:color="000000"/>
            </w:tcBorders>
            <w:shd w:val="clear" w:color="auto" w:fill="D2D2D2"/>
          </w:tcPr>
          <w:p>
            <w:pPr/>
          </w:p>
        </w:tc>
        <w:tc>
          <w:tcPr>
            <w:tcW w:w="1135" w:type="dxa"/>
            <w:gridSpan w:val="2"/>
            <w:vMerge/>
            <w:tcBorders>
              <w:left w:val="single" w:sz="4" w:space="0" w:color="000000"/>
              <w:right w:val="single" w:sz="4" w:space="0" w:color="000000"/>
            </w:tcBorders>
            <w:shd w:val="clear" w:color="auto" w:fill="D2D2D2"/>
          </w:tcPr>
          <w:p>
            <w:pPr/>
          </w:p>
        </w:tc>
        <w:tc>
          <w:tcPr>
            <w:tcW w:w="1913" w:type="dxa"/>
            <w:gridSpan w:val="3"/>
            <w:vMerge/>
            <w:tcBorders>
              <w:left w:val="single" w:sz="4" w:space="0" w:color="000000"/>
              <w:right w:val="single" w:sz="4" w:space="0" w:color="000000"/>
            </w:tcBorders>
            <w:shd w:val="clear" w:color="auto" w:fill="D2D2D2"/>
          </w:tcPr>
          <w:p>
            <w:pPr/>
          </w:p>
        </w:tc>
      </w:tr>
      <w:tr>
        <w:trPr>
          <w:trHeight w:val="139"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7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27"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994" w:type="dxa"/>
            <w:gridSpan w:val="2"/>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1135" w:type="dxa"/>
            <w:gridSpan w:val="2"/>
            <w:vMerge/>
            <w:tcBorders>
              <w:left w:val="single" w:sz="4" w:space="0" w:color="000000"/>
              <w:right w:val="single" w:sz="4" w:space="0" w:color="000000"/>
            </w:tcBorders>
            <w:shd w:val="clear" w:color="auto" w:fill="D2D2D2"/>
          </w:tcPr>
          <w:p>
            <w:pPr/>
          </w:p>
        </w:tc>
        <w:tc>
          <w:tcPr>
            <w:tcW w:w="1913" w:type="dxa"/>
            <w:gridSpan w:val="3"/>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366" w:type="dxa"/>
            <w:gridSpan w:val="2"/>
            <w:vMerge/>
            <w:tcBorders>
              <w:left w:val="single" w:sz="4" w:space="0" w:color="000000"/>
              <w:bottom w:val="nil" w:sz="6" w:space="0" w:color="auto"/>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994" w:type="dxa"/>
            <w:gridSpan w:val="2"/>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1135" w:type="dxa"/>
            <w:gridSpan w:val="2"/>
            <w:vMerge/>
            <w:tcBorders>
              <w:left w:val="single" w:sz="4" w:space="0" w:color="000000"/>
              <w:right w:val="single" w:sz="4" w:space="0" w:color="000000"/>
            </w:tcBorders>
            <w:shd w:val="clear" w:color="auto" w:fill="D2D2D2"/>
          </w:tcPr>
          <w:p>
            <w:pPr/>
          </w:p>
        </w:tc>
        <w:tc>
          <w:tcPr>
            <w:tcW w:w="8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6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366" w:type="dxa"/>
            <w:gridSpan w:val="2"/>
            <w:vMerge w:val="restart"/>
            <w:tcBorders>
              <w:top w:val="nil" w:sz="6" w:space="0" w:color="auto"/>
              <w:left w:val="single" w:sz="4" w:space="0" w:color="000000"/>
              <w:right w:val="single" w:sz="4" w:space="0" w:color="000000"/>
            </w:tcBorders>
            <w:shd w:val="clear" w:color="auto" w:fill="D2D2D2"/>
          </w:tcPr>
          <w:p>
            <w:pPr/>
          </w:p>
        </w:tc>
        <w:tc>
          <w:tcPr>
            <w:tcW w:w="727" w:type="dxa"/>
            <w:vMerge/>
            <w:tcBorders>
              <w:left w:val="single" w:sz="4" w:space="0" w:color="000000"/>
              <w:bottom w:val="nil" w:sz="6" w:space="0" w:color="auto"/>
              <w:right w:val="single" w:sz="4" w:space="0" w:color="000000"/>
            </w:tcBorders>
            <w:shd w:val="clear" w:color="auto" w:fill="D2D2D2"/>
          </w:tcPr>
          <w:p>
            <w:pPr/>
          </w:p>
        </w:tc>
        <w:tc>
          <w:tcPr>
            <w:tcW w:w="975" w:type="dxa"/>
            <w:vMerge/>
            <w:tcBorders>
              <w:left w:val="single" w:sz="4" w:space="0" w:color="000000"/>
              <w:bottom w:val="nil" w:sz="6" w:space="0" w:color="auto"/>
              <w:right w:val="single" w:sz="4" w:space="0" w:color="000000"/>
            </w:tcBorders>
            <w:shd w:val="clear" w:color="auto" w:fill="D2D2D2"/>
          </w:tcPr>
          <w:p>
            <w:pPr/>
          </w:p>
        </w:tc>
        <w:tc>
          <w:tcPr>
            <w:tcW w:w="994" w:type="dxa"/>
            <w:gridSpan w:val="2"/>
            <w:vMerge/>
            <w:tcBorders>
              <w:left w:val="single" w:sz="4" w:space="0" w:color="000000"/>
              <w:bottom w:val="nil" w:sz="6" w:space="0" w:color="auto"/>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1135" w:type="dxa"/>
            <w:gridSpan w:val="2"/>
            <w:vMerge/>
            <w:tcBorders>
              <w:left w:val="single" w:sz="4" w:space="0" w:color="000000"/>
              <w:right w:val="single" w:sz="4" w:space="0" w:color="000000"/>
            </w:tcBorders>
            <w:shd w:val="clear" w:color="auto" w:fill="D2D2D2"/>
          </w:tcPr>
          <w:p>
            <w:pPr/>
          </w:p>
        </w:tc>
        <w:tc>
          <w:tcPr>
            <w:tcW w:w="850" w:type="dxa"/>
            <w:gridSpan w:val="2"/>
            <w:vMerge/>
            <w:tcBorders>
              <w:left w:val="single" w:sz="4" w:space="0" w:color="000000"/>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366" w:type="dxa"/>
            <w:gridSpan w:val="2"/>
            <w:vMerge/>
            <w:tcBorders>
              <w:left w:val="single" w:sz="4" w:space="0" w:color="000000"/>
              <w:bottom w:val="single" w:sz="4" w:space="0" w:color="000000"/>
              <w:right w:val="single" w:sz="4" w:space="0" w:color="000000"/>
            </w:tcBorders>
            <w:shd w:val="clear" w:color="auto" w:fill="D2D2D2"/>
          </w:tcPr>
          <w:p>
            <w:pPr/>
          </w:p>
        </w:tc>
        <w:tc>
          <w:tcPr>
            <w:tcW w:w="727" w:type="dxa"/>
            <w:tcBorders>
              <w:top w:val="nil" w:sz="6" w:space="0" w:color="auto"/>
              <w:left w:val="single" w:sz="4" w:space="0" w:color="000000"/>
              <w:bottom w:val="single" w:sz="4" w:space="0" w:color="000000"/>
              <w:right w:val="single" w:sz="4" w:space="0" w:color="000000"/>
            </w:tcBorders>
            <w:shd w:val="clear" w:color="auto" w:fill="D2D2D2"/>
          </w:tcPr>
          <w:p>
            <w:pPr/>
          </w:p>
        </w:tc>
        <w:tc>
          <w:tcPr>
            <w:tcW w:w="975"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gridSpan w:val="2"/>
            <w:vMerge/>
            <w:tcBorders>
              <w:left w:val="single" w:sz="4" w:space="0" w:color="000000"/>
              <w:bottom w:val="single" w:sz="4" w:space="0" w:color="000000"/>
              <w:right w:val="single" w:sz="4" w:space="0" w:color="000000"/>
            </w:tcBorders>
            <w:shd w:val="clear" w:color="auto" w:fill="D2D2D2"/>
          </w:tcPr>
          <w:p>
            <w:pPr/>
          </w:p>
        </w:tc>
        <w:tc>
          <w:tcPr>
            <w:tcW w:w="1135" w:type="dxa"/>
            <w:gridSpan w:val="2"/>
            <w:vMerge/>
            <w:tcBorders>
              <w:left w:val="single" w:sz="4" w:space="0" w:color="000000"/>
              <w:bottom w:val="single" w:sz="4" w:space="0" w:color="000000"/>
              <w:right w:val="single" w:sz="4" w:space="0" w:color="000000"/>
            </w:tcBorders>
            <w:shd w:val="clear" w:color="auto" w:fill="D2D2D2"/>
          </w:tcPr>
          <w:p>
            <w:pPr/>
          </w:p>
        </w:tc>
        <w:tc>
          <w:tcPr>
            <w:tcW w:w="850" w:type="dxa"/>
            <w:gridSpan w:val="2"/>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北京博升优势科 技发展有限公司</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center"/>
              <w:rPr>
                <w:rFonts w:ascii="Times New Roman" w:hAnsi="Times New Roman" w:cs="Times New Roman" w:eastAsia="Times New Roman" w:hint="default"/>
                <w:sz w:val="18"/>
                <w:szCs w:val="18"/>
              </w:rPr>
            </w:pPr>
            <w:r>
              <w:rPr>
                <w:rFonts w:ascii="Times New Roman"/>
                <w:sz w:val="18"/>
              </w:rPr>
              <w:t>20.61%</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256,300,922</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-25,789,300</w:t>
            </w: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256,300,922</w:t>
            </w:r>
          </w:p>
        </w:tc>
        <w:tc>
          <w:tcPr>
            <w:tcW w:w="850" w:type="dxa"/>
            <w:gridSpan w:val="2"/>
            <w:tcBorders>
              <w:top w:val="single" w:sz="44" w:space="0" w:color="D2D2D2"/>
              <w:left w:val="single" w:sz="4" w:space="0" w:color="000000"/>
              <w:bottom w:val="single" w:sz="4" w:space="0" w:color="000000"/>
              <w:right w:val="single" w:sz="4" w:space="0" w:color="000000"/>
            </w:tcBorders>
          </w:tcPr>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3" w:type="dxa"/>
            <w:tcBorders>
              <w:top w:val="single" w:sz="44" w:space="0" w:color="D2D2D2"/>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10" w:right="0"/>
              <w:jc w:val="center"/>
              <w:rPr>
                <w:rFonts w:ascii="Times New Roman" w:hAnsi="Times New Roman" w:cs="Times New Roman" w:eastAsia="Times New Roman" w:hint="default"/>
                <w:sz w:val="18"/>
                <w:szCs w:val="18"/>
              </w:rPr>
            </w:pPr>
            <w:r>
              <w:rPr>
                <w:rFonts w:ascii="Times New Roman"/>
                <w:sz w:val="18"/>
              </w:rPr>
              <w:t>173,500,000</w:t>
            </w: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73"/>
              <w:jc w:val="left"/>
              <w:rPr>
                <w:rFonts w:ascii="宋体" w:hAnsi="宋体" w:cs="宋体" w:eastAsia="宋体" w:hint="default"/>
                <w:sz w:val="18"/>
                <w:szCs w:val="18"/>
              </w:rPr>
            </w:pPr>
            <w:r>
              <w:rPr>
                <w:rFonts w:ascii="宋体" w:hAnsi="宋体" w:cs="宋体" w:eastAsia="宋体" w:hint="default"/>
                <w:sz w:val="18"/>
                <w:szCs w:val="18"/>
              </w:rPr>
              <w:t>青岛海立控股有 限公司</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5" w:right="0"/>
              <w:jc w:val="center"/>
              <w:rPr>
                <w:rFonts w:ascii="Times New Roman" w:hAnsi="Times New Roman" w:cs="Times New Roman" w:eastAsia="Times New Roman" w:hint="default"/>
                <w:sz w:val="18"/>
                <w:szCs w:val="18"/>
              </w:rPr>
            </w:pPr>
            <w:r>
              <w:rPr>
                <w:rFonts w:ascii="Times New Roman"/>
                <w:sz w:val="18"/>
              </w:rPr>
              <w:t>19.44%</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241,775,600</w:t>
            </w: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241,775,600</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9" w:right="0"/>
              <w:jc w:val="center"/>
              <w:rPr>
                <w:rFonts w:ascii="Times New Roman" w:hAnsi="Times New Roman" w:cs="Times New Roman" w:eastAsia="Times New Roman" w:hint="default"/>
                <w:sz w:val="18"/>
                <w:szCs w:val="18"/>
              </w:rPr>
            </w:pPr>
            <w:r>
              <w:rPr>
                <w:rFonts w:ascii="Times New Roman"/>
                <w:sz w:val="18"/>
              </w:rPr>
              <w:t>94,880,000</w:t>
            </w: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青岛天晨投资有 限公司</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1" w:right="0"/>
              <w:jc w:val="center"/>
              <w:rPr>
                <w:rFonts w:ascii="Times New Roman" w:hAnsi="Times New Roman" w:cs="Times New Roman" w:eastAsia="Times New Roman" w:hint="default"/>
                <w:sz w:val="18"/>
                <w:szCs w:val="18"/>
              </w:rPr>
            </w:pPr>
            <w:r>
              <w:rPr>
                <w:rFonts w:ascii="Times New Roman"/>
                <w:sz w:val="18"/>
              </w:rPr>
              <w:t>7.17%</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1" w:right="0"/>
              <w:jc w:val="center"/>
              <w:rPr>
                <w:rFonts w:ascii="Times New Roman" w:hAnsi="Times New Roman" w:cs="Times New Roman" w:eastAsia="Times New Roman" w:hint="default"/>
                <w:sz w:val="18"/>
                <w:szCs w:val="18"/>
              </w:rPr>
            </w:pPr>
            <w:r>
              <w:rPr>
                <w:rFonts w:ascii="Times New Roman"/>
                <w:sz w:val="18"/>
              </w:rPr>
              <w:t>89,100,000</w:t>
            </w: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89,100,000</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9" w:right="0"/>
              <w:jc w:val="center"/>
              <w:rPr>
                <w:rFonts w:ascii="Times New Roman" w:hAnsi="Times New Roman" w:cs="Times New Roman" w:eastAsia="Times New Roman" w:hint="default"/>
                <w:sz w:val="18"/>
                <w:szCs w:val="18"/>
              </w:rPr>
            </w:pPr>
            <w:r>
              <w:rPr>
                <w:rFonts w:ascii="Times New Roman"/>
                <w:sz w:val="18"/>
              </w:rPr>
              <w:t>29,000,000</w:t>
            </w: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73"/>
              <w:jc w:val="left"/>
              <w:rPr>
                <w:rFonts w:ascii="宋体" w:hAnsi="宋体" w:cs="宋体" w:eastAsia="宋体" w:hint="default"/>
                <w:sz w:val="18"/>
                <w:szCs w:val="18"/>
              </w:rPr>
            </w:pPr>
            <w:r>
              <w:rPr>
                <w:rFonts w:ascii="宋体" w:hAnsi="宋体" w:cs="宋体" w:eastAsia="宋体" w:hint="default"/>
                <w:sz w:val="18"/>
                <w:szCs w:val="18"/>
              </w:rPr>
              <w:t>银联商务股份有 限公司</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1" w:right="0"/>
              <w:jc w:val="center"/>
              <w:rPr>
                <w:rFonts w:ascii="Times New Roman" w:hAnsi="Times New Roman" w:cs="Times New Roman" w:eastAsia="Times New Roman" w:hint="default"/>
                <w:sz w:val="18"/>
                <w:szCs w:val="18"/>
              </w:rPr>
            </w:pPr>
            <w:r>
              <w:rPr>
                <w:rFonts w:ascii="Times New Roman"/>
                <w:sz w:val="18"/>
              </w:rPr>
              <w:t>7.08%</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1" w:right="0"/>
              <w:jc w:val="center"/>
              <w:rPr>
                <w:rFonts w:ascii="Times New Roman" w:hAnsi="Times New Roman" w:cs="Times New Roman" w:eastAsia="Times New Roman" w:hint="default"/>
                <w:sz w:val="18"/>
                <w:szCs w:val="18"/>
              </w:rPr>
            </w:pPr>
            <w:r>
              <w:rPr>
                <w:rFonts w:ascii="Times New Roman"/>
                <w:sz w:val="18"/>
              </w:rPr>
              <w:t>88,060,100</w:t>
            </w: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88,060,100</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中国移动通信集 团有限公司</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1" w:right="0"/>
              <w:jc w:val="center"/>
              <w:rPr>
                <w:rFonts w:ascii="Times New Roman" w:hAnsi="Times New Roman" w:cs="Times New Roman" w:eastAsia="Times New Roman" w:hint="default"/>
                <w:sz w:val="18"/>
                <w:szCs w:val="18"/>
              </w:rPr>
            </w:pPr>
            <w:r>
              <w:rPr>
                <w:rFonts w:ascii="Times New Roman"/>
                <w:sz w:val="18"/>
              </w:rPr>
              <w:t>3.37%</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1" w:right="0"/>
              <w:jc w:val="center"/>
              <w:rPr>
                <w:rFonts w:ascii="Times New Roman" w:hAnsi="Times New Roman" w:cs="Times New Roman" w:eastAsia="Times New Roman" w:hint="default"/>
                <w:sz w:val="18"/>
                <w:szCs w:val="18"/>
              </w:rPr>
            </w:pPr>
            <w:r>
              <w:rPr>
                <w:rFonts w:ascii="Times New Roman"/>
                <w:sz w:val="18"/>
              </w:rPr>
              <w:t>41,929,600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-12,435,308</w:t>
            </w: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41,929,600</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北京东富新投投 </w:t>
            </w:r>
            <w:r>
              <w:rPr>
                <w:rFonts w:ascii="宋体" w:hAnsi="宋体" w:cs="宋体" w:eastAsia="宋体" w:hint="default"/>
                <w:spacing w:val="-4"/>
                <w:sz w:val="18"/>
                <w:szCs w:val="18"/>
              </w:rPr>
              <w:t>资管理中心（有限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合伙）</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71" w:right="0"/>
              <w:jc w:val="center"/>
              <w:rPr>
                <w:rFonts w:ascii="Times New Roman" w:hAnsi="Times New Roman" w:cs="Times New Roman" w:eastAsia="Times New Roman" w:hint="default"/>
                <w:sz w:val="18"/>
                <w:szCs w:val="18"/>
              </w:rPr>
            </w:pPr>
            <w:r>
              <w:rPr>
                <w:rFonts w:ascii="Times New Roman"/>
                <w:sz w:val="18"/>
              </w:rPr>
              <w:t>2.07%</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11" w:right="0"/>
              <w:jc w:val="center"/>
              <w:rPr>
                <w:rFonts w:ascii="Times New Roman" w:hAnsi="Times New Roman" w:cs="Times New Roman" w:eastAsia="Times New Roman" w:hint="default"/>
                <w:sz w:val="18"/>
                <w:szCs w:val="18"/>
              </w:rPr>
            </w:pPr>
            <w:r>
              <w:rPr>
                <w:rFonts w:ascii="Times New Roman"/>
                <w:sz w:val="18"/>
              </w:rPr>
              <w:t>25,801,406</w:t>
            </w: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25,801,406</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both"/>
              <w:rPr>
                <w:rFonts w:ascii="宋体" w:hAnsi="宋体" w:cs="宋体" w:eastAsia="宋体" w:hint="default"/>
                <w:sz w:val="18"/>
                <w:szCs w:val="18"/>
              </w:rPr>
            </w:pPr>
            <w:r>
              <w:rPr>
                <w:rFonts w:ascii="宋体" w:hAnsi="宋体" w:cs="宋体" w:eastAsia="宋体" w:hint="default"/>
                <w:sz w:val="18"/>
                <w:szCs w:val="18"/>
              </w:rPr>
              <w:t>深圳市华富源投 资中心（有限合 伙）</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1" w:right="0"/>
              <w:jc w:val="center"/>
              <w:rPr>
                <w:rFonts w:ascii="Times New Roman" w:hAnsi="Times New Roman" w:cs="Times New Roman" w:eastAsia="Times New Roman" w:hint="default"/>
                <w:sz w:val="18"/>
                <w:szCs w:val="18"/>
              </w:rPr>
            </w:pPr>
            <w:r>
              <w:rPr>
                <w:rFonts w:ascii="Times New Roman"/>
                <w:sz w:val="18"/>
              </w:rPr>
              <w:t>1.74%</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1" w:right="0"/>
              <w:jc w:val="center"/>
              <w:rPr>
                <w:rFonts w:ascii="Times New Roman" w:hAnsi="Times New Roman" w:cs="Times New Roman" w:eastAsia="Times New Roman" w:hint="default"/>
                <w:sz w:val="18"/>
                <w:szCs w:val="18"/>
              </w:rPr>
            </w:pPr>
            <w:r>
              <w:rPr>
                <w:rFonts w:ascii="Times New Roman"/>
                <w:sz w:val="18"/>
              </w:rPr>
              <w:t>21,670,100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21,670,100</w:t>
            </w: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21,670,100</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69"/>
        <w:gridCol w:w="1389"/>
        <w:gridCol w:w="688"/>
        <w:gridCol w:w="991"/>
        <w:gridCol w:w="994"/>
        <w:gridCol w:w="991"/>
        <w:gridCol w:w="350"/>
        <w:gridCol w:w="785"/>
        <w:gridCol w:w="565"/>
        <w:gridCol w:w="286"/>
        <w:gridCol w:w="1063"/>
      </w:tblGrid>
      <w:tr>
        <w:trPr>
          <w:trHeight w:val="71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2"/>
              <w:jc w:val="left"/>
              <w:rPr>
                <w:rFonts w:ascii="宋体" w:hAnsi="宋体" w:cs="宋体" w:eastAsia="宋体" w:hint="default"/>
                <w:sz w:val="18"/>
                <w:szCs w:val="18"/>
              </w:rPr>
            </w:pPr>
            <w:r>
              <w:rPr>
                <w:rFonts w:ascii="宋体" w:hAnsi="宋体" w:cs="宋体" w:eastAsia="宋体" w:hint="default"/>
                <w:spacing w:val="-4"/>
                <w:sz w:val="18"/>
                <w:szCs w:val="18"/>
              </w:rPr>
              <w:t>东富（北京）投资</w:t>
            </w:r>
            <w:r>
              <w:rPr>
                <w:rFonts w:ascii="宋体" w:hAnsi="宋体" w:cs="宋体" w:eastAsia="宋体" w:hint="default"/>
                <w:sz w:val="18"/>
                <w:szCs w:val="18"/>
              </w:rPr>
              <w:t> 管理有限公司</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20,383,000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20,383,000</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孙征</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1.13%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0" w:right="0"/>
              <w:jc w:val="left"/>
              <w:rPr>
                <w:rFonts w:ascii="Times New Roman" w:hAnsi="Times New Roman" w:cs="Times New Roman" w:eastAsia="Times New Roman" w:hint="default"/>
                <w:sz w:val="18"/>
                <w:szCs w:val="18"/>
              </w:rPr>
            </w:pPr>
            <w:r>
              <w:rPr>
                <w:rFonts w:ascii="Times New Roman"/>
                <w:sz w:val="18"/>
              </w:rPr>
              <w:t>14,000,000</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深圳市华美达一 </w:t>
            </w:r>
            <w:r>
              <w:rPr>
                <w:rFonts w:ascii="宋体" w:hAnsi="宋体" w:cs="宋体" w:eastAsia="宋体" w:hint="default"/>
                <w:spacing w:val="-4"/>
                <w:sz w:val="18"/>
                <w:szCs w:val="18"/>
              </w:rPr>
              <w:t>号投资中心（有限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合伙）</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0.92%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-50,400,000</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11,500,000</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285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713" w:type="dxa"/>
            <w:gridSpan w:val="9"/>
            <w:vMerge w:val="restart"/>
            <w:tcBorders>
              <w:top w:val="single" w:sz="4" w:space="0" w:color="000000"/>
              <w:left w:val="single" w:sz="10" w:space="0" w:color="D2D2D2"/>
              <w:right w:val="single" w:sz="4" w:space="0" w:color="000000"/>
            </w:tcBorders>
          </w:tcPr>
          <w:p>
            <w:pPr>
              <w:pStyle w:val="TableParagraph"/>
              <w:spacing w:line="314" w:lineRule="auto" w:before="51"/>
              <w:ind w:left="-7" w:right="19"/>
              <w:jc w:val="left"/>
              <w:rPr>
                <w:rFonts w:ascii="宋体" w:hAnsi="宋体" w:cs="宋体" w:eastAsia="宋体" w:hint="default"/>
                <w:sz w:val="18"/>
                <w:szCs w:val="18"/>
              </w:rPr>
            </w:pPr>
            <w:r>
              <w:rPr>
                <w:rFonts w:ascii="宋体" w:hAnsi="宋体" w:cs="宋体" w:eastAsia="宋体" w:hint="default"/>
                <w:sz w:val="18"/>
                <w:szCs w:val="18"/>
              </w:rPr>
              <w:t>至报告期末，公司前十名股东中北京东富新投投资管理中心（有限合伙）所持公司股 份来自于公司在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年度非公开发行新股，该部分新增股份的上市日为</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300" w:lineRule="auto" w:before="1"/>
              <w:ind w:left="-7"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日，限售期为股份上市之日起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个月，已于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日解除限售并上市流 通。</w:t>
            </w:r>
          </w:p>
        </w:tc>
      </w:tr>
      <w:tr>
        <w:trPr>
          <w:trHeight w:val="1015" w:hRule="exact"/>
        </w:trPr>
        <w:tc>
          <w:tcPr>
            <w:tcW w:w="2858"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7" w:lineRule="auto" w:before="49"/>
              <w:ind w:left="24" w:right="42"/>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pacing w:val="-17"/>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713" w:type="dxa"/>
            <w:gridSpan w:val="9"/>
            <w:vMerge/>
            <w:tcBorders>
              <w:left w:val="single" w:sz="10" w:space="0" w:color="D2D2D2"/>
              <w:right w:val="single" w:sz="4" w:space="0" w:color="000000"/>
            </w:tcBorders>
          </w:tcPr>
          <w:p>
            <w:pPr/>
          </w:p>
        </w:tc>
      </w:tr>
      <w:tr>
        <w:trPr>
          <w:trHeight w:val="161" w:hRule="exact"/>
        </w:trPr>
        <w:tc>
          <w:tcPr>
            <w:tcW w:w="285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713" w:type="dxa"/>
            <w:gridSpan w:val="9"/>
            <w:vMerge/>
            <w:tcBorders>
              <w:left w:val="single" w:sz="10" w:space="0" w:color="D2D2D2"/>
              <w:bottom w:val="single" w:sz="4" w:space="0" w:color="000000"/>
              <w:right w:val="single" w:sz="4" w:space="0" w:color="000000"/>
            </w:tcBorders>
          </w:tcPr>
          <w:p>
            <w:pPr/>
          </w:p>
        </w:tc>
      </w:tr>
      <w:tr>
        <w:trPr>
          <w:trHeight w:val="473" w:hRule="exact"/>
        </w:trPr>
        <w:tc>
          <w:tcPr>
            <w:tcW w:w="285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713" w:type="dxa"/>
            <w:gridSpan w:val="9"/>
            <w:vMerge w:val="restart"/>
            <w:tcBorders>
              <w:top w:val="single" w:sz="4" w:space="0" w:color="000000"/>
              <w:left w:val="single" w:sz="10" w:space="0" w:color="D2D2D2"/>
              <w:right w:val="single" w:sz="4" w:space="0" w:color="000000"/>
            </w:tcBorders>
          </w:tcPr>
          <w:p>
            <w:pPr>
              <w:pStyle w:val="TableParagraph"/>
              <w:spacing w:line="319" w:lineRule="auto" w:before="49"/>
              <w:ind w:left="-7" w:right="39"/>
              <w:jc w:val="both"/>
              <w:rPr>
                <w:rFonts w:ascii="宋体" w:hAnsi="宋体" w:cs="宋体" w:eastAsia="宋体" w:hint="default"/>
                <w:sz w:val="18"/>
                <w:szCs w:val="18"/>
              </w:rPr>
            </w:pPr>
            <w:r>
              <w:rPr>
                <w:rFonts w:ascii="宋体" w:hAnsi="宋体" w:cs="宋体" w:eastAsia="宋体" w:hint="default"/>
                <w:sz w:val="18"/>
                <w:szCs w:val="18"/>
              </w:rPr>
              <w:t>公司股东青岛海立控股有限公司的股东孙刚先生和刘国平女士是夫妻关系，分别与青 岛天晨投资有限公司的控股股东孙震是父子、母子关系，两公司属一致行动人。北京 东富新投投资管理中心（有限合伙）由东富（北京）投资管理有限公司投资成立。除 以上情况外，公司未知上述股东中的其他股东是否存在关联关系，也未知是否属于一 致行动人。</w:t>
            </w:r>
          </w:p>
        </w:tc>
      </w:tr>
      <w:tr>
        <w:trPr>
          <w:trHeight w:val="703" w:hRule="exact"/>
        </w:trPr>
        <w:tc>
          <w:tcPr>
            <w:tcW w:w="2858"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22"/>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713" w:type="dxa"/>
            <w:gridSpan w:val="9"/>
            <w:vMerge/>
            <w:tcBorders>
              <w:left w:val="single" w:sz="10" w:space="0" w:color="D2D2D2"/>
              <w:right w:val="single" w:sz="4" w:space="0" w:color="000000"/>
            </w:tcBorders>
          </w:tcPr>
          <w:p>
            <w:pPr/>
          </w:p>
        </w:tc>
      </w:tr>
      <w:tr>
        <w:trPr>
          <w:trHeight w:val="474" w:hRule="exact"/>
        </w:trPr>
        <w:tc>
          <w:tcPr>
            <w:tcW w:w="285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713" w:type="dxa"/>
            <w:gridSpan w:val="9"/>
            <w:vMerge/>
            <w:tcBorders>
              <w:left w:val="single" w:sz="10" w:space="0" w:color="D2D2D2"/>
              <w:bottom w:val="single" w:sz="4" w:space="0" w:color="000000"/>
              <w:right w:val="single" w:sz="4" w:space="0" w:color="000000"/>
            </w:tcBorders>
          </w:tcPr>
          <w:p>
            <w:pPr/>
          </w:p>
        </w:tc>
      </w:tr>
      <w:tr>
        <w:trPr>
          <w:trHeight w:val="402"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85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014"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8"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0" w:hRule="exact"/>
        </w:trPr>
        <w:tc>
          <w:tcPr>
            <w:tcW w:w="285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014"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65"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4"/>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858" w:type="dxa"/>
            <w:gridSpan w:val="2"/>
            <w:vMerge/>
            <w:tcBorders>
              <w:left w:val="single" w:sz="4" w:space="0" w:color="000000"/>
              <w:bottom w:val="nil" w:sz="6" w:space="0" w:color="auto"/>
              <w:right w:val="single" w:sz="4" w:space="0" w:color="000000"/>
            </w:tcBorders>
            <w:shd w:val="clear" w:color="auto" w:fill="D2D2D2"/>
          </w:tcPr>
          <w:p>
            <w:pPr/>
          </w:p>
        </w:tc>
        <w:tc>
          <w:tcPr>
            <w:tcW w:w="4014" w:type="dxa"/>
            <w:gridSpan w:val="5"/>
            <w:vMerge/>
            <w:tcBorders>
              <w:left w:val="single" w:sz="4" w:space="0" w:color="000000"/>
              <w:bottom w:val="nil" w:sz="6" w:space="0" w:color="auto"/>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5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014"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8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北京博升优势科技发展有限公司</w:t>
            </w:r>
          </w:p>
        </w:tc>
        <w:tc>
          <w:tcPr>
            <w:tcW w:w="401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256,300,922</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5" w:right="0"/>
              <w:jc w:val="left"/>
              <w:rPr>
                <w:rFonts w:ascii="Times New Roman" w:hAnsi="Times New Roman" w:cs="Times New Roman" w:eastAsia="Times New Roman" w:hint="default"/>
                <w:sz w:val="18"/>
                <w:szCs w:val="18"/>
              </w:rPr>
            </w:pPr>
            <w:r>
              <w:rPr>
                <w:rFonts w:ascii="Times New Roman"/>
                <w:sz w:val="18"/>
              </w:rPr>
              <w:t>256,300,922</w:t>
            </w:r>
          </w:p>
        </w:tc>
      </w:tr>
      <w:tr>
        <w:trPr>
          <w:trHeight w:val="403" w:hRule="exact"/>
        </w:trPr>
        <w:tc>
          <w:tcPr>
            <w:tcW w:w="28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青岛海立控股有限公司</w:t>
            </w:r>
          </w:p>
        </w:tc>
        <w:tc>
          <w:tcPr>
            <w:tcW w:w="401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241,775,600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15" w:right="0"/>
              <w:jc w:val="left"/>
              <w:rPr>
                <w:rFonts w:ascii="Times New Roman" w:hAnsi="Times New Roman" w:cs="Times New Roman" w:eastAsia="Times New Roman" w:hint="default"/>
                <w:sz w:val="18"/>
                <w:szCs w:val="18"/>
              </w:rPr>
            </w:pPr>
            <w:r>
              <w:rPr>
                <w:rFonts w:ascii="Times New Roman"/>
                <w:sz w:val="18"/>
              </w:rPr>
              <w:t>241,775,600</w:t>
            </w:r>
          </w:p>
        </w:tc>
      </w:tr>
      <w:tr>
        <w:trPr>
          <w:trHeight w:val="401" w:hRule="exact"/>
        </w:trPr>
        <w:tc>
          <w:tcPr>
            <w:tcW w:w="28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青岛天晨投资有限公司</w:t>
            </w:r>
          </w:p>
        </w:tc>
        <w:tc>
          <w:tcPr>
            <w:tcW w:w="401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89,100,000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89,100,000</w:t>
            </w:r>
          </w:p>
        </w:tc>
      </w:tr>
      <w:tr>
        <w:trPr>
          <w:trHeight w:val="403" w:hRule="exact"/>
        </w:trPr>
        <w:tc>
          <w:tcPr>
            <w:tcW w:w="28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银联商务股份有限公司</w:t>
            </w:r>
          </w:p>
        </w:tc>
        <w:tc>
          <w:tcPr>
            <w:tcW w:w="401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88,060,100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3" w:right="0"/>
              <w:jc w:val="left"/>
              <w:rPr>
                <w:rFonts w:ascii="Times New Roman" w:hAnsi="Times New Roman" w:cs="Times New Roman" w:eastAsia="Times New Roman" w:hint="default"/>
                <w:sz w:val="18"/>
                <w:szCs w:val="18"/>
              </w:rPr>
            </w:pPr>
            <w:r>
              <w:rPr>
                <w:rFonts w:ascii="Times New Roman"/>
                <w:sz w:val="18"/>
              </w:rPr>
              <w:t>88,060,100</w:t>
            </w:r>
          </w:p>
        </w:tc>
      </w:tr>
      <w:tr>
        <w:trPr>
          <w:trHeight w:val="401" w:hRule="exact"/>
        </w:trPr>
        <w:tc>
          <w:tcPr>
            <w:tcW w:w="28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中国移动通信集团有限公司</w:t>
            </w:r>
          </w:p>
        </w:tc>
        <w:tc>
          <w:tcPr>
            <w:tcW w:w="401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41,929,600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41,929,600</w:t>
            </w:r>
          </w:p>
        </w:tc>
      </w:tr>
      <w:tr>
        <w:trPr>
          <w:trHeight w:val="715" w:hRule="exact"/>
        </w:trPr>
        <w:tc>
          <w:tcPr>
            <w:tcW w:w="285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
              <w:jc w:val="left"/>
              <w:rPr>
                <w:rFonts w:ascii="宋体" w:hAnsi="宋体" w:cs="宋体" w:eastAsia="宋体" w:hint="default"/>
                <w:sz w:val="18"/>
                <w:szCs w:val="18"/>
              </w:rPr>
            </w:pPr>
            <w:r>
              <w:rPr>
                <w:rFonts w:ascii="宋体" w:hAnsi="宋体" w:cs="宋体" w:eastAsia="宋体" w:hint="default"/>
                <w:spacing w:val="-4"/>
                <w:sz w:val="18"/>
                <w:szCs w:val="18"/>
              </w:rPr>
              <w:t>北京东富新投投资管理中心（有限合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伙）</w:t>
            </w:r>
          </w:p>
        </w:tc>
        <w:tc>
          <w:tcPr>
            <w:tcW w:w="401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25,801,406</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03" w:right="0"/>
              <w:jc w:val="left"/>
              <w:rPr>
                <w:rFonts w:ascii="Times New Roman" w:hAnsi="Times New Roman" w:cs="Times New Roman" w:eastAsia="Times New Roman" w:hint="default"/>
                <w:sz w:val="18"/>
                <w:szCs w:val="18"/>
              </w:rPr>
            </w:pPr>
            <w:r>
              <w:rPr>
                <w:rFonts w:ascii="Times New Roman"/>
                <w:sz w:val="18"/>
              </w:rPr>
              <w:t>25,801,406</w:t>
            </w:r>
          </w:p>
        </w:tc>
      </w:tr>
      <w:tr>
        <w:trPr>
          <w:trHeight w:val="401" w:hRule="exact"/>
        </w:trPr>
        <w:tc>
          <w:tcPr>
            <w:tcW w:w="28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深圳市华富源投资中心（有限合伙</w:t>
            </w:r>
          </w:p>
        </w:tc>
        <w:tc>
          <w:tcPr>
            <w:tcW w:w="4014" w:type="dxa"/>
            <w:gridSpan w:val="5"/>
            <w:tcBorders>
              <w:top w:val="single" w:sz="4" w:space="0" w:color="000000"/>
              <w:left w:val="single" w:sz="4" w:space="0" w:color="000000"/>
              <w:bottom w:val="single" w:sz="4" w:space="0" w:color="000000"/>
              <w:right w:val="single" w:sz="4" w:space="0" w:color="000000"/>
            </w:tcBorders>
          </w:tcPr>
          <w:p>
            <w:pPr>
              <w:pStyle w:val="TableParagraph"/>
              <w:tabs>
                <w:tab w:pos="3171" w:val="left" w:leader="none"/>
              </w:tabs>
              <w:spacing w:line="240" w:lineRule="auto" w:before="49"/>
              <w:ind w:left="-1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21,670,100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21,670,100</w:t>
            </w:r>
          </w:p>
        </w:tc>
      </w:tr>
      <w:tr>
        <w:trPr>
          <w:trHeight w:val="403" w:hRule="exact"/>
        </w:trPr>
        <w:tc>
          <w:tcPr>
            <w:tcW w:w="28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东富（北京）投资管理有限公司</w:t>
            </w:r>
          </w:p>
        </w:tc>
        <w:tc>
          <w:tcPr>
            <w:tcW w:w="401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20,383,000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3" w:right="0"/>
              <w:jc w:val="left"/>
              <w:rPr>
                <w:rFonts w:ascii="Times New Roman" w:hAnsi="Times New Roman" w:cs="Times New Roman" w:eastAsia="Times New Roman" w:hint="default"/>
                <w:sz w:val="18"/>
                <w:szCs w:val="18"/>
              </w:rPr>
            </w:pPr>
            <w:r>
              <w:rPr>
                <w:rFonts w:ascii="Times New Roman"/>
                <w:sz w:val="18"/>
              </w:rPr>
              <w:t>20,383,000</w:t>
            </w:r>
          </w:p>
        </w:tc>
      </w:tr>
      <w:tr>
        <w:trPr>
          <w:trHeight w:val="401" w:hRule="exact"/>
        </w:trPr>
        <w:tc>
          <w:tcPr>
            <w:tcW w:w="28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孙征</w:t>
            </w:r>
          </w:p>
        </w:tc>
        <w:tc>
          <w:tcPr>
            <w:tcW w:w="401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14,000,000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14,000,000</w:t>
            </w:r>
          </w:p>
        </w:tc>
      </w:tr>
      <w:tr>
        <w:trPr>
          <w:trHeight w:val="715" w:hRule="exact"/>
        </w:trPr>
        <w:tc>
          <w:tcPr>
            <w:tcW w:w="285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
              <w:jc w:val="left"/>
              <w:rPr>
                <w:rFonts w:ascii="宋体" w:hAnsi="宋体" w:cs="宋体" w:eastAsia="宋体" w:hint="default"/>
                <w:sz w:val="18"/>
                <w:szCs w:val="18"/>
              </w:rPr>
            </w:pPr>
            <w:r>
              <w:rPr>
                <w:rFonts w:ascii="宋体" w:hAnsi="宋体" w:cs="宋体" w:eastAsia="宋体" w:hint="default"/>
                <w:spacing w:val="-4"/>
                <w:sz w:val="18"/>
                <w:szCs w:val="18"/>
              </w:rPr>
              <w:t>深圳市华美达一号投资中心（有限合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伙）</w:t>
            </w:r>
          </w:p>
        </w:tc>
        <w:tc>
          <w:tcPr>
            <w:tcW w:w="401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11,500,000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11" w:right="0"/>
              <w:jc w:val="left"/>
              <w:rPr>
                <w:rFonts w:ascii="Times New Roman" w:hAnsi="Times New Roman" w:cs="Times New Roman" w:eastAsia="Times New Roman" w:hint="default"/>
                <w:sz w:val="18"/>
                <w:szCs w:val="18"/>
              </w:rPr>
            </w:pPr>
            <w:r>
              <w:rPr>
                <w:rFonts w:ascii="Times New Roman"/>
                <w:sz w:val="18"/>
              </w:rPr>
              <w:t>11,500,000</w:t>
            </w:r>
          </w:p>
        </w:tc>
      </w:tr>
      <w:tr>
        <w:trPr>
          <w:trHeight w:val="1649" w:hRule="exact"/>
        </w:trPr>
        <w:tc>
          <w:tcPr>
            <w:tcW w:w="28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w:t>
            </w:r>
          </w:p>
          <w:p>
            <w:pPr>
              <w:pStyle w:val="TableParagraph"/>
              <w:spacing w:line="309" w:lineRule="auto" w:before="63"/>
              <w:ind w:left="24" w:right="-4"/>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 说明</w:t>
            </w:r>
          </w:p>
        </w:tc>
        <w:tc>
          <w:tcPr>
            <w:tcW w:w="6713" w:type="dxa"/>
            <w:gridSpan w:val="9"/>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49" w:right="18"/>
              <w:jc w:val="both"/>
              <w:rPr>
                <w:rFonts w:ascii="宋体" w:hAnsi="宋体" w:cs="宋体" w:eastAsia="宋体" w:hint="default"/>
                <w:sz w:val="18"/>
                <w:szCs w:val="18"/>
              </w:rPr>
            </w:pPr>
            <w:r>
              <w:rPr>
                <w:rFonts w:ascii="宋体" w:hAnsi="宋体" w:cs="宋体" w:eastAsia="宋体" w:hint="default"/>
                <w:spacing w:val="-1"/>
                <w:sz w:val="18"/>
                <w:szCs w:val="18"/>
              </w:rPr>
              <w:t>公司股东青岛海立控股有限公司的股东孙刚先生和刘国平女士是夫妻关系，分别与青</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岛天晨投资有限公司的控股股东孙震是父子、母子关系，两公司属一致行动人。北京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东富新投投资管理中心（有限合伙）由东富（北京）投资管理有限公司投资成立。除</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
                <w:sz w:val="18"/>
                <w:szCs w:val="18"/>
              </w:rPr>
              <w:t>以上情况外，公司未知上述股东中的其他股东是否存在关联关系，也未知是否属于一</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致行动人。</w:t>
            </w:r>
          </w:p>
        </w:tc>
      </w:tr>
      <w:tr>
        <w:trPr>
          <w:trHeight w:val="715" w:hRule="exact"/>
        </w:trPr>
        <w:tc>
          <w:tcPr>
            <w:tcW w:w="28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3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名普通股股东参与融资融券业 </w:t>
            </w:r>
            <w:r>
              <w:rPr>
                <w:rFonts w:ascii="宋体" w:hAnsi="宋体" w:cs="宋体" w:eastAsia="宋体" w:hint="default"/>
                <w:spacing w:val="-8"/>
                <w:sz w:val="18"/>
                <w:szCs w:val="18"/>
              </w:rPr>
              <w:t>务情况说明（如有）（参见注</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713"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9" w:right="0"/>
              <w:jc w:val="left"/>
              <w:rPr>
                <w:rFonts w:ascii="宋体" w:hAnsi="宋体" w:cs="宋体" w:eastAsia="宋体" w:hint="default"/>
                <w:sz w:val="18"/>
                <w:szCs w:val="18"/>
              </w:rPr>
            </w:pPr>
            <w:r>
              <w:rPr>
                <w:rFonts w:ascii="宋体" w:hAnsi="宋体" w:cs="宋体" w:eastAsia="宋体" w:hint="default"/>
                <w:sz w:val="18"/>
                <w:szCs w:val="18"/>
              </w:rPr>
              <w:t>孙征通过证券公司客户信用交易担保证券账户持有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14,000,000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股，深圳市华美达一号</w:t>
            </w:r>
          </w:p>
          <w:p>
            <w:pPr>
              <w:pStyle w:val="TableParagraph"/>
              <w:spacing w:line="240" w:lineRule="auto" w:before="60"/>
              <w:ind w:left="49" w:right="-3"/>
              <w:jc w:val="left"/>
              <w:rPr>
                <w:rFonts w:ascii="宋体" w:hAnsi="宋体" w:cs="宋体" w:eastAsia="宋体" w:hint="default"/>
                <w:sz w:val="18"/>
                <w:szCs w:val="18"/>
              </w:rPr>
            </w:pPr>
            <w:r>
              <w:rPr>
                <w:rFonts w:ascii="宋体" w:hAnsi="宋体" w:cs="宋体" w:eastAsia="宋体" w:hint="default"/>
                <w:sz w:val="18"/>
                <w:szCs w:val="18"/>
              </w:rPr>
              <w:t>投资中心（有限合伙）通过证券公司客户信用交易担保证券账户持有</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11,500,000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w:t>
            </w:r>
          </w:p>
        </w:tc>
      </w:tr>
    </w:tbl>
    <w:p>
      <w:pPr>
        <w:pStyle w:val="BodyText"/>
        <w:spacing w:line="240" w:lineRule="auto" w:before="49"/>
        <w:ind w:right="1133"/>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4"/>
        <w:ind w:right="1133"/>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bookmarkStart w:name="2、公司控股股东情况" w:id="121"/>
      <w:bookmarkEnd w:id="121"/>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8594"/>
        <w:jc w:val="left"/>
      </w:pPr>
      <w:r>
        <w:rPr/>
        <w:t>控股股东性质：自然人控股 控股股东类型：法人</w:t>
      </w:r>
    </w:p>
    <w:tbl>
      <w:tblPr>
        <w:tblW w:w="0" w:type="auto"/>
        <w:jc w:val="left"/>
        <w:tblInd w:w="148" w:type="dxa"/>
        <w:tblLayout w:type="fixed"/>
        <w:tblCellMar>
          <w:top w:w="0" w:type="dxa"/>
          <w:left w:w="0" w:type="dxa"/>
          <w:bottom w:w="0" w:type="dxa"/>
          <w:right w:w="0" w:type="dxa"/>
        </w:tblCellMar>
        <w:tblLook w:val="01E0"/>
      </w:tblPr>
      <w:tblGrid>
        <w:gridCol w:w="1997"/>
        <w:gridCol w:w="1829"/>
        <w:gridCol w:w="1894"/>
        <w:gridCol w:w="1934"/>
        <w:gridCol w:w="1916"/>
      </w:tblGrid>
      <w:tr>
        <w:trPr>
          <w:trHeight w:val="713"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4"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821" w:right="72" w:hanging="74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403"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青岛海立控股有限公司</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孙刚</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91370282756908799L</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以自有资金对外投资。</w:t>
            </w:r>
          </w:p>
        </w:tc>
      </w:tr>
      <w:tr>
        <w:trPr>
          <w:trHeight w:val="1025"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控股股东报告期内控股 和参股的其他境内外上 市公司的股权情况</w:t>
            </w:r>
          </w:p>
        </w:tc>
        <w:tc>
          <w:tcPr>
            <w:tcW w:w="757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right="1133"/>
        <w:jc w:val="left"/>
      </w:pPr>
      <w:r>
        <w:rPr/>
        <w:t>控股股东报告期内变更</w:t>
      </w:r>
    </w:p>
    <w:p>
      <w:pPr>
        <w:pStyle w:val="BodyText"/>
        <w:spacing w:line="338" w:lineRule="auto" w:before="117"/>
        <w:ind w:right="70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line="240" w:lineRule="auto" w:before="7"/>
        <w:rPr>
          <w:rFonts w:ascii="宋体" w:hAnsi="宋体" w:cs="宋体" w:eastAsia="宋体" w:hint="default"/>
          <w:sz w:val="21"/>
          <w:szCs w:val="21"/>
        </w:rPr>
      </w:pPr>
    </w:p>
    <w:p>
      <w:pPr>
        <w:pStyle w:val="Heading3"/>
        <w:spacing w:line="240" w:lineRule="auto"/>
        <w:ind w:right="1133"/>
        <w:jc w:val="left"/>
        <w:rPr>
          <w:b w:val="0"/>
          <w:bCs w:val="0"/>
        </w:rPr>
      </w:pPr>
      <w:bookmarkStart w:name="3、公司实际控制人及其一致行动人" w:id="122"/>
      <w:bookmarkEnd w:id="122"/>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8414"/>
        <w:jc w:val="left"/>
      </w:pPr>
      <w:r>
        <w:rPr/>
        <w:t>实际控制人性质：境内自然人 实际控制人类型：自然人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BodyText"/>
        <w:spacing w:line="240" w:lineRule="auto" w:before="44"/>
        <w:ind w:left="0" w:right="1136"/>
        <w:jc w:val="right"/>
      </w:pPr>
      <w:r>
        <w:rPr/>
        <w:pict>
          <v:shape style="position:absolute;margin-left:56.400002pt;margin-top:-92.188271pt;width:479.3pt;height:179.1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93"/>
                    <w:gridCol w:w="2391"/>
                    <w:gridCol w:w="2393"/>
                    <w:gridCol w:w="2393"/>
                  </w:tblGrid>
                  <w:tr>
                    <w:trPr>
                      <w:trHeight w:val="716"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10" w:right="111" w:hanging="901"/>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孙刚</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刘国平</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337"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23" w:right="21"/>
                          <w:jc w:val="left"/>
                          <w:rPr>
                            <w:rFonts w:ascii="宋体" w:hAnsi="宋体" w:cs="宋体" w:eastAsia="宋体" w:hint="default"/>
                            <w:sz w:val="18"/>
                            <w:szCs w:val="18"/>
                          </w:rPr>
                        </w:pPr>
                        <w:r>
                          <w:rPr>
                            <w:rFonts w:ascii="宋体" w:hAnsi="宋体" w:cs="宋体" w:eastAsia="宋体" w:hint="default"/>
                            <w:spacing w:val="-2"/>
                            <w:sz w:val="18"/>
                            <w:szCs w:val="18"/>
                          </w:rPr>
                          <w:t>截止报告期末，刘国平女士主要职务情况请见本报告第九节</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三、任职情况</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中刘国平个人简</w:t>
                        </w:r>
                        <w:r>
                          <w:rPr>
                            <w:rFonts w:ascii="宋体" w:hAnsi="宋体" w:cs="宋体" w:eastAsia="宋体" w:hint="default"/>
                            <w:spacing w:val="-59"/>
                            <w:sz w:val="18"/>
                            <w:szCs w:val="18"/>
                          </w:rPr>
                          <w:t> </w:t>
                        </w:r>
                        <w:r>
                          <w:rPr>
                            <w:rFonts w:ascii="宋体" w:hAnsi="宋体" w:cs="宋体" w:eastAsia="宋体" w:hint="default"/>
                            <w:sz w:val="18"/>
                            <w:szCs w:val="18"/>
                          </w:rPr>
                          <w:t>历部分；孙刚先生：中国国籍，无境外永久居留权，男，</w:t>
                        </w:r>
                        <w:r>
                          <w:rPr>
                            <w:rFonts w:ascii="Times New Roman" w:hAnsi="Times New Roman" w:cs="Times New Roman" w:eastAsia="Times New Roman" w:hint="default"/>
                            <w:sz w:val="18"/>
                            <w:szCs w:val="18"/>
                          </w:rPr>
                          <w:t>1960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年出生，大专学历，经济师 </w:t>
                        </w:r>
                        <w:r>
                          <w:rPr>
                            <w:rFonts w:ascii="宋体" w:hAnsi="宋体" w:cs="宋体" w:eastAsia="宋体" w:hint="default"/>
                            <w:spacing w:val="-3"/>
                            <w:sz w:val="18"/>
                            <w:szCs w:val="18"/>
                          </w:rPr>
                          <w:t>曾任海立钢制品董事长。现任海立控股执行董事兼总经理、博苑地产执行董事兼总经理、海</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基置业执行董事兼总经理、青岛市即墨区海立达小额贷款有限公司董事长。</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03"/>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ind w:right="1133"/>
        <w:jc w:val="left"/>
      </w:pPr>
      <w:r>
        <w:rPr/>
        <w:t>实际控制人报告期内变更</w:t>
      </w:r>
    </w:p>
    <w:p>
      <w:pPr>
        <w:pStyle w:val="BodyText"/>
        <w:spacing w:line="348"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after="0" w:line="348" w:lineRule="auto"/>
        <w:jc w:val="left"/>
        <w:sectPr>
          <w:pgSz w:w="11910" w:h="16840"/>
          <w:pgMar w:header="745" w:footer="980" w:top="1060" w:bottom="1160" w:left="980" w:right="0"/>
        </w:sectPr>
      </w:pPr>
    </w:p>
    <w:p>
      <w:pPr>
        <w:spacing w:line="240" w:lineRule="auto" w:before="3"/>
        <w:rPr>
          <w:rFonts w:ascii="宋体" w:hAnsi="宋体" w:cs="宋体" w:eastAsia="宋体" w:hint="default"/>
          <w:sz w:val="29"/>
          <w:szCs w:val="29"/>
        </w:rPr>
      </w:pPr>
    </w:p>
    <w:p>
      <w:pPr>
        <w:spacing w:line="4035" w:lineRule="exact"/>
        <w:ind w:left="1355" w:right="0" w:firstLine="0"/>
        <w:rPr>
          <w:rFonts w:ascii="宋体" w:hAnsi="宋体" w:cs="宋体" w:eastAsia="宋体" w:hint="default"/>
          <w:sz w:val="20"/>
          <w:szCs w:val="20"/>
        </w:rPr>
      </w:pPr>
      <w:r>
        <w:rPr>
          <w:rFonts w:ascii="宋体" w:hAnsi="宋体" w:cs="宋体" w:eastAsia="宋体" w:hint="default"/>
          <w:position w:val="-80"/>
          <w:sz w:val="20"/>
          <w:szCs w:val="20"/>
        </w:rPr>
        <w:drawing>
          <wp:inline distT="0" distB="0" distL="0" distR="0">
            <wp:extent cx="4592451" cy="256222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8" cstate="print"/>
                    <a:stretch>
                      <a:fillRect/>
                    </a:stretch>
                  </pic:blipFill>
                  <pic:spPr>
                    <a:xfrm>
                      <a:off x="0" y="0"/>
                      <a:ext cx="4592451" cy="2562225"/>
                    </a:xfrm>
                    <a:prstGeom prst="rect">
                      <a:avLst/>
                    </a:prstGeom>
                  </pic:spPr>
                </pic:pic>
              </a:graphicData>
            </a:graphic>
          </wp:inline>
        </w:drawing>
      </w:r>
      <w:r>
        <w:rPr>
          <w:rFonts w:ascii="宋体" w:hAnsi="宋体" w:cs="宋体" w:eastAsia="宋体" w:hint="default"/>
          <w:position w:val="-80"/>
          <w:sz w:val="20"/>
          <w:szCs w:val="20"/>
        </w:rPr>
      </w:r>
    </w:p>
    <w:p>
      <w:pPr>
        <w:spacing w:line="240" w:lineRule="auto" w:before="7"/>
        <w:rPr>
          <w:rFonts w:ascii="宋体" w:hAnsi="宋体" w:cs="宋体" w:eastAsia="宋体" w:hint="default"/>
          <w:sz w:val="13"/>
          <w:szCs w:val="13"/>
        </w:rPr>
      </w:pPr>
    </w:p>
    <w:p>
      <w:pPr>
        <w:pStyle w:val="BodyText"/>
        <w:spacing w:line="240" w:lineRule="auto" w:before="44"/>
        <w:ind w:right="1133"/>
        <w:jc w:val="left"/>
      </w:pPr>
      <w:r>
        <w:rPr/>
        <w:t>实际控制人通过信托或其他资产管理方式控制公司</w:t>
      </w:r>
    </w:p>
    <w:p>
      <w:pPr>
        <w:spacing w:line="240" w:lineRule="auto" w:before="1"/>
        <w:rPr>
          <w:rFonts w:ascii="宋体" w:hAnsi="宋体" w:cs="宋体" w:eastAsia="宋体" w:hint="default"/>
          <w:sz w:val="21"/>
          <w:szCs w:val="21"/>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bookmarkStart w:name="4、其他持股在10%以上的法人股东" w:id="123"/>
      <w:bookmarkEnd w:id="123"/>
      <w:r>
        <w:rPr>
          <w:b w:val="0"/>
          <w:bCs w:val="0"/>
        </w:rPr>
      </w: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before="44"/>
        <w:ind w:left="0" w:right="1139"/>
        <w:jc w:val="right"/>
      </w:pPr>
      <w:r>
        <w:rPr/>
        <w:pict>
          <v:shape style="position:absolute;margin-left:56.400002pt;margin-top:-83.188286pt;width:479.3pt;height:366.3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80"/>
                    <w:gridCol w:w="1815"/>
                    <w:gridCol w:w="1414"/>
                    <w:gridCol w:w="1634"/>
                    <w:gridCol w:w="2127"/>
                  </w:tblGrid>
                  <w:tr>
                    <w:trPr>
                      <w:trHeight w:val="713" w:hRule="exact"/>
                    </w:trPr>
                    <w:tc>
                      <w:tcPr>
                        <w:tcW w:w="2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法人股东名称</w:t>
                        </w:r>
                      </w:p>
                    </w:tc>
                    <w:tc>
                      <w:tcPr>
                        <w:tcW w:w="1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814" w:right="65" w:hanging="74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主要经营业务或管理活动</w:t>
                        </w:r>
                      </w:p>
                    </w:tc>
                  </w:tr>
                  <w:tr>
                    <w:trPr>
                      <w:trHeight w:val="6603"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北京博升优势科技发展有限公司</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伍雯弘</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13,000.6723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万人民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币</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计算机软硬件技术开发； 计算机网络的技术开发、 技术转让、技术咨询、技 术服务；计算机系统集成 电脑动画设计；承办展览 展示活动；计算机技术培 训；销售计算机、软件及 辅助设备；因特网信息服 务业务（除新闻、出版、 教育、医疗保健、药品、 医疗器械和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BBS </w:t>
                        </w:r>
                        <w:r>
                          <w:rPr>
                            <w:rFonts w:ascii="宋体" w:hAnsi="宋体" w:cs="宋体" w:eastAsia="宋体" w:hint="default"/>
                            <w:sz w:val="18"/>
                            <w:szCs w:val="18"/>
                          </w:rPr>
                          <w:t>以外的内 容</w:t>
                        </w:r>
                        <w:r>
                          <w:rPr>
                            <w:rFonts w:ascii="Times New Roman" w:hAnsi="Times New Roman" w:cs="Times New Roman" w:eastAsia="Times New Roman" w:hint="default"/>
                            <w:sz w:val="18"/>
                            <w:szCs w:val="18"/>
                          </w:rPr>
                          <w:t>)</w:t>
                        </w:r>
                        <w:r>
                          <w:rPr>
                            <w:rFonts w:ascii="宋体" w:hAnsi="宋体" w:cs="宋体" w:eastAsia="宋体" w:hint="default"/>
                            <w:sz w:val="18"/>
                            <w:szCs w:val="18"/>
                          </w:rPr>
                          <w:t>；第二类增值电信业务 中的信息服务业务（仅含 </w:t>
                        </w:r>
                        <w:r>
                          <w:rPr>
                            <w:rFonts w:ascii="宋体" w:hAnsi="宋体" w:cs="宋体" w:eastAsia="宋体" w:hint="default"/>
                            <w:spacing w:val="-8"/>
                            <w:sz w:val="18"/>
                            <w:szCs w:val="18"/>
                          </w:rPr>
                          <w:t>移动网增值电信业务）；互</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联网信息服务；从事互联 </w:t>
                        </w:r>
                        <w:r>
                          <w:rPr>
                            <w:rFonts w:ascii="宋体" w:hAnsi="宋体" w:cs="宋体" w:eastAsia="宋体" w:hint="default"/>
                            <w:spacing w:val="-8"/>
                            <w:sz w:val="18"/>
                            <w:szCs w:val="18"/>
                          </w:rPr>
                          <w:t>网文化活动。（企业依法自</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主选择经营项目，开展经 营活动；从事互联网文化 活动、互联网信息服务以 及依法须经批准的项目， 经相关部门批准后依批准</w:t>
                        </w:r>
                      </w:p>
                    </w:tc>
                  </w:tr>
                </w:tbl>
                <w:p>
                  <w:pPr/>
                </w:p>
              </w:txbxContent>
            </v:textbox>
            <w10:wrap type="none"/>
          </v:shape>
        </w:pict>
      </w:r>
      <w:r>
        <w:rPr/>
        <w:t>；</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580"/>
        <w:gridCol w:w="1815"/>
        <w:gridCol w:w="1414"/>
        <w:gridCol w:w="1634"/>
        <w:gridCol w:w="2127"/>
      </w:tblGrid>
      <w:tr>
        <w:trPr>
          <w:trHeight w:val="1299" w:hRule="exact"/>
        </w:trPr>
        <w:tc>
          <w:tcPr>
            <w:tcW w:w="2580" w:type="dxa"/>
            <w:tcBorders>
              <w:top w:val="single" w:sz="4" w:space="0" w:color="000000"/>
              <w:left w:val="single" w:sz="4" w:space="0" w:color="000000"/>
              <w:bottom w:val="single" w:sz="4" w:space="0" w:color="000000"/>
              <w:right w:val="single" w:sz="4" w:space="0" w:color="000000"/>
            </w:tcBorders>
          </w:tcPr>
          <w:p>
            <w:pPr/>
          </w:p>
        </w:tc>
        <w:tc>
          <w:tcPr>
            <w:tcW w:w="1815"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11"/>
              <w:jc w:val="left"/>
              <w:rPr>
                <w:rFonts w:ascii="宋体" w:hAnsi="宋体" w:cs="宋体" w:eastAsia="宋体" w:hint="default"/>
                <w:sz w:val="18"/>
                <w:szCs w:val="18"/>
              </w:rPr>
            </w:pPr>
            <w:r>
              <w:rPr>
                <w:rFonts w:ascii="宋体" w:hAnsi="宋体" w:cs="宋体" w:eastAsia="宋体" w:hint="default"/>
                <w:sz w:val="18"/>
                <w:szCs w:val="18"/>
              </w:rPr>
              <w:t>的内容开展经营活动；不 得从事本市产业政策禁止 和限制类项目的经营活 </w:t>
            </w:r>
            <w:r>
              <w:rPr>
                <w:rFonts w:ascii="宋体" w:hAnsi="宋体" w:cs="宋体" w:eastAsia="宋体" w:hint="default"/>
                <w:spacing w:val="-31"/>
                <w:sz w:val="18"/>
                <w:szCs w:val="18"/>
              </w:rPr>
              <w:t>动。）</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5、控股股东、实际控制人、重组方及其他承诺主体股份限制减持情况" w:id="124"/>
      <w:bookmarkEnd w:id="124"/>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365" w:right="1133"/>
        <w:jc w:val="left"/>
        <w:rPr>
          <w:b w:val="0"/>
          <w:bCs w:val="0"/>
        </w:rPr>
      </w:pPr>
      <w:bookmarkStart w:name="第七节优先股相关情况" w:id="125"/>
      <w:bookmarkEnd w:id="125"/>
      <w:r>
        <w:rPr>
          <w:b w:val="0"/>
          <w:bCs w:val="0"/>
        </w:rPr>
      </w:r>
      <w:bookmarkStart w:name="_bookmark6" w:id="126"/>
      <w:bookmarkEnd w:id="126"/>
      <w:r>
        <w:rPr>
          <w:b w:val="0"/>
          <w:bCs w:val="0"/>
        </w:rPr>
      </w:r>
      <w:r>
        <w:rPr/>
        <w:t>第七节优先股相关情况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before="44"/>
        <w:ind w:right="8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723" w:right="1133"/>
        <w:jc w:val="left"/>
        <w:rPr>
          <w:b w:val="0"/>
          <w:bCs w:val="0"/>
        </w:rPr>
      </w:pPr>
      <w:bookmarkStart w:name="第八节可转换公司债券相关情况" w:id="127"/>
      <w:bookmarkEnd w:id="127"/>
      <w:r>
        <w:rPr>
          <w:b w:val="0"/>
          <w:bCs w:val="0"/>
        </w:rPr>
      </w:r>
      <w:bookmarkStart w:name="_bookmark7" w:id="128"/>
      <w:bookmarkEnd w:id="128"/>
      <w:r>
        <w:rPr>
          <w:b w:val="0"/>
          <w:bCs w:val="0"/>
        </w:rPr>
      </w:r>
      <w:r>
        <w:rPr/>
        <w:t>第八节可转换公司债券相关情况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38"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报告期公司不存在可转换公司债券。</w:t>
      </w:r>
    </w:p>
    <w:p>
      <w:pPr>
        <w:spacing w:after="0" w:line="338"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758" w:right="1133"/>
        <w:jc w:val="left"/>
        <w:rPr>
          <w:b w:val="0"/>
          <w:bCs w:val="0"/>
        </w:rPr>
      </w:pPr>
      <w:bookmarkStart w:name="第九节董事、监事、高级管理人员和员工情况" w:id="129"/>
      <w:bookmarkEnd w:id="129"/>
      <w:r>
        <w:rPr>
          <w:b w:val="0"/>
          <w:bCs w:val="0"/>
        </w:rPr>
      </w:r>
      <w:bookmarkStart w:name="_bookmark8" w:id="130"/>
      <w:bookmarkEnd w:id="130"/>
      <w:r>
        <w:rPr>
          <w:b w:val="0"/>
          <w:bCs w:val="0"/>
        </w:rPr>
      </w:r>
      <w:r>
        <w:rPr/>
        <w:t>第九节董事、监事、高级管理人员和员工情况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33"/>
        <w:jc w:val="left"/>
        <w:rPr>
          <w:b w:val="0"/>
          <w:bCs w:val="0"/>
        </w:rPr>
      </w:pPr>
      <w:bookmarkStart w:name="一、董事、监事和高级管理人员持股变动" w:id="131"/>
      <w:bookmarkEnd w:id="131"/>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102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44" w:firstLine="9"/>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刘国平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董事长、 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吴鹰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61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洪晓明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60,000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周建孚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董事、副 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586,100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386,100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范厚义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李贲</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董事、副 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480,000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-192,000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288,000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孙震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董事、副 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徐国亮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朱宏伟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张鹏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万明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675" w:hRule="exact"/>
        </w:trPr>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杨良刚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王治军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王晶</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于铁军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鲁浩</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310,000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186,000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亓秀美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董秘、副 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60,000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陈军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财务负责 人、副总 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戴兵</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原董事、 原执行总 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1,730,000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-692,000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1,038,000</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3,306,100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-1,288,00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2,018,100</w:t>
            </w:r>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bookmarkStart w:name="二、公司董事、监事、高级管理人员变动情况" w:id="132"/>
      <w:bookmarkEnd w:id="132"/>
      <w:r>
        <w:rPr>
          <w:b w:val="0"/>
          <w:bCs w:val="0"/>
        </w:rPr>
      </w:r>
      <w:r>
        <w:rPr/>
        <w:t>二、公司董事、监事、高级管理人员变动情况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08"/>
        <w:gridCol w:w="2127"/>
        <w:gridCol w:w="710"/>
        <w:gridCol w:w="1558"/>
        <w:gridCol w:w="4465"/>
      </w:tblGrid>
      <w:tr>
        <w:trPr>
          <w:trHeight w:val="401"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担任的职务</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陈军</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财务负责人、副总裁</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任免</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9"/>
              <w:jc w:val="left"/>
              <w:rPr>
                <w:rFonts w:ascii="宋体" w:hAnsi="宋体" w:cs="宋体" w:eastAsia="宋体" w:hint="default"/>
                <w:sz w:val="18"/>
                <w:szCs w:val="18"/>
              </w:rPr>
            </w:pPr>
            <w:r>
              <w:rPr>
                <w:rFonts w:ascii="宋体" w:hAnsi="宋体" w:cs="宋体" w:eastAsia="宋体" w:hint="default"/>
                <w:sz w:val="18"/>
                <w:szCs w:val="18"/>
              </w:rPr>
              <w:t>报告期内，因董事会审议通过聘任陈军先生为财务负责 人、副总裁职务</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戴兵</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董事、执行总裁</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报告期内，因个人原因主动辞去董事、执行总裁职务</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洪晓明</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原财务负责人、原副总裁</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9"/>
              <w:jc w:val="left"/>
              <w:rPr>
                <w:rFonts w:ascii="宋体" w:hAnsi="宋体" w:cs="宋体" w:eastAsia="宋体" w:hint="default"/>
                <w:sz w:val="18"/>
                <w:szCs w:val="18"/>
              </w:rPr>
            </w:pPr>
            <w:r>
              <w:rPr>
                <w:rFonts w:ascii="宋体" w:hAnsi="宋体" w:cs="宋体" w:eastAsia="宋体" w:hint="default"/>
                <w:sz w:val="18"/>
                <w:szCs w:val="18"/>
              </w:rPr>
              <w:t>报告期内，因达到退休年龄，主动辞去财务负责人、副 总裁职务，只担任董事职务</w:t>
            </w:r>
          </w:p>
        </w:tc>
      </w:tr>
    </w:tbl>
    <w:p>
      <w:pPr>
        <w:spacing w:after="0" w:line="316" w:lineRule="auto"/>
        <w:jc w:val="left"/>
        <w:rPr>
          <w:rFonts w:ascii="宋体" w:hAnsi="宋体" w:cs="宋体" w:eastAsia="宋体" w:hint="default"/>
          <w:sz w:val="18"/>
          <w:szCs w:val="18"/>
        </w:rPr>
        <w:sectPr>
          <w:footerReference w:type="default" r:id="rId19"/>
          <w:pgSz w:w="11910" w:h="16840"/>
          <w:pgMar w:footer="980" w:header="745" w:top="1060" w:bottom="1160" w:left="980" w:right="0"/>
          <w:pgNumType w:start="110"/>
        </w:sectPr>
      </w:pPr>
    </w:p>
    <w:p>
      <w:pPr>
        <w:spacing w:line="240" w:lineRule="auto" w:before="8"/>
        <w:rPr>
          <w:rFonts w:ascii="宋体" w:hAnsi="宋体" w:cs="宋体" w:eastAsia="宋体" w:hint="default"/>
          <w:sz w:val="23"/>
          <w:szCs w:val="23"/>
        </w:rPr>
      </w:pPr>
    </w:p>
    <w:p>
      <w:pPr>
        <w:pStyle w:val="Heading2"/>
        <w:spacing w:line="240" w:lineRule="auto" w:before="26"/>
        <w:ind w:right="0"/>
        <w:jc w:val="both"/>
        <w:rPr>
          <w:b w:val="0"/>
          <w:bCs w:val="0"/>
        </w:rPr>
      </w:pPr>
      <w:bookmarkStart w:name="三、任职情况" w:id="133"/>
      <w:bookmarkEnd w:id="133"/>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公司现任董事、监事、高级管理人员专业背景、主要工作经历以及目前在公司的主要职责</w:t>
      </w:r>
    </w:p>
    <w:p>
      <w:pPr>
        <w:pStyle w:val="BodyText"/>
        <w:spacing w:line="300" w:lineRule="auto" w:before="115"/>
        <w:ind w:left="513" w:right="1133"/>
        <w:jc w:val="left"/>
      </w:pPr>
      <w:r>
        <w:rPr>
          <w:rFonts w:ascii="Times New Roman" w:hAnsi="Times New Roman" w:cs="Times New Roman" w:eastAsia="Times New Roman" w:hint="default"/>
        </w:rPr>
        <w:t>1</w:t>
      </w:r>
      <w:r>
        <w:rPr/>
        <w:t>、董事简介： </w:t>
      </w:r>
      <w:r>
        <w:rPr>
          <w:spacing w:val="-2"/>
        </w:rPr>
        <w:t>刘国平女士：中国国籍，无境外永久居留权，女，</w:t>
      </w:r>
      <w:r>
        <w:rPr>
          <w:rFonts w:ascii="Times New Roman" w:hAnsi="Times New Roman" w:cs="Times New Roman" w:eastAsia="Times New Roman" w:hint="default"/>
          <w:spacing w:val="-2"/>
        </w:rPr>
        <w:t>1963</w:t>
      </w:r>
      <w:r>
        <w:rPr>
          <w:spacing w:val="-2"/>
        </w:rPr>
        <w:t>年出生，中共党员，经济师。曾任青岛海立钢制品有限公司总经</w:t>
      </w:r>
    </w:p>
    <w:p>
      <w:pPr>
        <w:pStyle w:val="BodyText"/>
        <w:spacing w:line="316" w:lineRule="auto" w:before="13"/>
        <w:ind w:right="1130"/>
        <w:jc w:val="both"/>
      </w:pPr>
      <w:r>
        <w:rPr>
          <w:spacing w:val="-2"/>
        </w:rPr>
        <w:t>理、监事，青岛海立美达钢制品有限公司董事长兼总经理。现任本公司董事长兼总裁，同时兼任青岛海立美达电机有限公司</w:t>
      </w:r>
      <w:r>
        <w:rPr>
          <w:spacing w:val="-64"/>
        </w:rPr>
        <w:t> </w:t>
      </w:r>
      <w:r>
        <w:rPr>
          <w:spacing w:val="-64"/>
        </w:rPr>
      </w:r>
      <w:r>
        <w:rPr>
          <w:spacing w:val="-2"/>
        </w:rPr>
        <w:t>执行董事、青岛海立达冲压件有限公司执行董事兼总经理、青岛海立美达精密机械制造有限公司执行董事、湖南海立美达钢</w:t>
      </w:r>
      <w:r>
        <w:rPr>
          <w:spacing w:val="-63"/>
        </w:rPr>
        <w:t> </w:t>
      </w:r>
      <w:r>
        <w:rPr>
          <w:spacing w:val="-63"/>
        </w:rPr>
      </w:r>
      <w:r>
        <w:rPr>
          <w:spacing w:val="-2"/>
        </w:rPr>
        <w:t>板加工配送有限公司执行董事兼总经理、青岛海立美达模具有限公司执行董事、宁波泰鸿机电有限公司执行董事、烟台海立</w:t>
      </w:r>
      <w:r>
        <w:rPr>
          <w:spacing w:val="-63"/>
        </w:rPr>
        <w:t> </w:t>
      </w:r>
      <w:r>
        <w:rPr>
          <w:spacing w:val="-63"/>
        </w:rPr>
      </w:r>
      <w:r>
        <w:rPr>
          <w:spacing w:val="-2"/>
        </w:rPr>
        <w:t>美达精密钢制品有限公司执行董事、青岛市即墨区海立达小额贷款有限公司董事、宁波泰鸿冲压件有限公司执行董事、湖北</w:t>
      </w:r>
      <w:r>
        <w:rPr>
          <w:spacing w:val="-63"/>
        </w:rPr>
        <w:t> </w:t>
      </w:r>
      <w:r>
        <w:rPr>
          <w:spacing w:val="-63"/>
        </w:rPr>
      </w:r>
      <w:r>
        <w:rPr>
          <w:spacing w:val="-2"/>
        </w:rPr>
        <w:t>海立美达汽车有限公司董事长、湖北海立田汽车部件有限公司董事长、宁波海立美达汽车部件有限公司执行董事、青岛海立</w:t>
      </w:r>
      <w:r>
        <w:rPr>
          <w:spacing w:val="-63"/>
        </w:rPr>
        <w:t> </w:t>
      </w:r>
      <w:r>
        <w:rPr>
          <w:spacing w:val="-63"/>
        </w:rPr>
      </w:r>
      <w:r>
        <w:rPr>
          <w:spacing w:val="-2"/>
        </w:rPr>
        <w:t>控股有限公司监事、联动优势（北京）数字科技有限公司董事、青岛海基置业有限公司监事，其在本公司任董事长的任期自</w:t>
      </w:r>
      <w:r>
        <w:rPr>
          <w:spacing w:val="-67"/>
        </w:rPr>
        <w:t> </w:t>
      </w:r>
      <w:r>
        <w:rPr>
          <w:spacing w:val="-67"/>
        </w:rPr>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月至今。</w:t>
      </w:r>
    </w:p>
    <w:p>
      <w:pPr>
        <w:pStyle w:val="BodyText"/>
        <w:spacing w:line="314" w:lineRule="auto"/>
        <w:ind w:right="1130" w:firstLine="360"/>
        <w:jc w:val="both"/>
      </w:pPr>
      <w:r>
        <w:rPr>
          <w:spacing w:val="-2"/>
        </w:rPr>
        <w:t>吴鹰先生：中国国籍，无境外永久居留权，男，</w:t>
      </w:r>
      <w:r>
        <w:rPr>
          <w:rFonts w:ascii="Times New Roman" w:hAnsi="Times New Roman" w:cs="Times New Roman" w:eastAsia="Times New Roman" w:hint="default"/>
          <w:spacing w:val="-2"/>
        </w:rPr>
        <w:t>1959</w:t>
      </w:r>
      <w:r>
        <w:rPr>
          <w:spacing w:val="-2"/>
        </w:rPr>
        <w:t>年出生，研究生学历。现任本公司董事，同时兼任中泽嘉盟投资有</w:t>
      </w:r>
      <w:r>
        <w:rPr/>
        <w:t> </w:t>
      </w:r>
      <w:r>
        <w:rPr>
          <w:spacing w:val="-2"/>
        </w:rPr>
        <w:t>限公司董事长、北京中泽启天投资中心（有限合伙）执行事务合伙人、北京博升优势科技发展有限公司董事长、中嘉博创信</w:t>
      </w:r>
      <w:r>
        <w:rPr>
          <w:spacing w:val="-66"/>
        </w:rPr>
        <w:t> </w:t>
      </w:r>
      <w:r>
        <w:rPr>
          <w:spacing w:val="-66"/>
        </w:rPr>
      </w:r>
      <w:r>
        <w:rPr>
          <w:spacing w:val="-2"/>
        </w:rPr>
        <w:t>息技术股份有限公司董事长、卓尔智联集团有限公司独立非执行董事、众安在线财产保险股份有限公司独立非执行董事、中</w:t>
      </w:r>
      <w:r>
        <w:rPr>
          <w:spacing w:val="-63"/>
        </w:rPr>
        <w:t> </w:t>
      </w:r>
      <w:r>
        <w:rPr>
          <w:spacing w:val="-63"/>
        </w:rPr>
      </w:r>
      <w:r>
        <w:rPr>
          <w:spacing w:val="-2"/>
        </w:rPr>
        <w:t>诚信征信有限公司董事、华谊兄弟传媒股份有限公司监事会主席、北京通泰泽祥管理咨询有限公司董事兼总经理、北京阿尤</w:t>
      </w:r>
      <w:r>
        <w:rPr>
          <w:spacing w:val="-63"/>
        </w:rPr>
        <w:t> </w:t>
      </w:r>
      <w:r>
        <w:rPr>
          <w:spacing w:val="-63"/>
        </w:rPr>
      </w:r>
      <w:r>
        <w:rPr>
          <w:spacing w:val="-2"/>
        </w:rPr>
        <w:t>卡健康科技有限公司董事、北京诸元数据科技有限公司董事、上海褚石企业管理咨询中心（有限合伙）执行事务合伙人、天</w:t>
      </w:r>
      <w:r>
        <w:rPr>
          <w:spacing w:val="-67"/>
        </w:rPr>
        <w:t> </w:t>
      </w:r>
      <w:r>
        <w:rPr>
          <w:spacing w:val="-67"/>
        </w:rPr>
      </w:r>
      <w:r>
        <w:rPr>
          <w:spacing w:val="-2"/>
        </w:rPr>
        <w:t>津中泽嘉盟投资咨询有限公司执行董事兼经理、孝昌智汇投资中心（有限合伙）执行事务合伙人以及上海稳实投资管理中心</w:t>
      </w:r>
    </w:p>
    <w:p>
      <w:pPr>
        <w:pStyle w:val="BodyText"/>
        <w:spacing w:line="300" w:lineRule="auto" w:before="20"/>
        <w:ind w:left="513" w:right="0" w:hanging="361"/>
        <w:jc w:val="left"/>
      </w:pPr>
      <w:r>
        <w:rPr/>
        <w:t>（普通合伙）执行事务合伙人。其在本公司任董事的任期自</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月至今。</w:t>
      </w:r>
      <w:r>
        <w:rPr>
          <w:spacing w:val="-85"/>
        </w:rPr>
        <w:t> </w:t>
      </w:r>
      <w:r>
        <w:rPr>
          <w:spacing w:val="-2"/>
        </w:rPr>
        <w:t>洪晓明女士：中国国籍，无境外永久居留权，女，</w:t>
      </w:r>
      <w:r>
        <w:rPr>
          <w:rFonts w:ascii="Times New Roman" w:hAnsi="Times New Roman" w:cs="Times New Roman" w:eastAsia="Times New Roman" w:hint="default"/>
          <w:spacing w:val="-2"/>
        </w:rPr>
        <w:t>1963</w:t>
      </w:r>
      <w:r>
        <w:rPr>
          <w:spacing w:val="-2"/>
        </w:rPr>
        <w:t>年出生，中共党员，工商管理硕士，非执业注册会计师。曾任本</w:t>
      </w:r>
    </w:p>
    <w:p>
      <w:pPr>
        <w:pStyle w:val="BodyText"/>
        <w:spacing w:line="314" w:lineRule="auto" w:before="13"/>
        <w:ind w:right="1130"/>
        <w:jc w:val="both"/>
      </w:pPr>
      <w:r>
        <w:rPr>
          <w:spacing w:val="-2"/>
        </w:rPr>
        <w:t>公司副总裁兼财务负责人、湖北海立田汽车部件有限公司董事、湖北海立美达汽车有限公司董事、青岛海尔股份有限公司财</w:t>
      </w:r>
      <w:r>
        <w:rPr>
          <w:spacing w:val="-63"/>
        </w:rPr>
        <w:t> </w:t>
      </w:r>
      <w:r>
        <w:rPr>
          <w:spacing w:val="-63"/>
        </w:rPr>
      </w:r>
      <w:r>
        <w:rPr>
          <w:spacing w:val="-2"/>
        </w:rPr>
        <w:t>务总监、中联重科股份有限公司副总裁兼财务负责人、青岛碱业股份有限公司独立董事。现任公司董事，同时兼任联动优势</w:t>
      </w:r>
      <w:r>
        <w:rPr>
          <w:spacing w:val="-65"/>
        </w:rPr>
        <w:t> </w:t>
      </w:r>
      <w:r>
        <w:rPr>
          <w:spacing w:val="-65"/>
        </w:rPr>
      </w:r>
      <w:r>
        <w:rPr>
          <w:spacing w:val="-2"/>
        </w:rPr>
        <w:t>科技有限公司监事、上海和达汽车配件有限公司监事、青岛万金通达经济信息服务有限公司监事、宝鸡泰鸿机电有限公司监</w:t>
      </w:r>
      <w:r>
        <w:rPr>
          <w:spacing w:val="-63"/>
        </w:rPr>
        <w:t> </w:t>
      </w:r>
      <w:r>
        <w:rPr>
          <w:spacing w:val="-63"/>
        </w:rPr>
      </w:r>
      <w:r>
        <w:rPr/>
        <w:t>事、青岛康普顿科技股份有限公司独立董事、青岛蔚蓝生物股份有限公司独立董事，其在本公司任董事的任期自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spacing w:val="-84"/>
        </w:rPr>
        <w:t> </w:t>
      </w:r>
      <w:r>
        <w:rPr/>
        <w:t>至今。</w:t>
      </w:r>
    </w:p>
    <w:p>
      <w:pPr>
        <w:pStyle w:val="BodyText"/>
        <w:spacing w:line="307" w:lineRule="auto" w:before="20"/>
        <w:ind w:right="1133" w:firstLine="360"/>
        <w:jc w:val="both"/>
      </w:pPr>
      <w:r>
        <w:rPr>
          <w:spacing w:val="-9"/>
        </w:rPr>
        <w:t>周建孚先生：中国国籍，无境外永久居留权，男，</w:t>
      </w:r>
      <w:r>
        <w:rPr>
          <w:rFonts w:ascii="Times New Roman" w:hAnsi="Times New Roman" w:cs="Times New Roman" w:eastAsia="Times New Roman" w:hint="default"/>
          <w:spacing w:val="-9"/>
        </w:rPr>
        <w:t>1977</w:t>
      </w:r>
      <w:r>
        <w:rPr>
          <w:spacing w:val="-9"/>
        </w:rPr>
        <w:t>年出生，博士学力，</w:t>
      </w:r>
      <w:r>
        <w:rPr>
          <w:rFonts w:ascii="Times New Roman" w:hAnsi="Times New Roman" w:cs="Times New Roman" w:eastAsia="Times New Roman" w:hint="default"/>
          <w:spacing w:val="-9"/>
        </w:rPr>
        <w:t>EMBA</w:t>
      </w:r>
      <w:r>
        <w:rPr>
          <w:spacing w:val="-9"/>
        </w:rPr>
        <w:t>在读。历任</w:t>
      </w:r>
      <w:r>
        <w:rPr>
          <w:rFonts w:ascii="Times New Roman" w:hAnsi="Times New Roman" w:cs="Times New Roman" w:eastAsia="Times New Roman" w:hint="default"/>
          <w:spacing w:val="-9"/>
        </w:rPr>
        <w:t>METAL </w:t>
      </w:r>
      <w:r>
        <w:rPr>
          <w:rFonts w:ascii="Times New Roman" w:hAnsi="Times New Roman" w:cs="Times New Roman" w:eastAsia="Times New Roman" w:hint="default"/>
        </w:rPr>
        <w:t>ONE</w:t>
      </w:r>
      <w:r>
        <w:rPr>
          <w:rFonts w:ascii="Times New Roman" w:hAnsi="Times New Roman" w:cs="Times New Roman" w:eastAsia="Times New Roman" w:hint="default"/>
          <w:spacing w:val="-4"/>
        </w:rPr>
        <w:t> </w:t>
      </w:r>
      <w:r>
        <w:rPr>
          <w:rFonts w:ascii="Times New Roman" w:hAnsi="Times New Roman" w:cs="Times New Roman" w:eastAsia="Times New Roman" w:hint="default"/>
        </w:rPr>
        <w:t>CORPORATION</w:t>
      </w:r>
      <w:r>
        <w:rPr>
          <w:rFonts w:ascii="Times New Roman" w:hAnsi="Times New Roman" w:cs="Times New Roman" w:eastAsia="Times New Roman" w:hint="default"/>
          <w:w w:val="99"/>
        </w:rPr>
        <w:t> </w:t>
      </w:r>
      <w:r>
        <w:rPr/>
        <w:t>青岛事务所营业经理，</w:t>
      </w:r>
      <w:r>
        <w:rPr>
          <w:rFonts w:ascii="Times New Roman" w:hAnsi="Times New Roman" w:cs="Times New Roman" w:eastAsia="Times New Roman" w:hint="default"/>
        </w:rPr>
        <w:t>METAL ONE</w:t>
      </w:r>
      <w:r>
        <w:rPr>
          <w:rFonts w:ascii="Times New Roman" w:hAnsi="Times New Roman" w:cs="Times New Roman" w:eastAsia="Times New Roman" w:hint="default"/>
          <w:spacing w:val="24"/>
        </w:rPr>
        <w:t> </w:t>
      </w:r>
      <w:r>
        <w:rPr>
          <w:rFonts w:ascii="Times New Roman" w:hAnsi="Times New Roman" w:cs="Times New Roman" w:eastAsia="Times New Roman" w:hint="default"/>
        </w:rPr>
        <w:t>CORPORATION</w:t>
      </w:r>
      <w:r>
        <w:rPr/>
        <w:t>薄板电机钢材部主任、湖北海立美达汽车有限公司董事、湖北海立田 </w:t>
      </w:r>
      <w:r>
        <w:rPr>
          <w:spacing w:val="-2"/>
        </w:rPr>
        <w:t>汽车部件有限公司董事、本公司董事会秘书。现任本公司董事、副总裁，兼任青岛高创澳海股权投资管理有限公司董事，其</w:t>
      </w:r>
      <w:r>
        <w:rPr>
          <w:spacing w:val="-67"/>
        </w:rPr>
        <w:t> </w:t>
      </w:r>
      <w:r>
        <w:rPr>
          <w:spacing w:val="-67"/>
        </w:rPr>
      </w:r>
      <w:r>
        <w:rPr/>
        <w:t>在本公司任董事的任期自</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月至今。</w:t>
      </w:r>
    </w:p>
    <w:p>
      <w:pPr>
        <w:pStyle w:val="BodyText"/>
        <w:spacing w:line="309" w:lineRule="auto" w:before="7"/>
        <w:ind w:right="1131" w:firstLine="360"/>
        <w:jc w:val="both"/>
      </w:pPr>
      <w:r>
        <w:rPr>
          <w:spacing w:val="-2"/>
        </w:rPr>
        <w:t>李贲先生：中国国籍，无境外永久居留权，男，</w:t>
      </w:r>
      <w:r>
        <w:rPr>
          <w:rFonts w:ascii="Times New Roman" w:hAnsi="Times New Roman" w:cs="Times New Roman" w:eastAsia="Times New Roman" w:hint="default"/>
          <w:spacing w:val="-2"/>
        </w:rPr>
        <w:t>1973</w:t>
      </w:r>
      <w:r>
        <w:rPr>
          <w:spacing w:val="-2"/>
        </w:rPr>
        <w:t>年出生，拥有北京理工大学工学学士学位和北京大学国家发展研究</w:t>
      </w:r>
      <w:r>
        <w:rPr/>
        <w:t> </w:t>
      </w:r>
      <w:r>
        <w:rPr>
          <w:spacing w:val="-2"/>
        </w:rPr>
        <w:t>院</w:t>
      </w:r>
      <w:r>
        <w:rPr>
          <w:rFonts w:ascii="Times New Roman" w:hAnsi="Times New Roman" w:cs="Times New Roman" w:eastAsia="Times New Roman" w:hint="default"/>
          <w:spacing w:val="-2"/>
        </w:rPr>
        <w:t>EMBA</w:t>
      </w:r>
      <w:r>
        <w:rPr>
          <w:spacing w:val="-2"/>
        </w:rPr>
        <w:t>硕士学位。现任公司董事、副总裁，同时兼任上海韬彤企业管理咨询合伙企业（有限合伙）执行事务合伙人、联动</w:t>
      </w:r>
      <w:r>
        <w:rPr>
          <w:spacing w:val="-49"/>
        </w:rPr>
        <w:t> </w:t>
      </w:r>
      <w:r>
        <w:rPr>
          <w:spacing w:val="-49"/>
        </w:rPr>
      </w:r>
      <w:r>
        <w:rPr>
          <w:spacing w:val="-2"/>
        </w:rPr>
        <w:t>优势（北京）数字科技有限公司董事长、青岛甲乙丙丁信息技术企业（有限合伙）合伙人、济南广盈商业保理有限公司执行</w:t>
      </w:r>
      <w:r>
        <w:rPr>
          <w:spacing w:val="-68"/>
        </w:rPr>
        <w:t> </w:t>
      </w:r>
      <w:r>
        <w:rPr>
          <w:spacing w:val="-68"/>
        </w:rPr>
      </w:r>
      <w:r>
        <w:rPr>
          <w:spacing w:val="-2"/>
        </w:rPr>
        <w:t>董事、北京金玉联汇科技有限公司董事长、联动优势科技有限公司首席运营官、联动优势电子商务有限公司董事长、青岛万</w:t>
      </w:r>
      <w:r>
        <w:rPr>
          <w:spacing w:val="-65"/>
        </w:rPr>
        <w:t> </w:t>
      </w:r>
      <w:r>
        <w:rPr>
          <w:spacing w:val="-65"/>
        </w:rPr>
      </w:r>
      <w:r>
        <w:rPr/>
        <w:t>金通达经济信息服务有限公司董事，其在本公司任董事的任期自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月至今。</w:t>
      </w:r>
    </w:p>
    <w:p>
      <w:pPr>
        <w:pStyle w:val="BodyText"/>
        <w:spacing w:line="309" w:lineRule="auto" w:before="5"/>
        <w:ind w:right="1133" w:firstLine="360"/>
        <w:jc w:val="both"/>
      </w:pPr>
      <w:r>
        <w:rPr>
          <w:spacing w:val="-2"/>
        </w:rPr>
        <w:t>范厚义先生：中国国籍，无境外永久居留权，男，</w:t>
      </w:r>
      <w:r>
        <w:rPr>
          <w:rFonts w:ascii="Times New Roman" w:hAnsi="Times New Roman" w:cs="Times New Roman" w:eastAsia="Times New Roman" w:hint="default"/>
          <w:spacing w:val="-2"/>
        </w:rPr>
        <w:t>1980</w:t>
      </w:r>
      <w:r>
        <w:rPr>
          <w:spacing w:val="-2"/>
        </w:rPr>
        <w:t>年出生，本科学历，经济学学士。历任银联商务有限公司计划财</w:t>
      </w:r>
      <w:r>
        <w:rPr/>
        <w:t> </w:t>
      </w:r>
      <w:r>
        <w:rPr>
          <w:spacing w:val="-2"/>
        </w:rPr>
        <w:t>务部业务经理、高级经理、助理总经理、副总经理。现任本公司董事，同时兼任银联商务股份有限公司监事、计划财务部总</w:t>
      </w:r>
      <w:r>
        <w:rPr>
          <w:spacing w:val="-68"/>
        </w:rPr>
        <w:t> </w:t>
      </w:r>
      <w:r>
        <w:rPr>
          <w:spacing w:val="-68"/>
        </w:rPr>
      </w:r>
      <w:r>
        <w:rPr/>
        <w:t>经理、重庆中金同盛小额贷款有限公司董事，其在本公司任董事的任期自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月至今。</w:t>
      </w:r>
    </w:p>
    <w:p>
      <w:pPr>
        <w:pStyle w:val="BodyText"/>
        <w:spacing w:line="314" w:lineRule="auto" w:before="5"/>
        <w:ind w:right="0" w:firstLine="360"/>
        <w:jc w:val="left"/>
      </w:pPr>
      <w:r>
        <w:rPr>
          <w:spacing w:val="-2"/>
        </w:rPr>
        <w:t>孙震先生：中国国籍，无境外永久居留权，男，</w:t>
      </w:r>
      <w:r>
        <w:rPr>
          <w:rFonts w:ascii="Times New Roman" w:hAnsi="Times New Roman" w:cs="Times New Roman" w:eastAsia="Times New Roman" w:hint="default"/>
          <w:spacing w:val="-2"/>
        </w:rPr>
        <w:t>1987</w:t>
      </w:r>
      <w:r>
        <w:rPr>
          <w:spacing w:val="-2"/>
        </w:rPr>
        <w:t>年出生，本科学历。现任本公司董事、副总裁，同时兼任联动优势</w:t>
      </w:r>
      <w:r>
        <w:rPr/>
        <w:t> </w:t>
      </w:r>
      <w:r>
        <w:rPr>
          <w:spacing w:val="-4"/>
        </w:rPr>
        <w:t>科技有限公司执行董事、联动优势电子商务有限公司董事、青岛天晨投资有限公司执行董事、九州环球国际融资租赁（天津）</w:t>
      </w:r>
      <w:r>
        <w:rPr>
          <w:spacing w:val="-46"/>
        </w:rPr>
        <w:t> </w:t>
      </w:r>
      <w:r>
        <w:rPr>
          <w:spacing w:val="-46"/>
        </w:rPr>
      </w:r>
      <w:r>
        <w:rPr>
          <w:spacing w:val="-2"/>
        </w:rPr>
        <w:t>有限公司副董事长、青岛海立美达科技有限公司执行董事、西藏大川信息科技有限公司董事、联动优势（北京）数字科技有</w:t>
      </w:r>
      <w:r>
        <w:rPr>
          <w:spacing w:val="-65"/>
        </w:rPr>
        <w:t> </w:t>
      </w:r>
      <w:r>
        <w:rPr>
          <w:spacing w:val="-65"/>
        </w:rPr>
      </w:r>
      <w:r>
        <w:rPr>
          <w:spacing w:val="-2"/>
        </w:rPr>
        <w:t>限公司董事、广东盈生力健康科技有限公司董事、青岛甲乙丙丁信息技术企业（有限合伙）执行事务合伙人，其在本公司任</w:t>
      </w:r>
      <w:r>
        <w:rPr>
          <w:spacing w:val="-67"/>
        </w:rPr>
        <w:t> </w:t>
      </w:r>
      <w:r>
        <w:rPr>
          <w:spacing w:val="-67"/>
        </w:rPr>
      </w:r>
      <w:r>
        <w:rPr/>
        <w:t>董事的任期自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月至今。</w:t>
      </w:r>
    </w:p>
    <w:p>
      <w:pPr>
        <w:pStyle w:val="BodyText"/>
        <w:spacing w:line="300" w:lineRule="auto" w:before="1"/>
        <w:ind w:right="1134" w:firstLine="360"/>
        <w:jc w:val="both"/>
      </w:pPr>
      <w:r>
        <w:rPr>
          <w:spacing w:val="-2"/>
        </w:rPr>
        <w:t>徐国亮先生：中国国籍，无境外永久居留权，男，</w:t>
      </w:r>
      <w:r>
        <w:rPr>
          <w:rFonts w:ascii="Times New Roman" w:hAnsi="Times New Roman" w:cs="Times New Roman" w:eastAsia="Times New Roman" w:hint="default"/>
          <w:spacing w:val="-2"/>
        </w:rPr>
        <w:t>1963</w:t>
      </w:r>
      <w:r>
        <w:rPr>
          <w:spacing w:val="-2"/>
        </w:rPr>
        <w:t>年出生，中共党员，博士学历。曾任山东大学社会发展学院副院</w:t>
      </w:r>
      <w:r>
        <w:rPr/>
        <w:t> 长，现任本公司独立董事、山东大学道德与法律教研室主任、华平信息技术股份有限公司独立董事。</w:t>
      </w:r>
    </w:p>
    <w:p>
      <w:pPr>
        <w:spacing w:after="0" w:line="300"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2" w:lineRule="auto" w:before="44"/>
        <w:ind w:right="1130" w:firstLine="360"/>
        <w:jc w:val="both"/>
      </w:pPr>
      <w:r>
        <w:rPr>
          <w:spacing w:val="-2"/>
        </w:rPr>
        <w:t>朱宏伟先生：中国国籍，有境外永久居留权，男，</w:t>
      </w:r>
      <w:r>
        <w:rPr>
          <w:rFonts w:ascii="Times New Roman" w:hAnsi="Times New Roman" w:cs="Times New Roman" w:eastAsia="Times New Roman" w:hint="default"/>
          <w:spacing w:val="-2"/>
        </w:rPr>
        <w:t>1967</w:t>
      </w:r>
      <w:r>
        <w:rPr>
          <w:spacing w:val="-2"/>
        </w:rPr>
        <w:t>年出生，曾任美国普拉戈电动科技有限公司总经理、山东省智慧</w:t>
      </w:r>
      <w:r>
        <w:rPr/>
        <w:t> </w:t>
      </w:r>
      <w:r>
        <w:rPr>
          <w:spacing w:val="-2"/>
        </w:rPr>
        <w:t>机器人研究所所长、青岛泓伟金康医疗科技有限公司监事、青岛高创澳海股权投资管理有限公司副总经理。现任本公司独立</w:t>
      </w:r>
      <w:r>
        <w:rPr>
          <w:spacing w:val="-63"/>
        </w:rPr>
        <w:t> </w:t>
      </w:r>
      <w:r>
        <w:rPr>
          <w:spacing w:val="-63"/>
        </w:rPr>
      </w:r>
      <w:r>
        <w:rPr>
          <w:spacing w:val="-2"/>
        </w:rPr>
        <w:t>董事，同时兼任青岛普拉戈工程系统有限公司执行董事兼总经理、青岛格瑞清洁设备有限公司执行董事兼总经理、普拉格科</w:t>
      </w:r>
      <w:r>
        <w:rPr>
          <w:spacing w:val="-63"/>
        </w:rPr>
        <w:t> </w:t>
      </w:r>
      <w:r>
        <w:rPr>
          <w:spacing w:val="-63"/>
        </w:rPr>
      </w:r>
      <w:r>
        <w:rPr/>
        <w:t>技（深圳）有限公司执行董事兼总经理、苏州甲壳虫机器人智能科技有限公司执行董事。</w:t>
      </w:r>
    </w:p>
    <w:p>
      <w:pPr>
        <w:pStyle w:val="BodyText"/>
        <w:spacing w:line="300" w:lineRule="auto" w:before="22"/>
        <w:ind w:right="1129" w:firstLine="360"/>
        <w:jc w:val="both"/>
      </w:pPr>
      <w:r>
        <w:rPr>
          <w:spacing w:val="-2"/>
        </w:rPr>
        <w:t>张鹏女士：中国国籍，无境外永久居留权，女，</w:t>
      </w:r>
      <w:r>
        <w:rPr>
          <w:rFonts w:ascii="Times New Roman" w:hAnsi="Times New Roman" w:cs="Times New Roman" w:eastAsia="Times New Roman" w:hint="default"/>
          <w:spacing w:val="-2"/>
        </w:rPr>
        <w:t>1964</w:t>
      </w:r>
      <w:r>
        <w:rPr>
          <w:spacing w:val="-2"/>
        </w:rPr>
        <w:t>年出生，硕士学历，非执业注册会计师，现任本公司独立董事、青</w:t>
      </w:r>
      <w:r>
        <w:rPr/>
        <w:t> 岛大学经济学院副教授，同时兼任青岛城市传媒股份有限公司独立董事。</w:t>
      </w:r>
    </w:p>
    <w:p>
      <w:pPr>
        <w:pStyle w:val="BodyText"/>
        <w:spacing w:line="314" w:lineRule="auto" w:before="31"/>
        <w:ind w:right="0" w:firstLine="360"/>
        <w:jc w:val="left"/>
      </w:pPr>
      <w:r>
        <w:rPr>
          <w:spacing w:val="-2"/>
        </w:rPr>
        <w:t>万明先生：中国国籍，无境外永久居留权，男，</w:t>
      </w:r>
      <w:r>
        <w:rPr>
          <w:rFonts w:ascii="Times New Roman" w:hAnsi="Times New Roman" w:cs="Times New Roman" w:eastAsia="Times New Roman" w:hint="default"/>
          <w:spacing w:val="-2"/>
        </w:rPr>
        <w:t>1981</w:t>
      </w:r>
      <w:r>
        <w:rPr>
          <w:spacing w:val="-2"/>
        </w:rPr>
        <w:t>年出生，本科学历。曾于平安、长江养老保险从事企业年金和公司</w:t>
      </w:r>
      <w:r>
        <w:rPr/>
        <w:t> </w:t>
      </w:r>
      <w:r>
        <w:rPr>
          <w:spacing w:val="-4"/>
        </w:rPr>
        <w:t>律师工作，于上海中夏旭波事务所担任专职律师，于北京市中银（上海）律师事务所担任高级合伙人。现任本公司独立董事、</w:t>
      </w:r>
      <w:r>
        <w:rPr>
          <w:spacing w:val="-43"/>
        </w:rPr>
        <w:t> </w:t>
      </w:r>
      <w:r>
        <w:rPr>
          <w:spacing w:val="-43"/>
        </w:rPr>
      </w:r>
      <w:r>
        <w:rPr>
          <w:spacing w:val="-2"/>
        </w:rPr>
        <w:t>北京市浩天信和律师事务所上海分所高级合伙人，同时兼任东吴人寿保险股份有限公司独立董事、上海贝禾资产管理有限公</w:t>
      </w:r>
      <w:r>
        <w:rPr>
          <w:spacing w:val="-64"/>
        </w:rPr>
        <w:t> </w:t>
      </w:r>
      <w:r>
        <w:rPr>
          <w:spacing w:val="-64"/>
        </w:rPr>
      </w:r>
      <w:r>
        <w:rPr>
          <w:spacing w:val="-2"/>
        </w:rPr>
        <w:t>司执行董事、北京通惠金桥资本管理股份有限公司董事、中国保险资产管理业协会法律专家库成员、浦东新区专业人民调解</w:t>
      </w:r>
      <w:r>
        <w:rPr>
          <w:spacing w:val="-63"/>
        </w:rPr>
        <w:t> </w:t>
      </w:r>
      <w:r>
        <w:rPr>
          <w:spacing w:val="-63"/>
        </w:rPr>
      </w:r>
      <w:r>
        <w:rPr/>
        <w:t>中心特邀调解员、宁波仲裁委员会和鹤岗仲裁委员会仲裁员。</w:t>
      </w:r>
    </w:p>
    <w:p>
      <w:pPr>
        <w:pStyle w:val="BodyText"/>
        <w:spacing w:line="300" w:lineRule="auto" w:before="20"/>
        <w:ind w:left="513" w:right="1133"/>
        <w:jc w:val="left"/>
      </w:pPr>
      <w:r>
        <w:rPr>
          <w:rFonts w:ascii="Times New Roman" w:hAnsi="Times New Roman" w:cs="Times New Roman" w:eastAsia="Times New Roman" w:hint="default"/>
        </w:rPr>
        <w:t>2</w:t>
      </w:r>
      <w:r>
        <w:rPr/>
        <w:t>、监事简介： </w:t>
      </w:r>
      <w:r>
        <w:rPr>
          <w:spacing w:val="-2"/>
        </w:rPr>
        <w:t>杨良刚先生：中国国籍，男，</w:t>
      </w:r>
      <w:r>
        <w:rPr>
          <w:rFonts w:ascii="Times New Roman" w:hAnsi="Times New Roman" w:cs="Times New Roman" w:eastAsia="Times New Roman" w:hint="default"/>
          <w:spacing w:val="-2"/>
        </w:rPr>
        <w:t>1968</w:t>
      </w:r>
      <w:r>
        <w:rPr>
          <w:spacing w:val="-2"/>
        </w:rPr>
        <w:t>年出生，大学本科学历，无境外永久居留权。曾任中泽嘉盟投资有限公司投资部总经</w:t>
      </w:r>
    </w:p>
    <w:p>
      <w:pPr>
        <w:pStyle w:val="BodyText"/>
        <w:spacing w:line="316" w:lineRule="auto" w:before="13"/>
        <w:ind w:right="1131"/>
        <w:jc w:val="both"/>
      </w:pPr>
      <w:r>
        <w:rPr>
          <w:spacing w:val="-2"/>
        </w:rPr>
        <w:t>理、软银中国创业投资有限公司投资总监，现任本公司监事会主席、北京博升优势科技发展有限公司副总裁、联动优势商业</w:t>
      </w:r>
      <w:r>
        <w:rPr>
          <w:spacing w:val="-65"/>
        </w:rPr>
        <w:t> </w:t>
      </w:r>
      <w:r>
        <w:rPr>
          <w:spacing w:val="-65"/>
        </w:rPr>
      </w:r>
      <w:r>
        <w:rPr>
          <w:spacing w:val="-2"/>
        </w:rPr>
        <w:t>保理有限公司董事长、北京创世漫道科技有限公司监事、宁波保税区坤博股权投资合伙企业（普通合伙）合伙人，本公司监</w:t>
      </w:r>
      <w:r>
        <w:rPr>
          <w:spacing w:val="-65"/>
        </w:rPr>
        <w:t> </w:t>
      </w:r>
      <w:r>
        <w:rPr>
          <w:spacing w:val="-65"/>
        </w:rPr>
      </w:r>
      <w:r>
        <w:rPr/>
        <w:t>事会主席任期自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月至今。</w:t>
      </w:r>
    </w:p>
    <w:p>
      <w:pPr>
        <w:pStyle w:val="BodyText"/>
        <w:spacing w:line="312" w:lineRule="auto"/>
        <w:ind w:right="1130" w:firstLine="360"/>
        <w:jc w:val="both"/>
      </w:pPr>
      <w:r>
        <w:rPr>
          <w:spacing w:val="-2"/>
        </w:rPr>
        <w:t>王治军先生：中国国籍，男，</w:t>
      </w:r>
      <w:r>
        <w:rPr>
          <w:rFonts w:ascii="Times New Roman" w:hAnsi="Times New Roman" w:cs="Times New Roman" w:eastAsia="Times New Roman" w:hint="default"/>
          <w:spacing w:val="-2"/>
        </w:rPr>
        <w:t>1974</w:t>
      </w:r>
      <w:r>
        <w:rPr>
          <w:spacing w:val="-2"/>
        </w:rPr>
        <w:t>年出生，本科学历。曾任浙江吉利控股集团高级项目经理，现任本公司监事、青岛海</w:t>
      </w:r>
      <w:r>
        <w:rPr/>
        <w:t> </w:t>
      </w:r>
      <w:r>
        <w:rPr>
          <w:spacing w:val="-2"/>
        </w:rPr>
        <w:t>立达冲压件有限公司监事、青岛海立美达电机有限公司监事，青岛海立美达模具有限公司监事、联动优势（北京）数字科技</w:t>
      </w:r>
      <w:r>
        <w:rPr>
          <w:spacing w:val="-64"/>
        </w:rPr>
        <w:t> </w:t>
      </w:r>
      <w:r>
        <w:rPr>
          <w:spacing w:val="-64"/>
        </w:rPr>
      </w:r>
      <w:r>
        <w:rPr>
          <w:spacing w:val="-2"/>
        </w:rPr>
        <w:t>有限公司监事、舟山陆泰石油化工有限公司监事、枣阳市海美房地产开发有限公司执行董事兼总经理、湖北海立田汽车部件</w:t>
      </w:r>
      <w:r>
        <w:rPr>
          <w:spacing w:val="-63"/>
        </w:rPr>
        <w:t> </w:t>
      </w:r>
      <w:r>
        <w:rPr>
          <w:spacing w:val="-63"/>
        </w:rPr>
      </w:r>
      <w:r>
        <w:rPr/>
        <w:t>有限公司监事、湖北海立美达汽车有限公司监事，本公司任期自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月至今。</w:t>
      </w:r>
    </w:p>
    <w:p>
      <w:pPr>
        <w:pStyle w:val="BodyText"/>
        <w:spacing w:line="300" w:lineRule="auto" w:before="3"/>
        <w:ind w:right="1134" w:firstLine="360"/>
        <w:jc w:val="both"/>
      </w:pPr>
      <w:r>
        <w:rPr>
          <w:spacing w:val="-2"/>
        </w:rPr>
        <w:t>王晶女士：中国国籍，无境外永久居留权，女，</w:t>
      </w:r>
      <w:r>
        <w:rPr>
          <w:rFonts w:ascii="Times New Roman" w:hAnsi="Times New Roman" w:cs="Times New Roman" w:eastAsia="Times New Roman" w:hint="default"/>
          <w:spacing w:val="-2"/>
        </w:rPr>
        <w:t>1981</w:t>
      </w:r>
      <w:r>
        <w:rPr>
          <w:spacing w:val="-2"/>
        </w:rPr>
        <w:t>年出生，本科学历，曾任宁波泰鸿机电有限公司综合办主任，现任</w:t>
      </w:r>
      <w:r>
        <w:rPr/>
        <w:t> 本公司监事，本公司任期自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月至今。</w:t>
      </w:r>
    </w:p>
    <w:p>
      <w:pPr>
        <w:pStyle w:val="BodyText"/>
        <w:spacing w:line="312" w:lineRule="auto" w:before="13"/>
        <w:ind w:left="513" w:right="5893"/>
        <w:jc w:val="left"/>
      </w:pPr>
      <w:r>
        <w:rPr>
          <w:rFonts w:ascii="Times New Roman" w:hAnsi="Times New Roman" w:cs="Times New Roman" w:eastAsia="Times New Roman" w:hint="default"/>
        </w:rPr>
        <w:t>3</w:t>
      </w:r>
      <w:r>
        <w:rPr/>
        <w:t>、高级管理人员简介 刘国平女士：现任本公司总裁，详见董事会成员简介。 周建孚先生：现任本公司副总裁，详见董事会成员简介。 李贲先生：现任本公司副总裁，详见董事会成员简介。</w:t>
      </w:r>
    </w:p>
    <w:p>
      <w:pPr>
        <w:pStyle w:val="BodyText"/>
        <w:spacing w:line="312" w:lineRule="auto" w:before="22"/>
        <w:ind w:right="1044" w:firstLine="360"/>
        <w:jc w:val="both"/>
      </w:pPr>
      <w:r>
        <w:rPr>
          <w:spacing w:val="-2"/>
        </w:rPr>
        <w:t>陈军先生：中国国籍，无境外永久居留权；男，</w:t>
      </w:r>
      <w:r>
        <w:rPr>
          <w:rFonts w:ascii="Times New Roman" w:hAnsi="Times New Roman" w:cs="Times New Roman" w:eastAsia="Times New Roman" w:hint="default"/>
          <w:spacing w:val="-2"/>
        </w:rPr>
        <w:t>1971</w:t>
      </w:r>
      <w:r>
        <w:rPr>
          <w:spacing w:val="-2"/>
        </w:rPr>
        <w:t>年出生，研究生学历、硕士学位，中国注册会计师、注册资产评估</w:t>
      </w:r>
      <w:r>
        <w:rPr/>
        <w:t> </w:t>
      </w:r>
      <w:r>
        <w:rPr>
          <w:spacing w:val="-2"/>
        </w:rPr>
        <w:t>师、注册税务师。历任新疆宏昌会计师事务所评估部经理、分所所长、宏昌（北京）会计师事务所筹备处、新疆宏昌天圆会</w:t>
      </w:r>
      <w:r>
        <w:rPr>
          <w:spacing w:val="-73"/>
        </w:rPr>
        <w:t> </w:t>
      </w:r>
      <w:r>
        <w:rPr>
          <w:spacing w:val="-73"/>
        </w:rPr>
      </w:r>
      <w:r>
        <w:rPr>
          <w:spacing w:val="-2"/>
        </w:rPr>
        <w:t>计师事务所总经理助理、新疆康隆科技发展有限公司财务总监、新疆特变电工自控设备有限公司财务总监、特变电工股份有</w:t>
      </w:r>
      <w:r>
        <w:rPr>
          <w:spacing w:val="-63"/>
        </w:rPr>
        <w:t> </w:t>
      </w:r>
      <w:r>
        <w:rPr>
          <w:spacing w:val="-63"/>
        </w:rPr>
      </w:r>
      <w:r>
        <w:rPr>
          <w:spacing w:val="-4"/>
        </w:rPr>
        <w:t>限公司内部风险控制专家、德力西新疆交通运输集团股份有限公司财务副总监、财务总监。现任本公司副总裁、财务负责人。</w:t>
      </w:r>
    </w:p>
    <w:p>
      <w:pPr>
        <w:pStyle w:val="BodyText"/>
        <w:spacing w:line="312" w:lineRule="auto" w:before="22"/>
        <w:ind w:right="1034" w:firstLine="360"/>
        <w:jc w:val="left"/>
      </w:pPr>
      <w:r>
        <w:rPr>
          <w:spacing w:val="-2"/>
        </w:rPr>
        <w:t>于铁军先生：中国国籍，无境外永久居留权，男，</w:t>
      </w:r>
      <w:r>
        <w:rPr>
          <w:rFonts w:ascii="Times New Roman" w:hAnsi="Times New Roman" w:cs="Times New Roman" w:eastAsia="Times New Roman" w:hint="default"/>
          <w:spacing w:val="-2"/>
        </w:rPr>
        <w:t>1978</w:t>
      </w:r>
      <w:r>
        <w:rPr>
          <w:spacing w:val="-2"/>
        </w:rPr>
        <w:t>年出生，物流工程硕士，曾任吉利集团部件公司经理助理，现任</w:t>
      </w:r>
      <w:r>
        <w:rPr/>
        <w:t> </w:t>
      </w:r>
      <w:r>
        <w:rPr>
          <w:spacing w:val="-2"/>
        </w:rPr>
        <w:t>本公司副总裁，兼任上海和达汽车配件有限公司执行董事、宝鸡泰鸿机电有限公司执行董事、枣庄海立美达模具有限公司执</w:t>
      </w:r>
      <w:r>
        <w:rPr>
          <w:spacing w:val="-63"/>
        </w:rPr>
        <w:t> </w:t>
      </w:r>
      <w:r>
        <w:rPr>
          <w:spacing w:val="-63"/>
        </w:rPr>
      </w:r>
      <w:r>
        <w:rPr/>
        <w:t>行董事、宁德和达汽车配件有限公司执行董事、天津和达汽车配件有限公司执行董事、青岛海立美达模具有限公司总经理、 上海海众实业发展有限公司执行董事、梅州和达汽车配件有限公司执行董事兼经理。</w:t>
      </w:r>
    </w:p>
    <w:p>
      <w:pPr>
        <w:pStyle w:val="BodyText"/>
        <w:spacing w:line="300" w:lineRule="auto" w:before="22"/>
        <w:ind w:right="1129" w:firstLine="360"/>
        <w:jc w:val="both"/>
      </w:pPr>
      <w:r>
        <w:rPr>
          <w:spacing w:val="-2"/>
        </w:rPr>
        <w:t>鲁浩先生：中国国籍，无境外永久居留权，男，</w:t>
      </w:r>
      <w:r>
        <w:rPr>
          <w:rFonts w:ascii="Times New Roman" w:hAnsi="Times New Roman" w:cs="Times New Roman" w:eastAsia="Times New Roman" w:hint="default"/>
          <w:spacing w:val="-2"/>
        </w:rPr>
        <w:t>1974</w:t>
      </w:r>
      <w:r>
        <w:rPr>
          <w:spacing w:val="-2"/>
        </w:rPr>
        <w:t>年出生，中共党员，本科学历。曾任力源集团公司副总经理、本公</w:t>
      </w:r>
      <w:r>
        <w:rPr/>
        <w:t> 司董事，现任本公司副总裁兼人力资源总监。</w:t>
      </w:r>
    </w:p>
    <w:p>
      <w:pPr>
        <w:pStyle w:val="BodyText"/>
        <w:spacing w:line="312" w:lineRule="auto" w:before="31"/>
        <w:ind w:right="1129" w:firstLine="360"/>
        <w:jc w:val="both"/>
      </w:pPr>
      <w:r>
        <w:rPr>
          <w:spacing w:val="-2"/>
        </w:rPr>
        <w:t>亓秀美女士：中国国籍，无境外永久居留权，女，</w:t>
      </w:r>
      <w:r>
        <w:rPr>
          <w:rFonts w:ascii="Times New Roman" w:hAnsi="Times New Roman" w:cs="Times New Roman" w:eastAsia="Times New Roman" w:hint="default"/>
          <w:spacing w:val="-2"/>
        </w:rPr>
        <w:t>1983</w:t>
      </w:r>
      <w:r>
        <w:rPr>
          <w:spacing w:val="-2"/>
        </w:rPr>
        <w:t>年出生，本科学历，</w:t>
      </w:r>
      <w:r>
        <w:rPr>
          <w:rFonts w:ascii="Times New Roman" w:hAnsi="Times New Roman" w:cs="Times New Roman" w:eastAsia="Times New Roman" w:hint="default"/>
          <w:spacing w:val="-2"/>
        </w:rPr>
        <w:t>EMBA</w:t>
      </w:r>
      <w:r>
        <w:rPr>
          <w:spacing w:val="-2"/>
        </w:rPr>
        <w:t>在读。曾任青岛海立美达钢制品有限</w:t>
      </w:r>
      <w:r>
        <w:rPr/>
        <w:t> </w:t>
      </w:r>
      <w:r>
        <w:rPr>
          <w:spacing w:val="-2"/>
        </w:rPr>
        <w:t>公司办公室秘书、本公司证券事务代表、职工代表监事、法务部长、法务总监，现任本公司副总裁、董事会秘书，同时兼任</w:t>
      </w:r>
      <w:r>
        <w:rPr>
          <w:spacing w:val="-73"/>
        </w:rPr>
        <w:t> </w:t>
      </w:r>
      <w:r>
        <w:rPr>
          <w:spacing w:val="-73"/>
        </w:rPr>
      </w:r>
      <w:r>
        <w:rPr>
          <w:spacing w:val="-2"/>
        </w:rPr>
        <w:t>联动优势（北京）数字科技有限公司董事、青岛海立美达科技有限公司监事、湖北海立田汽车部件有限公司董事、湖北海立</w:t>
      </w:r>
      <w:r>
        <w:rPr>
          <w:spacing w:val="-67"/>
        </w:rPr>
        <w:t> </w:t>
      </w:r>
      <w:r>
        <w:rPr>
          <w:spacing w:val="-67"/>
        </w:rPr>
      </w:r>
      <w:r>
        <w:rPr/>
        <w:t>美达汽车有限公司董事。</w:t>
      </w:r>
    </w:p>
    <w:p>
      <w:pPr>
        <w:pStyle w:val="BodyText"/>
        <w:spacing w:line="240" w:lineRule="auto" w:before="63"/>
        <w:ind w:right="0"/>
        <w:jc w:val="both"/>
      </w:pPr>
      <w:r>
        <w:rPr/>
        <w:t>在股东单位任职情况</w:t>
      </w:r>
    </w:p>
    <w:p>
      <w:pPr>
        <w:pStyle w:val="BodyText"/>
        <w:spacing w:line="240" w:lineRule="auto" w:before="115"/>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16"/>
        <w:gridCol w:w="2753"/>
        <w:gridCol w:w="1275"/>
        <w:gridCol w:w="1493"/>
        <w:gridCol w:w="1347"/>
        <w:gridCol w:w="1486"/>
      </w:tblGrid>
      <w:tr>
        <w:trPr>
          <w:trHeight w:val="714" w:hRule="exact"/>
        </w:trPr>
        <w:tc>
          <w:tcPr>
            <w:tcW w:w="1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30"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在股东单位担 任的职务</w:t>
            </w:r>
          </w:p>
        </w:tc>
        <w:tc>
          <w:tcPr>
            <w:tcW w:w="1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96" w:right="107" w:hanging="89"/>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17"/>
        <w:gridCol w:w="2753"/>
        <w:gridCol w:w="1275"/>
        <w:gridCol w:w="1493"/>
        <w:gridCol w:w="1347"/>
        <w:gridCol w:w="1486"/>
      </w:tblGrid>
      <w:tr>
        <w:trPr>
          <w:trHeight w:val="401"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刘国平</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青岛海立控股有限公司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34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吴鹰</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北京博升优势科技发展有限公司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34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杨良刚</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北京博升优势科技发展有限公司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34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范厚义</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银联商务股份有限公司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0"/>
              <w:jc w:val="left"/>
              <w:rPr>
                <w:rFonts w:ascii="宋体" w:hAnsi="宋体" w:cs="宋体" w:eastAsia="宋体" w:hint="default"/>
                <w:sz w:val="18"/>
                <w:szCs w:val="18"/>
              </w:rPr>
            </w:pPr>
            <w:r>
              <w:rPr>
                <w:rFonts w:ascii="宋体" w:hAnsi="宋体" w:cs="宋体" w:eastAsia="宋体" w:hint="default"/>
                <w:spacing w:val="-6"/>
                <w:sz w:val="18"/>
                <w:szCs w:val="18"/>
              </w:rPr>
              <w:t>董事、计划财务</w:t>
            </w:r>
            <w:r>
              <w:rPr>
                <w:rFonts w:ascii="宋体" w:hAnsi="宋体" w:cs="宋体" w:eastAsia="宋体" w:hint="default"/>
                <w:sz w:val="18"/>
                <w:szCs w:val="18"/>
              </w:rPr>
              <w:t> 部总经理</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34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孙震</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青岛天晨投资有限公司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34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01"/>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5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1133"/>
        <w:jc w:val="left"/>
      </w:pPr>
      <w:r>
        <w:rPr/>
        <w:t>在其他单位任职情况</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92"/>
        <w:gridCol w:w="1229"/>
        <w:gridCol w:w="1361"/>
        <w:gridCol w:w="1375"/>
      </w:tblGrid>
      <w:tr>
        <w:trPr>
          <w:trHeight w:val="716"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3" w:right="50"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刘国平</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青岛海立美达电机有限公司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刘国平</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青岛海立达冲压件有限公司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pacing w:val="-8"/>
                <w:sz w:val="18"/>
                <w:szCs w:val="18"/>
              </w:rPr>
              <w:t>执行董事、总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经理</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刘国平</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青岛海立美达精密机械制造有限公司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刘国平</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湖南海立美达钢板加工配送有限公司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pacing w:val="-8"/>
                <w:sz w:val="18"/>
                <w:szCs w:val="18"/>
              </w:rPr>
              <w:t>执行董事、总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经理</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刘国平</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青岛海立美达模具有限公司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刘国平</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宁波泰鸿机电有限公司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刘国平</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烟台海立美达精密钢制品有限公司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刘国平</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宁波泰鸿冲压件有限公司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刘国平</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湖北海立美达汽车有限公司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刘国平</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湖北海立田汽车部件有限公司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刘国平</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宁波海立美达汽车部件有限公司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刘国平</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联动优势（北京）数字科技有限公司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刘国平</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青岛海基置业有限公司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刘国平</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青岛市即墨区海立达小额贷款有限公司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吴鹰</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中泽嘉盟投资有限公司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吴鹰</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北京中泽启天投资中心（有限合伙）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吴鹰</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中嘉博创信息技术股份有限公司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吴鹰</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卓尔智联集团有限公司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吴鹰</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众安在线财产保险股份有限公司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吴鹰</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中诚信征信有限公司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吴鹰</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华谊兄弟传媒股份有限公司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92"/>
        <w:gridCol w:w="1229"/>
        <w:gridCol w:w="1361"/>
        <w:gridCol w:w="1375"/>
      </w:tblGrid>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吴鹰</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北京通泰泽祥管理咨询有限公司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董事、经理</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吴鹰</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北京阿尤卡健康科技有限公司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吴鹰</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北京诸元数据科技有限公司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吴鹰</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上海褚石企业管理咨询中心（有限合伙）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6"/>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吴鹰</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天津中泽嘉盟投资咨询有限公司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pacing w:val="-8"/>
                <w:sz w:val="18"/>
                <w:szCs w:val="18"/>
              </w:rPr>
              <w:t>执行董事、经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吴鹰</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孝昌智汇投资中心（有限合伙）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6"/>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吴鹰</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上海稳实投资管理中心（普通合伙）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洪晓明</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宝鸡泰鸿机电有限公司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洪晓明</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青岛万金通达经济信息服务有限公司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洪晓明</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青岛蔚蓝生物股份有限公司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洪晓明</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青岛康普顿科技股份有限公司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洪晓明</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联动优势科技有限公司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洪晓明</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上海和达汽车配件有限公司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周建孚</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青岛高创澳海股权投资管理有限公司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李贲</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上海韬彤企业管理咨询合伙企业（有限合</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李贲</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联动优势（北京）数字科技有限公司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李贲</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青岛甲乙丙丁信息技术企业（有限合伙）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李贲</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联动优势科技有限公司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首席运营官</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李贲</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济南广盈商业保理有限公司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李贲</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青岛万金通达经济信息服务有限公司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李贲</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联动优势电子商务有限公司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李贲</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北京金玉联汇科技有限公司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范厚义</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重庆中金同盛小额贷款有限公司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范厚义</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银联商务股份有限公司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孙震</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联动优势科技有限公司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孙震</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联动优势电子商务有限公司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孙震</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9"/>
              <w:jc w:val="left"/>
              <w:rPr>
                <w:rFonts w:ascii="宋体" w:hAnsi="宋体" w:cs="宋体" w:eastAsia="宋体" w:hint="default"/>
                <w:sz w:val="18"/>
                <w:szCs w:val="18"/>
              </w:rPr>
            </w:pPr>
            <w:r>
              <w:rPr>
                <w:rFonts w:ascii="宋体" w:hAnsi="宋体" w:cs="宋体" w:eastAsia="宋体" w:hint="default"/>
                <w:sz w:val="18"/>
                <w:szCs w:val="18"/>
              </w:rPr>
              <w:t>九州环球国际融资租赁（天津）</w:t>
            </w:r>
            <w:r>
              <w:rPr>
                <w:rFonts w:ascii="宋体" w:hAnsi="宋体" w:cs="宋体" w:eastAsia="宋体" w:hint="default"/>
                <w:spacing w:val="1"/>
                <w:sz w:val="18"/>
                <w:szCs w:val="18"/>
              </w:rPr>
              <w:t> </w:t>
            </w:r>
            <w:r>
              <w:rPr>
                <w:rFonts w:ascii="宋体" w:hAnsi="宋体" w:cs="宋体" w:eastAsia="宋体" w:hint="default"/>
                <w:sz w:val="18"/>
                <w:szCs w:val="18"/>
              </w:rPr>
              <w:t>有限有</w:t>
            </w:r>
            <w:r>
              <w:rPr>
                <w:rFonts w:ascii="宋体" w:hAnsi="宋体" w:cs="宋体" w:eastAsia="宋体" w:hint="default"/>
                <w:sz w:val="18"/>
                <w:szCs w:val="18"/>
              </w:rPr>
              <w:t> 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孙震</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青岛海立美达科技有限公司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孙震</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西藏大川信息科技有限公司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孙震</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联动优势（北京）数字科技有限公司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92"/>
        <w:gridCol w:w="1229"/>
        <w:gridCol w:w="1361"/>
        <w:gridCol w:w="1375"/>
      </w:tblGrid>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孙震</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广东盈生力健康科技有限公司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孙震</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青岛甲乙丙丁信息技术企业（有限合伙）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6"/>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徐国亮</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山东大学</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道德与法律 教研室主任</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徐国亮</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华平信息技术股份有限公司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朱宏伟</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青岛普拉戈工程系统有限公司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pacing w:val="-8"/>
                <w:sz w:val="18"/>
                <w:szCs w:val="18"/>
              </w:rPr>
              <w:t>执行董事、总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经理</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朱宏伟</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青岛格瑞清洁设备有限公司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1"/>
              <w:jc w:val="left"/>
              <w:rPr>
                <w:rFonts w:ascii="宋体" w:hAnsi="宋体" w:cs="宋体" w:eastAsia="宋体" w:hint="default"/>
                <w:sz w:val="18"/>
                <w:szCs w:val="18"/>
              </w:rPr>
            </w:pPr>
            <w:r>
              <w:rPr>
                <w:rFonts w:ascii="宋体" w:hAnsi="宋体" w:cs="宋体" w:eastAsia="宋体" w:hint="default"/>
                <w:spacing w:val="-8"/>
                <w:sz w:val="18"/>
                <w:szCs w:val="18"/>
              </w:rPr>
              <w:t>执行董事、总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经理</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朱宏伟</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苏州甲壳虫机器人智能科技有限公司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朱宏伟</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普拉格科技（深圳）有限公司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1"/>
              <w:jc w:val="left"/>
              <w:rPr>
                <w:rFonts w:ascii="宋体" w:hAnsi="宋体" w:cs="宋体" w:eastAsia="宋体" w:hint="default"/>
                <w:sz w:val="18"/>
                <w:szCs w:val="18"/>
              </w:rPr>
            </w:pPr>
            <w:r>
              <w:rPr>
                <w:rFonts w:ascii="宋体" w:hAnsi="宋体" w:cs="宋体" w:eastAsia="宋体" w:hint="default"/>
                <w:spacing w:val="-8"/>
                <w:sz w:val="18"/>
                <w:szCs w:val="18"/>
              </w:rPr>
              <w:t>执行董事、总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经理</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张鹏</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青岛大学经济学院</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副教授</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张鹏</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青岛城市传媒股份有限公司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杨良刚</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联动优势商业保理有限公司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杨良刚</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0"/>
              <w:jc w:val="left"/>
              <w:rPr>
                <w:rFonts w:ascii="宋体" w:hAnsi="宋体" w:cs="宋体" w:eastAsia="宋体" w:hint="default"/>
                <w:sz w:val="18"/>
                <w:szCs w:val="18"/>
              </w:rPr>
            </w:pPr>
            <w:r>
              <w:rPr>
                <w:rFonts w:ascii="宋体" w:hAnsi="宋体" w:cs="宋体" w:eastAsia="宋体" w:hint="default"/>
                <w:spacing w:val="-2"/>
                <w:sz w:val="18"/>
                <w:szCs w:val="18"/>
              </w:rPr>
              <w:t>宁波保税区坤博股权投资合伙企业（普通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合伙）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杨良刚</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北京创世漫道科技有限公司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王治军</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青岛海立达冲压件有限公司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王治军</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青岛海立美达电机有限公司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王治军</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青岛海立美达模具有限公司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王治军</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联动优势（北京）数字科技有限公司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王治军</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舟山陆泰石油化工有限公司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王治军</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枣阳市海美房地产开发有限公司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pacing w:val="-8"/>
                <w:sz w:val="18"/>
                <w:szCs w:val="18"/>
              </w:rPr>
              <w:t>执行董事、总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经理</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王治军</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湖北海立田汽车部件有限公司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王治军</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湖北海立美达汽车有限公司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于铁军</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上海和达汽车配件有限公司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于铁军</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宝鸡泰鸿机电有限公司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于铁军</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枣庄海立美达模具有限公司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于铁军</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宁德和达汽车配件有限公司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于铁军</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天津和达汽车配件有限公司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于铁军</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青岛海立美达模具有限公司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于铁军</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上海海众实业发展有限公司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于铁军</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梅州和达汽车配件有限公司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pacing w:val="-8"/>
                <w:sz w:val="18"/>
                <w:szCs w:val="18"/>
              </w:rPr>
              <w:t>执行董事、经</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92"/>
        <w:gridCol w:w="1229"/>
        <w:gridCol w:w="1361"/>
        <w:gridCol w:w="1375"/>
      </w:tblGrid>
      <w:tr>
        <w:trPr>
          <w:trHeight w:val="363" w:hRule="exact"/>
        </w:trPr>
        <w:tc>
          <w:tcPr>
            <w:tcW w:w="1234"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理</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万明</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北京市浩天信和律师事务所上海分所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高级合伙人</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万明</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东吴人寿保险股份有限公司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万明</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上海贝禾资产管理有限公司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万明</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北京通惠金桥资本管理股份有限公司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亓秀美</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联动优势（北京）数字科技有限公司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亓秀美</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青岛海立美达科技有限公司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亓秀美</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湖北海立田汽车部件有限公司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亓秀美</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湖北海立美达汽车有限公司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3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1133"/>
        <w:jc w:val="left"/>
      </w:pPr>
      <w:r>
        <w:rPr/>
        <w:t>公司现任及报告期内离任董事、监事和高级管理人员近三年证券监管机构处罚的情况</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bookmarkStart w:name="四、董事、监事、高级管理人员报酬情况" w:id="134"/>
      <w:bookmarkEnd w:id="134"/>
      <w:r>
        <w:rPr>
          <w:b w:val="0"/>
          <w:bCs w:val="0"/>
        </w:rPr>
      </w: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董事、监事、高级管理人员报酬的决策程序、确定依据、实际支付情况</w:t>
      </w:r>
    </w:p>
    <w:p>
      <w:pPr>
        <w:pStyle w:val="BodyText"/>
        <w:spacing w:line="309" w:lineRule="auto" w:before="117"/>
        <w:ind w:right="1133" w:firstLine="360"/>
        <w:jc w:val="both"/>
      </w:pPr>
      <w:r>
        <w:rPr>
          <w:rFonts w:ascii="Times New Roman" w:hAnsi="Times New Roman" w:cs="Times New Roman" w:eastAsia="Times New Roman" w:hint="default"/>
        </w:rPr>
        <w:t>1</w:t>
      </w:r>
      <w:r>
        <w:rPr/>
        <w:t>、决策程序：公司董事、监事和高级管理人员的年度报酬的决策是由公司董事会薪酬与考核委员会严格按照《海联金 </w:t>
      </w:r>
      <w:r>
        <w:rPr>
          <w:spacing w:val="-2"/>
        </w:rPr>
        <w:t>汇科技股份有限公司董事会薪酬与考核委员会实施细则》的相关规定来执行，制定董事及高级管理人员薪酬计划并提交董事</w:t>
      </w:r>
      <w:r>
        <w:rPr>
          <w:spacing w:val="-64"/>
        </w:rPr>
        <w:t> </w:t>
      </w:r>
      <w:r>
        <w:rPr>
          <w:spacing w:val="-64"/>
        </w:rPr>
      </w:r>
      <w:r>
        <w:rPr/>
        <w:t>会及股东大会来决策实施。</w:t>
      </w:r>
    </w:p>
    <w:p>
      <w:pPr>
        <w:pStyle w:val="BodyText"/>
        <w:spacing w:line="302" w:lineRule="auto" w:before="24"/>
        <w:ind w:right="1034" w:firstLine="360"/>
        <w:jc w:val="left"/>
      </w:pPr>
      <w:r>
        <w:rPr>
          <w:rFonts w:ascii="Times New Roman" w:hAnsi="Times New Roman" w:cs="Times New Roman" w:eastAsia="Times New Roman" w:hint="default"/>
          <w:spacing w:val="-2"/>
        </w:rPr>
        <w:t>2</w:t>
      </w:r>
      <w:r>
        <w:rPr>
          <w:spacing w:val="-2"/>
        </w:rPr>
        <w:t>、确定依据：</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12</w:t>
      </w:r>
      <w:r>
        <w:rPr>
          <w:spacing w:val="-2"/>
        </w:rPr>
        <w:t>日，公司第一届董事会第五次会议制定并通过了《青岛海立美达股份有限公司董事会薪酬与</w:t>
      </w:r>
      <w:r>
        <w:rPr/>
        <w:t> 考核委员会实施细则》，自公司</w:t>
      </w:r>
      <w:r>
        <w:rPr>
          <w:rFonts w:ascii="Times New Roman" w:hAnsi="Times New Roman" w:cs="Times New Roman" w:eastAsia="Times New Roman" w:hint="default"/>
        </w:rPr>
        <w:t>2009</w:t>
      </w:r>
      <w:r>
        <w:rPr/>
        <w:t>年度股东大会决议设立公司董事会专门委员会之日起施行；</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20</w:t>
      </w:r>
      <w:r>
        <w:rPr/>
        <w:t>日，公司第一 </w:t>
      </w:r>
      <w:r>
        <w:rPr>
          <w:spacing w:val="-2"/>
        </w:rPr>
        <w:t>届董事会第八次会议审议通过的《关于调整公司独立董事津贴的议案》，确定了公司第一届董事会独立董事</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日起</w:t>
      </w:r>
      <w:r>
        <w:rPr>
          <w:spacing w:val="-62"/>
        </w:rPr>
        <w:t> </w:t>
      </w:r>
      <w:r>
        <w:rPr>
          <w:spacing w:val="-2"/>
        </w:rPr>
        <w:t>的薪酬；</w:t>
      </w:r>
      <w:r>
        <w:rPr>
          <w:rFonts w:ascii="Times New Roman" w:hAnsi="Times New Roman" w:cs="Times New Roman" w:eastAsia="Times New Roman" w:hint="default"/>
          <w:spacing w:val="-2"/>
        </w:rPr>
        <w:t>2012</w:t>
      </w:r>
      <w:r>
        <w:rPr>
          <w:spacing w:val="-2"/>
        </w:rPr>
        <w:t>年度，公司新修订了《青岛海立美达股份有限公司薪酬管理办法》，</w:t>
      </w:r>
      <w:r>
        <w:rPr>
          <w:rFonts w:ascii="Times New Roman" w:hAnsi="Times New Roman" w:cs="Times New Roman" w:eastAsia="Times New Roman" w:hint="default"/>
          <w:spacing w:val="-2"/>
        </w:rPr>
        <w:t>2014</w:t>
      </w:r>
      <w:r>
        <w:rPr>
          <w:spacing w:val="-2"/>
        </w:rPr>
        <w:t>年度，公司人力资源部制定了《青岛</w:t>
      </w:r>
      <w:r>
        <w:rPr>
          <w:spacing w:val="-66"/>
        </w:rPr>
        <w:t> </w:t>
      </w:r>
      <w:r>
        <w:rPr>
          <w:spacing w:val="-66"/>
        </w:rPr>
      </w:r>
      <w:r>
        <w:rPr>
          <w:spacing w:val="-2"/>
        </w:rPr>
        <w:t>海立美达股份有限公司岗位薪级调整管理办法》、《青岛海立美达股份有限公司岗位分段分级管理制度》，公司薪酬与考核</w:t>
      </w:r>
      <w:r>
        <w:rPr>
          <w:spacing w:val="-65"/>
        </w:rPr>
        <w:t> </w:t>
      </w:r>
      <w:r>
        <w:rPr>
          <w:spacing w:val="-65"/>
        </w:rPr>
      </w:r>
      <w:r>
        <w:rPr/>
        <w:t>委员会对此进行了审议；</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8</w:t>
      </w:r>
      <w:r>
        <w:rPr/>
        <w:t>日，公司第三届董事会第六次会议审议通过了《关于调整公司独立董事津贴的议案》， </w:t>
      </w:r>
      <w:r>
        <w:rPr>
          <w:spacing w:val="-2"/>
        </w:rPr>
        <w:t>确定了公司第三届董事会独立董事</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w:t>
      </w:r>
      <w:r>
        <w:rPr>
          <w:spacing w:val="-2"/>
        </w:rPr>
        <w:t>日起的薪酬，</w:t>
      </w:r>
      <w:r>
        <w:rPr>
          <w:rFonts w:ascii="Times New Roman" w:hAnsi="Times New Roman" w:cs="Times New Roman" w:eastAsia="Times New Roman" w:hint="default"/>
          <w:spacing w:val="-2"/>
        </w:rPr>
        <w:t>2017</w:t>
      </w:r>
      <w:r>
        <w:rPr>
          <w:spacing w:val="-2"/>
        </w:rPr>
        <w:t>年，公司人力资源部对《绩效考核管理制度》、《新客户开</w:t>
      </w:r>
      <w:r>
        <w:rPr>
          <w:spacing w:val="-59"/>
        </w:rPr>
        <w:t> </w:t>
      </w:r>
      <w:r>
        <w:rPr>
          <w:spacing w:val="-59"/>
        </w:rPr>
      </w:r>
      <w:r>
        <w:rPr/>
        <w:t>发激励方案》进行了修订，并经公司董事会薪酬与考核委员会审议准予实施。</w:t>
      </w:r>
    </w:p>
    <w:p>
      <w:pPr>
        <w:pStyle w:val="BodyText"/>
        <w:spacing w:line="240" w:lineRule="auto" w:before="70"/>
        <w:ind w:right="1133"/>
        <w:jc w:val="left"/>
      </w:pPr>
      <w:r>
        <w:rPr/>
        <w:t>公司报告期内董事、监事和高级管理人员报酬情况</w:t>
      </w:r>
    </w:p>
    <w:p>
      <w:pPr>
        <w:pStyle w:val="BodyText"/>
        <w:spacing w:line="240" w:lineRule="auto" w:before="115"/>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刘国平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董事长、总裁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48.40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洪晓明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36.73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周建孚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范厚义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李贲</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68.60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88"/>
              <w:jc w:val="righ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徐国亮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8"/>
              <w:jc w:val="righ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朱宏伟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88"/>
              <w:jc w:val="righ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张鹏</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8"/>
              <w:jc w:val="righ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万明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88"/>
              <w:jc w:val="righ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杨良刚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8"/>
              <w:jc w:val="righ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王治军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88"/>
              <w:jc w:val="righ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王晶</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8"/>
              <w:jc w:val="righ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16.49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于铁军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88"/>
              <w:jc w:val="righ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41.04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鲁浩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8"/>
              <w:jc w:val="righ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22.38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亓秀美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董秘、副总裁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88"/>
              <w:jc w:val="righ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财务负责人、副 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88"/>
              <w:jc w:val="righ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18.41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戴兵</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原董事、原执行 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88"/>
              <w:jc w:val="righ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617"/>
              <w:jc w:val="right"/>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7"/>
              <w:jc w:val="right"/>
              <w:rPr>
                <w:rFonts w:ascii="Times New Roman" w:hAnsi="Times New Roman" w:cs="Times New Roman" w:eastAsia="Times New Roman" w:hint="default"/>
                <w:sz w:val="18"/>
                <w:szCs w:val="18"/>
              </w:rPr>
            </w:pPr>
            <w:r>
              <w:rPr>
                <w:rFonts w:ascii="Times New Roman"/>
                <w:spacing w:val="-1"/>
                <w:sz w:val="18"/>
              </w:rPr>
              <w:t>493.43</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619"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pStyle w:val="BodyText"/>
        <w:spacing w:line="240" w:lineRule="auto" w:before="49"/>
        <w:ind w:right="-20"/>
        <w:jc w:val="left"/>
      </w:pPr>
      <w:r>
        <w:rPr/>
        <w:t>公司董事、高级管理人员报告期内被授予的股权激励情况</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单位：股</w:t>
      </w:r>
    </w:p>
    <w:p>
      <w:pPr>
        <w:spacing w:after="0" w:line="240" w:lineRule="auto"/>
        <w:jc w:val="left"/>
        <w:sectPr>
          <w:type w:val="continuous"/>
          <w:pgSz w:w="11910" w:h="16840"/>
          <w:pgMar w:top="1060" w:bottom="1160" w:left="980" w:right="0"/>
          <w:cols w:num="2" w:equalWidth="0">
            <w:col w:w="4653" w:space="4267"/>
            <w:col w:w="201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72"/>
        <w:gridCol w:w="868"/>
        <w:gridCol w:w="872"/>
        <w:gridCol w:w="869"/>
        <w:gridCol w:w="869"/>
        <w:gridCol w:w="871"/>
        <w:gridCol w:w="869"/>
        <w:gridCol w:w="872"/>
        <w:gridCol w:w="869"/>
        <w:gridCol w:w="871"/>
      </w:tblGrid>
      <w:tr>
        <w:trPr>
          <w:trHeight w:val="1337"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2"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68" w:type="dxa"/>
            <w:tcBorders>
              <w:top w:val="single" w:sz="4" w:space="0" w:color="000000"/>
              <w:left w:val="single" w:sz="5"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7" w:right="67"/>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0" w:right="71"/>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67" w:firstLine="45"/>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0"/>
                <w:sz w:val="18"/>
                <w:szCs w:val="18"/>
              </w:rPr>
              <w:t>格（元</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312" w:lineRule="exact"/>
              <w:ind w:left="45" w:right="43" w:hanging="2"/>
              <w:jc w:val="center"/>
              <w:rPr>
                <w:rFonts w:ascii="宋体" w:hAnsi="宋体" w:cs="宋体" w:eastAsia="宋体"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p>
            <w:pPr>
              <w:pStyle w:val="TableParagraph"/>
              <w:spacing w:line="119" w:lineRule="exact"/>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0"/>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45" w:right="41" w:hanging="2"/>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周建孚</w:t>
            </w:r>
          </w:p>
        </w:tc>
        <w:tc>
          <w:tcPr>
            <w:tcW w:w="872" w:type="dxa"/>
            <w:tcBorders>
              <w:top w:val="single" w:sz="4" w:space="0" w:color="000000"/>
              <w:left w:val="single" w:sz="4" w:space="0" w:color="000000"/>
              <w:bottom w:val="single" w:sz="4" w:space="0" w:color="000000"/>
              <w:right w:val="single" w:sz="5" w:space="0" w:color="000000"/>
            </w:tcBorders>
          </w:tcPr>
          <w:p>
            <w:pPr>
              <w:pStyle w:val="TableParagraph"/>
              <w:spacing w:line="316" w:lineRule="auto" w:before="49"/>
              <w:ind w:left="26" w:right="19"/>
              <w:jc w:val="left"/>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裁</w:t>
            </w:r>
          </w:p>
        </w:tc>
        <w:tc>
          <w:tcPr>
            <w:tcW w:w="868" w:type="dxa"/>
            <w:tcBorders>
              <w:top w:val="single" w:sz="4" w:space="0" w:color="000000"/>
              <w:left w:val="single" w:sz="5"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李贲</w:t>
            </w:r>
          </w:p>
        </w:tc>
        <w:tc>
          <w:tcPr>
            <w:tcW w:w="872" w:type="dxa"/>
            <w:tcBorders>
              <w:top w:val="single" w:sz="4" w:space="0" w:color="000000"/>
              <w:left w:val="single" w:sz="4" w:space="0" w:color="000000"/>
              <w:bottom w:val="single" w:sz="4" w:space="0" w:color="000000"/>
              <w:right w:val="single" w:sz="5" w:space="0" w:color="000000"/>
            </w:tcBorders>
          </w:tcPr>
          <w:p>
            <w:pPr>
              <w:pStyle w:val="TableParagraph"/>
              <w:spacing w:line="316" w:lineRule="auto" w:before="49"/>
              <w:ind w:left="26" w:right="19"/>
              <w:jc w:val="left"/>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裁</w:t>
            </w:r>
          </w:p>
        </w:tc>
        <w:tc>
          <w:tcPr>
            <w:tcW w:w="868" w:type="dxa"/>
            <w:tcBorders>
              <w:top w:val="single" w:sz="4" w:space="0" w:color="000000"/>
              <w:left w:val="single" w:sz="5"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288,000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鲁浩</w:t>
            </w:r>
          </w:p>
        </w:tc>
        <w:tc>
          <w:tcPr>
            <w:tcW w:w="872"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68" w:type="dxa"/>
            <w:tcBorders>
              <w:top w:val="single" w:sz="4" w:space="0" w:color="000000"/>
              <w:left w:val="single" w:sz="5"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186,000</w:t>
            </w: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洪晓明</w:t>
            </w:r>
          </w:p>
        </w:tc>
        <w:tc>
          <w:tcPr>
            <w:tcW w:w="872"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68" w:type="dxa"/>
            <w:tcBorders>
              <w:top w:val="single" w:sz="4" w:space="0" w:color="000000"/>
              <w:left w:val="single" w:sz="5"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w:t>
            </w:r>
          </w:p>
        </w:tc>
      </w:tr>
      <w:tr>
        <w:trPr>
          <w:trHeight w:val="716"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亓秀美</w:t>
            </w:r>
          </w:p>
        </w:tc>
        <w:tc>
          <w:tcPr>
            <w:tcW w:w="872" w:type="dxa"/>
            <w:tcBorders>
              <w:top w:val="single" w:sz="4" w:space="0" w:color="000000"/>
              <w:left w:val="single" w:sz="4" w:space="0" w:color="000000"/>
              <w:bottom w:val="single" w:sz="4" w:space="0" w:color="000000"/>
              <w:right w:val="single" w:sz="5" w:space="0" w:color="000000"/>
            </w:tcBorders>
          </w:tcPr>
          <w:p>
            <w:pPr>
              <w:pStyle w:val="TableParagraph"/>
              <w:spacing w:line="316" w:lineRule="auto" w:before="49"/>
              <w:ind w:left="26" w:right="19"/>
              <w:jc w:val="left"/>
              <w:rPr>
                <w:rFonts w:ascii="宋体" w:hAnsi="宋体" w:cs="宋体" w:eastAsia="宋体" w:hint="default"/>
                <w:sz w:val="18"/>
                <w:szCs w:val="18"/>
              </w:rPr>
            </w:pPr>
            <w:r>
              <w:rPr>
                <w:rFonts w:ascii="宋体" w:hAnsi="宋体" w:cs="宋体" w:eastAsia="宋体" w:hint="default"/>
                <w:spacing w:val="-18"/>
                <w:sz w:val="18"/>
                <w:szCs w:val="18"/>
              </w:rPr>
              <w:t>董秘、副总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裁</w:t>
            </w:r>
          </w:p>
        </w:tc>
        <w:tc>
          <w:tcPr>
            <w:tcW w:w="868" w:type="dxa"/>
            <w:tcBorders>
              <w:top w:val="single" w:sz="4" w:space="0" w:color="000000"/>
              <w:left w:val="single" w:sz="5"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戴兵</w:t>
            </w:r>
          </w:p>
        </w:tc>
        <w:tc>
          <w:tcPr>
            <w:tcW w:w="872" w:type="dxa"/>
            <w:tcBorders>
              <w:top w:val="single" w:sz="4" w:space="0" w:color="000000"/>
              <w:left w:val="single" w:sz="4" w:space="0" w:color="000000"/>
              <w:bottom w:val="single" w:sz="4" w:space="0" w:color="000000"/>
              <w:right w:val="single" w:sz="5" w:space="0" w:color="000000"/>
            </w:tcBorders>
          </w:tcPr>
          <w:p>
            <w:pPr>
              <w:pStyle w:val="TableParagraph"/>
              <w:spacing w:line="316" w:lineRule="auto" w:before="49"/>
              <w:ind w:left="26" w:right="19"/>
              <w:jc w:val="left"/>
              <w:rPr>
                <w:rFonts w:ascii="宋体" w:hAnsi="宋体" w:cs="宋体" w:eastAsia="宋体" w:hint="default"/>
                <w:sz w:val="18"/>
                <w:szCs w:val="18"/>
              </w:rPr>
            </w:pPr>
            <w:r>
              <w:rPr>
                <w:rFonts w:ascii="宋体" w:hAnsi="宋体" w:cs="宋体" w:eastAsia="宋体" w:hint="default"/>
                <w:spacing w:val="-18"/>
                <w:sz w:val="18"/>
                <w:szCs w:val="18"/>
              </w:rPr>
              <w:t>原董事、原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执行总裁</w:t>
            </w:r>
          </w:p>
        </w:tc>
        <w:tc>
          <w:tcPr>
            <w:tcW w:w="868" w:type="dxa"/>
            <w:tcBorders>
              <w:top w:val="single" w:sz="4" w:space="0" w:color="000000"/>
              <w:left w:val="single" w:sz="5"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1,730,000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1,038,000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2"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8" w:type="dxa"/>
            <w:tcBorders>
              <w:top w:val="single" w:sz="4" w:space="0" w:color="000000"/>
              <w:left w:val="single" w:sz="5"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1,932,000</w:t>
            </w:r>
          </w:p>
        </w:tc>
      </w:tr>
      <w:tr>
        <w:trPr>
          <w:trHeight w:val="1025" w:hRule="exact"/>
        </w:trPr>
        <w:tc>
          <w:tcPr>
            <w:tcW w:w="1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备注（如有）</w:t>
            </w:r>
          </w:p>
        </w:tc>
        <w:tc>
          <w:tcPr>
            <w:tcW w:w="7829"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日授</w:t>
            </w:r>
            <w:r>
              <w:rPr>
                <w:rFonts w:ascii="宋体" w:hAnsi="宋体" w:cs="宋体" w:eastAsia="宋体" w:hint="default"/>
                <w:spacing w:val="-3"/>
                <w:sz w:val="18"/>
                <w:szCs w:val="18"/>
              </w:rPr>
              <w:t>予</w:t>
            </w:r>
            <w:r>
              <w:rPr>
                <w:rFonts w:ascii="宋体" w:hAnsi="宋体" w:cs="宋体" w:eastAsia="宋体" w:hint="default"/>
                <w:sz w:val="18"/>
                <w:szCs w:val="18"/>
              </w:rPr>
              <w:t>以上董事</w:t>
            </w:r>
            <w:r>
              <w:rPr>
                <w:rFonts w:ascii="宋体" w:hAnsi="宋体" w:cs="宋体" w:eastAsia="宋体" w:hint="default"/>
                <w:spacing w:val="-92"/>
                <w:sz w:val="18"/>
                <w:szCs w:val="18"/>
              </w:rPr>
              <w:t>、</w:t>
            </w:r>
            <w:r>
              <w:rPr>
                <w:rFonts w:ascii="宋体" w:hAnsi="宋体" w:cs="宋体" w:eastAsia="宋体" w:hint="default"/>
                <w:sz w:val="18"/>
                <w:szCs w:val="18"/>
              </w:rPr>
              <w:t>高级管理人员限制</w:t>
            </w:r>
            <w:r>
              <w:rPr>
                <w:rFonts w:ascii="宋体" w:hAnsi="宋体" w:cs="宋体" w:eastAsia="宋体" w:hint="default"/>
                <w:spacing w:val="2"/>
                <w:sz w:val="18"/>
                <w:szCs w:val="18"/>
              </w:rPr>
              <w:t>性</w:t>
            </w:r>
            <w:r>
              <w:rPr>
                <w:rFonts w:ascii="宋体" w:hAnsi="宋体" w:cs="宋体" w:eastAsia="宋体" w:hint="default"/>
                <w:sz w:val="18"/>
                <w:szCs w:val="18"/>
              </w:rPr>
              <w:t>股票</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w:t>
            </w:r>
            <w:r>
              <w:rPr>
                <w:rFonts w:ascii="宋体" w:hAnsi="宋体" w:cs="宋体" w:eastAsia="宋体" w:hint="default"/>
                <w:spacing w:val="-91"/>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8</w:t>
            </w:r>
          </w:p>
          <w:p>
            <w:pPr>
              <w:pStyle w:val="TableParagraph"/>
              <w:spacing w:line="300" w:lineRule="auto" w:before="63"/>
              <w:ind w:left="15" w:right="105"/>
              <w:jc w:val="left"/>
              <w:rPr>
                <w:rFonts w:ascii="宋体" w:hAnsi="宋体" w:cs="宋体" w:eastAsia="宋体" w:hint="default"/>
                <w:sz w:val="18"/>
                <w:szCs w:val="18"/>
              </w:rPr>
            </w:pPr>
            <w:r>
              <w:rPr>
                <w:rFonts w:ascii="宋体" w:hAnsi="宋体" w:cs="宋体" w:eastAsia="宋体" w:hint="default"/>
                <w:sz w:val="18"/>
                <w:szCs w:val="18"/>
              </w:rPr>
              <w:t>万股限制性股票因未达到第一期解除限制性条件已回购注销，截止报告期末剩余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万股限制性 股票未解除限售。</w:t>
            </w:r>
          </w:p>
        </w:tc>
      </w:tr>
    </w:tbl>
    <w:p>
      <w:pPr>
        <w:spacing w:after="0" w:line="30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bookmarkStart w:name="五、公司员工情况" w:id="135"/>
      <w:bookmarkEnd w:id="135"/>
      <w:r>
        <w:rPr>
          <w:b w:val="0"/>
          <w:bCs w:val="0"/>
        </w:rPr>
      </w:r>
      <w:r>
        <w:rPr/>
        <w:t>五、公司员工情况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员工数量、专业构成及教育程度" w:id="136"/>
      <w:bookmarkEnd w:id="136"/>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5"/>
        <w:gridCol w:w="4794"/>
      </w:tblGrid>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251</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3,551</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3,802</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5,830</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w:t>
            </w:r>
          </w:p>
        </w:tc>
      </w:tr>
      <w:tr>
        <w:trPr>
          <w:trHeight w:val="39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9"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1,938</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365</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835</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117</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547</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3,802</w:t>
            </w:r>
          </w:p>
        </w:tc>
      </w:tr>
      <w:tr>
        <w:trPr>
          <w:trHeight w:val="39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研究生及以上</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112</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786</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本科以下</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2,904</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3,802</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bookmarkStart w:name="2、薪酬政策" w:id="137"/>
      <w:bookmarkEnd w:id="137"/>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w:t>
      </w:r>
      <w:r>
        <w:rPr>
          <w:rFonts w:ascii="Times New Roman" w:hAnsi="Times New Roman" w:cs="Times New Roman" w:eastAsia="Times New Roman" w:hint="default"/>
        </w:rPr>
        <w:t>1</w:t>
      </w:r>
      <w:r>
        <w:rPr/>
        <w:t>）公平性原则：公司通过实施系统科学的职位评估，形成了公司的内部职级体系，体现按岗位价值付薪的理念。</w:t>
      </w:r>
    </w:p>
    <w:p>
      <w:pPr>
        <w:spacing w:line="240" w:lineRule="auto" w:before="0"/>
        <w:rPr>
          <w:rFonts w:ascii="宋体" w:hAnsi="宋体" w:cs="宋体" w:eastAsia="宋体" w:hint="default"/>
          <w:sz w:val="18"/>
          <w:szCs w:val="18"/>
        </w:rPr>
      </w:pPr>
    </w:p>
    <w:p>
      <w:pPr>
        <w:pStyle w:val="BodyText"/>
        <w:spacing w:line="300" w:lineRule="auto" w:before="127"/>
        <w:ind w:right="0"/>
        <w:jc w:val="left"/>
      </w:pPr>
      <w:r>
        <w:rPr>
          <w:spacing w:val="-2"/>
        </w:rPr>
        <w:t>（</w:t>
      </w:r>
      <w:r>
        <w:rPr>
          <w:rFonts w:ascii="Times New Roman" w:hAnsi="Times New Roman" w:cs="Times New Roman" w:eastAsia="Times New Roman" w:hint="default"/>
          <w:spacing w:val="-2"/>
        </w:rPr>
        <w:t>2</w:t>
      </w:r>
      <w:r>
        <w:rPr>
          <w:spacing w:val="-2"/>
        </w:rPr>
        <w:t>）竞争性原则：公司通过不定期参与市场薪酬调研，参照目标市场的薪酬数据和公司的实际状况来定位公司的薪酬水平，</w:t>
      </w:r>
      <w:r>
        <w:rPr>
          <w:spacing w:val="-63"/>
        </w:rPr>
        <w:t> </w:t>
      </w:r>
      <w:r>
        <w:rPr>
          <w:spacing w:val="-63"/>
        </w:rPr>
      </w:r>
      <w:r>
        <w:rPr/>
        <w:t>确保公司薪酬在市场上的竞争力。</w:t>
      </w:r>
    </w:p>
    <w:p>
      <w:pPr>
        <w:spacing w:line="240" w:lineRule="auto" w:before="5"/>
        <w:rPr>
          <w:rFonts w:ascii="宋体" w:hAnsi="宋体" w:cs="宋体" w:eastAsia="宋体" w:hint="default"/>
          <w:sz w:val="25"/>
          <w:szCs w:val="25"/>
        </w:rPr>
      </w:pPr>
    </w:p>
    <w:p>
      <w:pPr>
        <w:pStyle w:val="BodyText"/>
        <w:spacing w:line="300" w:lineRule="auto"/>
        <w:ind w:right="1124"/>
        <w:jc w:val="left"/>
      </w:pPr>
      <w:r>
        <w:rPr/>
        <w:t>（</w:t>
      </w:r>
      <w:r>
        <w:rPr>
          <w:rFonts w:ascii="Times New Roman" w:hAnsi="Times New Roman" w:cs="Times New Roman" w:eastAsia="Times New Roman" w:hint="default"/>
        </w:rPr>
        <w:t>3</w:t>
      </w:r>
      <w:r>
        <w:rPr/>
        <w:t>）全面薪酬原则：公司倡导全面薪酬的理念，即薪酬不但包括直接的货币形式</w:t>
      </w:r>
      <w:r>
        <w:rPr>
          <w:rFonts w:ascii="Times New Roman" w:hAnsi="Times New Roman" w:cs="Times New Roman" w:eastAsia="Times New Roman" w:hint="default"/>
        </w:rPr>
        <w:t>(</w:t>
      </w:r>
      <w:r>
        <w:rPr/>
        <w:t>直接薪酬</w:t>
      </w:r>
      <w:r>
        <w:rPr>
          <w:rFonts w:ascii="Times New Roman" w:hAnsi="Times New Roman" w:cs="Times New Roman" w:eastAsia="Times New Roman" w:hint="default"/>
        </w:rPr>
        <w:t>)</w:t>
      </w:r>
      <w:r>
        <w:rPr/>
        <w:t>和可转化为货币的其他形式</w:t>
      </w:r>
      <w:r>
        <w:rPr>
          <w:rFonts w:ascii="Times New Roman" w:hAnsi="Times New Roman" w:cs="Times New Roman" w:eastAsia="Times New Roman" w:hint="default"/>
        </w:rPr>
        <w:t>(</w:t>
      </w:r>
      <w:r>
        <w:rPr/>
        <w:t>间 接薪酬</w:t>
      </w:r>
      <w:r>
        <w:rPr>
          <w:rFonts w:ascii="Times New Roman" w:hAnsi="Times New Roman" w:cs="Times New Roman" w:eastAsia="Times New Roman" w:hint="default"/>
        </w:rPr>
        <w:t>)</w:t>
      </w:r>
      <w:r>
        <w:rPr/>
        <w:t>，还包括较舒适的办公环境、良好的职业发展机会、富有挑战性和成就感的工作等难以用货币来衡量的形式。</w:t>
      </w:r>
    </w:p>
    <w:p>
      <w:pPr>
        <w:spacing w:line="240" w:lineRule="auto" w:before="4"/>
        <w:rPr>
          <w:rFonts w:ascii="宋体" w:hAnsi="宋体" w:cs="宋体" w:eastAsia="宋体" w:hint="default"/>
          <w:sz w:val="22"/>
          <w:szCs w:val="22"/>
        </w:rPr>
      </w:pPr>
    </w:p>
    <w:p>
      <w:pPr>
        <w:pStyle w:val="Heading3"/>
        <w:spacing w:line="240" w:lineRule="auto"/>
        <w:ind w:right="1133"/>
        <w:jc w:val="left"/>
        <w:rPr>
          <w:b w:val="0"/>
          <w:bCs w:val="0"/>
        </w:rPr>
      </w:pPr>
      <w:bookmarkStart w:name="3、培训计划" w:id="138"/>
      <w:bookmarkEnd w:id="138"/>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24" w:firstLine="360"/>
        <w:jc w:val="left"/>
      </w:pPr>
      <w:r>
        <w:rPr>
          <w:rFonts w:ascii="宋体" w:hAnsi="宋体" w:cs="宋体" w:eastAsia="宋体" w:hint="default"/>
        </w:rPr>
        <w:t>1</w:t>
      </w:r>
      <w:r>
        <w:rPr/>
        <w:t>）管理类培训：后备人才培训培养项目，新晋经理培训培养项目，领导力提升培训培养项目，中高层、高层领导力研 讨项目。</w:t>
      </w:r>
    </w:p>
    <w:p>
      <w:pPr>
        <w:pStyle w:val="BodyText"/>
        <w:spacing w:line="240" w:lineRule="auto" w:before="57"/>
        <w:ind w:left="513" w:right="1133"/>
        <w:jc w:val="left"/>
      </w:pPr>
      <w:r>
        <w:rPr>
          <w:rFonts w:ascii="宋体" w:hAnsi="宋体" w:cs="宋体" w:eastAsia="宋体" w:hint="default"/>
        </w:rPr>
        <w:t>2</w:t>
      </w:r>
      <w:r>
        <w:rPr/>
        <w:t>）专业类培训：金融科技领域、智能制造领域各自细分行业专业培训。</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513" w:right="1133"/>
        <w:jc w:val="left"/>
      </w:pPr>
      <w:r>
        <w:rPr>
          <w:rFonts w:ascii="宋体" w:hAnsi="宋体" w:cs="宋体" w:eastAsia="宋体" w:hint="default"/>
        </w:rPr>
        <w:t>3</w:t>
      </w:r>
      <w:r>
        <w:rPr/>
        <w:t>）其他类：新员工培训、企业文化落地类项目、内训师培养等。</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4、劳务外包情况" w:id="139"/>
      <w:bookmarkEnd w:id="139"/>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劳务外包的工时总数（小时）</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403,802</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劳务外包支付的报酬总额（元）</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15,781,507.00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491"/>
        <w:jc w:val="center"/>
        <w:rPr>
          <w:b w:val="0"/>
          <w:bCs w:val="0"/>
        </w:rPr>
      </w:pPr>
      <w:bookmarkStart w:name="第十节公司治理" w:id="140"/>
      <w:bookmarkEnd w:id="140"/>
      <w:r>
        <w:rPr>
          <w:b w:val="0"/>
          <w:bCs w:val="0"/>
        </w:rPr>
      </w:r>
      <w:bookmarkStart w:name="_bookmark9" w:id="141"/>
      <w:bookmarkEnd w:id="141"/>
      <w:r>
        <w:rPr>
          <w:b w:val="0"/>
          <w:bCs w:val="0"/>
        </w:rPr>
      </w:r>
      <w:r>
        <w:rPr/>
        <w:t>第十节公司治理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bookmarkStart w:name="一、公司治理的基本状况" w:id="142"/>
      <w:bookmarkEnd w:id="142"/>
      <w:r>
        <w:rPr>
          <w:b w:val="0"/>
          <w:bCs w:val="0"/>
        </w:rPr>
      </w:r>
      <w:r>
        <w:rPr/>
        <w:t>一、公司治理的基本状况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29" w:firstLine="360"/>
        <w:jc w:val="both"/>
      </w:pPr>
      <w:r>
        <w:rPr>
          <w:spacing w:val="-2"/>
        </w:rPr>
        <w:t>报告期内，公司严格按照《公司法》、《证券法》、《上市公司治理准则》、《深圳证券交易所股票上市规则》、《深</w:t>
      </w:r>
      <w:r>
        <w:rPr/>
        <w:t> </w:t>
      </w:r>
      <w:r>
        <w:rPr>
          <w:spacing w:val="-2"/>
        </w:rPr>
        <w:t>圳证券交易所上市公司规范运作指引》和中国证监会有关法律法规等的要求，不断完善公司治理结构，建立健全内部管理和</w:t>
      </w:r>
      <w:r>
        <w:rPr>
          <w:spacing w:val="-62"/>
        </w:rPr>
        <w:t> </w:t>
      </w:r>
      <w:r>
        <w:rPr>
          <w:spacing w:val="-62"/>
        </w:rPr>
      </w:r>
      <w:r>
        <w:rPr/>
        <w:t>控制制度，持续深入开展公司治理活动，以进一步规范公司运作，提高了公司治理水平。</w:t>
      </w:r>
    </w:p>
    <w:p>
      <w:pPr>
        <w:pStyle w:val="BodyText"/>
        <w:spacing w:line="360" w:lineRule="auto" w:before="19"/>
        <w:ind w:right="1394" w:firstLine="360"/>
        <w:jc w:val="left"/>
      </w:pPr>
      <w:r>
        <w:rPr/>
        <w:t>报告期内，公司及时修订了公司《章程》、《董事会议事规则》、《股东大会议事规则》，并披露于巨潮资讯网。 公司治理的实际状况与中国证监会发布的有关上市公司治理的规范性文件是否存在重大差异</w:t>
      </w:r>
    </w:p>
    <w:p>
      <w:pPr>
        <w:pStyle w:val="BodyText"/>
        <w:spacing w:line="340" w:lineRule="auto" w:before="25"/>
        <w:ind w:right="35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1133"/>
        <w:jc w:val="left"/>
        <w:rPr>
          <w:b w:val="0"/>
          <w:bCs w:val="0"/>
        </w:rPr>
      </w:pPr>
      <w:bookmarkStart w:name="二、公司相对于控股股东在业务、人员、资产、机构、财务等方面的独立情况" w:id="143"/>
      <w:bookmarkEnd w:id="143"/>
      <w:r>
        <w:rPr>
          <w:b w:val="0"/>
          <w:bCs w:val="0"/>
        </w:rPr>
      </w: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2" w:firstLine="360"/>
        <w:jc w:val="both"/>
      </w:pPr>
      <w:r>
        <w:rPr>
          <w:spacing w:val="-2"/>
        </w:rPr>
        <w:t>公司自成立以来，严格按照《公司法》、《证券法》等有关法律、法规和公司《章程》的要求规范运作，与控股股东在</w:t>
      </w:r>
      <w:r>
        <w:rPr/>
        <w:t> 业务、人员、资产、机构、财务等方面完全分开，具有独立完整的业务及自主经营能力。</w:t>
      </w:r>
    </w:p>
    <w:p>
      <w:pPr>
        <w:pStyle w:val="BodyText"/>
        <w:spacing w:line="309" w:lineRule="auto" w:before="19"/>
        <w:ind w:right="1130" w:firstLine="360"/>
        <w:jc w:val="both"/>
      </w:pPr>
      <w:r>
        <w:rPr>
          <w:rFonts w:ascii="Times New Roman" w:hAnsi="Times New Roman" w:cs="Times New Roman" w:eastAsia="Times New Roman" w:hint="default"/>
        </w:rPr>
        <w:t>1</w:t>
      </w:r>
      <w:r>
        <w:rPr/>
        <w:t>、业务独立情况：公司业务独立于控股股东及其下属企业，拥有独立完整的供应、生产和销售系统，独立开展业务， </w:t>
      </w:r>
      <w:r>
        <w:rPr>
          <w:spacing w:val="-2"/>
        </w:rPr>
        <w:t>不依赖于股东或其它任何关联方。公司股东及其他关联方目前业务均与本公司不同，而且向本公司出具了《避免同业竞争的</w:t>
      </w:r>
      <w:r>
        <w:rPr>
          <w:spacing w:val="-63"/>
        </w:rPr>
        <w:t> </w:t>
      </w:r>
      <w:r>
        <w:rPr>
          <w:spacing w:val="-63"/>
        </w:rPr>
      </w:r>
      <w:r>
        <w:rPr/>
        <w:t>承诺函》。</w:t>
      </w:r>
    </w:p>
    <w:p>
      <w:pPr>
        <w:pStyle w:val="BodyText"/>
        <w:spacing w:line="300" w:lineRule="auto" w:before="24"/>
        <w:ind w:right="1139" w:firstLine="360"/>
        <w:jc w:val="both"/>
      </w:pPr>
      <w:r>
        <w:rPr>
          <w:rFonts w:ascii="Times New Roman" w:hAnsi="Times New Roman" w:cs="Times New Roman" w:eastAsia="Times New Roman" w:hint="default"/>
        </w:rPr>
        <w:t>2</w:t>
      </w:r>
      <w:r>
        <w:rPr/>
        <w:t>、人员独立情况：公司人员、劳动、人事及工资完全独立。公司总裁、执行总裁、副总裁、董事会秘书、财务负责人 等高级管理人员均在公司工作并领取薪酬，未在控股股东及其下属企业担任职务和领取报酬。</w:t>
      </w:r>
    </w:p>
    <w:p>
      <w:pPr>
        <w:pStyle w:val="BodyText"/>
        <w:spacing w:line="300" w:lineRule="auto" w:before="32"/>
        <w:ind w:right="1139" w:firstLine="360"/>
        <w:jc w:val="both"/>
      </w:pPr>
      <w:r>
        <w:rPr>
          <w:rFonts w:ascii="Times New Roman" w:hAnsi="Times New Roman" w:cs="Times New Roman" w:eastAsia="Times New Roman" w:hint="default"/>
        </w:rPr>
        <w:t>3</w:t>
      </w:r>
      <w:r>
        <w:rPr/>
        <w:t>、资产独立情况：公司拥有独立于控股股东的生产经营场所，拥有独立完整的资产结构，拥有独立的生产系统、辅助 生产系统和配套设施、土地使用权、房屋所有权等资产，拥有独立的采购和销售系统。</w:t>
      </w:r>
    </w:p>
    <w:p>
      <w:pPr>
        <w:pStyle w:val="BodyText"/>
        <w:spacing w:line="240" w:lineRule="auto" w:before="31"/>
        <w:ind w:left="513" w:right="1133"/>
        <w:jc w:val="left"/>
      </w:pPr>
      <w:r>
        <w:rPr>
          <w:rFonts w:ascii="Times New Roman" w:hAnsi="Times New Roman" w:cs="Times New Roman" w:eastAsia="Times New Roman" w:hint="default"/>
        </w:rPr>
        <w:t>4</w:t>
      </w:r>
      <w:r>
        <w:rPr/>
        <w:t>、机构独立情况：公司设立了健全的组织机构体系，独立运作，不存在与控股股东或其职能部门之间的从属关系。</w:t>
      </w:r>
    </w:p>
    <w:p>
      <w:pPr>
        <w:pStyle w:val="BodyText"/>
        <w:spacing w:line="300" w:lineRule="auto" w:before="63"/>
        <w:ind w:right="1139" w:firstLine="360"/>
        <w:jc w:val="both"/>
      </w:pPr>
      <w:r>
        <w:rPr>
          <w:rFonts w:ascii="Times New Roman" w:hAnsi="Times New Roman" w:cs="Times New Roman" w:eastAsia="Times New Roman" w:hint="default"/>
        </w:rPr>
        <w:t>5</w:t>
      </w:r>
      <w:r>
        <w:rPr/>
        <w:t>、财务独立情况：公司有独立的财务会计部门，建立了独立的会计核算体系和财务管理制度，独立进行财务决策。公 司独立开设银行账户，独立纳税。</w:t>
      </w:r>
    </w:p>
    <w:p>
      <w:pPr>
        <w:spacing w:line="240" w:lineRule="auto" w:before="11"/>
        <w:rPr>
          <w:rFonts w:ascii="宋体" w:hAnsi="宋体" w:cs="宋体" w:eastAsia="宋体" w:hint="default"/>
          <w:sz w:val="21"/>
          <w:szCs w:val="21"/>
        </w:rPr>
      </w:pPr>
    </w:p>
    <w:p>
      <w:pPr>
        <w:pStyle w:val="Heading2"/>
        <w:spacing w:line="240" w:lineRule="auto"/>
        <w:ind w:right="1133"/>
        <w:jc w:val="left"/>
        <w:rPr>
          <w:b w:val="0"/>
          <w:bCs w:val="0"/>
        </w:rPr>
      </w:pPr>
      <w:bookmarkStart w:name="三、同业竞争情况" w:id="144"/>
      <w:bookmarkEnd w:id="144"/>
      <w:r>
        <w:rPr>
          <w:b w:val="0"/>
          <w:bCs w:val="0"/>
        </w:rPr>
      </w:r>
      <w:r>
        <w:rPr/>
        <w:t>三、同业竞争情况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bookmarkStart w:name="四、报告期内召开的年度股东大会和临时股东大会的有关情况" w:id="145"/>
      <w:bookmarkEnd w:id="145"/>
      <w:r>
        <w:rPr>
          <w:b w:val="0"/>
          <w:bCs w:val="0"/>
        </w:rPr>
      </w: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本报告期股东大会情况" w:id="146"/>
      <w:bookmarkEnd w:id="146"/>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61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53.75%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pacing w:val="-27"/>
                <w:sz w:val="18"/>
                <w:szCs w:val="18"/>
              </w:rPr>
              <w:t>《证券时报》、《上海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7"/>
                <w:sz w:val="18"/>
                <w:szCs w:val="18"/>
              </w:rPr>
              <w:t>证券报》、《中国证券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8"/>
                <w:sz w:val="18"/>
                <w:szCs w:val="18"/>
              </w:rPr>
              <w:t>报》、《证券日报》、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巨潮资讯网</w:t>
            </w:r>
          </w:p>
          <w:p>
            <w:pPr>
              <w:pStyle w:val="TableParagraph"/>
              <w:spacing w:line="240" w:lineRule="auto" w:before="18"/>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tc>
      </w:tr>
    </w:tbl>
    <w:p>
      <w:pPr>
        <w:spacing w:after="0" w:line="240" w:lineRule="auto"/>
        <w:jc w:val="both"/>
        <w:rPr>
          <w:rFonts w:ascii="Times New Roman" w:hAnsi="Times New Roman" w:cs="Times New Roman" w:eastAsia="Times New Roman" w:hint="default"/>
          <w:sz w:val="18"/>
          <w:szCs w:val="18"/>
        </w:rPr>
        <w:sectPr>
          <w:footerReference w:type="default" r:id="rId20"/>
          <w:pgSz w:w="11910" w:h="16840"/>
          <w:pgMar w:footer="980" w:header="745" w:top="1060" w:bottom="1160" w:left="980" w:right="0"/>
          <w:pgNumType w:start="1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3"/>
          <w:szCs w:val="13"/>
        </w:rPr>
      </w:pPr>
    </w:p>
    <w:p>
      <w:pPr>
        <w:pStyle w:val="BodyText"/>
        <w:spacing w:line="240" w:lineRule="auto"/>
        <w:ind w:left="0" w:right="1148"/>
        <w:jc w:val="right"/>
      </w:pPr>
      <w:r>
        <w:rPr/>
        <w:pict>
          <v:shape style="position:absolute;margin-left:56.400002pt;margin-top:-16.508257pt;width:479.15pt;height:65.45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1299"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4" w:right="17"/>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.com.cn</w:t>
                        </w:r>
                        <w:r>
                          <w:rPr>
                            <w:rFonts w:ascii="宋体" w:hAnsi="宋体" w:cs="宋体" w:eastAsia="宋体" w:hint="default"/>
                            <w:spacing w:val="-13"/>
                            <w:sz w:val="18"/>
                            <w:szCs w:val="18"/>
                          </w:rPr>
                          <w:t>）《</w:t>
                        </w:r>
                        <w:r>
                          <w:rPr>
                            <w:rFonts w:ascii="Times New Roman" w:hAnsi="Times New Roman" w:cs="Times New Roman" w:eastAsia="Times New Roman" w:hint="default"/>
                            <w:spacing w:val="-13"/>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w:t>
                        </w:r>
                        <w:r>
                          <w:rPr>
                            <w:rFonts w:ascii="宋体" w:hAnsi="宋体" w:cs="宋体" w:eastAsia="宋体" w:hint="default"/>
                            <w:spacing w:val="-88"/>
                            <w:sz w:val="18"/>
                            <w:szCs w:val="18"/>
                          </w:rPr>
                          <w:t> </w:t>
                        </w:r>
                        <w:r>
                          <w:rPr>
                            <w:rFonts w:ascii="宋体" w:hAnsi="宋体" w:cs="宋体" w:eastAsia="宋体" w:hint="default"/>
                            <w:sz w:val="18"/>
                            <w:szCs w:val="18"/>
                          </w:rPr>
                          <w:t>股东大会决议公告</w:t>
                        </w:r>
                      </w:p>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2019-053</w:t>
                        </w:r>
                        <w:r>
                          <w:rPr>
                            <w:rFonts w:ascii="宋体" w:hAnsi="宋体" w:cs="宋体" w:eastAsia="宋体" w:hint="default"/>
                            <w:sz w:val="18"/>
                            <w:szCs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pStyle w:val="Heading3"/>
        <w:spacing w:line="240" w:lineRule="auto" w:before="36"/>
        <w:ind w:right="1133"/>
        <w:jc w:val="left"/>
        <w:rPr>
          <w:b w:val="0"/>
          <w:bCs w:val="0"/>
        </w:rPr>
      </w:pPr>
      <w:bookmarkStart w:name="2、表决权恢复的优先股股东请求召开临时股东大会" w:id="147"/>
      <w:bookmarkEnd w:id="147"/>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bookmarkStart w:name="五、报告期内独立董事履行职责的情况" w:id="148"/>
      <w:bookmarkEnd w:id="148"/>
      <w:r>
        <w:rPr>
          <w:b w:val="0"/>
          <w:bCs w:val="0"/>
        </w:rPr>
      </w: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独立董事出席董事会及股东大会的情况" w:id="149"/>
      <w:bookmarkEnd w:id="149"/>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5"/>
        <w:gridCol w:w="1162"/>
        <w:gridCol w:w="1164"/>
        <w:gridCol w:w="1162"/>
        <w:gridCol w:w="1165"/>
        <w:gridCol w:w="1164"/>
      </w:tblGrid>
      <w:tr>
        <w:trPr>
          <w:trHeight w:val="401"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7"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4"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徐国亮</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3" w:right="0"/>
              <w:jc w:val="left"/>
              <w:rPr>
                <w:rFonts w:ascii="Times New Roman" w:hAnsi="Times New Roman" w:cs="Times New Roman" w:eastAsia="Times New Roman" w:hint="default"/>
                <w:sz w:val="18"/>
                <w:szCs w:val="18"/>
              </w:rPr>
            </w:pPr>
            <w:r>
              <w:rPr>
                <w:rFonts w:ascii="Times New Roman"/>
                <w:sz w:val="18"/>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0" w:right="0"/>
              <w:jc w:val="lef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朱宏伟</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3" w:right="0"/>
              <w:jc w:val="left"/>
              <w:rPr>
                <w:rFonts w:ascii="Times New Roman" w:hAnsi="Times New Roman" w:cs="Times New Roman" w:eastAsia="Times New Roman" w:hint="default"/>
                <w:sz w:val="18"/>
                <w:szCs w:val="18"/>
              </w:rPr>
            </w:pPr>
            <w:r>
              <w:rPr>
                <w:rFonts w:ascii="Times New Roman"/>
                <w:sz w:val="18"/>
              </w:rPr>
              <w:t>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0" w:right="0"/>
              <w:jc w:val="lef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张鹏</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3" w:right="0"/>
              <w:jc w:val="left"/>
              <w:rPr>
                <w:rFonts w:ascii="Times New Roman" w:hAnsi="Times New Roman" w:cs="Times New Roman" w:eastAsia="Times New Roman" w:hint="default"/>
                <w:sz w:val="18"/>
                <w:szCs w:val="18"/>
              </w:rPr>
            </w:pPr>
            <w:r>
              <w:rPr>
                <w:rFonts w:ascii="Times New Roman"/>
                <w:sz w:val="18"/>
              </w:rPr>
              <w:t>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0" w:right="0"/>
              <w:jc w:val="lef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万明</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3" w:right="0"/>
              <w:jc w:val="lef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0" w:right="0"/>
              <w:jc w:val="lef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r>
    </w:tbl>
    <w:p>
      <w:pPr>
        <w:pStyle w:val="BodyText"/>
        <w:spacing w:line="357" w:lineRule="auto" w:before="49"/>
        <w:ind w:right="8054"/>
        <w:jc w:val="left"/>
      </w:pPr>
      <w:r>
        <w:rPr/>
        <w:t>连续两次未亲自出席董事会的说明 无</w:t>
      </w:r>
    </w:p>
    <w:p>
      <w:pPr>
        <w:spacing w:line="240" w:lineRule="auto" w:before="6"/>
        <w:rPr>
          <w:rFonts w:ascii="宋体" w:hAnsi="宋体" w:cs="宋体" w:eastAsia="宋体" w:hint="default"/>
          <w:sz w:val="20"/>
          <w:szCs w:val="20"/>
        </w:rPr>
      </w:pPr>
    </w:p>
    <w:p>
      <w:pPr>
        <w:pStyle w:val="Heading3"/>
        <w:spacing w:line="240" w:lineRule="auto"/>
        <w:ind w:right="1133"/>
        <w:jc w:val="left"/>
        <w:rPr>
          <w:b w:val="0"/>
          <w:bCs w:val="0"/>
        </w:rPr>
      </w:pPr>
      <w:bookmarkStart w:name="2、独立董事对公司有关事项提出异议的情况" w:id="150"/>
      <w:bookmarkEnd w:id="150"/>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独立董事对公司有关事项是否提出异议</w:t>
      </w:r>
    </w:p>
    <w:p>
      <w:pPr>
        <w:pStyle w:val="BodyText"/>
        <w:spacing w:line="340" w:lineRule="auto" w:before="115"/>
        <w:ind w:right="69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5"/>
        <w:rPr>
          <w:rFonts w:ascii="宋体" w:hAnsi="宋体" w:cs="宋体" w:eastAsia="宋体" w:hint="default"/>
          <w:sz w:val="21"/>
          <w:szCs w:val="21"/>
        </w:rPr>
      </w:pPr>
    </w:p>
    <w:p>
      <w:pPr>
        <w:pStyle w:val="Heading3"/>
        <w:spacing w:line="240" w:lineRule="auto"/>
        <w:ind w:right="1133"/>
        <w:jc w:val="left"/>
        <w:rPr>
          <w:b w:val="0"/>
          <w:bCs w:val="0"/>
        </w:rPr>
      </w:pPr>
      <w:bookmarkStart w:name="3、独立董事履行职责的其他说明" w:id="151"/>
      <w:bookmarkEnd w:id="151"/>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独立董事对公司有关建议是否被采纳</w:t>
      </w:r>
    </w:p>
    <w:p>
      <w:pPr>
        <w:pStyle w:val="BodyText"/>
        <w:spacing w:line="340" w:lineRule="auto" w:before="115"/>
        <w:ind w:right="67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独立董事对公司有关建议被采纳或未被采纳的说明</w:t>
      </w:r>
    </w:p>
    <w:p>
      <w:pPr>
        <w:pStyle w:val="BodyText"/>
        <w:spacing w:line="316" w:lineRule="auto" w:before="41"/>
        <w:ind w:right="1129" w:firstLine="360"/>
        <w:jc w:val="both"/>
      </w:pPr>
      <w:r>
        <w:rPr>
          <w:spacing w:val="-2"/>
        </w:rPr>
        <w:t>现任四位独立董事在报告期内均对公司进行了实地现场考察，了解公司的生产经营情况和财务状况，董事会决议执行情</w:t>
      </w:r>
      <w:r>
        <w:rPr/>
        <w:t> </w:t>
      </w:r>
      <w:r>
        <w:rPr>
          <w:spacing w:val="-2"/>
        </w:rPr>
        <w:t>况等，重点关注了公司法人治理、业务发展、规范运作、内部控制、财务管理、关联往来、对外投资、重大担保等情况，并</w:t>
      </w:r>
      <w:r>
        <w:rPr>
          <w:spacing w:val="-70"/>
        </w:rPr>
        <w:t> </w:t>
      </w:r>
      <w:r>
        <w:rPr>
          <w:spacing w:val="-70"/>
        </w:rPr>
      </w:r>
      <w:r>
        <w:rPr>
          <w:spacing w:val="-2"/>
        </w:rPr>
        <w:t>通过电话和邮件，与公司其他董事、高管人员及相关工作人员保持密切联系，了解公司发展动态，关注宏观环境及市场变化</w:t>
      </w:r>
      <w:r>
        <w:rPr>
          <w:spacing w:val="-63"/>
        </w:rPr>
        <w:t> </w:t>
      </w:r>
      <w:r>
        <w:rPr>
          <w:spacing w:val="-63"/>
        </w:rPr>
      </w:r>
      <w:r>
        <w:rPr>
          <w:spacing w:val="-2"/>
        </w:rPr>
        <w:t>对公司的影响，同时也时刻关注电视、报纸和网络等媒介有关公司的宣传和报道，及时获悉公司信息，从而为公司经营发展</w:t>
      </w:r>
      <w:r>
        <w:rPr>
          <w:spacing w:val="-65"/>
        </w:rPr>
        <w:t> </w:t>
      </w:r>
      <w:r>
        <w:rPr>
          <w:spacing w:val="-65"/>
        </w:rPr>
      </w:r>
      <w:r>
        <w:rPr/>
        <w:t>提出建设性意见，公司采纳了相关建议，并运用于公司经营业务发展。</w:t>
      </w:r>
    </w:p>
    <w:p>
      <w:pPr>
        <w:spacing w:after="0" w:line="316" w:lineRule="auto"/>
        <w:jc w:val="both"/>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bookmarkStart w:name="六、董事会下设专门委员会在报告期内履行职责情况" w:id="152"/>
      <w:bookmarkEnd w:id="152"/>
      <w:r>
        <w:rPr>
          <w:b w:val="0"/>
          <w:bCs w:val="0"/>
        </w:rPr>
      </w:r>
      <w:r>
        <w:rPr/>
        <w:t>六、董事会下设专门委员会在报告期内履行职责情况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575" w:right="1133"/>
        <w:jc w:val="left"/>
        <w:rPr>
          <w:b w:val="0"/>
          <w:bCs w:val="0"/>
        </w:rPr>
      </w:pPr>
      <w:r>
        <w:rPr>
          <w:rFonts w:ascii="Times New Roman" w:hAnsi="Times New Roman" w:cs="Times New Roman" w:eastAsia="Times New Roman" w:hint="default"/>
        </w:rPr>
        <w:t>1</w:t>
      </w:r>
      <w:r>
        <w:rPr/>
        <w:t>、董事会战略委员会履职情况</w:t>
      </w:r>
      <w:r>
        <w:rPr>
          <w:b w:val="0"/>
          <w:bCs w:val="0"/>
        </w:rPr>
      </w:r>
    </w:p>
    <w:p>
      <w:pPr>
        <w:pStyle w:val="BodyText"/>
        <w:spacing w:line="304" w:lineRule="auto" w:before="42"/>
        <w:ind w:right="1129" w:firstLine="360"/>
        <w:jc w:val="both"/>
      </w:pPr>
      <w:r>
        <w:rPr>
          <w:rFonts w:ascii="Times New Roman" w:hAnsi="Times New Roman" w:cs="Times New Roman" w:eastAsia="Times New Roman" w:hint="default"/>
          <w:spacing w:val="-2"/>
        </w:rPr>
        <w:t>2019</w:t>
      </w:r>
      <w:r>
        <w:rPr>
          <w:spacing w:val="-2"/>
        </w:rPr>
        <w:t>年度，公司第四届董事会战略委员会共召开</w:t>
      </w:r>
      <w:r>
        <w:rPr>
          <w:rFonts w:ascii="Times New Roman" w:hAnsi="Times New Roman" w:cs="Times New Roman" w:eastAsia="Times New Roman" w:hint="default"/>
          <w:spacing w:val="-2"/>
        </w:rPr>
        <w:t>2</w:t>
      </w:r>
      <w:r>
        <w:rPr>
          <w:spacing w:val="-2"/>
        </w:rPr>
        <w:t>次会议：</w:t>
      </w:r>
      <w:r>
        <w:rPr>
          <w:rFonts w:ascii="Times New Roman" w:hAnsi="Times New Roman" w:cs="Times New Roman" w:eastAsia="Times New Roman" w:hint="default"/>
          <w:spacing w:val="-2"/>
        </w:rPr>
        <w:t>1</w:t>
      </w:r>
      <w:r>
        <w:rPr>
          <w:spacing w:val="-2"/>
        </w:rPr>
        <w:t>）基于</w:t>
      </w:r>
      <w:r>
        <w:rPr>
          <w:rFonts w:ascii="Times New Roman" w:hAnsi="Times New Roman" w:cs="Times New Roman" w:eastAsia="Times New Roman" w:hint="default"/>
          <w:spacing w:val="-2"/>
        </w:rPr>
        <w:t>“</w:t>
      </w:r>
      <w:r>
        <w:rPr>
          <w:spacing w:val="-2"/>
        </w:rPr>
        <w:t>全球视野、客户导向、创新驱动、价值多赢</w:t>
      </w:r>
      <w:r>
        <w:rPr>
          <w:rFonts w:ascii="Times New Roman" w:hAnsi="Times New Roman" w:cs="Times New Roman" w:eastAsia="Times New Roman" w:hint="default"/>
          <w:spacing w:val="-2"/>
        </w:rPr>
        <w:t>”</w:t>
      </w:r>
      <w:r>
        <w:rPr>
          <w:spacing w:val="-2"/>
        </w:rPr>
        <w:t>的战略</w:t>
      </w:r>
      <w:r>
        <w:rPr/>
        <w:t> 目标，公司第四届董事会战略委员会根据国内经济形势、行业发展趋势等因素，调整了公司经营方针；</w:t>
      </w:r>
      <w:r>
        <w:rPr>
          <w:rFonts w:ascii="Times New Roman" w:hAnsi="Times New Roman" w:cs="Times New Roman" w:eastAsia="Times New Roman" w:hint="default"/>
        </w:rPr>
        <w:t>2</w:t>
      </w:r>
      <w:r>
        <w:rPr/>
        <w:t>）在国家防控金融</w:t>
      </w:r>
      <w:r>
        <w:rPr>
          <w:spacing w:val="-82"/>
        </w:rPr>
        <w:t> </w:t>
      </w:r>
      <w:r>
        <w:rPr>
          <w:spacing w:val="-2"/>
        </w:rPr>
        <w:t>风险、大力推进供给侧结构性改革的背景下，</w:t>
      </w:r>
      <w:r>
        <w:rPr>
          <w:rFonts w:ascii="Times New Roman" w:hAnsi="Times New Roman" w:cs="Times New Roman" w:eastAsia="Times New Roman" w:hint="default"/>
          <w:spacing w:val="-2"/>
        </w:rPr>
        <w:t>2019</w:t>
      </w:r>
      <w:r>
        <w:rPr>
          <w:spacing w:val="-2"/>
        </w:rPr>
        <w:t>年监管政策进一步加强，公司金融科技板块所在行业竞争愈加激烈，面对</w:t>
      </w:r>
      <w:r>
        <w:rPr>
          <w:spacing w:val="-61"/>
        </w:rPr>
        <w:t> </w:t>
      </w:r>
      <w:r>
        <w:rPr>
          <w:spacing w:val="-61"/>
        </w:rPr>
      </w:r>
      <w:r>
        <w:rPr>
          <w:spacing w:val="-2"/>
        </w:rPr>
        <w:t>严峻的行业竞争，公司应加强对金融科技板块各业务线的整顿及优化，及时关停重复或收益不佳的业务，加大对第三方支付</w:t>
      </w:r>
      <w:r>
        <w:rPr>
          <w:spacing w:val="-63"/>
        </w:rPr>
        <w:t> </w:t>
      </w:r>
      <w:r>
        <w:rPr>
          <w:spacing w:val="-63"/>
        </w:rPr>
      </w:r>
      <w:r>
        <w:rPr/>
        <w:t>及数字科技业务的投入力度。</w:t>
      </w:r>
    </w:p>
    <w:p>
      <w:pPr>
        <w:pStyle w:val="Heading3"/>
        <w:spacing w:line="240" w:lineRule="auto" w:before="7"/>
        <w:ind w:left="575" w:right="1133"/>
        <w:jc w:val="left"/>
        <w:rPr>
          <w:b w:val="0"/>
          <w:bCs w:val="0"/>
        </w:rPr>
      </w:pPr>
      <w:r>
        <w:rPr>
          <w:rFonts w:ascii="Times New Roman" w:hAnsi="Times New Roman" w:cs="Times New Roman" w:eastAsia="Times New Roman" w:hint="default"/>
        </w:rPr>
        <w:t>2</w:t>
      </w:r>
      <w:r>
        <w:rPr/>
        <w:t>、董事会审计委员会履职情况</w:t>
      </w:r>
      <w:r>
        <w:rPr>
          <w:b w:val="0"/>
          <w:bCs w:val="0"/>
        </w:rPr>
      </w:r>
    </w:p>
    <w:p>
      <w:pPr>
        <w:pStyle w:val="BodyText"/>
        <w:spacing w:line="300" w:lineRule="auto" w:before="42"/>
        <w:ind w:right="1130" w:firstLine="360"/>
        <w:jc w:val="both"/>
      </w:pPr>
      <w:r>
        <w:rPr>
          <w:rFonts w:ascii="Times New Roman" w:hAnsi="Times New Roman" w:cs="Times New Roman" w:eastAsia="Times New Roman" w:hint="default"/>
        </w:rPr>
        <w:t>2019</w:t>
      </w:r>
      <w:r>
        <w:rPr/>
        <w:t>年度，公司第四届董事会审计委员会共召开</w:t>
      </w:r>
      <w:r>
        <w:rPr>
          <w:rFonts w:ascii="Times New Roman" w:hAnsi="Times New Roman" w:cs="Times New Roman" w:eastAsia="Times New Roman" w:hint="default"/>
        </w:rPr>
        <w:t>4</w:t>
      </w:r>
      <w:r>
        <w:rPr/>
        <w:t>次会议，对公司审计及聘请外部审计机构等事项给予了合理建议，就 </w:t>
      </w:r>
      <w:r>
        <w:rPr>
          <w:spacing w:val="-2"/>
        </w:rPr>
        <w:t>公司提报的</w:t>
      </w:r>
      <w:r>
        <w:rPr>
          <w:rFonts w:ascii="Times New Roman" w:hAnsi="Times New Roman" w:cs="Times New Roman" w:eastAsia="Times New Roman" w:hint="default"/>
          <w:spacing w:val="-2"/>
        </w:rPr>
        <w:t>2018</w:t>
      </w:r>
      <w:r>
        <w:rPr>
          <w:spacing w:val="-2"/>
        </w:rPr>
        <w:t>年年度、</w:t>
      </w:r>
      <w:r>
        <w:rPr>
          <w:rFonts w:ascii="Times New Roman" w:hAnsi="Times New Roman" w:cs="Times New Roman" w:eastAsia="Times New Roman" w:hint="default"/>
          <w:spacing w:val="-2"/>
        </w:rPr>
        <w:t>2019</w:t>
      </w:r>
      <w:r>
        <w:rPr>
          <w:spacing w:val="-2"/>
        </w:rPr>
        <w:t>年一季度、</w:t>
      </w:r>
      <w:r>
        <w:rPr>
          <w:rFonts w:ascii="Times New Roman" w:hAnsi="Times New Roman" w:cs="Times New Roman" w:eastAsia="Times New Roman" w:hint="default"/>
          <w:spacing w:val="-2"/>
        </w:rPr>
        <w:t>2019</w:t>
      </w:r>
      <w:r>
        <w:rPr>
          <w:spacing w:val="-2"/>
        </w:rPr>
        <w:t>年半年度、</w:t>
      </w:r>
      <w:r>
        <w:rPr>
          <w:rFonts w:ascii="Times New Roman" w:hAnsi="Times New Roman" w:cs="Times New Roman" w:eastAsia="Times New Roman" w:hint="default"/>
          <w:spacing w:val="-2"/>
        </w:rPr>
        <w:t>2019</w:t>
      </w:r>
      <w:r>
        <w:rPr>
          <w:spacing w:val="-2"/>
        </w:rPr>
        <w:t>年三季度财务会计报表及募集资金进行了审议，并对公司</w:t>
      </w:r>
      <w:r>
        <w:rPr>
          <w:rFonts w:ascii="Times New Roman" w:hAnsi="Times New Roman" w:cs="Times New Roman" w:eastAsia="Times New Roman" w:hint="default"/>
          <w:spacing w:val="-2"/>
        </w:rPr>
        <w:t>2019</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4"/>
        </w:rPr>
      </w:r>
      <w:r>
        <w:rPr/>
        <w:t>年度审计工作进行了部署。</w:t>
      </w:r>
    </w:p>
    <w:p>
      <w:pPr>
        <w:pStyle w:val="Heading3"/>
        <w:spacing w:line="240" w:lineRule="auto" w:before="11"/>
        <w:ind w:left="575" w:right="1133"/>
        <w:jc w:val="left"/>
        <w:rPr>
          <w:b w:val="0"/>
          <w:bCs w:val="0"/>
        </w:rPr>
      </w:pPr>
      <w:r>
        <w:rPr>
          <w:rFonts w:ascii="Times New Roman" w:hAnsi="Times New Roman" w:cs="Times New Roman" w:eastAsia="Times New Roman" w:hint="default"/>
        </w:rPr>
        <w:t>3</w:t>
      </w:r>
      <w:r>
        <w:rPr/>
        <w:t>、董事会薪酬与考核委员会履职情况</w:t>
      </w:r>
      <w:r>
        <w:rPr>
          <w:b w:val="0"/>
          <w:bCs w:val="0"/>
        </w:rPr>
      </w:r>
    </w:p>
    <w:p>
      <w:pPr>
        <w:pStyle w:val="BodyText"/>
        <w:spacing w:line="300" w:lineRule="auto" w:before="42"/>
        <w:ind w:right="1129" w:firstLine="360"/>
        <w:jc w:val="both"/>
      </w:pPr>
      <w:r>
        <w:rPr>
          <w:rFonts w:ascii="Times New Roman" w:hAnsi="Times New Roman" w:cs="Times New Roman" w:eastAsia="Times New Roman" w:hint="default"/>
          <w:spacing w:val="-2"/>
        </w:rPr>
        <w:t>2019</w:t>
      </w:r>
      <w:r>
        <w:rPr>
          <w:spacing w:val="-2"/>
        </w:rPr>
        <w:t>年度，公司第四届董事会薪酬与考核委员会共召开</w:t>
      </w:r>
      <w:r>
        <w:rPr>
          <w:rFonts w:ascii="Times New Roman" w:hAnsi="Times New Roman" w:cs="Times New Roman" w:eastAsia="Times New Roman" w:hint="default"/>
          <w:spacing w:val="-2"/>
        </w:rPr>
        <w:t>2</w:t>
      </w:r>
      <w:r>
        <w:rPr>
          <w:spacing w:val="-2"/>
        </w:rPr>
        <w:t>次会议。</w:t>
      </w:r>
      <w:r>
        <w:rPr>
          <w:rFonts w:ascii="Times New Roman" w:hAnsi="Times New Roman" w:cs="Times New Roman" w:eastAsia="Times New Roman" w:hint="default"/>
          <w:spacing w:val="-2"/>
        </w:rPr>
        <w:t>1</w:t>
      </w:r>
      <w:r>
        <w:rPr>
          <w:spacing w:val="-2"/>
        </w:rPr>
        <w:t>）公司第四届董事会薪酬与考核委员会对公司领薪董</w:t>
      </w:r>
      <w:r>
        <w:rPr/>
        <w:t> 事和高级管理人员</w:t>
      </w:r>
      <w:r>
        <w:rPr>
          <w:rFonts w:ascii="Times New Roman" w:hAnsi="Times New Roman" w:cs="Times New Roman" w:eastAsia="Times New Roman" w:hint="default"/>
        </w:rPr>
        <w:t>2018</w:t>
      </w:r>
      <w:r>
        <w:rPr/>
        <w:t>年度的履职情况进行了考评；</w:t>
      </w:r>
      <w:r>
        <w:rPr>
          <w:rFonts w:ascii="Times New Roman" w:hAnsi="Times New Roman" w:cs="Times New Roman" w:eastAsia="Times New Roman" w:hint="default"/>
        </w:rPr>
        <w:t>2</w:t>
      </w:r>
      <w:r>
        <w:rPr/>
        <w:t>）公司第四届董事会薪酬与考核委员会根据《</w:t>
      </w:r>
      <w:r>
        <w:rPr>
          <w:rFonts w:ascii="Times New Roman" w:hAnsi="Times New Roman" w:cs="Times New Roman" w:eastAsia="Times New Roman" w:hint="default"/>
        </w:rPr>
        <w:t>2018</w:t>
      </w:r>
      <w:r>
        <w:rPr/>
        <w:t>年限制性股票激励</w:t>
      </w:r>
      <w:r>
        <w:rPr>
          <w:spacing w:val="-85"/>
        </w:rPr>
        <w:t> </w:t>
      </w:r>
      <w:r>
        <w:rPr/>
        <w:t>计划实施考核管理办法》审议通过了因未达到第一个限售期条件的限制性股票</w:t>
      </w:r>
      <w:r>
        <w:rPr>
          <w:rFonts w:ascii="Times New Roman" w:hAnsi="Times New Roman" w:cs="Times New Roman" w:eastAsia="Times New Roman" w:hint="default"/>
        </w:rPr>
        <w:t>380</w:t>
      </w:r>
      <w:r>
        <w:rPr/>
        <w:t>万股进行回购注销，并督促董事会根据考</w:t>
      </w:r>
      <w:r>
        <w:rPr>
          <w:spacing w:val="-84"/>
        </w:rPr>
        <w:t> </w:t>
      </w:r>
      <w:r>
        <w:rPr>
          <w:spacing w:val="-84"/>
        </w:rPr>
      </w:r>
      <w:r>
        <w:rPr/>
        <w:t>核管理办法落实与有效执行。</w:t>
      </w:r>
    </w:p>
    <w:p>
      <w:pPr>
        <w:pStyle w:val="Heading3"/>
        <w:spacing w:line="240" w:lineRule="auto" w:before="11"/>
        <w:ind w:left="575" w:right="1133"/>
        <w:jc w:val="left"/>
        <w:rPr>
          <w:b w:val="0"/>
          <w:bCs w:val="0"/>
        </w:rPr>
      </w:pPr>
      <w:r>
        <w:rPr>
          <w:rFonts w:ascii="Times New Roman" w:hAnsi="Times New Roman" w:cs="Times New Roman" w:eastAsia="Times New Roman" w:hint="default"/>
        </w:rPr>
        <w:t>4</w:t>
      </w:r>
      <w:r>
        <w:rPr/>
        <w:t>、董事会提名委员会履职情况</w:t>
      </w:r>
      <w:r>
        <w:rPr>
          <w:b w:val="0"/>
          <w:bCs w:val="0"/>
        </w:rPr>
      </w:r>
    </w:p>
    <w:p>
      <w:pPr>
        <w:pStyle w:val="BodyText"/>
        <w:spacing w:line="300" w:lineRule="auto" w:before="42"/>
        <w:ind w:right="1134" w:firstLine="360"/>
        <w:jc w:val="both"/>
      </w:pPr>
      <w:r>
        <w:rPr>
          <w:rFonts w:ascii="Times New Roman" w:hAnsi="Times New Roman" w:cs="Times New Roman" w:eastAsia="Times New Roman" w:hint="default"/>
          <w:spacing w:val="-2"/>
        </w:rPr>
        <w:t>2019</w:t>
      </w:r>
      <w:r>
        <w:rPr>
          <w:spacing w:val="-2"/>
        </w:rPr>
        <w:t>年度，公司第四届董事会提名委员会共召开</w:t>
      </w:r>
      <w:r>
        <w:rPr>
          <w:rFonts w:ascii="Times New Roman" w:hAnsi="Times New Roman" w:cs="Times New Roman" w:eastAsia="Times New Roman" w:hint="default"/>
          <w:spacing w:val="-2"/>
        </w:rPr>
        <w:t>2</w:t>
      </w:r>
      <w:r>
        <w:rPr>
          <w:spacing w:val="-2"/>
        </w:rPr>
        <w:t>次会议。</w:t>
      </w:r>
      <w:r>
        <w:rPr>
          <w:rFonts w:ascii="Times New Roman" w:hAnsi="Times New Roman" w:cs="Times New Roman" w:eastAsia="Times New Roman" w:hint="default"/>
          <w:spacing w:val="-2"/>
        </w:rPr>
        <w:t>1</w:t>
      </w:r>
      <w:r>
        <w:rPr>
          <w:spacing w:val="-2"/>
        </w:rPr>
        <w:t>）公司第四届董事会提名委员会对公司任董事、监事、高级</w:t>
      </w:r>
      <w:r>
        <w:rPr/>
        <w:t> 管理人员的任职资格进行了复查；</w:t>
      </w:r>
      <w:r>
        <w:rPr>
          <w:rFonts w:ascii="Times New Roman" w:hAnsi="Times New Roman" w:cs="Times New Roman" w:eastAsia="Times New Roman" w:hint="default"/>
        </w:rPr>
        <w:t>2</w:t>
      </w:r>
      <w:r>
        <w:rPr/>
        <w:t>）公司第四届董事会提名委员会对拟任财务负责人、副总裁陈军先生进行了资格审查。</w:t>
      </w:r>
    </w:p>
    <w:p>
      <w:pPr>
        <w:spacing w:line="240" w:lineRule="auto" w:before="5"/>
        <w:rPr>
          <w:rFonts w:ascii="宋体" w:hAnsi="宋体" w:cs="宋体" w:eastAsia="宋体" w:hint="default"/>
          <w:sz w:val="20"/>
          <w:szCs w:val="20"/>
        </w:rPr>
      </w:pPr>
    </w:p>
    <w:p>
      <w:pPr>
        <w:pStyle w:val="Heading2"/>
        <w:spacing w:line="240" w:lineRule="auto"/>
        <w:ind w:right="1133"/>
        <w:jc w:val="left"/>
        <w:rPr>
          <w:b w:val="0"/>
          <w:bCs w:val="0"/>
        </w:rPr>
      </w:pPr>
      <w:bookmarkStart w:name="七、监事会工作情况" w:id="153"/>
      <w:bookmarkEnd w:id="153"/>
      <w:r>
        <w:rPr>
          <w:b w:val="0"/>
          <w:bCs w:val="0"/>
        </w:rPr>
      </w:r>
      <w:r>
        <w:rPr/>
        <w:t>七、监事会工作情况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监事会在报告期内的监督活动中发现公司是否存在风险</w:t>
      </w:r>
    </w:p>
    <w:p>
      <w:pPr>
        <w:pStyle w:val="BodyText"/>
        <w:spacing w:line="338" w:lineRule="auto" w:before="117"/>
        <w:ind w:right="76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监事会对报告期内的监督事项无异议。</w:t>
      </w:r>
    </w:p>
    <w:p>
      <w:pPr>
        <w:spacing w:line="240" w:lineRule="auto" w:before="8"/>
        <w:rPr>
          <w:rFonts w:ascii="宋体" w:hAnsi="宋体" w:cs="宋体" w:eastAsia="宋体" w:hint="default"/>
          <w:sz w:val="19"/>
          <w:szCs w:val="19"/>
        </w:rPr>
      </w:pPr>
    </w:p>
    <w:p>
      <w:pPr>
        <w:pStyle w:val="Heading2"/>
        <w:spacing w:line="240" w:lineRule="auto"/>
        <w:ind w:right="1133"/>
        <w:jc w:val="left"/>
        <w:rPr>
          <w:b w:val="0"/>
          <w:bCs w:val="0"/>
        </w:rPr>
      </w:pPr>
      <w:bookmarkStart w:name="八、高级管理人员的考评及激励情况" w:id="154"/>
      <w:bookmarkEnd w:id="154"/>
      <w:r>
        <w:rPr>
          <w:b w:val="0"/>
          <w:bCs w:val="0"/>
        </w:rPr>
      </w: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2" w:firstLine="360"/>
        <w:jc w:val="both"/>
      </w:pPr>
      <w:r>
        <w:rPr>
          <w:spacing w:val="-2"/>
        </w:rPr>
        <w:t>公司建立了完善的高级管理人员绩效考评体系和薪酬制度，报告期内，公司人力资源部对《绩效考核管理制度》作了进</w:t>
      </w:r>
      <w:r>
        <w:rPr/>
        <w:t> </w:t>
      </w:r>
      <w:r>
        <w:rPr>
          <w:spacing w:val="-2"/>
        </w:rPr>
        <w:t>一步完善，根据制定的《人工成本管控原则框架》、《调薪指导原则框架》对高级管理人员考评，董事会薪酬与考核委员会</w:t>
      </w:r>
      <w:r>
        <w:rPr>
          <w:spacing w:val="-69"/>
        </w:rPr>
        <w:t> </w:t>
      </w:r>
      <w:r>
        <w:rPr>
          <w:spacing w:val="-69"/>
        </w:rPr>
      </w:r>
      <w:r>
        <w:rPr/>
        <w:t>负责对高级管理人员的工作能力、履职情况、责任目标完成情况等进行年终考评，制定薪酬方案报公司董事会审批。</w:t>
      </w:r>
    </w:p>
    <w:p>
      <w:pPr>
        <w:spacing w:line="240" w:lineRule="auto" w:before="11"/>
        <w:rPr>
          <w:rFonts w:ascii="宋体" w:hAnsi="宋体" w:cs="宋体" w:eastAsia="宋体" w:hint="default"/>
          <w:sz w:val="20"/>
          <w:szCs w:val="20"/>
        </w:rPr>
      </w:pPr>
    </w:p>
    <w:p>
      <w:pPr>
        <w:pStyle w:val="Heading2"/>
        <w:spacing w:line="240" w:lineRule="auto"/>
        <w:ind w:right="1133"/>
        <w:jc w:val="left"/>
        <w:rPr>
          <w:b w:val="0"/>
          <w:bCs w:val="0"/>
        </w:rPr>
      </w:pPr>
      <w:bookmarkStart w:name="九、内部控制评价报告" w:id="155"/>
      <w:bookmarkEnd w:id="155"/>
      <w:r>
        <w:rPr>
          <w:b w:val="0"/>
          <w:bCs w:val="0"/>
        </w:rPr>
      </w:r>
      <w:r>
        <w:rPr/>
        <w:t>九、内部控制评价报告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报告期内发现的内部控制重大缺陷的具体情况" w:id="156"/>
      <w:bookmarkEnd w:id="156"/>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2、内控自我评价报告" w:id="157"/>
      <w:bookmarkEnd w:id="157"/>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4"/>
        <w:gridCol w:w="6375"/>
      </w:tblGrid>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r>
      <w:tr>
        <w:trPr>
          <w:trHeight w:val="715"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4"/>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内部控制评价报告全文披露索引巨潮资讯</w:t>
            </w:r>
            <w:r>
              <w:rPr>
                <w:rFonts w:ascii="宋体" w:hAnsi="宋体" w:cs="宋体" w:eastAsia="宋体" w:hint="default"/>
                <w:spacing w:val="-34"/>
                <w:sz w:val="18"/>
                <w:szCs w:val="18"/>
              </w:rPr>
              <w:t>网</w:t>
            </w:r>
            <w:r>
              <w:rPr>
                <w:rFonts w:ascii="宋体" w:hAnsi="宋体" w:cs="宋体" w:eastAsia="宋体" w:hint="default"/>
                <w:sz w:val="18"/>
                <w:szCs w:val="18"/>
              </w:rPr>
              <w:t>（</w:t>
            </w:r>
            <w:hyperlink r:id="rId13">
              <w:r>
                <w:rPr>
                  <w:rFonts w:ascii="Times New Roman" w:hAnsi="Times New Roman" w:cs="Times New Roman" w:eastAsia="Times New Roman" w:hint="default"/>
                  <w:spacing w:val="1"/>
                  <w:sz w:val="18"/>
                  <w:szCs w:val="18"/>
                </w:rPr>
                <w:t>h</w:t>
              </w:r>
              <w:r>
                <w:rPr>
                  <w:rFonts w:ascii="Times New Roman" w:hAnsi="Times New Roman" w:cs="Times New Roman" w:eastAsia="Times New Roman" w:hint="default"/>
                  <w:sz w:val="18"/>
                  <w:szCs w:val="18"/>
                </w:rPr>
                <w:t>tt</w:t>
              </w:r>
              <w:r>
                <w:rPr>
                  <w:rFonts w:ascii="Times New Roman" w:hAnsi="Times New Roman" w:cs="Times New Roman" w:eastAsia="Times New Roman" w:hint="default"/>
                  <w:spacing w:val="1"/>
                  <w:sz w:val="18"/>
                  <w:szCs w:val="18"/>
                </w:rPr>
                <w:t>p</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3"/>
                  <w:w w:val="99"/>
                  <w:sz w:val="18"/>
                  <w:szCs w:val="18"/>
                </w:rPr>
                <w:t>w</w:t>
              </w:r>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6"/>
                  <w:w w:val="99"/>
                  <w:sz w:val="18"/>
                  <w:szCs w:val="18"/>
                </w:rPr>
                <w:t>w</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z w:val="18"/>
                  <w:szCs w:val="18"/>
                </w:rPr>
                <w:t>f</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pacing w:val="-4"/>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3"/>
                  <w:sz w:val="18"/>
                  <w:szCs w:val="18"/>
                </w:rPr>
                <w:t>n</w:t>
              </w:r>
            </w:hyperlink>
            <w:r>
              <w:rPr>
                <w:rFonts w:ascii="宋体" w:hAnsi="宋体" w:cs="宋体" w:eastAsia="宋体" w:hint="default"/>
                <w:spacing w:val="-92"/>
                <w:sz w:val="18"/>
                <w:szCs w:val="18"/>
              </w:rPr>
              <w:t>）</w:t>
            </w:r>
            <w:r>
              <w:rPr>
                <w:rFonts w:ascii="宋体" w:hAnsi="宋体" w:cs="宋体" w:eastAsia="宋体" w:hint="default"/>
                <w:spacing w:val="-125"/>
                <w:sz w:val="18"/>
                <w:szCs w:val="18"/>
              </w:rPr>
              <w:t>，</w:t>
            </w:r>
            <w:r>
              <w:rPr>
                <w:rFonts w:ascii="宋体" w:hAnsi="宋体" w:cs="宋体" w:eastAsia="宋体" w:hint="default"/>
                <w:sz w:val="18"/>
                <w:szCs w:val="18"/>
              </w:rPr>
              <w:t>《海联金</w:t>
            </w:r>
            <w:r>
              <w:rPr>
                <w:rFonts w:ascii="宋体" w:hAnsi="宋体" w:cs="宋体" w:eastAsia="宋体" w:hint="default"/>
                <w:sz w:val="18"/>
                <w:szCs w:val="18"/>
              </w:rPr>
              <w:t> 汇科技股份有限公司</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3"/>
                <w:sz w:val="18"/>
                <w:szCs w:val="18"/>
              </w:rPr>
              <w:t>度</w:t>
            </w:r>
            <w:r>
              <w:rPr>
                <w:rFonts w:ascii="宋体" w:hAnsi="宋体" w:cs="宋体" w:eastAsia="宋体" w:hint="default"/>
                <w:sz w:val="18"/>
                <w:szCs w:val="18"/>
              </w:rPr>
              <w:t>内部控制评价报告</w:t>
            </w:r>
            <w:r>
              <w:rPr>
                <w:rFonts w:ascii="宋体" w:hAnsi="宋体" w:cs="宋体" w:eastAsia="宋体" w:hint="default"/>
                <w:spacing w:val="-92"/>
                <w:sz w:val="18"/>
                <w:szCs w:val="18"/>
              </w:rPr>
              <w:t>》</w:t>
            </w:r>
            <w:r>
              <w:rPr>
                <w:rFonts w:ascii="宋体" w:hAnsi="宋体" w:cs="宋体" w:eastAsia="宋体" w:hint="default"/>
                <w:sz w:val="18"/>
                <w:szCs w:val="18"/>
              </w:rPr>
              <w:t>。</w:t>
            </w:r>
          </w:p>
        </w:tc>
      </w:tr>
    </w:tbl>
    <w:p>
      <w:pPr>
        <w:spacing w:after="0" w:line="30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3190"/>
        <w:gridCol w:w="3327"/>
        <w:gridCol w:w="3053"/>
      </w:tblGrid>
      <w:tr>
        <w:trPr>
          <w:trHeight w:val="71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813"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7"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07" w:lineRule="auto"/>
              <w:ind w:left="23" w:right="16"/>
              <w:jc w:val="left"/>
              <w:rPr>
                <w:rFonts w:ascii="宋体" w:hAnsi="宋体" w:cs="宋体" w:eastAsia="宋体" w:hint="default"/>
                <w:sz w:val="18"/>
                <w:szCs w:val="18"/>
              </w:rPr>
            </w:pPr>
            <w:r>
              <w:rPr>
                <w:rFonts w:ascii="宋体" w:hAnsi="宋体" w:cs="宋体" w:eastAsia="宋体" w:hint="default"/>
                <w:sz w:val="18"/>
                <w:szCs w:val="18"/>
              </w:rPr>
              <w:t>重大缺陷：</w:t>
            </w:r>
            <w:r>
              <w:rPr>
                <w:rFonts w:ascii="Times New Roman" w:hAnsi="Times New Roman" w:cs="Times New Roman" w:eastAsia="Times New Roman" w:hint="default"/>
                <w:sz w:val="18"/>
                <w:szCs w:val="18"/>
              </w:rPr>
              <w:t>1.</w:t>
            </w:r>
            <w:r>
              <w:rPr>
                <w:rFonts w:ascii="宋体" w:hAnsi="宋体" w:cs="宋体" w:eastAsia="宋体" w:hint="default"/>
                <w:sz w:val="18"/>
                <w:szCs w:val="18"/>
              </w:rPr>
              <w:t>外部审计发现当期财务报告 存在重大错报，公司在运行过程中未能发 现该错报；</w:t>
            </w:r>
            <w:r>
              <w:rPr>
                <w:rFonts w:ascii="Times New Roman" w:hAnsi="Times New Roman" w:cs="Times New Roman" w:eastAsia="Times New Roman" w:hint="default"/>
                <w:sz w:val="18"/>
                <w:szCs w:val="18"/>
              </w:rPr>
              <w:t>2.</w:t>
            </w:r>
            <w:r>
              <w:rPr>
                <w:rFonts w:ascii="宋体" w:hAnsi="宋体" w:cs="宋体" w:eastAsia="宋体" w:hint="default"/>
                <w:sz w:val="18"/>
                <w:szCs w:val="18"/>
              </w:rPr>
              <w:t>公司审计委员会和审计部对 内部控制的监督无效；</w:t>
            </w:r>
            <w:r>
              <w:rPr>
                <w:rFonts w:ascii="宋体" w:hAnsi="宋体" w:cs="宋体" w:eastAsia="宋体" w:hint="default"/>
                <w:spacing w:val="-18"/>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公司董事、监事 和高级管理人员舞弊行为；</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公司更正已 公布的财务报告；</w:t>
            </w:r>
            <w:r>
              <w:rPr>
                <w:rFonts w:ascii="Times New Roman" w:hAnsi="Times New Roman" w:cs="Times New Roman" w:eastAsia="Times New Roman" w:hint="default"/>
                <w:sz w:val="18"/>
                <w:szCs w:val="18"/>
              </w:rPr>
              <w:t>5.</w:t>
            </w:r>
            <w:r>
              <w:rPr>
                <w:rFonts w:ascii="宋体" w:hAnsi="宋体" w:cs="宋体" w:eastAsia="宋体" w:hint="default"/>
                <w:sz w:val="18"/>
                <w:szCs w:val="18"/>
              </w:rPr>
              <w:t>其他可能影响财务报 告使用者正确判断的缺陷。</w:t>
            </w:r>
            <w:r>
              <w:rPr>
                <w:rFonts w:ascii="宋体" w:hAnsi="宋体" w:cs="宋体" w:eastAsia="宋体" w:hint="default"/>
                <w:spacing w:val="-15"/>
                <w:sz w:val="18"/>
                <w:szCs w:val="18"/>
              </w:rPr>
              <w:t> </w:t>
            </w:r>
            <w:r>
              <w:rPr>
                <w:rFonts w:ascii="宋体" w:hAnsi="宋体" w:cs="宋体" w:eastAsia="宋体" w:hint="default"/>
                <w:sz w:val="18"/>
                <w:szCs w:val="18"/>
              </w:rPr>
              <w:t>重要缺陷：</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未依照《企业会计准则》及相关规定选择 和应用会计政策；</w:t>
            </w:r>
            <w:r>
              <w:rPr>
                <w:rFonts w:ascii="Times New Roman" w:hAnsi="Times New Roman" w:cs="Times New Roman" w:eastAsia="Times New Roman" w:hint="default"/>
                <w:sz w:val="18"/>
                <w:szCs w:val="18"/>
              </w:rPr>
              <w:t>2.</w:t>
            </w:r>
            <w:r>
              <w:rPr>
                <w:rFonts w:ascii="宋体" w:hAnsi="宋体" w:cs="宋体" w:eastAsia="宋体" w:hint="default"/>
                <w:sz w:val="18"/>
                <w:szCs w:val="18"/>
              </w:rPr>
              <w:t>未建立反舞弊程序和 控制措施；</w:t>
            </w:r>
            <w:r>
              <w:rPr>
                <w:rFonts w:ascii="Times New Roman" w:hAnsi="Times New Roman" w:cs="Times New Roman" w:eastAsia="Times New Roman" w:hint="default"/>
                <w:sz w:val="18"/>
                <w:szCs w:val="18"/>
              </w:rPr>
              <w:t>3.</w:t>
            </w:r>
            <w:r>
              <w:rPr>
                <w:rFonts w:ascii="宋体" w:hAnsi="宋体" w:cs="宋体" w:eastAsia="宋体" w:hint="default"/>
                <w:sz w:val="18"/>
                <w:szCs w:val="18"/>
              </w:rPr>
              <w:t>对于非常规或特殊交易的账 务处理没有建立相应的控制机制或没有实 施且没有相应的补偿性控制；</w:t>
            </w:r>
            <w:r>
              <w:rPr>
                <w:rFonts w:ascii="Times New Roman" w:hAnsi="Times New Roman" w:cs="Times New Roman" w:eastAsia="Times New Roman" w:hint="default"/>
                <w:sz w:val="18"/>
                <w:szCs w:val="18"/>
              </w:rPr>
              <w:t>4.</w:t>
            </w:r>
            <w:r>
              <w:rPr>
                <w:rFonts w:ascii="宋体" w:hAnsi="宋体" w:cs="宋体" w:eastAsia="宋体" w:hint="default"/>
                <w:sz w:val="18"/>
                <w:szCs w:val="18"/>
              </w:rPr>
              <w:t>对于期末 财务报告过程的控制存在一项或多项缺陷 且不能合理保证编制的财务报表达到真 实、完整的目标。一般缺陷：除上述重大 缺陷、重要缺陷之外的其他控制缺陷。</w:t>
            </w:r>
          </w:p>
        </w:tc>
        <w:tc>
          <w:tcPr>
            <w:tcW w:w="3053" w:type="dxa"/>
            <w:vMerge w:val="restart"/>
            <w:tcBorders>
              <w:top w:val="single" w:sz="4" w:space="0" w:color="000000"/>
              <w:left w:val="single" w:sz="4" w:space="0" w:color="000000"/>
              <w:right w:val="single" w:sz="4" w:space="0" w:color="000000"/>
            </w:tcBorders>
          </w:tcPr>
          <w:p>
            <w:pPr>
              <w:pStyle w:val="TableParagraph"/>
              <w:spacing w:line="304" w:lineRule="auto" w:before="49"/>
              <w:ind w:left="26" w:right="-43"/>
              <w:jc w:val="left"/>
              <w:rPr>
                <w:rFonts w:ascii="宋体" w:hAnsi="宋体" w:cs="宋体" w:eastAsia="宋体" w:hint="default"/>
                <w:sz w:val="18"/>
                <w:szCs w:val="18"/>
              </w:rPr>
            </w:pPr>
            <w:r>
              <w:rPr>
                <w:rFonts w:ascii="宋体" w:hAnsi="宋体" w:cs="宋体" w:eastAsia="宋体" w:hint="default"/>
                <w:sz w:val="18"/>
                <w:szCs w:val="18"/>
              </w:rPr>
              <w:t>重大缺陷：</w:t>
            </w:r>
            <w:r>
              <w:rPr>
                <w:rFonts w:ascii="Times New Roman" w:hAnsi="Times New Roman" w:cs="Times New Roman" w:eastAsia="Times New Roman" w:hint="default"/>
                <w:sz w:val="18"/>
                <w:szCs w:val="18"/>
              </w:rPr>
              <w:t>1.</w:t>
            </w:r>
            <w:r>
              <w:rPr>
                <w:rFonts w:ascii="宋体" w:hAnsi="宋体" w:cs="宋体" w:eastAsia="宋体" w:hint="default"/>
                <w:sz w:val="18"/>
                <w:szCs w:val="18"/>
              </w:rPr>
              <w:t>内部控制评价的结果是重 大缺陷未得到整改；</w:t>
            </w:r>
            <w:r>
              <w:rPr>
                <w:rFonts w:ascii="Times New Roman" w:hAnsi="Times New Roman" w:cs="Times New Roman" w:eastAsia="Times New Roman" w:hint="default"/>
                <w:sz w:val="18"/>
                <w:szCs w:val="18"/>
              </w:rPr>
              <w:t>2.</w:t>
            </w:r>
            <w:r>
              <w:rPr>
                <w:rFonts w:ascii="宋体" w:hAnsi="宋体" w:cs="宋体" w:eastAsia="宋体" w:hint="default"/>
                <w:sz w:val="18"/>
                <w:szCs w:val="18"/>
              </w:rPr>
              <w:t>重要业务缺乏制 度控制或制度系统性失效；</w:t>
            </w:r>
            <w:r>
              <w:rPr>
                <w:rFonts w:ascii="Times New Roman" w:hAnsi="Times New Roman" w:cs="Times New Roman" w:eastAsia="Times New Roman" w:hint="default"/>
                <w:sz w:val="18"/>
                <w:szCs w:val="18"/>
              </w:rPr>
              <w:t>3.</w:t>
            </w:r>
            <w:r>
              <w:rPr>
                <w:rFonts w:ascii="宋体" w:hAnsi="宋体" w:cs="宋体" w:eastAsia="宋体" w:hint="default"/>
                <w:sz w:val="18"/>
                <w:szCs w:val="18"/>
              </w:rPr>
              <w:t>负面消息 </w:t>
            </w:r>
            <w:r>
              <w:rPr>
                <w:rFonts w:ascii="宋体" w:hAnsi="宋体" w:cs="宋体" w:eastAsia="宋体" w:hint="default"/>
                <w:spacing w:val="-4"/>
                <w:sz w:val="18"/>
                <w:szCs w:val="18"/>
              </w:rPr>
              <w:t>在全国主要媒体流传，对企业声誉造成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重大损害且未澄清； </w:t>
            </w:r>
            <w:r>
              <w:rPr>
                <w:rFonts w:ascii="Times New Roman" w:hAnsi="Times New Roman" w:cs="Times New Roman" w:eastAsia="Times New Roman" w:hint="default"/>
                <w:sz w:val="18"/>
                <w:szCs w:val="18"/>
              </w:rPr>
              <w:t>4.</w:t>
            </w:r>
            <w:r>
              <w:rPr>
                <w:rFonts w:ascii="宋体" w:hAnsi="宋体" w:cs="宋体" w:eastAsia="宋体" w:hint="default"/>
                <w:sz w:val="18"/>
                <w:szCs w:val="18"/>
              </w:rPr>
              <w:t>受到国家政府 </w:t>
            </w:r>
            <w:r>
              <w:rPr>
                <w:rFonts w:ascii="宋体" w:hAnsi="宋体" w:cs="宋体" w:eastAsia="宋体" w:hint="default"/>
                <w:spacing w:val="-4"/>
                <w:sz w:val="18"/>
                <w:szCs w:val="18"/>
              </w:rPr>
              <w:t>部门处罚，或严重违规并被处以重罚或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承担刑事责任；</w:t>
            </w:r>
            <w:r>
              <w:rPr>
                <w:rFonts w:ascii="Times New Roman" w:hAnsi="Times New Roman" w:cs="Times New Roman" w:eastAsia="Times New Roman" w:hint="default"/>
                <w:sz w:val="18"/>
                <w:szCs w:val="18"/>
              </w:rPr>
              <w:t>5.</w:t>
            </w:r>
            <w:r>
              <w:rPr>
                <w:rFonts w:ascii="宋体" w:hAnsi="宋体" w:cs="宋体" w:eastAsia="宋体" w:hint="default"/>
                <w:sz w:val="18"/>
                <w:szCs w:val="18"/>
              </w:rPr>
              <w:t>其他对公司影响重大 的情形。 重要缺陷：</w:t>
            </w:r>
            <w:r>
              <w:rPr>
                <w:rFonts w:ascii="Times New Roman" w:hAnsi="Times New Roman" w:cs="Times New Roman" w:eastAsia="Times New Roman" w:hint="default"/>
                <w:sz w:val="18"/>
                <w:szCs w:val="18"/>
              </w:rPr>
              <w:t>1.</w:t>
            </w:r>
            <w:r>
              <w:rPr>
                <w:rFonts w:ascii="宋体" w:hAnsi="宋体" w:cs="宋体" w:eastAsia="宋体" w:hint="default"/>
                <w:sz w:val="18"/>
                <w:szCs w:val="18"/>
              </w:rPr>
              <w:t>内部控制评价 的结果是重要缺陷未得到整改；</w:t>
            </w:r>
            <w:r>
              <w:rPr>
                <w:rFonts w:ascii="Times New Roman" w:hAnsi="Times New Roman" w:cs="Times New Roman" w:eastAsia="Times New Roman" w:hint="default"/>
                <w:sz w:val="18"/>
                <w:szCs w:val="18"/>
              </w:rPr>
              <w:t>2.</w:t>
            </w:r>
            <w:r>
              <w:rPr>
                <w:rFonts w:ascii="宋体" w:hAnsi="宋体" w:cs="宋体" w:eastAsia="宋体" w:hint="default"/>
                <w:sz w:val="18"/>
                <w:szCs w:val="18"/>
              </w:rPr>
              <w:t>重要 业务制度控制或制度系统性存在缺陷； </w:t>
            </w:r>
            <w:r>
              <w:rPr>
                <w:rFonts w:ascii="Times New Roman" w:hAnsi="Times New Roman" w:cs="Times New Roman" w:eastAsia="Times New Roman" w:hint="default"/>
                <w:sz w:val="18"/>
                <w:szCs w:val="18"/>
              </w:rPr>
              <w:t>3.</w:t>
            </w:r>
            <w:r>
              <w:rPr>
                <w:rFonts w:ascii="宋体" w:hAnsi="宋体" w:cs="宋体" w:eastAsia="宋体" w:hint="default"/>
                <w:sz w:val="18"/>
                <w:szCs w:val="18"/>
              </w:rPr>
              <w:t>负面消息在某一区域媒体流传</w:t>
            </w:r>
            <w:r>
              <w:rPr>
                <w:rFonts w:ascii="Times New Roman" w:hAnsi="Times New Roman" w:cs="Times New Roman" w:eastAsia="Times New Roman" w:hint="default"/>
                <w:sz w:val="18"/>
                <w:szCs w:val="18"/>
              </w:rPr>
              <w:t>,</w:t>
            </w:r>
            <w:r>
              <w:rPr>
                <w:rFonts w:ascii="宋体" w:hAnsi="宋体" w:cs="宋体" w:eastAsia="宋体" w:hint="default"/>
                <w:sz w:val="18"/>
                <w:szCs w:val="18"/>
              </w:rPr>
              <w:t>对企 业声誉造成较大损害且未澄清；</w:t>
            </w:r>
            <w:r>
              <w:rPr>
                <w:rFonts w:ascii="Times New Roman" w:hAnsi="Times New Roman" w:cs="Times New Roman" w:eastAsia="Times New Roman" w:hint="default"/>
                <w:sz w:val="18"/>
                <w:szCs w:val="18"/>
              </w:rPr>
              <w:t>4.</w:t>
            </w:r>
            <w:r>
              <w:rPr>
                <w:rFonts w:ascii="宋体" w:hAnsi="宋体" w:cs="宋体" w:eastAsia="宋体" w:hint="default"/>
                <w:sz w:val="18"/>
                <w:szCs w:val="18"/>
              </w:rPr>
              <w:t>一般 违规并被处罚；</w:t>
            </w:r>
            <w:r>
              <w:rPr>
                <w:rFonts w:ascii="Times New Roman" w:hAnsi="Times New Roman" w:cs="Times New Roman" w:eastAsia="Times New Roman" w:hint="default"/>
                <w:sz w:val="18"/>
                <w:szCs w:val="18"/>
              </w:rPr>
              <w:t>5.</w:t>
            </w:r>
            <w:r>
              <w:rPr>
                <w:rFonts w:ascii="宋体" w:hAnsi="宋体" w:cs="宋体" w:eastAsia="宋体" w:hint="default"/>
                <w:sz w:val="18"/>
                <w:szCs w:val="18"/>
              </w:rPr>
              <w:t>其他对公司影响重大 的情形。一般缺陷：</w:t>
            </w:r>
            <w:r>
              <w:rPr>
                <w:rFonts w:ascii="Times New Roman" w:hAnsi="Times New Roman" w:cs="Times New Roman" w:eastAsia="Times New Roman" w:hint="default"/>
                <w:sz w:val="18"/>
                <w:szCs w:val="18"/>
              </w:rPr>
              <w:t>1.</w:t>
            </w:r>
            <w:r>
              <w:rPr>
                <w:rFonts w:ascii="宋体" w:hAnsi="宋体" w:cs="宋体" w:eastAsia="宋体" w:hint="default"/>
                <w:sz w:val="18"/>
                <w:szCs w:val="18"/>
              </w:rPr>
              <w:t>重要业务制度控 制或制度系统性需完善；</w:t>
            </w:r>
            <w:r>
              <w:rPr>
                <w:rFonts w:ascii="Times New Roman" w:hAnsi="Times New Roman" w:cs="Times New Roman" w:eastAsia="Times New Roman" w:hint="default"/>
                <w:sz w:val="18"/>
                <w:szCs w:val="18"/>
              </w:rPr>
              <w:t>2.</w:t>
            </w:r>
            <w:r>
              <w:rPr>
                <w:rFonts w:ascii="宋体" w:hAnsi="宋体" w:cs="宋体" w:eastAsia="宋体" w:hint="default"/>
                <w:sz w:val="18"/>
                <w:szCs w:val="18"/>
              </w:rPr>
              <w:t>负面消息在 公司层面流传</w:t>
            </w:r>
            <w:r>
              <w:rPr>
                <w:rFonts w:ascii="Times New Roman" w:hAnsi="Times New Roman" w:cs="Times New Roman" w:eastAsia="Times New Roman" w:hint="default"/>
                <w:sz w:val="18"/>
                <w:szCs w:val="18"/>
              </w:rPr>
              <w:t>,</w:t>
            </w:r>
            <w:r>
              <w:rPr>
                <w:rFonts w:ascii="宋体" w:hAnsi="宋体" w:cs="宋体" w:eastAsia="宋体" w:hint="default"/>
                <w:sz w:val="18"/>
                <w:szCs w:val="18"/>
              </w:rPr>
              <w:t>对企业声誉没有造成较 大影响；</w:t>
            </w:r>
            <w:r>
              <w:rPr>
                <w:rFonts w:ascii="Times New Roman" w:hAnsi="Times New Roman" w:cs="Times New Roman" w:eastAsia="Times New Roman" w:hint="default"/>
                <w:sz w:val="18"/>
                <w:szCs w:val="18"/>
              </w:rPr>
              <w:t>3.</w:t>
            </w:r>
            <w:r>
              <w:rPr>
                <w:rFonts w:ascii="宋体" w:hAnsi="宋体" w:cs="宋体" w:eastAsia="宋体" w:hint="default"/>
                <w:sz w:val="18"/>
                <w:szCs w:val="18"/>
              </w:rPr>
              <w:t>轻微违规并已整改；</w:t>
            </w:r>
            <w:r>
              <w:rPr>
                <w:rFonts w:ascii="Times New Roman" w:hAnsi="Times New Roman" w:cs="Times New Roman" w:eastAsia="Times New Roman" w:hint="default"/>
                <w:sz w:val="18"/>
                <w:szCs w:val="18"/>
              </w:rPr>
              <w:t>4.</w:t>
            </w:r>
            <w:r>
              <w:rPr>
                <w:rFonts w:ascii="宋体" w:hAnsi="宋体" w:cs="宋体" w:eastAsia="宋体" w:hint="default"/>
                <w:sz w:val="18"/>
                <w:szCs w:val="18"/>
              </w:rPr>
              <w:t>除上 </w:t>
            </w:r>
            <w:r>
              <w:rPr>
                <w:rFonts w:ascii="宋体" w:hAnsi="宋体" w:cs="宋体" w:eastAsia="宋体" w:hint="default"/>
                <w:spacing w:val="-4"/>
                <w:sz w:val="18"/>
                <w:szCs w:val="18"/>
              </w:rPr>
              <w:t>述重大缺陷、重要缺陷之外的其他控制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缺陷。</w:t>
            </w:r>
          </w:p>
        </w:tc>
      </w:tr>
      <w:tr>
        <w:trPr>
          <w:trHeight w:val="391"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7" w:type="dxa"/>
            <w:vMerge/>
            <w:tcBorders>
              <w:left w:val="single" w:sz="9" w:space="0" w:color="D2D2D2"/>
              <w:right w:val="single" w:sz="4" w:space="0" w:color="000000"/>
            </w:tcBorders>
          </w:tcPr>
          <w:p>
            <w:pPr/>
          </w:p>
        </w:tc>
        <w:tc>
          <w:tcPr>
            <w:tcW w:w="3053" w:type="dxa"/>
            <w:vMerge/>
            <w:tcBorders>
              <w:left w:val="single" w:sz="4" w:space="0" w:color="000000"/>
              <w:right w:val="single" w:sz="4" w:space="0" w:color="000000"/>
            </w:tcBorders>
          </w:tcPr>
          <w:p>
            <w:pPr/>
          </w:p>
        </w:tc>
      </w:tr>
      <w:tr>
        <w:trPr>
          <w:trHeight w:val="2813"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7" w:type="dxa"/>
            <w:vMerge/>
            <w:tcBorders>
              <w:left w:val="single" w:sz="9" w:space="0" w:color="D2D2D2"/>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r>
        <w:trPr>
          <w:trHeight w:val="787"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7" w:type="dxa"/>
            <w:vMerge w:val="restart"/>
            <w:tcBorders>
              <w:top w:val="single" w:sz="4" w:space="0" w:color="000000"/>
              <w:left w:val="single" w:sz="9" w:space="0" w:color="D2D2D2"/>
              <w:right w:val="single" w:sz="4" w:space="0" w:color="000000"/>
            </w:tcBorders>
          </w:tcPr>
          <w:p>
            <w:pPr>
              <w:pStyle w:val="TableParagraph"/>
              <w:spacing w:line="300" w:lineRule="auto" w:before="51"/>
              <w:ind w:left="23" w:right="43"/>
              <w:jc w:val="left"/>
              <w:rPr>
                <w:rFonts w:ascii="Times New Roman" w:hAnsi="Times New Roman" w:cs="Times New Roman" w:eastAsia="Times New Roman" w:hint="default"/>
                <w:sz w:val="18"/>
                <w:szCs w:val="18"/>
              </w:rPr>
            </w:pPr>
            <w:r>
              <w:rPr>
                <w:rFonts w:ascii="宋体" w:hAnsi="宋体" w:cs="宋体" w:eastAsia="宋体" w:hint="default"/>
                <w:sz w:val="18"/>
                <w:szCs w:val="18"/>
              </w:rPr>
              <w:t>重大缺陷：</w:t>
            </w:r>
            <w:r>
              <w:rPr>
                <w:rFonts w:ascii="Times New Roman" w:hAnsi="Times New Roman" w:cs="Times New Roman" w:eastAsia="Times New Roman" w:hint="default"/>
                <w:sz w:val="18"/>
                <w:szCs w:val="18"/>
              </w:rPr>
              <w:t>1.</w:t>
            </w:r>
            <w:r>
              <w:rPr>
                <w:rFonts w:ascii="宋体" w:hAnsi="宋体" w:cs="宋体" w:eastAsia="宋体" w:hint="default"/>
                <w:sz w:val="18"/>
                <w:szCs w:val="18"/>
              </w:rPr>
              <w:t>差错金额</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差错金额</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；重要缺陷：</w:t>
            </w:r>
            <w:r>
              <w:rPr>
                <w:rFonts w:ascii="Times New Roman" w:hAnsi="Times New Roman" w:cs="Times New Roman" w:eastAsia="Times New Roman" w:hint="default"/>
                <w:sz w:val="18"/>
                <w:szCs w:val="18"/>
              </w:rPr>
              <w:t>1.</w:t>
            </w:r>
            <w:r>
              <w:rPr>
                <w:rFonts w:ascii="宋体" w:hAnsi="宋体" w:cs="宋体" w:eastAsia="宋体" w:hint="default"/>
                <w:sz w:val="18"/>
                <w:szCs w:val="18"/>
              </w:rPr>
              <w:t>资 产总额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z w:val="18"/>
                <w:szCs w:val="18"/>
              </w:rPr>
              <w:t>≤</w:t>
            </w:r>
            <w:r>
              <w:rPr>
                <w:rFonts w:ascii="宋体" w:hAnsi="宋体" w:cs="宋体" w:eastAsia="宋体" w:hint="default"/>
                <w:sz w:val="18"/>
                <w:szCs w:val="18"/>
              </w:rPr>
              <w:t>差错金额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资产总额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利润总额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z w:val="18"/>
                <w:szCs w:val="18"/>
              </w:rPr>
              <w:t>≤</w:t>
            </w:r>
            <w:r>
              <w:rPr>
                <w:rFonts w:ascii="宋体" w:hAnsi="宋体" w:cs="宋体" w:eastAsia="宋体" w:hint="default"/>
                <w:sz w:val="18"/>
                <w:szCs w:val="18"/>
              </w:rPr>
              <w:t>差错金额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利润总额</w:t>
            </w:r>
            <w:r>
              <w:rPr>
                <w:rFonts w:ascii="宋体" w:hAnsi="宋体" w:cs="宋体" w:eastAsia="宋体" w:hint="default"/>
                <w:spacing w:val="-44"/>
                <w:sz w:val="18"/>
                <w:szCs w:val="18"/>
              </w:rPr>
              <w:t> </w:t>
            </w:r>
            <w:r>
              <w:rPr>
                <w:rFonts w:ascii="Times New Roman" w:hAnsi="Times New Roman" w:cs="Times New Roman" w:eastAsia="Times New Roman" w:hint="default"/>
                <w:spacing w:val="-13"/>
                <w:sz w:val="18"/>
                <w:szCs w:val="18"/>
              </w:rPr>
              <w:t>5%</w:t>
            </w:r>
            <w:r>
              <w:rPr>
                <w:rFonts w:ascii="宋体" w:hAnsi="宋体" w:cs="宋体" w:eastAsia="宋体" w:hint="default"/>
                <w:spacing w:val="-13"/>
                <w:sz w:val="18"/>
                <w:szCs w:val="18"/>
              </w:rPr>
              <w:t>；一</w:t>
            </w:r>
            <w:r>
              <w:rPr>
                <w:rFonts w:ascii="宋体" w:hAnsi="宋体" w:cs="宋体" w:eastAsia="宋体" w:hint="default"/>
                <w:spacing w:val="-24"/>
                <w:sz w:val="18"/>
                <w:szCs w:val="18"/>
              </w:rPr>
              <w:t> </w:t>
            </w:r>
            <w:r>
              <w:rPr>
                <w:rFonts w:ascii="宋体" w:hAnsi="宋体" w:cs="宋体" w:eastAsia="宋体" w:hint="default"/>
                <w:sz w:val="18"/>
                <w:szCs w:val="18"/>
              </w:rPr>
              <w:t>般缺陷：</w:t>
            </w:r>
            <w:r>
              <w:rPr>
                <w:rFonts w:ascii="Times New Roman" w:hAnsi="Times New Roman" w:cs="Times New Roman" w:eastAsia="Times New Roman" w:hint="default"/>
                <w:sz w:val="18"/>
                <w:szCs w:val="18"/>
              </w:rPr>
              <w:t>1.</w:t>
            </w:r>
            <w:r>
              <w:rPr>
                <w:rFonts w:ascii="宋体" w:hAnsi="宋体" w:cs="宋体" w:eastAsia="宋体" w:hint="default"/>
                <w:sz w:val="18"/>
                <w:szCs w:val="18"/>
              </w:rPr>
              <w:t>差错金额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资产总额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差错金额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利润总额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3053" w:type="dxa"/>
            <w:vMerge w:val="restart"/>
            <w:tcBorders>
              <w:top w:val="single" w:sz="4" w:space="0" w:color="000000"/>
              <w:left w:val="single" w:sz="4" w:space="0" w:color="000000"/>
              <w:right w:val="single" w:sz="4" w:space="0" w:color="000000"/>
            </w:tcBorders>
          </w:tcPr>
          <w:p>
            <w:pPr>
              <w:pStyle w:val="TableParagraph"/>
              <w:spacing w:line="297" w:lineRule="auto" w:before="51"/>
              <w:ind w:left="26" w:right="-22"/>
              <w:jc w:val="both"/>
              <w:rPr>
                <w:rFonts w:ascii="宋体" w:hAnsi="宋体" w:cs="宋体" w:eastAsia="宋体" w:hint="default"/>
                <w:sz w:val="18"/>
                <w:szCs w:val="18"/>
              </w:rPr>
            </w:pPr>
            <w:r>
              <w:rPr>
                <w:rFonts w:ascii="宋体" w:hAnsi="宋体" w:cs="宋体" w:eastAsia="宋体" w:hint="default"/>
                <w:sz w:val="18"/>
                <w:szCs w:val="18"/>
              </w:rPr>
              <w:t>重大缺陷：</w:t>
            </w:r>
            <w:r>
              <w:rPr>
                <w:rFonts w:ascii="Times New Roman" w:hAnsi="Times New Roman" w:cs="Times New Roman" w:eastAsia="Times New Roman" w:hint="default"/>
                <w:sz w:val="18"/>
                <w:szCs w:val="18"/>
              </w:rPr>
              <w:t>1.</w:t>
            </w:r>
            <w:r>
              <w:rPr>
                <w:rFonts w:ascii="宋体" w:hAnsi="宋体" w:cs="宋体" w:eastAsia="宋体" w:hint="default"/>
                <w:sz w:val="18"/>
                <w:szCs w:val="18"/>
              </w:rPr>
              <w:t>差错金额</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差错金额</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；重要缺陷：</w:t>
            </w:r>
          </w:p>
          <w:p>
            <w:pPr>
              <w:pStyle w:val="TableParagraph"/>
              <w:spacing w:line="240" w:lineRule="auto" w:before="15"/>
              <w:ind w:left="26"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资产总额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z w:val="18"/>
                <w:szCs w:val="18"/>
              </w:rPr>
              <w:t>≤</w:t>
            </w:r>
            <w:r>
              <w:rPr>
                <w:rFonts w:ascii="宋体" w:hAnsi="宋体" w:cs="宋体" w:eastAsia="宋体" w:hint="default"/>
                <w:sz w:val="18"/>
                <w:szCs w:val="18"/>
              </w:rPr>
              <w:t>差错金额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资产总额</w:t>
            </w:r>
          </w:p>
          <w:p>
            <w:pPr>
              <w:pStyle w:val="TableParagraph"/>
              <w:spacing w:line="300" w:lineRule="auto" w:before="63"/>
              <w:ind w:left="26" w:right="19"/>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利润总额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z w:val="18"/>
                <w:szCs w:val="18"/>
              </w:rPr>
              <w:t>≤</w:t>
            </w:r>
            <w:r>
              <w:rPr>
                <w:rFonts w:ascii="宋体" w:hAnsi="宋体" w:cs="宋体" w:eastAsia="宋体" w:hint="default"/>
                <w:sz w:val="18"/>
                <w:szCs w:val="18"/>
              </w:rPr>
              <w:t>差错金额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利润总 额</w:t>
            </w:r>
            <w:r>
              <w:rPr>
                <w:rFonts w:ascii="宋体" w:hAnsi="宋体" w:cs="宋体" w:eastAsia="宋体" w:hint="default"/>
                <w:spacing w:val="-42"/>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；一般缺陷：</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差错金额</w:t>
            </w:r>
            <w:r>
              <w:rPr>
                <w:rFonts w:ascii="Times New Roman" w:hAnsi="Times New Roman" w:cs="Times New Roman" w:eastAsia="Times New Roman" w:hint="default"/>
                <w:spacing w:val="-3"/>
                <w:sz w:val="18"/>
                <w:szCs w:val="18"/>
              </w:rPr>
              <w:t>&lt;</w:t>
            </w:r>
            <w:r>
              <w:rPr>
                <w:rFonts w:ascii="宋体" w:hAnsi="宋体" w:cs="宋体" w:eastAsia="宋体" w:hint="default"/>
                <w:spacing w:val="-3"/>
                <w:sz w:val="18"/>
                <w:szCs w:val="18"/>
              </w:rPr>
              <w:t>资产总</w:t>
            </w:r>
            <w:r>
              <w:rPr>
                <w:rFonts w:ascii="宋体" w:hAnsi="宋体" w:cs="宋体" w:eastAsia="宋体" w:hint="default"/>
                <w:sz w:val="18"/>
                <w:szCs w:val="18"/>
              </w:rPr>
              <w:t> 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差错金额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利润总额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r>
      <w:tr>
        <w:trPr>
          <w:trHeight w:val="391"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7" w:type="dxa"/>
            <w:vMerge/>
            <w:tcBorders>
              <w:left w:val="single" w:sz="9" w:space="0" w:color="D2D2D2"/>
              <w:right w:val="single" w:sz="4" w:space="0" w:color="000000"/>
            </w:tcBorders>
          </w:tcPr>
          <w:p>
            <w:pPr/>
          </w:p>
        </w:tc>
        <w:tc>
          <w:tcPr>
            <w:tcW w:w="3053" w:type="dxa"/>
            <w:vMerge/>
            <w:tcBorders>
              <w:left w:val="single" w:sz="4" w:space="0" w:color="000000"/>
              <w:right w:val="single" w:sz="4" w:space="0" w:color="000000"/>
            </w:tcBorders>
          </w:tcPr>
          <w:p>
            <w:pPr/>
          </w:p>
        </w:tc>
      </w:tr>
      <w:tr>
        <w:trPr>
          <w:trHeight w:val="785"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7" w:type="dxa"/>
            <w:vMerge/>
            <w:tcBorders>
              <w:left w:val="single" w:sz="9" w:space="0" w:color="D2D2D2"/>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bookmarkStart w:name="十、内部控制审计报告或鉴证报告" w:id="158"/>
      <w:bookmarkEnd w:id="158"/>
      <w:r>
        <w:rPr>
          <w:b w:val="0"/>
          <w:bCs w:val="0"/>
        </w:rPr>
      </w:r>
      <w:r>
        <w:rPr/>
        <w:t>十、内部控制审计报告或鉴证报告</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内部控制鉴证报告</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571"/>
      </w:tblGrid>
      <w:tr>
        <w:trPr>
          <w:trHeight w:val="403" w:hRule="exact"/>
        </w:trPr>
        <w:tc>
          <w:tcPr>
            <w:tcW w:w="9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362" w:hRule="exact"/>
        </w:trPr>
        <w:tc>
          <w:tcPr>
            <w:tcW w:w="9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8"/>
              <w:jc w:val="center"/>
              <w:rPr>
                <w:rFonts w:ascii="宋体" w:hAnsi="宋体" w:cs="宋体" w:eastAsia="宋体" w:hint="default"/>
                <w:sz w:val="18"/>
                <w:szCs w:val="18"/>
              </w:rPr>
            </w:pPr>
            <w:r>
              <w:rPr>
                <w:rFonts w:ascii="宋体" w:hAnsi="宋体" w:cs="宋体" w:eastAsia="宋体" w:hint="default"/>
                <w:sz w:val="18"/>
                <w:szCs w:val="18"/>
              </w:rPr>
              <w:t>海联金汇按照《企业内部控制基本规范》及相关规定于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日在所有重大方面保持了与财务报表相关的有效</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363"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的内部控制。</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r>
      <w:tr>
        <w:trPr>
          <w:trHeight w:val="71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35"/>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pacing w:val="1"/>
                  <w:sz w:val="18"/>
                  <w:szCs w:val="18"/>
                </w:rPr>
                <w:t>h</w:t>
              </w:r>
              <w:r>
                <w:rPr>
                  <w:rFonts w:ascii="Times New Roman" w:hAnsi="Times New Roman" w:cs="Times New Roman" w:eastAsia="Times New Roman" w:hint="default"/>
                  <w:sz w:val="18"/>
                  <w:szCs w:val="18"/>
                </w:rPr>
                <w:t>tt</w:t>
              </w:r>
              <w:r>
                <w:rPr>
                  <w:rFonts w:ascii="Times New Roman" w:hAnsi="Times New Roman" w:cs="Times New Roman" w:eastAsia="Times New Roman" w:hint="default"/>
                  <w:spacing w:val="1"/>
                  <w:sz w:val="18"/>
                  <w:szCs w:val="18"/>
                </w:rPr>
                <w:t>p</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5"/>
                  <w:w w:val="99"/>
                  <w:sz w:val="18"/>
                  <w:szCs w:val="18"/>
                </w:rPr>
                <w:t>w</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3"/>
                  <w:sz w:val="18"/>
                  <w:szCs w:val="18"/>
                </w:rPr>
                <w:t>f</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pacing w:val="-4"/>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3"/>
                  <w:sz w:val="18"/>
                  <w:szCs w:val="18"/>
                </w:rPr>
                <w:t>n</w:t>
              </w:r>
            </w:hyperlink>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《海联金汇科技股</w:t>
            </w:r>
            <w:r>
              <w:rPr>
                <w:rFonts w:ascii="宋体" w:hAnsi="宋体" w:cs="宋体" w:eastAsia="宋体" w:hint="default"/>
                <w:spacing w:val="2"/>
                <w:sz w:val="18"/>
                <w:szCs w:val="18"/>
              </w:rPr>
              <w:t>份</w:t>
            </w:r>
            <w:r>
              <w:rPr>
                <w:rFonts w:ascii="宋体" w:hAnsi="宋体" w:cs="宋体" w:eastAsia="宋体" w:hint="default"/>
                <w:sz w:val="18"/>
                <w:szCs w:val="18"/>
              </w:rPr>
              <w:t>有限公司</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年度内部控 制鉴证报告</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1133"/>
        <w:jc w:val="left"/>
      </w:pPr>
      <w:r>
        <w:rPr/>
        <w:t>会计师事务所是否出具非标准意见的内部控制鉴证报告</w:t>
      </w:r>
    </w:p>
    <w:p>
      <w:pPr>
        <w:pStyle w:val="BodyText"/>
        <w:spacing w:line="338" w:lineRule="auto" w:before="117"/>
        <w:ind w:right="46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会计师事务所出具的内部控制鉴证报告与董事会的自我评价报告意见是否一致</w:t>
      </w:r>
    </w:p>
    <w:p>
      <w:pPr>
        <w:pStyle w:val="BodyText"/>
        <w:spacing w:line="240" w:lineRule="auto" w:before="44"/>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045" w:right="1133"/>
        <w:jc w:val="left"/>
        <w:rPr>
          <w:b w:val="0"/>
          <w:bCs w:val="0"/>
        </w:rPr>
      </w:pPr>
      <w:bookmarkStart w:name="第十一节公司债券相关情况" w:id="159"/>
      <w:bookmarkEnd w:id="159"/>
      <w:r>
        <w:rPr>
          <w:b w:val="0"/>
          <w:bCs w:val="0"/>
        </w:rPr>
      </w:r>
      <w:bookmarkStart w:name="_bookmark10" w:id="160"/>
      <w:bookmarkEnd w:id="160"/>
      <w:r>
        <w:rPr>
          <w:b w:val="0"/>
          <w:bCs w:val="0"/>
        </w:rPr>
      </w:r>
      <w:r>
        <w:rPr/>
        <w:t>第十一节公司债券相关情况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57" w:lineRule="auto"/>
        <w:ind w:right="2114"/>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607" w:right="1133"/>
        <w:jc w:val="left"/>
        <w:rPr>
          <w:b w:val="0"/>
          <w:bCs w:val="0"/>
        </w:rPr>
      </w:pPr>
      <w:bookmarkStart w:name="第十二节 财务报告" w:id="161"/>
      <w:bookmarkEnd w:id="161"/>
      <w:r>
        <w:rPr>
          <w:b w:val="0"/>
          <w:bCs w:val="0"/>
        </w:rPr>
      </w:r>
      <w:bookmarkStart w:name="_bookmark11" w:id="162"/>
      <w:bookmarkEnd w:id="162"/>
      <w:r>
        <w:rPr>
          <w:b w:val="0"/>
          <w:bCs w:val="0"/>
        </w:rPr>
      </w:r>
      <w:r>
        <w:rPr/>
        <w:t>第十二节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bookmarkStart w:name="一、审计报告" w:id="163"/>
      <w:bookmarkEnd w:id="163"/>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83" w:type="dxa"/>
        <w:tblLayout w:type="fixed"/>
        <w:tblCellMar>
          <w:top w:w="0" w:type="dxa"/>
          <w:left w:w="0" w:type="dxa"/>
          <w:bottom w:w="0" w:type="dxa"/>
          <w:right w:w="0" w:type="dxa"/>
        </w:tblCellMar>
        <w:tblLook w:val="01E0"/>
      </w:tblPr>
      <w:tblGrid>
        <w:gridCol w:w="4784"/>
        <w:gridCol w:w="4784"/>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XYZH/2020JNA10019</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刘玉显、王萍</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2"/>
          <w:szCs w:val="12"/>
        </w:rPr>
      </w:pPr>
    </w:p>
    <w:p>
      <w:pPr>
        <w:pStyle w:val="Heading4"/>
        <w:spacing w:line="316" w:lineRule="auto"/>
        <w:ind w:left="152" w:right="0"/>
        <w:jc w:val="left"/>
        <w:rPr>
          <w:b w:val="0"/>
          <w:bCs w:val="0"/>
        </w:rPr>
      </w:pPr>
      <w:r>
        <w:rPr>
          <w:w w:val="95"/>
        </w:rPr>
        <w:t>海联金汇科技股份有限公司全体股东：</w:t>
      </w:r>
      <w:r>
        <w:rPr>
          <w:spacing w:val="65"/>
          <w:w w:val="95"/>
        </w:rPr>
        <w:t> </w:t>
      </w:r>
      <w:r>
        <w:rPr>
          <w:spacing w:val="65"/>
          <w:w w:val="95"/>
        </w:rPr>
      </w:r>
      <w:r>
        <w:rPr/>
        <w:t>一、审计意见</w:t>
      </w:r>
      <w:r>
        <w:rPr>
          <w:b w:val="0"/>
          <w:bCs w:val="0"/>
        </w:rPr>
      </w:r>
    </w:p>
    <w:p>
      <w:pPr>
        <w:pStyle w:val="BodyText"/>
        <w:spacing w:line="240" w:lineRule="auto" w:before="49"/>
        <w:ind w:right="0"/>
        <w:jc w:val="left"/>
      </w:pPr>
      <w:r>
        <w:rPr/>
        <w:br w:type="column"/>
      </w:r>
      <w:r>
        <w:rPr/>
        <w:t>审计报告正文</w:t>
      </w:r>
    </w:p>
    <w:p>
      <w:pPr>
        <w:spacing w:after="0" w:line="240" w:lineRule="auto"/>
        <w:jc w:val="left"/>
        <w:sectPr>
          <w:type w:val="continuous"/>
          <w:pgSz w:w="11910" w:h="16840"/>
          <w:pgMar w:top="1060" w:bottom="1160" w:left="980" w:right="0"/>
          <w:cols w:num="2" w:equalWidth="0">
            <w:col w:w="3224" w:space="1056"/>
            <w:col w:w="6650"/>
          </w:cols>
        </w:sectPr>
      </w:pPr>
    </w:p>
    <w:p>
      <w:pPr>
        <w:spacing w:line="240" w:lineRule="auto" w:before="5"/>
        <w:rPr>
          <w:rFonts w:ascii="宋体" w:hAnsi="宋体" w:cs="宋体" w:eastAsia="宋体" w:hint="default"/>
          <w:sz w:val="16"/>
          <w:szCs w:val="16"/>
        </w:rPr>
      </w:pPr>
    </w:p>
    <w:p>
      <w:pPr>
        <w:pStyle w:val="BodyText"/>
        <w:spacing w:line="300" w:lineRule="auto" w:before="44"/>
        <w:ind w:right="1034" w:firstLine="360"/>
        <w:jc w:val="left"/>
      </w:pPr>
      <w:r>
        <w:rPr>
          <w:spacing w:val="-2"/>
        </w:rPr>
        <w:t>我们审计了海联金汇科技股份有限公司（以下简称海联金汇）财务报表，包括</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日的合并及母公司资产负债</w:t>
      </w:r>
      <w:r>
        <w:rPr/>
        <w:t> 表，</w:t>
      </w:r>
      <w:r>
        <w:rPr>
          <w:rFonts w:ascii="Times New Roman" w:hAnsi="Times New Roman" w:cs="Times New Roman" w:eastAsia="Times New Roman" w:hint="default"/>
        </w:rPr>
        <w:t>2019</w:t>
      </w:r>
      <w:r>
        <w:rPr/>
        <w:t>年度的合并及母公司利润表、合并及母公司现金流量表、合并及母公司股东权益变动表，以及相关财务报表附注。</w:t>
      </w:r>
    </w:p>
    <w:p>
      <w:pPr>
        <w:spacing w:line="240" w:lineRule="auto" w:before="4"/>
        <w:rPr>
          <w:rFonts w:ascii="宋体" w:hAnsi="宋体" w:cs="宋体" w:eastAsia="宋体" w:hint="default"/>
          <w:sz w:val="19"/>
          <w:szCs w:val="19"/>
        </w:rPr>
      </w:pPr>
    </w:p>
    <w:p>
      <w:pPr>
        <w:pStyle w:val="BodyText"/>
        <w:spacing w:line="300" w:lineRule="auto"/>
        <w:ind w:right="0" w:firstLine="360"/>
        <w:jc w:val="left"/>
      </w:pPr>
      <w:r>
        <w:rPr>
          <w:spacing w:val="-2"/>
        </w:rPr>
        <w:t>我们认为，后附的财务报表在所有重大方面按照企业会计准则的规定编制，公允反映了海联金汇</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w:t>
      </w:r>
      <w:r>
        <w:rPr/>
        <w:t> 及母公司财务状况以及</w:t>
      </w:r>
      <w:r>
        <w:rPr>
          <w:rFonts w:ascii="Times New Roman" w:hAnsi="Times New Roman" w:cs="Times New Roman" w:eastAsia="Times New Roman" w:hint="default"/>
        </w:rPr>
        <w:t>2019</w:t>
      </w:r>
      <w:r>
        <w:rPr/>
        <w:t>年度的合并及母公司经营成果和现金流量。</w:t>
      </w:r>
    </w:p>
    <w:p>
      <w:pPr>
        <w:pStyle w:val="BodyText"/>
        <w:spacing w:line="552" w:lineRule="exact" w:before="21"/>
        <w:ind w:left="513" w:right="1133" w:hanging="361"/>
        <w:jc w:val="left"/>
      </w:pPr>
      <w:r>
        <w:rPr>
          <w:rFonts w:ascii="宋体" w:hAnsi="宋体" w:cs="宋体" w:eastAsia="宋体" w:hint="default"/>
          <w:b/>
          <w:bCs/>
        </w:rPr>
        <w:t>二、形成审计意见的基础</w:t>
      </w:r>
      <w:r>
        <w:rPr>
          <w:rFonts w:ascii="宋体" w:hAnsi="宋体" w:cs="宋体" w:eastAsia="宋体" w:hint="default"/>
          <w:b/>
          <w:bCs/>
          <w:w w:val="99"/>
        </w:rPr>
        <w:t> </w:t>
      </w: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注册会计师对财务报表审计的责任</w:t>
      </w:r>
      <w:r>
        <w:rPr>
          <w:rFonts w:ascii="Times New Roman" w:hAnsi="Times New Roman" w:cs="Times New Roman" w:eastAsia="Times New Roman" w:hint="default"/>
          <w:spacing w:val="-2"/>
        </w:rPr>
        <w:t>”</w:t>
      </w:r>
      <w:r>
        <w:rPr>
          <w:spacing w:val="-2"/>
        </w:rPr>
        <w:t>部分进一步</w:t>
      </w:r>
    </w:p>
    <w:p>
      <w:pPr>
        <w:pStyle w:val="BodyText"/>
        <w:spacing w:line="316" w:lineRule="auto"/>
        <w:ind w:right="0"/>
        <w:jc w:val="left"/>
      </w:pPr>
      <w:r>
        <w:rPr>
          <w:spacing w:val="-2"/>
        </w:rPr>
        <w:t>阐述了我们在这些准则下的责任。按照中国注册会计师职业道德守则，我们独立于海联金汇，并履行了职业道德方面的其他</w:t>
      </w:r>
      <w:r>
        <w:rPr>
          <w:spacing w:val="-63"/>
        </w:rPr>
        <w:t> </w:t>
      </w:r>
      <w:r>
        <w:rPr>
          <w:spacing w:val="-63"/>
        </w:rPr>
      </w:r>
      <w:r>
        <w:rPr/>
        <w:t>责任。我们相信，我们获取的审计证据是充分、适当的，为发表审计意见提供了基础。</w:t>
      </w:r>
    </w:p>
    <w:p>
      <w:pPr>
        <w:pStyle w:val="BodyText"/>
        <w:spacing w:line="552" w:lineRule="exact" w:before="27"/>
        <w:ind w:left="513" w:right="1119" w:hanging="361"/>
        <w:jc w:val="left"/>
      </w:pPr>
      <w:r>
        <w:rPr>
          <w:rFonts w:ascii="宋体" w:hAnsi="宋体" w:cs="宋体" w:eastAsia="宋体" w:hint="default"/>
          <w:b/>
          <w:bCs/>
        </w:rPr>
        <w:t>三、关键审计事项</w:t>
      </w:r>
      <w:r>
        <w:rPr>
          <w:rFonts w:ascii="宋体" w:hAnsi="宋体" w:cs="宋体" w:eastAsia="宋体" w:hint="default"/>
          <w:b/>
          <w:bCs/>
          <w:w w:val="99"/>
        </w:rPr>
        <w:t> </w:t>
      </w:r>
      <w:r>
        <w:rPr>
          <w:spacing w:val="-2"/>
        </w:rPr>
        <w:t>关键审计事项是我们根据职业判断，认为对本期财务报表审计最为重要的事项。这些事项的应对以对财务报表整体进行</w:t>
      </w:r>
    </w:p>
    <w:p>
      <w:pPr>
        <w:pStyle w:val="BodyText"/>
        <w:spacing w:line="227" w:lineRule="exact"/>
        <w:ind w:right="1133"/>
        <w:jc w:val="left"/>
      </w:pPr>
      <w:r>
        <w:rPr/>
        <w:t>审计并形成审计意见为背景，我们不对这些事项单独发表意见。</w:t>
      </w:r>
    </w:p>
    <w:p>
      <w:pPr>
        <w:spacing w:line="240" w:lineRule="auto" w:before="3"/>
        <w:rPr>
          <w:rFonts w:ascii="宋体" w:hAnsi="宋体" w:cs="宋体" w:eastAsia="宋体" w:hint="default"/>
          <w:sz w:val="5"/>
          <w:szCs w:val="5"/>
        </w:rPr>
      </w:pPr>
    </w:p>
    <w:tbl>
      <w:tblPr>
        <w:tblW w:w="0" w:type="auto"/>
        <w:jc w:val="left"/>
        <w:tblInd w:w="712" w:type="dxa"/>
        <w:tblLayout w:type="fixed"/>
        <w:tblCellMar>
          <w:top w:w="0" w:type="dxa"/>
          <w:left w:w="0" w:type="dxa"/>
          <w:bottom w:w="0" w:type="dxa"/>
          <w:right w:w="0" w:type="dxa"/>
        </w:tblCellMar>
        <w:tblLook w:val="01E0"/>
      </w:tblPr>
      <w:tblGrid>
        <w:gridCol w:w="4383"/>
        <w:gridCol w:w="4124"/>
      </w:tblGrid>
      <w:tr>
        <w:trPr>
          <w:trHeight w:val="348" w:hRule="exact"/>
        </w:trPr>
        <w:tc>
          <w:tcPr>
            <w:tcW w:w="850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、商誉减值</w:t>
            </w:r>
            <w:r>
              <w:rPr>
                <w:rFonts w:ascii="宋体" w:hAnsi="宋体" w:cs="宋体" w:eastAsia="宋体" w:hint="default"/>
                <w:sz w:val="18"/>
                <w:szCs w:val="18"/>
              </w:rPr>
            </w:r>
          </w:p>
        </w:tc>
      </w:tr>
      <w:tr>
        <w:trPr>
          <w:trHeight w:val="346" w:hRule="exact"/>
        </w:trPr>
        <w:tc>
          <w:tcPr>
            <w:tcW w:w="4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sz w:val="18"/>
                <w:szCs w:val="18"/>
              </w:rPr>
            </w:r>
          </w:p>
        </w:tc>
        <w:tc>
          <w:tcPr>
            <w:tcW w:w="4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审计中的应对</w:t>
            </w:r>
            <w:r>
              <w:rPr>
                <w:rFonts w:ascii="宋体" w:hAnsi="宋体" w:cs="宋体" w:eastAsia="宋体" w:hint="default"/>
                <w:sz w:val="18"/>
                <w:szCs w:val="18"/>
              </w:rPr>
            </w:r>
          </w:p>
        </w:tc>
      </w:tr>
      <w:tr>
        <w:trPr>
          <w:trHeight w:val="3157" w:hRule="exact"/>
        </w:trPr>
        <w:tc>
          <w:tcPr>
            <w:tcW w:w="438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43" w:right="142"/>
              <w:jc w:val="left"/>
              <w:rPr>
                <w:rFonts w:ascii="宋体" w:hAnsi="宋体" w:cs="宋体" w:eastAsia="宋体" w:hint="default"/>
                <w:sz w:val="18"/>
                <w:szCs w:val="18"/>
              </w:rPr>
            </w:pPr>
            <w:r>
              <w:rPr>
                <w:rFonts w:ascii="宋体" w:hAnsi="宋体" w:cs="宋体" w:eastAsia="宋体" w:hint="default"/>
                <w:sz w:val="18"/>
                <w:szCs w:val="18"/>
              </w:rPr>
              <w:t>相关信息披露详见财务报表附注六、</w:t>
            </w:r>
            <w:r>
              <w:rPr>
                <w:rFonts w:ascii="Times New Roman" w:hAnsi="Times New Roman" w:cs="Times New Roman" w:eastAsia="Times New Roman" w:hint="default"/>
                <w:sz w:val="18"/>
                <w:szCs w:val="18"/>
              </w:rPr>
              <w:t>12</w:t>
            </w:r>
            <w:r>
              <w:rPr>
                <w:rFonts w:ascii="宋体" w:hAnsi="宋体" w:cs="宋体" w:eastAsia="宋体" w:hint="default"/>
                <w:sz w:val="18"/>
                <w:szCs w:val="18"/>
              </w:rPr>
              <w:t>商誉。 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日，海联金汇的商誉账面金额为</w:t>
            </w:r>
          </w:p>
          <w:p>
            <w:pPr>
              <w:pStyle w:val="TableParagraph"/>
              <w:spacing w:line="314" w:lineRule="auto" w:before="13"/>
              <w:ind w:left="4"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142,976,216.48</w:t>
            </w:r>
            <w:r>
              <w:rPr>
                <w:rFonts w:ascii="宋体" w:hAnsi="宋体" w:cs="宋体" w:eastAsia="宋体" w:hint="default"/>
                <w:sz w:val="18"/>
                <w:szCs w:val="18"/>
              </w:rPr>
              <w:t>元，管理层对商誉至少每年进行减值测 试。减值测试要求估计包含商誉的相关资产组的可收回 金额，即相关资产组的公允价值减去处置费用后的净额 与相关资产组预计未来现金流量的现值两者之中的较高 者。在确定相关资产组预计未来现金流量的现值时，需 要恰当的预测相关资产组未来现金流的长期平均增长率 和合理的确定计算相关资产组预计未来现金流量现值所 </w:t>
            </w:r>
            <w:r>
              <w:rPr>
                <w:rFonts w:ascii="宋体" w:hAnsi="宋体" w:cs="宋体" w:eastAsia="宋体" w:hint="default"/>
                <w:spacing w:val="-3"/>
                <w:sz w:val="18"/>
                <w:szCs w:val="18"/>
              </w:rPr>
              <w:t>采用的折现率，这涉及管理层运用重大会计估计和判断</w:t>
            </w:r>
          </w:p>
        </w:tc>
        <w:tc>
          <w:tcPr>
            <w:tcW w:w="412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63" w:firstLine="439"/>
              <w:jc w:val="left"/>
              <w:rPr>
                <w:rFonts w:ascii="宋体" w:hAnsi="宋体" w:cs="宋体" w:eastAsia="宋体" w:hint="default"/>
                <w:sz w:val="18"/>
                <w:szCs w:val="18"/>
              </w:rPr>
            </w:pPr>
            <w:r>
              <w:rPr>
                <w:rFonts w:ascii="宋体" w:hAnsi="宋体" w:cs="宋体" w:eastAsia="宋体" w:hint="default"/>
                <w:sz w:val="18"/>
                <w:szCs w:val="18"/>
              </w:rPr>
              <w:t>我们针对收入确认的关键审计事项执行的主要 审计程序包括：</w:t>
            </w:r>
          </w:p>
          <w:p>
            <w:pPr>
              <w:pStyle w:val="TableParagraph"/>
              <w:spacing w:line="309" w:lineRule="auto" w:before="17"/>
              <w:ind w:left="4" w:right="5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）了解海联金汇商誉减值测试的控制程序，包括 了解海联金汇划分的资产组及海联金汇对资产组价 值的判定；</w:t>
            </w:r>
          </w:p>
          <w:p>
            <w:pPr>
              <w:pStyle w:val="TableParagraph"/>
              <w:spacing w:line="240" w:lineRule="auto" w:before="24"/>
              <w:ind w:left="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）评估商誉减值测试的估值方法；</w:t>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）评价商誉减值测试关键假设的适当性；</w:t>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）评价测试所引用参数的合理性。</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107" w:right="0"/>
              <w:jc w:val="left"/>
              <w:rPr>
                <w:rFonts w:ascii="宋体" w:hAnsi="宋体" w:cs="宋体" w:eastAsia="宋体" w:hint="default"/>
                <w:sz w:val="18"/>
                <w:szCs w:val="18"/>
              </w:rPr>
            </w:pP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712" w:type="dxa"/>
        <w:tblLayout w:type="fixed"/>
        <w:tblCellMar>
          <w:top w:w="0" w:type="dxa"/>
          <w:left w:w="0" w:type="dxa"/>
          <w:bottom w:w="0" w:type="dxa"/>
          <w:right w:w="0" w:type="dxa"/>
        </w:tblCellMar>
        <w:tblLook w:val="01E0"/>
      </w:tblPr>
      <w:tblGrid>
        <w:gridCol w:w="4383"/>
        <w:gridCol w:w="4124"/>
      </w:tblGrid>
      <w:tr>
        <w:trPr>
          <w:trHeight w:val="660" w:hRule="exact"/>
        </w:trPr>
        <w:tc>
          <w:tcPr>
            <w:tcW w:w="4383"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4" w:right="41"/>
              <w:jc w:val="left"/>
              <w:rPr>
                <w:rFonts w:ascii="宋体" w:hAnsi="宋体" w:cs="宋体" w:eastAsia="宋体" w:hint="default"/>
                <w:sz w:val="18"/>
                <w:szCs w:val="18"/>
              </w:rPr>
            </w:pPr>
            <w:r>
              <w:rPr>
                <w:rFonts w:ascii="宋体" w:hAnsi="宋体" w:cs="宋体" w:eastAsia="宋体" w:hint="default"/>
                <w:sz w:val="18"/>
                <w:szCs w:val="18"/>
              </w:rPr>
              <w:t>同时考虑商誉对于财务报表整体的重要性，因此我们将 商誉减值作为关键审计事项。</w:t>
            </w:r>
          </w:p>
        </w:tc>
        <w:tc>
          <w:tcPr>
            <w:tcW w:w="4124"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850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、收入确认</w:t>
            </w:r>
            <w:r>
              <w:rPr>
                <w:rFonts w:ascii="宋体" w:hAnsi="宋体" w:cs="宋体" w:eastAsia="宋体" w:hint="default"/>
                <w:sz w:val="18"/>
                <w:szCs w:val="18"/>
              </w:rPr>
            </w:r>
          </w:p>
        </w:tc>
      </w:tr>
      <w:tr>
        <w:trPr>
          <w:trHeight w:val="348" w:hRule="exact"/>
        </w:trPr>
        <w:tc>
          <w:tcPr>
            <w:tcW w:w="4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sz w:val="18"/>
                <w:szCs w:val="18"/>
              </w:rPr>
            </w:r>
          </w:p>
        </w:tc>
        <w:tc>
          <w:tcPr>
            <w:tcW w:w="4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审计中的应对</w:t>
            </w:r>
            <w:r>
              <w:rPr>
                <w:rFonts w:ascii="宋体" w:hAnsi="宋体" w:cs="宋体" w:eastAsia="宋体" w:hint="default"/>
                <w:sz w:val="18"/>
                <w:szCs w:val="18"/>
              </w:rPr>
            </w:r>
          </w:p>
        </w:tc>
      </w:tr>
      <w:tr>
        <w:trPr>
          <w:trHeight w:val="5341" w:hRule="exact"/>
        </w:trPr>
        <w:tc>
          <w:tcPr>
            <w:tcW w:w="438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0" w:firstLine="439"/>
              <w:jc w:val="both"/>
              <w:rPr>
                <w:rFonts w:ascii="宋体" w:hAnsi="宋体" w:cs="宋体" w:eastAsia="宋体" w:hint="default"/>
                <w:sz w:val="18"/>
                <w:szCs w:val="18"/>
              </w:rPr>
            </w:pPr>
            <w:r>
              <w:rPr>
                <w:rFonts w:ascii="宋体" w:hAnsi="宋体" w:cs="宋体" w:eastAsia="宋体" w:hint="default"/>
                <w:spacing w:val="-2"/>
                <w:sz w:val="18"/>
                <w:szCs w:val="18"/>
              </w:rPr>
              <w:t>公司主营业务含金融科技产业和智能制造产业，公</w:t>
            </w:r>
            <w:r>
              <w:rPr>
                <w:rFonts w:ascii="宋体" w:hAnsi="宋体" w:cs="宋体" w:eastAsia="宋体" w:hint="default"/>
                <w:sz w:val="18"/>
                <w:szCs w:val="18"/>
              </w:rPr>
              <w:t> 司金融科技板块主要从事第三方支付服务、数字科技服 务、移动信息服务、跨境电商服务及移动运营商计费结 算服务业务；智能制造板块主要从事汽车及配件、家电 配件等产品的生产与销售业务。</w:t>
            </w:r>
          </w:p>
          <w:p>
            <w:pPr>
              <w:pStyle w:val="TableParagraph"/>
              <w:spacing w:line="319" w:lineRule="auto" w:before="19"/>
              <w:ind w:left="4" w:right="0" w:firstLine="439"/>
              <w:jc w:val="both"/>
              <w:rPr>
                <w:rFonts w:ascii="宋体" w:hAnsi="宋体" w:cs="宋体" w:eastAsia="宋体" w:hint="default"/>
                <w:sz w:val="18"/>
                <w:szCs w:val="18"/>
              </w:rPr>
            </w:pPr>
            <w:r>
              <w:rPr>
                <w:rFonts w:ascii="宋体" w:hAnsi="宋体" w:cs="宋体" w:eastAsia="宋体" w:hint="default"/>
                <w:spacing w:val="-2"/>
                <w:sz w:val="18"/>
                <w:szCs w:val="18"/>
              </w:rPr>
              <w:t>营业收入是海联金汇关键业绩指标，是经营业绩的</w:t>
            </w:r>
            <w:r>
              <w:rPr>
                <w:rFonts w:ascii="宋体" w:hAnsi="宋体" w:cs="宋体" w:eastAsia="宋体" w:hint="default"/>
                <w:sz w:val="18"/>
                <w:szCs w:val="18"/>
              </w:rPr>
              <w:t> 主要来源，其确认是否准确对公司经营成果影响重大， 且不同业务的收入确认方式存在差异，存在管理层为了 达到特定目的或期望而操纵收入确认的风险，为此我们 将收入确认确定为关键审计事项。</w:t>
            </w:r>
          </w:p>
        </w:tc>
        <w:tc>
          <w:tcPr>
            <w:tcW w:w="412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44" w:right="63"/>
              <w:jc w:val="left"/>
              <w:rPr>
                <w:rFonts w:ascii="宋体" w:hAnsi="宋体" w:cs="宋体" w:eastAsia="宋体" w:hint="default"/>
                <w:sz w:val="18"/>
                <w:szCs w:val="18"/>
              </w:rPr>
            </w:pPr>
            <w:r>
              <w:rPr>
                <w:rFonts w:ascii="宋体" w:hAnsi="宋体" w:cs="宋体" w:eastAsia="宋体" w:hint="default"/>
                <w:sz w:val="18"/>
                <w:szCs w:val="18"/>
              </w:rPr>
              <w:t>我们拟执行的主要审计程序如下： 了解和评价海联金汇公司与收入确认相关内部</w:t>
            </w:r>
          </w:p>
          <w:p>
            <w:pPr>
              <w:pStyle w:val="TableParagraph"/>
              <w:spacing w:line="316" w:lineRule="auto" w:before="19"/>
              <w:ind w:left="4" w:right="1"/>
              <w:jc w:val="left"/>
              <w:rPr>
                <w:rFonts w:ascii="宋体" w:hAnsi="宋体" w:cs="宋体" w:eastAsia="宋体" w:hint="default"/>
                <w:sz w:val="18"/>
                <w:szCs w:val="18"/>
              </w:rPr>
            </w:pPr>
            <w:r>
              <w:rPr>
                <w:rFonts w:ascii="宋体" w:hAnsi="宋体" w:cs="宋体" w:eastAsia="宋体" w:hint="default"/>
                <w:spacing w:val="-2"/>
                <w:sz w:val="18"/>
                <w:szCs w:val="18"/>
              </w:rPr>
              <w:t>控制的设计有效性，对关键内部控制的运行有效性实</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施控制测试；</w:t>
            </w:r>
          </w:p>
          <w:p>
            <w:pPr>
              <w:pStyle w:val="TableParagraph"/>
              <w:spacing w:line="316" w:lineRule="auto" w:before="19"/>
              <w:ind w:left="4" w:right="1" w:firstLine="439"/>
              <w:jc w:val="left"/>
              <w:rPr>
                <w:rFonts w:ascii="宋体" w:hAnsi="宋体" w:cs="宋体" w:eastAsia="宋体" w:hint="default"/>
                <w:sz w:val="18"/>
                <w:szCs w:val="18"/>
              </w:rPr>
            </w:pPr>
            <w:r>
              <w:rPr>
                <w:rFonts w:ascii="宋体" w:hAnsi="宋体" w:cs="宋体" w:eastAsia="宋体" w:hint="default"/>
                <w:sz w:val="18"/>
                <w:szCs w:val="18"/>
              </w:rPr>
              <w:t>获取不同业务板块的销售或服务合同样本，结 </w:t>
            </w:r>
            <w:r>
              <w:rPr>
                <w:rFonts w:ascii="宋体" w:hAnsi="宋体" w:cs="宋体" w:eastAsia="宋体" w:hint="default"/>
                <w:spacing w:val="-2"/>
                <w:sz w:val="18"/>
                <w:szCs w:val="18"/>
              </w:rPr>
              <w:t>合相关合同条款，评价收入确认时点是否符合企业会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计准则的规定；</w:t>
            </w:r>
          </w:p>
          <w:p>
            <w:pPr>
              <w:pStyle w:val="TableParagraph"/>
              <w:spacing w:line="319" w:lineRule="auto" w:before="19"/>
              <w:ind w:left="4" w:right="63" w:firstLine="439"/>
              <w:jc w:val="left"/>
              <w:rPr>
                <w:rFonts w:ascii="宋体" w:hAnsi="宋体" w:cs="宋体" w:eastAsia="宋体" w:hint="default"/>
                <w:sz w:val="18"/>
                <w:szCs w:val="18"/>
              </w:rPr>
            </w:pPr>
            <w:r>
              <w:rPr>
                <w:rFonts w:ascii="宋体" w:hAnsi="宋体" w:cs="宋体" w:eastAsia="宋体" w:hint="default"/>
                <w:sz w:val="18"/>
                <w:szCs w:val="18"/>
              </w:rPr>
              <w:t>结合产品或服务类别，对营业收入月度、年度 变动以及毛利率的波动情况执行分析程序；</w:t>
            </w:r>
          </w:p>
          <w:p>
            <w:pPr>
              <w:pStyle w:val="TableParagraph"/>
              <w:spacing w:line="316" w:lineRule="auto" w:before="17"/>
              <w:ind w:left="4" w:right="63" w:firstLine="439"/>
              <w:jc w:val="left"/>
              <w:rPr>
                <w:rFonts w:ascii="宋体" w:hAnsi="宋体" w:cs="宋体" w:eastAsia="宋体" w:hint="default"/>
                <w:sz w:val="18"/>
                <w:szCs w:val="18"/>
              </w:rPr>
            </w:pPr>
            <w:r>
              <w:rPr>
                <w:rFonts w:ascii="宋体" w:hAnsi="宋体" w:cs="宋体" w:eastAsia="宋体" w:hint="default"/>
                <w:sz w:val="18"/>
                <w:szCs w:val="18"/>
              </w:rPr>
              <w:t>采用抽样方式，检查与收入确认相关的支持性 文件。</w:t>
            </w:r>
          </w:p>
          <w:p>
            <w:pPr>
              <w:pStyle w:val="TableParagraph"/>
              <w:spacing w:line="316" w:lineRule="auto" w:before="19"/>
              <w:ind w:left="4" w:right="63" w:firstLine="439"/>
              <w:jc w:val="left"/>
              <w:rPr>
                <w:rFonts w:ascii="宋体" w:hAnsi="宋体" w:cs="宋体" w:eastAsia="宋体" w:hint="default"/>
                <w:sz w:val="18"/>
                <w:szCs w:val="18"/>
              </w:rPr>
            </w:pPr>
            <w:r>
              <w:rPr>
                <w:rFonts w:ascii="宋体" w:hAnsi="宋体" w:cs="宋体" w:eastAsia="宋体" w:hint="default"/>
                <w:sz w:val="18"/>
                <w:szCs w:val="18"/>
              </w:rPr>
              <w:t>选取客户样本函证本年销售额，对于未回函项 目，实施检查期后回款等替代审计程序；</w:t>
            </w:r>
          </w:p>
          <w:p>
            <w:pPr>
              <w:pStyle w:val="TableParagraph"/>
              <w:spacing w:line="316" w:lineRule="auto" w:before="19"/>
              <w:ind w:left="4" w:right="63" w:firstLine="439"/>
              <w:jc w:val="left"/>
              <w:rPr>
                <w:rFonts w:ascii="宋体" w:hAnsi="宋体" w:cs="宋体" w:eastAsia="宋体" w:hint="default"/>
                <w:sz w:val="18"/>
                <w:szCs w:val="18"/>
              </w:rPr>
            </w:pPr>
            <w:r>
              <w:rPr>
                <w:rFonts w:ascii="宋体" w:hAnsi="宋体" w:cs="宋体" w:eastAsia="宋体" w:hint="default"/>
                <w:sz w:val="18"/>
                <w:szCs w:val="18"/>
              </w:rPr>
              <w:t>选取客户样本实施现场访谈程序，核查与客户 交易的真实性；</w:t>
            </w:r>
          </w:p>
          <w:p>
            <w:pPr>
              <w:pStyle w:val="TableParagraph"/>
              <w:spacing w:line="316" w:lineRule="auto" w:before="19"/>
              <w:ind w:left="4" w:right="63" w:firstLine="439"/>
              <w:jc w:val="left"/>
              <w:rPr>
                <w:rFonts w:ascii="宋体" w:hAnsi="宋体" w:cs="宋体" w:eastAsia="宋体" w:hint="default"/>
                <w:sz w:val="18"/>
                <w:szCs w:val="18"/>
              </w:rPr>
            </w:pPr>
            <w:r>
              <w:rPr>
                <w:rFonts w:ascii="宋体" w:hAnsi="宋体" w:cs="宋体" w:eastAsia="宋体" w:hint="default"/>
                <w:sz w:val="18"/>
                <w:szCs w:val="18"/>
              </w:rPr>
              <w:t>针对资产负债表日前后确认的收入实施截止性 测试，判断收入确认期间是否恰当。</w:t>
            </w:r>
          </w:p>
        </w:tc>
      </w:tr>
    </w:tbl>
    <w:p>
      <w:pPr>
        <w:spacing w:line="240" w:lineRule="auto" w:before="7"/>
        <w:rPr>
          <w:rFonts w:ascii="宋体" w:hAnsi="宋体" w:cs="宋体" w:eastAsia="宋体" w:hint="default"/>
          <w:sz w:val="15"/>
          <w:szCs w:val="15"/>
        </w:rPr>
      </w:pPr>
    </w:p>
    <w:p>
      <w:pPr>
        <w:pStyle w:val="Heading4"/>
        <w:spacing w:line="240" w:lineRule="auto" w:before="44"/>
        <w:ind w:left="152" w:right="1133"/>
        <w:jc w:val="left"/>
        <w:rPr>
          <w:b w:val="0"/>
          <w:bCs w:val="0"/>
        </w:rPr>
      </w:pPr>
      <w:r>
        <w:rPr/>
        <w:t>四、其他信息</w:t>
      </w:r>
      <w:r>
        <w:rPr>
          <w:b w:val="0"/>
          <w:bCs w:val="0"/>
        </w:rPr>
      </w:r>
    </w:p>
    <w:p>
      <w:pPr>
        <w:spacing w:line="240" w:lineRule="auto" w:before="1"/>
        <w:rPr>
          <w:rFonts w:ascii="宋体" w:hAnsi="宋体" w:cs="宋体" w:eastAsia="宋体" w:hint="default"/>
          <w:b/>
          <w:bCs/>
          <w:sz w:val="15"/>
          <w:szCs w:val="15"/>
        </w:rPr>
      </w:pPr>
    </w:p>
    <w:p>
      <w:pPr>
        <w:pStyle w:val="BodyText"/>
        <w:spacing w:line="300" w:lineRule="auto"/>
        <w:ind w:right="1133" w:firstLine="360"/>
        <w:jc w:val="left"/>
      </w:pPr>
      <w:r>
        <w:rPr>
          <w:spacing w:val="-1"/>
        </w:rPr>
        <w:t>海联金汇管理层</w:t>
      </w:r>
      <w:r>
        <w:rPr>
          <w:rFonts w:ascii="Times New Roman" w:hAnsi="Times New Roman" w:cs="Times New Roman" w:eastAsia="Times New Roman" w:hint="default"/>
          <w:spacing w:val="-1"/>
        </w:rPr>
        <w:t>(</w:t>
      </w:r>
      <w:r>
        <w:rPr>
          <w:spacing w:val="-1"/>
        </w:rPr>
        <w:t>以下简称管理层</w:t>
      </w:r>
      <w:r>
        <w:rPr>
          <w:rFonts w:ascii="Times New Roman" w:hAnsi="Times New Roman" w:cs="Times New Roman" w:eastAsia="Times New Roman" w:hint="default"/>
          <w:spacing w:val="-1"/>
        </w:rPr>
        <w:t>)</w:t>
      </w:r>
      <w:r>
        <w:rPr>
          <w:spacing w:val="-1"/>
        </w:rPr>
        <w:t>对其他信息负责。其他信息包括海联金汇</w:t>
      </w:r>
      <w:r>
        <w:rPr>
          <w:rFonts w:ascii="Times New Roman" w:hAnsi="Times New Roman" w:cs="Times New Roman" w:eastAsia="Times New Roman" w:hint="default"/>
          <w:spacing w:val="-1"/>
        </w:rPr>
        <w:t>2019</w:t>
      </w:r>
      <w:r>
        <w:rPr>
          <w:spacing w:val="-1"/>
        </w:rPr>
        <w:t>年年度报告中涵盖的信息，但不包括财</w:t>
      </w:r>
      <w:r>
        <w:rPr/>
        <w:t> 务报表和我们的审计报告。</w:t>
      </w:r>
    </w:p>
    <w:p>
      <w:pPr>
        <w:pStyle w:val="BodyText"/>
        <w:spacing w:line="432" w:lineRule="exact" w:before="16"/>
        <w:ind w:left="513" w:right="0"/>
        <w:jc w:val="left"/>
      </w:pPr>
      <w:r>
        <w:rPr/>
        <w:t>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w:t>
      </w:r>
    </w:p>
    <w:p>
      <w:pPr>
        <w:pStyle w:val="BodyText"/>
        <w:spacing w:line="240" w:lineRule="auto" w:before="15"/>
        <w:ind w:right="1133"/>
        <w:jc w:val="left"/>
      </w:pPr>
      <w:r>
        <w:rPr/>
        <w:t>程中了解到的情况存在重大不一致或者似乎存在重大错报。</w:t>
      </w:r>
    </w:p>
    <w:p>
      <w:pPr>
        <w:spacing w:line="240" w:lineRule="auto" w:before="0"/>
        <w:rPr>
          <w:rFonts w:ascii="宋体" w:hAnsi="宋体" w:cs="宋体" w:eastAsia="宋体" w:hint="default"/>
          <w:sz w:val="15"/>
          <w:szCs w:val="15"/>
        </w:rPr>
      </w:pPr>
    </w:p>
    <w:p>
      <w:pPr>
        <w:pStyle w:val="BodyText"/>
        <w:spacing w:line="316" w:lineRule="auto"/>
        <w:ind w:right="1119" w:firstLine="360"/>
        <w:jc w:val="left"/>
      </w:pPr>
      <w:r>
        <w:rPr>
          <w:spacing w:val="-2"/>
        </w:rPr>
        <w:t>基于我们已执行的工作，如果我们确定其他信息存在重大错报，我们应当报告该事实。在这方面，我们无任何事项需要</w:t>
      </w:r>
      <w:r>
        <w:rPr/>
        <w:t> 报告。</w:t>
      </w:r>
    </w:p>
    <w:p>
      <w:pPr>
        <w:spacing w:line="430" w:lineRule="atLeast" w:before="64"/>
        <w:ind w:left="513" w:right="0" w:hanging="361"/>
        <w:jc w:val="left"/>
        <w:rPr>
          <w:rFonts w:ascii="宋体" w:hAnsi="宋体" w:cs="宋体" w:eastAsia="宋体" w:hint="default"/>
          <w:sz w:val="18"/>
          <w:szCs w:val="18"/>
        </w:rPr>
      </w:pPr>
      <w:r>
        <w:rPr>
          <w:rFonts w:ascii="宋体" w:hAnsi="宋体" w:cs="宋体" w:eastAsia="宋体" w:hint="default"/>
          <w:b/>
          <w:bCs/>
          <w:sz w:val="18"/>
          <w:szCs w:val="18"/>
        </w:rPr>
        <w:t>五、管理层和治理层对财务报表的责任</w:t>
      </w:r>
      <w:r>
        <w:rPr>
          <w:rFonts w:ascii="宋体" w:hAnsi="宋体" w:cs="宋体" w:eastAsia="宋体" w:hint="default"/>
          <w:b/>
          <w:bCs/>
          <w:w w:val="99"/>
          <w:sz w:val="18"/>
          <w:szCs w:val="18"/>
        </w:rPr>
        <w:t> </w:t>
      </w:r>
      <w:r>
        <w:rPr>
          <w:rFonts w:ascii="宋体" w:hAnsi="宋体" w:cs="宋体" w:eastAsia="宋体" w:hint="default"/>
          <w:spacing w:val="-2"/>
          <w:sz w:val="18"/>
          <w:szCs w:val="18"/>
        </w:rPr>
        <w:t>管理层负责按照企业会计准则的规定编制财务报表，使其实现公允反映，并设计、执行和维护必要的内部控制，以使财</w:t>
      </w:r>
    </w:p>
    <w:p>
      <w:pPr>
        <w:pStyle w:val="BodyText"/>
        <w:spacing w:line="240" w:lineRule="auto" w:before="77"/>
        <w:ind w:right="1133"/>
        <w:jc w:val="left"/>
      </w:pPr>
      <w:r>
        <w:rPr/>
        <w:t>务报表不存在由于舞弊或错误导致的重大错报。</w:t>
      </w:r>
    </w:p>
    <w:p>
      <w:pPr>
        <w:spacing w:line="240" w:lineRule="auto" w:before="0"/>
        <w:rPr>
          <w:rFonts w:ascii="宋体" w:hAnsi="宋体" w:cs="宋体" w:eastAsia="宋体" w:hint="default"/>
          <w:sz w:val="15"/>
          <w:szCs w:val="15"/>
        </w:rPr>
      </w:pPr>
    </w:p>
    <w:p>
      <w:pPr>
        <w:pStyle w:val="BodyText"/>
        <w:spacing w:line="316" w:lineRule="auto"/>
        <w:ind w:right="1133" w:firstLine="360"/>
        <w:jc w:val="left"/>
      </w:pPr>
      <w:r>
        <w:rPr>
          <w:spacing w:val="-2"/>
        </w:rPr>
        <w:t>在编制财务报表时，管理层负责评估海联金汇的持续经营能力，披露与持续经营相关的事项（如适用），并运用持续经</w:t>
      </w:r>
      <w:r>
        <w:rPr/>
        <w:t> 营假设，除非管理层计划清算海联金汇、终止运营或别无其他现实的选择。</w:t>
      </w:r>
    </w:p>
    <w:p>
      <w:pPr>
        <w:spacing w:line="561" w:lineRule="auto" w:before="139"/>
        <w:ind w:left="152" w:right="6974" w:firstLine="360"/>
        <w:jc w:val="left"/>
        <w:rPr>
          <w:rFonts w:ascii="宋体" w:hAnsi="宋体" w:cs="宋体" w:eastAsia="宋体" w:hint="default"/>
          <w:sz w:val="18"/>
          <w:szCs w:val="18"/>
        </w:rPr>
      </w:pPr>
      <w:r>
        <w:rPr>
          <w:rFonts w:ascii="宋体" w:hAnsi="宋体" w:cs="宋体" w:eastAsia="宋体" w:hint="default"/>
          <w:sz w:val="18"/>
          <w:szCs w:val="18"/>
        </w:rPr>
        <w:t>治理层负责监督海联金汇的财务报告过程。 </w:t>
      </w:r>
      <w:r>
        <w:rPr>
          <w:rFonts w:ascii="宋体" w:hAnsi="宋体" w:cs="宋体" w:eastAsia="宋体" w:hint="default"/>
          <w:b/>
          <w:bCs/>
          <w:sz w:val="18"/>
          <w:szCs w:val="18"/>
        </w:rPr>
        <w:t>六、注册会计师对财务报表审计的责任</w:t>
      </w:r>
      <w:r>
        <w:rPr>
          <w:rFonts w:ascii="宋体" w:hAnsi="宋体" w:cs="宋体" w:eastAsia="宋体" w:hint="default"/>
          <w:sz w:val="18"/>
          <w:szCs w:val="18"/>
        </w:rPr>
      </w:r>
    </w:p>
    <w:p>
      <w:pPr>
        <w:pStyle w:val="BodyText"/>
        <w:spacing w:line="316" w:lineRule="auto" w:before="75"/>
        <w:ind w:right="0" w:firstLine="360"/>
        <w:jc w:val="left"/>
      </w:pPr>
      <w:r>
        <w:rPr>
          <w:spacing w:val="-2"/>
        </w:rPr>
        <w:t>我们的目标是对财务报表整体是否不存在由于舞弊或错误导致的重大错报获取合理保证，并出具包含审计意见的审计报</w:t>
      </w:r>
      <w:r>
        <w:rPr/>
        <w:t> </w:t>
      </w:r>
      <w:r>
        <w:rPr>
          <w:spacing w:val="-2"/>
        </w:rPr>
        <w:t>告。合理保证是高水平的保证，但并不能保证按照审计准则执行的审计在某一重大错报存在时总能发现。错报可能由于舞弊</w:t>
      </w:r>
    </w:p>
    <w:p>
      <w:pPr>
        <w:spacing w:after="0" w:line="31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left="292" w:right="462"/>
        <w:jc w:val="left"/>
      </w:pPr>
      <w:r>
        <w:rPr>
          <w:spacing w:val="-2"/>
        </w:rPr>
        <w:t>或错误导致，如果合理预期错报单独或汇总起来可能影响财务报表使用者依据财务报表作出的经济决策，则通常认为错报是</w:t>
      </w:r>
      <w:r>
        <w:rPr>
          <w:spacing w:val="-64"/>
        </w:rPr>
        <w:t> </w:t>
      </w:r>
      <w:r>
        <w:rPr>
          <w:spacing w:val="-64"/>
        </w:rPr>
      </w:r>
      <w:r>
        <w:rPr/>
        <w:t>重大的。</w:t>
      </w:r>
    </w:p>
    <w:p>
      <w:pPr>
        <w:pStyle w:val="BodyText"/>
        <w:spacing w:line="552" w:lineRule="exact" w:before="25"/>
        <w:ind w:left="653" w:right="462"/>
        <w:jc w:val="left"/>
      </w:pPr>
      <w:r>
        <w:rPr/>
        <w:t>在按照审计准则执行审计工作的过程中，我们运用职业判断，并保持职业怀疑。同时，我们也执行以下工作： </w:t>
      </w:r>
      <w:r>
        <w:rPr>
          <w:rFonts w:ascii="宋体" w:hAnsi="宋体" w:cs="宋体" w:eastAsia="宋体" w:hint="default"/>
          <w:spacing w:val="-2"/>
        </w:rPr>
        <w:t>1.</w:t>
      </w:r>
      <w:r>
        <w:rPr>
          <w:spacing w:val="-2"/>
        </w:rPr>
        <w:t>识别和评估由于舞弊或错误导致的财务报表重大错报风险，设计和实施审计程序以应对这些风险，并获取充分、适当</w:t>
      </w:r>
    </w:p>
    <w:p>
      <w:pPr>
        <w:pStyle w:val="BodyText"/>
        <w:spacing w:line="316" w:lineRule="auto"/>
        <w:ind w:left="292" w:right="462"/>
        <w:jc w:val="left"/>
      </w:pPr>
      <w:r>
        <w:rPr>
          <w:spacing w:val="-2"/>
        </w:rPr>
        <w:t>的审计证据，作为发表审计意见的基础。由于舞弊可能涉及串通、伪造、故意遗漏、虚假陈述或凌驾于内部控制之上，未能</w:t>
      </w:r>
      <w:r>
        <w:rPr>
          <w:spacing w:val="-70"/>
        </w:rPr>
        <w:t> </w:t>
      </w:r>
      <w:r>
        <w:rPr>
          <w:spacing w:val="-70"/>
        </w:rPr>
      </w:r>
      <w:r>
        <w:rPr/>
        <w:t>发现由于舞弊导致的重大错报的风险高于未能发现由于错误导致的重大错报的风险。</w:t>
      </w:r>
    </w:p>
    <w:p>
      <w:pPr>
        <w:spacing w:line="240" w:lineRule="auto" w:before="10"/>
        <w:rPr>
          <w:rFonts w:ascii="宋体" w:hAnsi="宋体" w:cs="宋体" w:eastAsia="宋体" w:hint="default"/>
          <w:sz w:val="19"/>
          <w:szCs w:val="19"/>
        </w:rPr>
      </w:pPr>
    </w:p>
    <w:p>
      <w:pPr>
        <w:pStyle w:val="BodyText"/>
        <w:spacing w:line="240" w:lineRule="auto"/>
        <w:ind w:left="653" w:right="462"/>
        <w:jc w:val="left"/>
      </w:pPr>
      <w:r>
        <w:rPr>
          <w:rFonts w:ascii="宋体" w:hAnsi="宋体" w:cs="宋体" w:eastAsia="宋体" w:hint="default"/>
        </w:rPr>
        <w:t>2.</w:t>
      </w:r>
      <w:r>
        <w:rPr/>
        <w:t>了解与审计相关的内部控制，以设计恰当的审计程序。</w:t>
      </w:r>
    </w:p>
    <w:p>
      <w:pPr>
        <w:spacing w:line="240" w:lineRule="auto" w:before="2"/>
        <w:rPr>
          <w:rFonts w:ascii="宋体" w:hAnsi="宋体" w:cs="宋体" w:eastAsia="宋体" w:hint="default"/>
          <w:sz w:val="24"/>
          <w:szCs w:val="24"/>
        </w:rPr>
      </w:pPr>
    </w:p>
    <w:p>
      <w:pPr>
        <w:pStyle w:val="BodyText"/>
        <w:spacing w:line="240" w:lineRule="auto"/>
        <w:ind w:left="653" w:right="462"/>
        <w:jc w:val="left"/>
      </w:pPr>
      <w:r>
        <w:rPr>
          <w:rFonts w:ascii="宋体" w:hAnsi="宋体" w:cs="宋体" w:eastAsia="宋体" w:hint="default"/>
        </w:rPr>
        <w:t>3.</w:t>
      </w:r>
      <w:r>
        <w:rPr/>
        <w:t>评价管理层选用会计政策的恰当性和作出会计估计及相关披露的合理性。</w:t>
      </w:r>
    </w:p>
    <w:p>
      <w:pPr>
        <w:spacing w:line="240" w:lineRule="auto" w:before="3"/>
        <w:rPr>
          <w:rFonts w:ascii="宋体" w:hAnsi="宋体" w:cs="宋体" w:eastAsia="宋体" w:hint="default"/>
          <w:sz w:val="24"/>
          <w:szCs w:val="24"/>
        </w:rPr>
      </w:pPr>
    </w:p>
    <w:p>
      <w:pPr>
        <w:pStyle w:val="BodyText"/>
        <w:spacing w:line="316" w:lineRule="auto"/>
        <w:ind w:left="292" w:right="1130" w:firstLine="360"/>
        <w:jc w:val="both"/>
      </w:pPr>
      <w:r>
        <w:rPr>
          <w:rFonts w:ascii="宋体" w:hAnsi="宋体" w:cs="宋体" w:eastAsia="宋体" w:hint="default"/>
          <w:spacing w:val="-2"/>
        </w:rPr>
        <w:t>4.</w:t>
      </w:r>
      <w:r>
        <w:rPr>
          <w:spacing w:val="-2"/>
        </w:rPr>
        <w:t>对管理层使用持续经营假设的恰当性得出结论。同时，根据获取的审计证据，就可能导致对海联金汇持续经营能力产</w:t>
      </w:r>
      <w:r>
        <w:rPr/>
        <w:t> </w:t>
      </w:r>
      <w:r>
        <w:rPr>
          <w:spacing w:val="-2"/>
        </w:rPr>
        <w:t>生重大疑虑的事项或情况是否存在重大不确定性得出结论。如果我们得出结论认为存在重大不确定性，审计准则要求我们在</w:t>
      </w:r>
      <w:r>
        <w:rPr>
          <w:spacing w:val="-62"/>
        </w:rPr>
        <w:t> </w:t>
      </w:r>
      <w:r>
        <w:rPr>
          <w:spacing w:val="-62"/>
        </w:rPr>
      </w:r>
      <w:r>
        <w:rPr>
          <w:spacing w:val="-2"/>
        </w:rPr>
        <w:t>审计报告中提请报表使用者注意财务报表中的相关披露；如果披露不充分，我们应当发表非无保留意见。我们的结论基于截</w:t>
      </w:r>
      <w:r>
        <w:rPr>
          <w:spacing w:val="-63"/>
        </w:rPr>
        <w:t> </w:t>
      </w:r>
      <w:r>
        <w:rPr>
          <w:spacing w:val="-63"/>
        </w:rPr>
      </w:r>
      <w:r>
        <w:rPr/>
        <w:t>至审计报告日可获得的信息。然而，未来的事项或情况可能导致海联金汇不能持续经营。</w:t>
      </w:r>
    </w:p>
    <w:p>
      <w:pPr>
        <w:spacing w:line="240" w:lineRule="auto" w:before="10"/>
        <w:rPr>
          <w:rFonts w:ascii="宋体" w:hAnsi="宋体" w:cs="宋体" w:eastAsia="宋体" w:hint="default"/>
          <w:sz w:val="19"/>
          <w:szCs w:val="19"/>
        </w:rPr>
      </w:pPr>
    </w:p>
    <w:p>
      <w:pPr>
        <w:pStyle w:val="BodyText"/>
        <w:spacing w:line="240" w:lineRule="auto"/>
        <w:ind w:left="653" w:right="462"/>
        <w:jc w:val="left"/>
      </w:pPr>
      <w:r>
        <w:rPr>
          <w:rFonts w:ascii="宋体" w:hAnsi="宋体" w:cs="宋体" w:eastAsia="宋体" w:hint="default"/>
        </w:rPr>
        <w:t>5.</w:t>
      </w:r>
      <w:r>
        <w:rPr/>
        <w:t>评价财务报表的总体列报、结构和内容（包括披露），并评价财务报表是否公允反映相关交易和事项。</w:t>
      </w:r>
    </w:p>
    <w:p>
      <w:pPr>
        <w:spacing w:line="240" w:lineRule="auto" w:before="2"/>
        <w:rPr>
          <w:rFonts w:ascii="宋体" w:hAnsi="宋体" w:cs="宋体" w:eastAsia="宋体" w:hint="default"/>
          <w:sz w:val="24"/>
          <w:szCs w:val="24"/>
        </w:rPr>
      </w:pPr>
    </w:p>
    <w:p>
      <w:pPr>
        <w:pStyle w:val="BodyText"/>
        <w:spacing w:line="316" w:lineRule="auto"/>
        <w:ind w:left="292" w:right="1051" w:firstLine="360"/>
        <w:jc w:val="both"/>
      </w:pPr>
      <w:r>
        <w:rPr>
          <w:rFonts w:ascii="宋体" w:hAnsi="宋体" w:cs="宋体" w:eastAsia="宋体" w:hint="default"/>
        </w:rPr>
        <w:t>6.</w:t>
      </w:r>
      <w:r>
        <w:rPr/>
        <w:t>就海联金汇中实体或业务活动的财务信息获取充分、适当的审计证据，以对财务报表发表审计意见。我们负责指导、 监督和执行集团审计，并对审计意见承担全部责任。</w:t>
      </w:r>
    </w:p>
    <w:p>
      <w:pPr>
        <w:spacing w:line="240" w:lineRule="auto" w:before="10"/>
        <w:rPr>
          <w:rFonts w:ascii="宋体" w:hAnsi="宋体" w:cs="宋体" w:eastAsia="宋体" w:hint="default"/>
          <w:sz w:val="19"/>
          <w:szCs w:val="19"/>
        </w:rPr>
      </w:pPr>
    </w:p>
    <w:p>
      <w:pPr>
        <w:pStyle w:val="BodyText"/>
        <w:spacing w:line="316" w:lineRule="auto"/>
        <w:ind w:left="292" w:right="1132" w:firstLine="360"/>
        <w:jc w:val="both"/>
      </w:pPr>
      <w:r>
        <w:rPr>
          <w:spacing w:val="-2"/>
        </w:rPr>
        <w:t>我们与治理层就计划的审计范围、时间安排和重大审计发现等事项进行沟通，包括沟通我们在审计中识别出的值得关注</w:t>
      </w:r>
      <w:r>
        <w:rPr/>
        <w:t> 的内部控制缺陷。</w:t>
      </w:r>
    </w:p>
    <w:p>
      <w:pPr>
        <w:spacing w:line="240" w:lineRule="auto" w:before="11"/>
        <w:rPr>
          <w:rFonts w:ascii="宋体" w:hAnsi="宋体" w:cs="宋体" w:eastAsia="宋体" w:hint="default"/>
          <w:sz w:val="19"/>
          <w:szCs w:val="19"/>
        </w:rPr>
      </w:pPr>
    </w:p>
    <w:p>
      <w:pPr>
        <w:pStyle w:val="BodyText"/>
        <w:spacing w:line="316" w:lineRule="auto"/>
        <w:ind w:left="292" w:right="1132" w:firstLine="360"/>
        <w:jc w:val="both"/>
      </w:pPr>
      <w:r>
        <w:rPr>
          <w:spacing w:val="-2"/>
        </w:rPr>
        <w:t>我们还就已遵守与独立性相关的职业道德要求向治理层提供声明，并与治理层沟通可能被合理认为影响我们独立性的所</w:t>
      </w:r>
      <w:r>
        <w:rPr/>
        <w:t> 有关系和其他事项，以及相关的防范措施（如适用）。</w:t>
      </w:r>
    </w:p>
    <w:p>
      <w:pPr>
        <w:spacing w:line="240" w:lineRule="auto" w:before="10"/>
        <w:rPr>
          <w:rFonts w:ascii="宋体" w:hAnsi="宋体" w:cs="宋体" w:eastAsia="宋体" w:hint="default"/>
          <w:sz w:val="19"/>
          <w:szCs w:val="19"/>
        </w:rPr>
      </w:pPr>
    </w:p>
    <w:p>
      <w:pPr>
        <w:pStyle w:val="BodyText"/>
        <w:spacing w:line="316" w:lineRule="auto"/>
        <w:ind w:left="292" w:right="1130" w:firstLine="360"/>
        <w:jc w:val="both"/>
      </w:pP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63"/>
        </w:rPr>
        <w:t> </w:t>
      </w:r>
      <w:r>
        <w:rPr>
          <w:spacing w:val="-63"/>
        </w:rPr>
      </w:r>
      <w:r>
        <w:rPr/>
        <w:t>的负面后果超过在公众利益方面产生的益处，我们确定不应在审计报告中沟通该事项。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tbl>
      <w:tblPr>
        <w:tblW w:w="0" w:type="auto"/>
        <w:jc w:val="left"/>
        <w:tblInd w:w="104" w:type="dxa"/>
        <w:tblLayout w:type="fixed"/>
        <w:tblCellMar>
          <w:top w:w="0" w:type="dxa"/>
          <w:left w:w="0" w:type="dxa"/>
          <w:bottom w:w="0" w:type="dxa"/>
          <w:right w:w="0" w:type="dxa"/>
        </w:tblCellMar>
        <w:tblLook w:val="01E0"/>
      </w:tblPr>
      <w:tblGrid>
        <w:gridCol w:w="3992"/>
        <w:gridCol w:w="3043"/>
      </w:tblGrid>
      <w:tr>
        <w:trPr>
          <w:trHeight w:val="261" w:hRule="exact"/>
        </w:trPr>
        <w:tc>
          <w:tcPr>
            <w:tcW w:w="3992" w:type="dxa"/>
            <w:tcBorders>
              <w:top w:val="nil" w:sz="6" w:space="0" w:color="auto"/>
              <w:left w:val="nil" w:sz="6" w:space="0" w:color="auto"/>
              <w:bottom w:val="nil" w:sz="6" w:space="0" w:color="auto"/>
              <w:right w:val="nil" w:sz="6" w:space="0" w:color="auto"/>
            </w:tcBorders>
          </w:tcPr>
          <w:p>
            <w:pPr>
              <w:pStyle w:val="TableParagraph"/>
              <w:spacing w:line="194" w:lineRule="exact"/>
              <w:ind w:left="2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信永中和会计师事务所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c>
          <w:tcPr>
            <w:tcW w:w="3043" w:type="dxa"/>
            <w:tcBorders>
              <w:top w:val="nil" w:sz="6" w:space="0" w:color="auto"/>
              <w:left w:val="nil" w:sz="6" w:space="0" w:color="auto"/>
              <w:bottom w:val="nil" w:sz="6" w:space="0" w:color="auto"/>
              <w:right w:val="nil" w:sz="6" w:space="0" w:color="auto"/>
            </w:tcBorders>
          </w:tcPr>
          <w:p>
            <w:pPr>
              <w:pStyle w:val="TableParagraph"/>
              <w:spacing w:line="180" w:lineRule="exact"/>
              <w:ind w:right="198"/>
              <w:jc w:val="right"/>
              <w:rPr>
                <w:rFonts w:ascii="宋体" w:hAnsi="宋体" w:cs="宋体" w:eastAsia="宋体" w:hint="default"/>
                <w:sz w:val="18"/>
                <w:szCs w:val="18"/>
              </w:rPr>
            </w:pPr>
            <w:r>
              <w:rPr>
                <w:rFonts w:ascii="宋体" w:hAnsi="宋体" w:cs="宋体" w:eastAsia="宋体" w:hint="default"/>
                <w:sz w:val="18"/>
                <w:szCs w:val="18"/>
              </w:rPr>
              <w:t>中国注册会计师：</w:t>
            </w:r>
            <w:r>
              <w:rPr>
                <w:rFonts w:ascii="宋体" w:hAnsi="宋体" w:cs="宋体" w:eastAsia="宋体" w:hint="default"/>
                <w:spacing w:val="-18"/>
                <w:sz w:val="18"/>
                <w:szCs w:val="18"/>
              </w:rPr>
              <w:t> </w:t>
            </w:r>
            <w:r>
              <w:rPr>
                <w:rFonts w:ascii="宋体" w:hAnsi="宋体" w:cs="宋体" w:eastAsia="宋体" w:hint="default"/>
                <w:sz w:val="18"/>
                <w:szCs w:val="18"/>
              </w:rPr>
              <w:t>刘玉显</w:t>
            </w:r>
          </w:p>
        </w:tc>
      </w:tr>
      <w:tr>
        <w:trPr>
          <w:trHeight w:val="327" w:hRule="exact"/>
        </w:trPr>
        <w:tc>
          <w:tcPr>
            <w:tcW w:w="3992" w:type="dxa"/>
            <w:tcBorders>
              <w:top w:val="nil" w:sz="6" w:space="0" w:color="auto"/>
              <w:left w:val="nil" w:sz="6" w:space="0" w:color="auto"/>
              <w:bottom w:val="nil" w:sz="6" w:space="0" w:color="auto"/>
              <w:right w:val="nil" w:sz="6" w:space="0" w:color="auto"/>
            </w:tcBorders>
          </w:tcPr>
          <w:p>
            <w:pPr/>
          </w:p>
        </w:tc>
        <w:tc>
          <w:tcPr>
            <w:tcW w:w="304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714" w:right="0"/>
              <w:jc w:val="left"/>
              <w:rPr>
                <w:rFonts w:ascii="宋体" w:hAnsi="宋体" w:cs="宋体" w:eastAsia="宋体" w:hint="default"/>
                <w:sz w:val="18"/>
                <w:szCs w:val="18"/>
              </w:rPr>
            </w:pPr>
            <w:r>
              <w:rPr>
                <w:rFonts w:ascii="宋体" w:hAnsi="宋体" w:cs="宋体" w:eastAsia="宋体" w:hint="default"/>
                <w:sz w:val="18"/>
                <w:szCs w:val="18"/>
              </w:rPr>
              <w:t>（项目合伙人）</w:t>
            </w:r>
          </w:p>
        </w:tc>
      </w:tr>
      <w:tr>
        <w:trPr>
          <w:trHeight w:val="498" w:hRule="exact"/>
        </w:trPr>
        <w:tc>
          <w:tcPr>
            <w:tcW w:w="3992" w:type="dxa"/>
            <w:tcBorders>
              <w:top w:val="nil" w:sz="6" w:space="0" w:color="auto"/>
              <w:left w:val="nil" w:sz="6" w:space="0" w:color="auto"/>
              <w:bottom w:val="nil" w:sz="6" w:space="0" w:color="auto"/>
              <w:right w:val="nil" w:sz="6" w:space="0" w:color="auto"/>
            </w:tcBorders>
          </w:tcPr>
          <w:p>
            <w:pPr/>
          </w:p>
        </w:tc>
        <w:tc>
          <w:tcPr>
            <w:tcW w:w="304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790" w:right="0"/>
              <w:jc w:val="left"/>
              <w:rPr>
                <w:rFonts w:ascii="宋体" w:hAnsi="宋体" w:cs="宋体" w:eastAsia="宋体" w:hint="default"/>
                <w:sz w:val="18"/>
                <w:szCs w:val="18"/>
              </w:rPr>
            </w:pPr>
            <w:r>
              <w:rPr>
                <w:rFonts w:ascii="宋体" w:hAnsi="宋体" w:cs="宋体" w:eastAsia="宋体" w:hint="default"/>
                <w:sz w:val="18"/>
                <w:szCs w:val="18"/>
              </w:rPr>
              <w:t>中国注册会计师：王萍</w:t>
            </w:r>
          </w:p>
        </w:tc>
      </w:tr>
      <w:tr>
        <w:trPr>
          <w:trHeight w:val="421" w:hRule="exact"/>
        </w:trPr>
        <w:tc>
          <w:tcPr>
            <w:tcW w:w="399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tabs>
                <w:tab w:pos="2396" w:val="left" w:leader="none"/>
              </w:tabs>
              <w:spacing w:line="240" w:lineRule="auto"/>
              <w:ind w:left="1702" w:right="0"/>
              <w:jc w:val="left"/>
              <w:rPr>
                <w:rFonts w:ascii="宋体" w:hAnsi="宋体" w:cs="宋体" w:eastAsia="宋体" w:hint="default"/>
                <w:sz w:val="18"/>
                <w:szCs w:val="18"/>
              </w:rPr>
            </w:pPr>
            <w:r>
              <w:rPr>
                <w:rFonts w:ascii="宋体" w:hAnsi="宋体" w:cs="宋体" w:eastAsia="宋体" w:hint="default"/>
                <w:sz w:val="18"/>
                <w:szCs w:val="18"/>
              </w:rPr>
              <w:t>中国</w:t>
              <w:tab/>
              <w:t>北京</w:t>
            </w:r>
          </w:p>
        </w:tc>
        <w:tc>
          <w:tcPr>
            <w:tcW w:w="304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70"/>
              <w:jc w:val="right"/>
              <w:rPr>
                <w:rFonts w:ascii="宋体" w:hAnsi="宋体" w:cs="宋体" w:eastAsia="宋体" w:hint="default"/>
                <w:sz w:val="18"/>
                <w:szCs w:val="18"/>
              </w:rPr>
            </w:pPr>
            <w:r>
              <w:rPr>
                <w:rFonts w:ascii="宋体" w:hAnsi="宋体" w:cs="宋体" w:eastAsia="宋体" w:hint="default"/>
                <w:sz w:val="18"/>
                <w:szCs w:val="18"/>
              </w:rPr>
              <w:t>二○二○年四月二十八日</w:t>
            </w:r>
          </w:p>
        </w:tc>
      </w:tr>
    </w:tbl>
    <w:p>
      <w:pPr>
        <w:spacing w:after="0" w:line="240" w:lineRule="auto"/>
        <w:jc w:val="right"/>
        <w:rPr>
          <w:rFonts w:ascii="宋体" w:hAnsi="宋体" w:cs="宋体" w:eastAsia="宋体" w:hint="default"/>
          <w:sz w:val="18"/>
          <w:szCs w:val="18"/>
        </w:rPr>
        <w:sectPr>
          <w:pgSz w:w="11910" w:h="16840"/>
          <w:pgMar w:header="745" w:footer="980" w:top="1060" w:bottom="1160" w:left="84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bookmarkStart w:name="二、财务报表" w:id="164"/>
      <w:bookmarkEnd w:id="164"/>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财务附注中报表的单位为：元</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1、合并资产负债表" w:id="165"/>
      <w:bookmarkEnd w:id="165"/>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before="44"/>
        <w:ind w:right="-20"/>
        <w:jc w:val="left"/>
      </w:pPr>
      <w:r>
        <w:rPr/>
        <w:t>编制单位：海联金汇科技股份有限公司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4"/>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3" w:equalWidth="0">
            <w:col w:w="3213" w:space="863"/>
            <w:col w:w="1642" w:space="3202"/>
            <w:col w:w="201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1,245,031,925.52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1,749,565,293.91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446,648,304.40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920,918,712.08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195,338,309.60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343,711,117.06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1,038,449,611.23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926,524,193.69</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178,721,069.94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534,435,886.36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288,067,926.96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257,354,667.42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99,918,405.03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7,961.77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707,762.49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704,479,930.66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650,186,022.13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14,572,247.06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174,984,620.81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395,490,828.69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4,775,444,325.94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5,388,954,746.61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195,026,566.52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437,772.08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419,660.20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55,326,566.52</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5,748,993.87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22,414,831.55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960,060,892.64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972,791,151.27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70,792,554.53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90,935,722.47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409,057,318.77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389,290,344.82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142,976,216.48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2,212,366,211.92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59,304,342.53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55,749,381.18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49,273,053.47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37,492,317.59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148,701,688.99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68,149,715.56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1,901,679,399.88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4,044,635,903.08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6,677,123,725.82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9,433,590,649.69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365,749,220.89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270,502,200.00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662,121,401.64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506,491,412.49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615,881,114.44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576,938,684.41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185,351,441.50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120,134,125.72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49,203,651.72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25,535,550.90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28,533,646.97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45,315,134.78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276,769,219.90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144,083,481.31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1,208,925.83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1,697,440.50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8"/>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453,712,773.26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971,045,125.79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2,659,322,470.32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2,671,045,715.40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18,317,959.16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15,346,224.20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31,182,555.47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35,546,181.35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115,500,514.63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138,892,405.55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2,774,822,984.95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2,809,938,120.95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1,243,535,239.00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1,247,335,239.00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4,676,396,959.67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4,673,593,452.49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658,727,763.28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475,861,413.21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-13,094,274.29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784,605.57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128,811,704.30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99,437,184.92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1,429,109.72</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-1,565,072,025.14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982,064,442.16</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3,813,278,949.98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6,527,353,510.93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89,021,790.89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96,299,017.81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3,902,300,740.87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6,623,652,528.74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6,677,123,725.82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9,433,590,649.69</w:t>
            </w:r>
          </w:p>
        </w:tc>
      </w:tr>
    </w:tbl>
    <w:p>
      <w:pPr>
        <w:spacing w:line="240" w:lineRule="auto" w:before="11"/>
        <w:rPr>
          <w:rFonts w:ascii="Times New Roman" w:hAnsi="Times New Roman" w:cs="Times New Roman" w:eastAsia="Times New Roman" w:hint="default"/>
          <w:sz w:val="22"/>
          <w:szCs w:val="22"/>
        </w:rPr>
      </w:pPr>
    </w:p>
    <w:p>
      <w:pPr>
        <w:pStyle w:val="BodyText"/>
        <w:tabs>
          <w:tab w:pos="3514" w:val="left" w:leader="none"/>
          <w:tab w:pos="7566" w:val="left" w:leader="none"/>
        </w:tabs>
        <w:spacing w:line="240" w:lineRule="auto" w:before="44"/>
        <w:ind w:left="0" w:right="1225"/>
        <w:jc w:val="right"/>
      </w:pPr>
      <w:r>
        <w:rPr/>
        <w:t>法定代表人：刘国平</w:t>
        <w:tab/>
      </w:r>
      <w:r>
        <w:rPr>
          <w:spacing w:val="-1"/>
        </w:rPr>
        <w:t>主管会计工作负责人：陈军</w:t>
        <w:tab/>
      </w:r>
      <w:r>
        <w:rPr/>
        <w:t>会计机构负责人：陈仕萍</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2、母公司资产负债表" w:id="166"/>
      <w:bookmarkEnd w:id="166"/>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809,323,447.24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984,790,119.41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105,807,206.74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85,812,409.06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208,264,334.74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194,737,532.55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92,537,565.52</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433,569,882.37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202,108,108.20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727,278,013.90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646,149,579.42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20"/>
              <w:jc w:val="right"/>
              <w:rPr>
                <w:rFonts w:ascii="宋体" w:hAnsi="宋体" w:cs="宋体" w:eastAsia="宋体" w:hint="default"/>
                <w:sz w:val="18"/>
                <w:szCs w:val="18"/>
              </w:rPr>
            </w:pPr>
            <w:r>
              <w:rPr>
                <w:rFonts w:ascii="宋体" w:hAnsi="宋体" w:cs="宋体" w:eastAsia="宋体" w:hint="default"/>
                <w:sz w:val="18"/>
                <w:szCs w:val="18"/>
              </w:rPr>
              <w:t>其中：应收利息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20"/>
              <w:jc w:val="righ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292,832,031.33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187,095,181.74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22,597,871.14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17,417,791.00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2,692,210,352.98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2,318,110,721.38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153,200,000.00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96" w:hRule="exact"/>
        </w:trPr>
        <w:tc>
          <w:tcPr>
            <w:tcW w:w="2945" w:type="dxa"/>
            <w:tcBorders>
              <w:top w:val="single" w:sz="4" w:space="0" w:color="000000"/>
              <w:left w:val="single" w:sz="4" w:space="0" w:color="000000"/>
              <w:bottom w:val="nil" w:sz="6" w:space="0" w:color="auto"/>
              <w:right w:val="single" w:sz="4" w:space="0" w:color="000000"/>
            </w:tcBorders>
            <w:shd w:val="clear" w:color="auto" w:fill="D2D2D2"/>
          </w:tcPr>
          <w:p>
            <w:pPr/>
          </w:p>
        </w:tc>
        <w:tc>
          <w:tcPr>
            <w:tcW w:w="3311" w:type="dxa"/>
            <w:vMerge w:val="restart"/>
            <w:tcBorders>
              <w:top w:val="single" w:sz="4" w:space="0" w:color="000000"/>
              <w:left w:val="single" w:sz="10" w:space="0" w:color="D2D2D2"/>
              <w:right w:val="single" w:sz="4" w:space="0" w:color="000000"/>
            </w:tcBorders>
          </w:tcPr>
          <w:p>
            <w:pPr/>
          </w:p>
        </w:tc>
        <w:tc>
          <w:tcPr>
            <w:tcW w:w="3303" w:type="dxa"/>
            <w:vMerge w:val="restart"/>
            <w:tcBorders>
              <w:top w:val="single" w:sz="4" w:space="0" w:color="000000"/>
              <w:left w:val="single" w:sz="4" w:space="0" w:color="000000"/>
              <w:right w:val="single" w:sz="4" w:space="0" w:color="000000"/>
            </w:tcBorders>
          </w:tcPr>
          <w:p>
            <w:pPr/>
          </w:p>
        </w:tc>
      </w:tr>
      <w:tr>
        <w:trPr>
          <w:trHeight w:val="485" w:hRule="exact"/>
        </w:trPr>
        <w:tc>
          <w:tcPr>
            <w:tcW w:w="2945"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vMerge/>
            <w:tcBorders>
              <w:left w:val="single" w:sz="10" w:space="0" w:color="D2D2D2"/>
              <w:bottom w:val="single" w:sz="4" w:space="0" w:color="000000"/>
              <w:right w:val="single" w:sz="4" w:space="0" w:color="000000"/>
            </w:tcBorders>
          </w:tcPr>
          <w:p>
            <w:pPr/>
          </w:p>
        </w:tc>
        <w:tc>
          <w:tcPr>
            <w:tcW w:w="3303" w:type="dxa"/>
            <w:vMerge/>
            <w:tcBorders>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4,703,333,229.84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4,691,015,117.96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9,458,346.71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9,474,616.24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40,468,414.51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2,780,634.56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393,081.73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1,232,704.38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13,261,332.64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3,750,764.58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1,564,328.00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27,417,228.00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4,781,678,733.43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4,888,871,065.72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7,473,889,086.41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7,206,981,787.10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256,016,166.62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291,052,200.00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512,503,819.32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319,259,761.22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25,291,240.98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56,671,198.73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114,923,373.27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33,038,463.81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410,261.65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629,104.24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4,344,486.66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8,590,950.73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166,764,840.45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115,159,506.84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2,557,159.11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11,000,000.00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8,893,008.27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20,516,974.72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1,111,147,197.22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855,918,160.29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88,000,000.00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1,177,147,197.22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943,918,160.29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1,243,535,239.00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1,247,335,239.00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4,657,672,558.95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4,655,607,500.11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658,727,763.28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475,861,413.21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128,811,704.30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99,437,184.92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940,450,150.22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736,545,115.99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6,296,741,889.19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6,263,063,626.81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7,473,889,086.41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7,206,981,787.10</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bookmarkStart w:name="3、合并利润表" w:id="167"/>
      <w:bookmarkEnd w:id="167"/>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5,302,838,701.56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5,011,239,084.54</w:t>
            </w: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5,302,838,701.56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5,011,239,084.54</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93"/>
              <w:jc w:val="righ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5,535,403,881.40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4,571,996,748.29</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4,567,337,281.92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3,929,232,235.11</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93"/>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提取保险责任合同准备金</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21,442,133.26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25,896,352.80</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278,681,676.86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146,592,233.79</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440,535,898.13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333,993,127.61</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231,172,292.71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175,568,891.63</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-3,765,401.48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-39,286,092.65</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93"/>
              <w:jc w:val="right"/>
              <w:rPr>
                <w:rFonts w:ascii="宋体" w:hAnsi="宋体" w:cs="宋体" w:eastAsia="宋体" w:hint="default"/>
                <w:sz w:val="18"/>
                <w:szCs w:val="18"/>
              </w:rPr>
            </w:pPr>
            <w:r>
              <w:rPr>
                <w:rFonts w:ascii="宋体" w:hAnsi="宋体" w:cs="宋体" w:eastAsia="宋体" w:hint="default"/>
                <w:sz w:val="18"/>
                <w:szCs w:val="18"/>
              </w:rPr>
              <w:t>其中：利息费用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19,484,442.12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13,740,419.63</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93"/>
              <w:jc w:val="righ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22,858,078.15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50,053,899.90</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21,430,557.77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24,228,823.47</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9,465,607.33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68,855,773.33</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18,118.88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-580,339.80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1.009995pt;margin-top:107.719986pt;width:158.9pt;height:20.65pt;mso-position-horizontal-relative:page;mso-position-vertical-relative:page;z-index:-1713928" coordorigin="4220,2154" coordsize="3178,413">
            <v:group style="position:absolute;left:4231;top:2165;width:2;height:392" coordorigin="4231,2165" coordsize="2,392">
              <v:shape style="position:absolute;left:4231;top:2165;width:2;height:392" coordorigin="4231,2165" coordsize="0,392" path="m4231,2165l4231,2556e" filled="false" stroked="true" strokeweight="1.08pt" strokecolor="#ffffff">
                <v:path arrowok="t"/>
              </v:shape>
            </v:group>
            <v:group style="position:absolute;left:4242;top:2165;width:3157;height:392" coordorigin="4242,2165" coordsize="3157,392">
              <v:shape style="position:absolute;left:4242;top:2165;width:3157;height:392" coordorigin="4242,2165" coordsize="3157,392" path="m4242,2556l7398,2556,7398,2165,4242,2165,4242,2556xe" filled="true" fillcolor="#ffffff" stroked="false">
                <v:path arrowok="t"/>
                <v:fill type="solid"/>
              </v:shape>
            </v:group>
            <w10:wrap type="none"/>
          </v:group>
        </w:pict>
      </w:r>
      <w:r>
        <w:rPr/>
        <w:pict>
          <v:group style="position:absolute;margin-left:211.009995pt;margin-top:366.589996pt;width:158.9pt;height:20.65pt;mso-position-horizontal-relative:page;mso-position-vertical-relative:page;z-index:-1713904" coordorigin="4220,7332" coordsize="3178,413">
            <v:group style="position:absolute;left:4231;top:7343;width:2;height:392" coordorigin="4231,7343" coordsize="2,392">
              <v:shape style="position:absolute;left:4231;top:7343;width:2;height:392" coordorigin="4231,7343" coordsize="0,392" path="m4231,7343l4231,7734e" filled="false" stroked="true" strokeweight="1.08pt" strokecolor="#ffffff">
                <v:path arrowok="t"/>
              </v:shape>
            </v:group>
            <v:group style="position:absolute;left:4242;top:7343;width:3157;height:392" coordorigin="4242,7343" coordsize="3157,392">
              <v:shape style="position:absolute;left:4242;top:7343;width:3157;height:392" coordorigin="4242,7343" coordsize="3157,392" path="m4242,7734l7398,7734,7398,7343,4242,7343,4242,7734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974"/>
        <w:gridCol w:w="2248"/>
        <w:gridCol w:w="3277"/>
      </w:tblGrid>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53"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2"/>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32"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净敞口套期收益（损失以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信用减值损</w:t>
            </w:r>
            <w:r>
              <w:rPr>
                <w:rFonts w:ascii="宋体" w:hAnsi="宋体" w:cs="宋体" w:eastAsia="宋体" w:hint="default"/>
                <w:spacing w:val="-77"/>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995" w:right="0"/>
              <w:jc w:val="left"/>
              <w:rPr>
                <w:rFonts w:ascii="Times New Roman" w:hAnsi="Times New Roman" w:cs="Times New Roman" w:eastAsia="Times New Roman" w:hint="default"/>
                <w:sz w:val="18"/>
                <w:szCs w:val="18"/>
              </w:rPr>
            </w:pPr>
            <w:r>
              <w:rPr>
                <w:rFonts w:ascii="Times New Roman"/>
                <w:sz w:val="18"/>
              </w:rPr>
              <w:t>-124,776,916.36</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资产减值损</w:t>
            </w:r>
            <w:r>
              <w:rPr>
                <w:rFonts w:ascii="宋体" w:hAnsi="宋体" w:cs="宋体" w:eastAsia="宋体" w:hint="default"/>
                <w:spacing w:val="-77"/>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868" w:right="0"/>
              <w:jc w:val="left"/>
              <w:rPr>
                <w:rFonts w:ascii="Times New Roman" w:hAnsi="Times New Roman" w:cs="Times New Roman" w:eastAsia="Times New Roman" w:hint="default"/>
                <w:sz w:val="18"/>
                <w:szCs w:val="18"/>
              </w:rPr>
            </w:pPr>
            <w:r>
              <w:rPr>
                <w:rFonts w:ascii="Times New Roman"/>
                <w:sz w:val="18"/>
              </w:rPr>
              <w:t>-2,117,847,670.13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-324,539,651.43</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7"/>
                <w:sz w:val="18"/>
                <w:szCs w:val="18"/>
              </w:rPr>
              <w:t>益</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1,423,038.73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1,318,960.30</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861" w:right="0"/>
              <w:jc w:val="left"/>
              <w:rPr>
                <w:rFonts w:ascii="Times New Roman" w:hAnsi="Times New Roman" w:cs="Times New Roman" w:eastAsia="Times New Roman" w:hint="default"/>
                <w:sz w:val="18"/>
                <w:szCs w:val="18"/>
              </w:rPr>
            </w:pPr>
            <w:r>
              <w:rPr>
                <w:rFonts w:ascii="Times New Roman"/>
                <w:sz w:val="18"/>
              </w:rPr>
              <w:t>-2,442,870,562.50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209,106,241.92</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7,689,578.26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9,825,984.51</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2,724,740.13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29,937,060.55</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974"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17" w:right="0"/>
              <w:jc w:val="left"/>
              <w:rPr>
                <w:rFonts w:ascii="宋体" w:hAnsi="宋体" w:cs="宋体" w:eastAsia="宋体" w:hint="default"/>
                <w:sz w:val="18"/>
                <w:szCs w:val="18"/>
              </w:rPr>
            </w:pPr>
            <w:r>
              <w:rPr>
                <w:rFonts w:ascii="宋体" w:hAnsi="宋体" w:cs="宋体" w:eastAsia="宋体" w:hint="default"/>
                <w:sz w:val="18"/>
                <w:szCs w:val="18"/>
              </w:rPr>
              <w:t>）</w:t>
            </w:r>
          </w:p>
        </w:tc>
        <w:tc>
          <w:tcPr>
            <w:tcW w:w="2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899" w:right="0"/>
              <w:jc w:val="left"/>
              <w:rPr>
                <w:rFonts w:ascii="Times New Roman" w:hAnsi="Times New Roman" w:cs="Times New Roman" w:eastAsia="Times New Roman" w:hint="default"/>
                <w:sz w:val="18"/>
                <w:szCs w:val="18"/>
              </w:rPr>
            </w:pPr>
            <w:r>
              <w:rPr>
                <w:rFonts w:ascii="Times New Roman"/>
                <w:sz w:val="18"/>
              </w:rPr>
              <w:t>-2,437,905,724.37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188,995,165.88</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19,019,769.06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50,242,687.27</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861" w:right="0"/>
              <w:jc w:val="left"/>
              <w:rPr>
                <w:rFonts w:ascii="Times New Roman" w:hAnsi="Times New Roman" w:cs="Times New Roman" w:eastAsia="Times New Roman" w:hint="default"/>
                <w:sz w:val="18"/>
                <w:szCs w:val="18"/>
              </w:rPr>
            </w:pPr>
            <w:r>
              <w:rPr>
                <w:rFonts w:ascii="Times New Roman"/>
                <w:sz w:val="18"/>
              </w:rPr>
              <w:t>-2,456,925,493.43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138,752,478.61</w:t>
            </w: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2" w:right="0"/>
              <w:jc w:val="left"/>
              <w:rPr>
                <w:rFonts w:ascii="宋体" w:hAnsi="宋体" w:cs="宋体" w:eastAsia="宋体" w:hint="default"/>
                <w:sz w:val="18"/>
                <w:szCs w:val="18"/>
              </w:rPr>
            </w:pPr>
            <w:r>
              <w:rPr>
                <w:rFonts w:ascii="宋体" w:hAnsi="宋体" w:cs="宋体" w:eastAsia="宋体" w:hint="default"/>
                <w:sz w:val="18"/>
                <w:szCs w:val="18"/>
              </w:rPr>
              <w:t>（一）按经营持续性分类</w:t>
            </w:r>
          </w:p>
        </w:tc>
        <w:tc>
          <w:tcPr>
            <w:tcW w:w="322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861" w:right="0"/>
              <w:jc w:val="left"/>
              <w:rPr>
                <w:rFonts w:ascii="Times New Roman" w:hAnsi="Times New Roman" w:cs="Times New Roman" w:eastAsia="Times New Roman" w:hint="default"/>
                <w:sz w:val="18"/>
                <w:szCs w:val="18"/>
              </w:rPr>
            </w:pPr>
            <w:r>
              <w:rPr>
                <w:rFonts w:ascii="Times New Roman"/>
                <w:sz w:val="18"/>
              </w:rPr>
              <w:t>-2,456,925,493.43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138,752,478.61</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（二）按所有权归属分类</w:t>
            </w:r>
          </w:p>
        </w:tc>
        <w:tc>
          <w:tcPr>
            <w:tcW w:w="322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归属于母公司所有者的净利润</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861" w:right="0"/>
              <w:jc w:val="left"/>
              <w:rPr>
                <w:rFonts w:ascii="Times New Roman" w:hAnsi="Times New Roman" w:cs="Times New Roman" w:eastAsia="Times New Roman" w:hint="default"/>
                <w:sz w:val="18"/>
                <w:szCs w:val="18"/>
              </w:rPr>
            </w:pPr>
            <w:r>
              <w:rPr>
                <w:rFonts w:ascii="Times New Roman"/>
                <w:sz w:val="18"/>
              </w:rPr>
              <w:t>-2,455,867,198.03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133,239,222.45</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-1,058,295.40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5,513,256.16</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2087" w:right="0"/>
              <w:jc w:val="left"/>
              <w:rPr>
                <w:rFonts w:ascii="Times New Roman" w:hAnsi="Times New Roman" w:cs="Times New Roman" w:eastAsia="Times New Roman" w:hint="default"/>
                <w:sz w:val="18"/>
                <w:szCs w:val="18"/>
              </w:rPr>
            </w:pPr>
            <w:r>
              <w:rPr>
                <w:rFonts w:ascii="Times New Roman"/>
                <w:sz w:val="18"/>
              </w:rPr>
              <w:t>-13,878,879.86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2,380,814.63</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53"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87" w:right="0"/>
              <w:jc w:val="left"/>
              <w:rPr>
                <w:rFonts w:ascii="Times New Roman" w:hAnsi="Times New Roman" w:cs="Times New Roman" w:eastAsia="Times New Roman" w:hint="default"/>
                <w:sz w:val="18"/>
                <w:szCs w:val="18"/>
              </w:rPr>
            </w:pPr>
            <w:r>
              <w:rPr>
                <w:rFonts w:ascii="Times New Roman"/>
                <w:sz w:val="18"/>
              </w:rPr>
              <w:t>-13,878,879.86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2,380,814.63</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firstLine="341"/>
              <w:jc w:val="left"/>
              <w:rPr>
                <w:rFonts w:ascii="宋体" w:hAnsi="宋体" w:cs="宋体" w:eastAsia="宋体" w:hint="default"/>
                <w:sz w:val="18"/>
                <w:szCs w:val="18"/>
              </w:rPr>
            </w:pPr>
            <w:r>
              <w:rPr>
                <w:rFonts w:ascii="宋体" w:hAnsi="宋体" w:cs="宋体" w:eastAsia="宋体" w:hint="default"/>
                <w:spacing w:val="-2"/>
                <w:sz w:val="18"/>
                <w:szCs w:val="18"/>
              </w:rPr>
              <w:t>（一）不能重分类进损益的其他综</w:t>
            </w:r>
            <w:r>
              <w:rPr>
                <w:rFonts w:ascii="宋体" w:hAnsi="宋体" w:cs="宋体" w:eastAsia="宋体" w:hint="default"/>
                <w:sz w:val="18"/>
                <w:szCs w:val="18"/>
              </w:rPr>
              <w:t> 合收益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087" w:right="0"/>
              <w:jc w:val="left"/>
              <w:rPr>
                <w:rFonts w:ascii="Times New Roman" w:hAnsi="Times New Roman" w:cs="Times New Roman" w:eastAsia="Times New Roman" w:hint="default"/>
                <w:sz w:val="18"/>
                <w:szCs w:val="18"/>
              </w:rPr>
            </w:pPr>
            <w:r>
              <w:rPr>
                <w:rFonts w:ascii="Times New Roman"/>
                <w:sz w:val="18"/>
              </w:rPr>
              <w:t>-15,000,000.00</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动额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1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其他权益工具投资公允价</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87" w:right="0"/>
              <w:jc w:val="left"/>
              <w:rPr>
                <w:rFonts w:ascii="Times New Roman" w:hAnsi="Times New Roman" w:cs="Times New Roman" w:eastAsia="Times New Roman" w:hint="default"/>
                <w:sz w:val="18"/>
                <w:szCs w:val="18"/>
              </w:rPr>
            </w:pPr>
            <w:r>
              <w:rPr>
                <w:rFonts w:ascii="Times New Roman"/>
                <w:sz w:val="18"/>
              </w:rPr>
              <w:t>-15,000,000.00</w:t>
            </w: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36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firstLine="341"/>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（二）将重分类进损益的其他综合</w:t>
            </w:r>
            <w:r>
              <w:rPr>
                <w:rFonts w:ascii="宋体" w:hAnsi="宋体" w:cs="宋体" w:eastAsia="宋体" w:hint="default"/>
                <w:sz w:val="18"/>
                <w:szCs w:val="18"/>
              </w:rPr>
              <w:t> 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1,121,120.14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2,380,814.63</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 综合收益的金额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备</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8.</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1,121,120.14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2,380,814.63</w:t>
            </w: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-2,470,804,373.29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141,133,293.24</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-2,469,746,077.89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135,620,037.08</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3"/>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-1,058,295.40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5,513,256.16</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w w:val="95"/>
                <w:sz w:val="18"/>
              </w:rPr>
              <w:t>0.11</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w w:val="95"/>
                <w:sz w:val="18"/>
              </w:rPr>
              <w:t>0.11</w:t>
            </w:r>
          </w:p>
        </w:tc>
      </w:tr>
    </w:tbl>
    <w:p>
      <w:pPr>
        <w:pStyle w:val="BodyText"/>
        <w:tabs>
          <w:tab w:pos="3667" w:val="left" w:leader="none"/>
          <w:tab w:pos="7718" w:val="left" w:leader="none"/>
        </w:tabs>
        <w:spacing w:line="595" w:lineRule="auto" w:before="49"/>
        <w:ind w:right="1225"/>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 </w:t>
      </w:r>
      <w:r>
        <w:rPr>
          <w:spacing w:val="-3"/>
        </w:rPr>
        <w:t>元。 </w:t>
      </w:r>
      <w:r>
        <w:rPr/>
        <w:t>法定代表人：刘国平</w:t>
        <w:tab/>
      </w:r>
      <w:r>
        <w:rPr>
          <w:spacing w:val="-1"/>
        </w:rPr>
        <w:t>主管会计工作负责人：陈军</w:t>
        <w:tab/>
      </w:r>
      <w:r>
        <w:rPr/>
        <w:t>会计机构负责人：陈仕萍</w:t>
      </w:r>
      <w:r>
        <w:rPr/>
        <w:t> </w:t>
      </w:r>
      <w:bookmarkStart w:name="4、母公司利润表" w:id="168"/>
      <w:bookmarkEnd w:id="168"/>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291"/>
      </w:tblGrid>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2,444,856,930.58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1,841,905,663.82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2,353,694,155.22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1,718,023,117.19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2,253,186.91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4,516,598.08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19,070,634.49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21,774,897.29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23,997,022.21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22,718,107.39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2,822,075.88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3,552,094.14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2,234,935.71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-17,591,683.26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15,437,915.47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12,244,256.09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17,395,942.51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31,442,097.97</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1,206,812.93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2,500,000.00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277,007,740.19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453,539,660.20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18,118.88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-580,339.80</w:t>
            </w:r>
          </w:p>
        </w:tc>
      </w:tr>
      <w:tr>
        <w:trPr>
          <w:trHeight w:val="102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1"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净敞口套期收益（损失以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-15,743,265.16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-1,009,202.01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-3,780,708.14</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-77,566.49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-14,405.41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302,169,439.62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541,157,079.64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619,533.79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2,045,613.82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81,706.15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399,742.12</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302,707,267.26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542,802,951.34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8,962,073.48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22,675,415.66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293,745,193.78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520,127,535.68</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293,745,193.78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520,127,535.68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83" w:right="0"/>
              <w:jc w:val="left"/>
              <w:rPr>
                <w:rFonts w:ascii="宋体" w:hAnsi="宋体" w:cs="宋体" w:eastAsia="宋体" w:hint="default"/>
                <w:sz w:val="18"/>
                <w:szCs w:val="18"/>
              </w:rPr>
            </w:pPr>
            <w:r>
              <w:rPr>
                <w:rFonts w:ascii="宋体" w:hAnsi="宋体" w:cs="宋体" w:eastAsia="宋体" w:hint="default"/>
                <w:sz w:val="18"/>
                <w:szCs w:val="18"/>
              </w:rPr>
              <w:t>（二）终止经营净利润（净亏损</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 价值变动损益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 他综合收益的金额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278,745,193.78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520,127,535.68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bookmarkStart w:name="5、合并现金流量表" w:id="169"/>
      <w:bookmarkEnd w:id="169"/>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after="0" w:line="240" w:lineRule="auto"/>
        <w:jc w:val="right"/>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4,137,935,756.37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3,957,232,410.83</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14,238,837.08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10,434,092.40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766,115,784.55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422,618,405.55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4,918,290,378.00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4,390,284,908.78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3,267,496,594.72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2,514,454,818.80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599,885,863.89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563,888,651.65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201,444,770.80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228,908,155.07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816,098,527.38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855,013,239.53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4,884,925,756.79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4,162,264,865.05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33,364,621.21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228,020,043.73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107,460,000.00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9,447,495.45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69,455,087.28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38,431,408.79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18,692,431.03</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3,884,742,326.12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3,299,388,201.70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4,040,081,230.36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3,437,535,720.01</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298,233,374.20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183,394,767.37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187,760,000.00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160,900,001.00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3,862,111,519.29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3,217,673,977.99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4,348,104,893.49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3,561,968,746.36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-308,023,663.13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-124,433,026.35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460,083,217.60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290,502,200.00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54,595,000.00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460,383,217.60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345,897,200.00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377,469,117.60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239,954,500.00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83,933,388.96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87,235,169.45</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242,549,734.22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525,987,036.96</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703,952,240.78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853,176,706.41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-243,569,023.18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-507,279,506.41</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259,128.18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3,022,056.75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-517,968,936.92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-400,670,432.28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1,701,369,630.24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2,102,040,062.52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1,183,400,693.32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1,701,369,630.24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6"/>
        <w:ind w:right="1133"/>
        <w:jc w:val="left"/>
        <w:rPr>
          <w:b w:val="0"/>
          <w:bCs w:val="0"/>
        </w:rPr>
      </w:pPr>
      <w:bookmarkStart w:name="6、母公司现金流量表" w:id="170"/>
      <w:bookmarkEnd w:id="170"/>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0"/>
        <w:gridCol w:w="3316"/>
        <w:gridCol w:w="3303"/>
      </w:tblGrid>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2,062,982,865.92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1,390,509,829.00</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183,228.93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128,421.38</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172,299,851.91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264,521,262.53</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2,235,465,946.76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1,655,159,512.91</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1,730,498,767.27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928,250,092.42</w:t>
            </w: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20,221,803.29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17,926,505.07</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27,023,313.37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54,939,272.55</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583,900,647.99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481,935,775.70</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2,361,644,531.92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1,483,051,645.74</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-126,178,585.16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172,107,867.17</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376,989,628.31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354,120,000.00</w:t>
            </w: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168,735.56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99,617.15</w:t>
            </w:r>
          </w:p>
        </w:tc>
      </w:tr>
      <w:tr>
        <w:trPr>
          <w:trHeight w:val="715"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2,917,118,200.00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1,601,640,000.00</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3,394,276,563.87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1,955,859,617.15</w:t>
            </w: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14,134,195.88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26,485,130.38</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192,300,000.00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178,000,000.00</w:t>
            </w: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2,875,880,000.00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1,601,640,000.00</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3,082,314,195.88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1,806,125,130.38</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311,962,367.99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149,734,486.77</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289,566,300.00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301,052,200.00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47,595,000.00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289,566,300.00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348,647,200.00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327,052,200.00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21,000,000.00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76,536,495.94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72,213,185.83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241,032,287.62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520,002,036.96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644,620,983.56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613,215,222.79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-355,054,683.56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-264,568,022.79</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65,948.52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88,357.06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-169,204,952.21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57,362,688.21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978,528,399.45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921,165,711.24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809,323,447.24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978,528,399.45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7、合并所有者权益变动表" w:id="171"/>
      <w:bookmarkEnd w:id="171"/>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t>本期金额</w:t>
      </w:r>
    </w:p>
    <w:p>
      <w:pPr>
        <w:pStyle w:val="BodyText"/>
        <w:spacing w:line="240" w:lineRule="auto" w:before="117"/>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41"/>
        <w:gridCol w:w="494"/>
        <w:gridCol w:w="466"/>
        <w:gridCol w:w="466"/>
        <w:gridCol w:w="468"/>
        <w:gridCol w:w="583"/>
        <w:gridCol w:w="586"/>
        <w:gridCol w:w="583"/>
        <w:gridCol w:w="584"/>
        <w:gridCol w:w="583"/>
        <w:gridCol w:w="583"/>
        <w:gridCol w:w="586"/>
        <w:gridCol w:w="584"/>
        <w:gridCol w:w="583"/>
        <w:gridCol w:w="586"/>
        <w:gridCol w:w="578"/>
      </w:tblGrid>
      <w:tr>
        <w:trPr>
          <w:trHeight w:val="401" w:hRule="exact"/>
        </w:trPr>
        <w:tc>
          <w:tcPr>
            <w:tcW w:w="1241" w:type="dxa"/>
            <w:vMerge w:val="restart"/>
            <w:tcBorders>
              <w:top w:val="single" w:sz="4" w:space="0" w:color="000000"/>
              <w:left w:val="single" w:sz="4" w:space="0" w:color="000000"/>
              <w:right w:val="single" w:sz="4" w:space="0" w:color="000000"/>
            </w:tcBorders>
            <w:shd w:val="clear" w:color="auto" w:fill="D2D2D2"/>
          </w:tcPr>
          <w:p>
            <w:pPr/>
          </w:p>
        </w:tc>
        <w:tc>
          <w:tcPr>
            <w:tcW w:w="8313"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96" w:hRule="exact"/>
        </w:trPr>
        <w:tc>
          <w:tcPr>
            <w:tcW w:w="1241" w:type="dxa"/>
            <w:vMerge/>
            <w:tcBorders>
              <w:left w:val="single" w:sz="4" w:space="0" w:color="000000"/>
              <w:right w:val="single" w:sz="4" w:space="0" w:color="000000"/>
            </w:tcBorders>
            <w:shd w:val="clear" w:color="auto" w:fill="D2D2D2"/>
          </w:tcPr>
          <w:p>
            <w:pPr/>
          </w:p>
        </w:tc>
        <w:tc>
          <w:tcPr>
            <w:tcW w:w="7149" w:type="dxa"/>
            <w:gridSpan w:val="1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86" w:type="dxa"/>
            <w:vMerge w:val="restart"/>
            <w:tcBorders>
              <w:top w:val="single" w:sz="4" w:space="0" w:color="000000"/>
              <w:left w:val="single" w:sz="4" w:space="0" w:color="000000"/>
              <w:right w:val="single" w:sz="4" w:space="0" w:color="000000"/>
            </w:tcBorders>
            <w:shd w:val="clear" w:color="auto" w:fill="D2D2D2"/>
          </w:tcPr>
          <w:p>
            <w:pPr/>
          </w:p>
        </w:tc>
        <w:tc>
          <w:tcPr>
            <w:tcW w:w="57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241" w:type="dxa"/>
            <w:vMerge/>
            <w:tcBorders>
              <w:left w:val="single" w:sz="4" w:space="0" w:color="000000"/>
              <w:right w:val="single" w:sz="4" w:space="0" w:color="000000"/>
            </w:tcBorders>
            <w:shd w:val="clear" w:color="auto" w:fill="D2D2D2"/>
          </w:tcPr>
          <w:p>
            <w:pPr/>
          </w:p>
        </w:tc>
        <w:tc>
          <w:tcPr>
            <w:tcW w:w="7149" w:type="dxa"/>
            <w:gridSpan w:val="13"/>
            <w:vMerge/>
            <w:tcBorders>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5" w:right="101"/>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152" w:hRule="exact"/>
        </w:trPr>
        <w:tc>
          <w:tcPr>
            <w:tcW w:w="1241" w:type="dxa"/>
            <w:vMerge/>
            <w:tcBorders>
              <w:left w:val="single" w:sz="4" w:space="0" w:color="000000"/>
              <w:bottom w:val="single" w:sz="4" w:space="0" w:color="FFFFFF"/>
              <w:right w:val="single" w:sz="4" w:space="0" w:color="000000"/>
            </w:tcBorders>
            <w:shd w:val="clear" w:color="auto" w:fill="D2D2D2"/>
          </w:tcPr>
          <w:p>
            <w:pPr/>
          </w:p>
        </w:tc>
        <w:tc>
          <w:tcPr>
            <w:tcW w:w="7149" w:type="dxa"/>
            <w:gridSpan w:val="13"/>
            <w:vMerge/>
            <w:tcBorders>
              <w:left w:val="single" w:sz="4" w:space="0" w:color="000000"/>
              <w:bottom w:val="single" w:sz="4" w:space="0" w:color="FFFFFF"/>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0" w:right="103"/>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578" w:type="dxa"/>
            <w:vMerge/>
            <w:tcBorders>
              <w:left w:val="single" w:sz="4" w:space="0" w:color="000000"/>
              <w:right w:val="single" w:sz="4" w:space="0" w:color="000000"/>
            </w:tcBorders>
            <w:shd w:val="clear" w:color="auto" w:fill="D2D2D2"/>
          </w:tcPr>
          <w:p>
            <w:pPr/>
          </w:p>
        </w:tc>
      </w:tr>
      <w:tr>
        <w:trPr>
          <w:trHeight w:val="204" w:hRule="exact"/>
        </w:trPr>
        <w:tc>
          <w:tcPr>
            <w:tcW w:w="124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3"/>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494" w:type="dxa"/>
            <w:vMerge w:val="restart"/>
            <w:tcBorders>
              <w:top w:val="single" w:sz="4" w:space="0" w:color="FFFFFF"/>
              <w:left w:val="single" w:sz="4" w:space="0" w:color="000000"/>
              <w:right w:val="single" w:sz="4" w:space="0" w:color="000000"/>
            </w:tcBorders>
            <w:shd w:val="clear" w:color="auto" w:fill="D2D2D2"/>
          </w:tcPr>
          <w:p>
            <w:pPr/>
          </w:p>
        </w:tc>
        <w:tc>
          <w:tcPr>
            <w:tcW w:w="1400" w:type="dxa"/>
            <w:gridSpan w:val="3"/>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5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3" w:type="dxa"/>
            <w:tcBorders>
              <w:top w:val="single" w:sz="4" w:space="0" w:color="FFFFFF"/>
              <w:left w:val="single" w:sz="4" w:space="0" w:color="000000"/>
              <w:bottom w:val="nil" w:sz="6" w:space="0" w:color="auto"/>
              <w:right w:val="single" w:sz="4" w:space="0" w:color="000000"/>
            </w:tcBorders>
            <w:shd w:val="clear" w:color="auto" w:fill="D2D2D2"/>
          </w:tcPr>
          <w:p>
            <w:pPr/>
          </w:p>
        </w:tc>
        <w:tc>
          <w:tcPr>
            <w:tcW w:w="586" w:type="dxa"/>
            <w:tcBorders>
              <w:top w:val="single" w:sz="4" w:space="0" w:color="FFFFFF"/>
              <w:left w:val="single" w:sz="4" w:space="0" w:color="000000"/>
              <w:bottom w:val="nil" w:sz="6" w:space="0" w:color="auto"/>
              <w:right w:val="single" w:sz="4" w:space="0" w:color="000000"/>
            </w:tcBorders>
            <w:shd w:val="clear" w:color="auto" w:fill="D2D2D2"/>
          </w:tcPr>
          <w:p>
            <w:pPr/>
          </w:p>
        </w:tc>
        <w:tc>
          <w:tcPr>
            <w:tcW w:w="583"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2"/>
              <w:ind w:left="108"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84" w:type="dxa"/>
            <w:tcBorders>
              <w:top w:val="single" w:sz="4" w:space="0" w:color="FFFFFF"/>
              <w:left w:val="single" w:sz="4" w:space="0" w:color="000000"/>
              <w:bottom w:val="nil" w:sz="6" w:space="0" w:color="auto"/>
              <w:right w:val="single" w:sz="4" w:space="0" w:color="000000"/>
            </w:tcBorders>
            <w:shd w:val="clear" w:color="auto" w:fill="D2D2D2"/>
          </w:tcPr>
          <w:p>
            <w:pPr/>
          </w:p>
        </w:tc>
        <w:tc>
          <w:tcPr>
            <w:tcW w:w="583" w:type="dxa"/>
            <w:tcBorders>
              <w:top w:val="single" w:sz="4" w:space="0" w:color="FFFFFF"/>
              <w:left w:val="single" w:sz="4" w:space="0" w:color="000000"/>
              <w:bottom w:val="nil" w:sz="6" w:space="0" w:color="auto"/>
              <w:right w:val="single" w:sz="4" w:space="0" w:color="000000"/>
            </w:tcBorders>
            <w:shd w:val="clear" w:color="auto" w:fill="D2D2D2"/>
          </w:tcPr>
          <w:p>
            <w:pPr/>
          </w:p>
        </w:tc>
        <w:tc>
          <w:tcPr>
            <w:tcW w:w="583"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2"/>
              <w:ind w:left="107"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6"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2"/>
              <w:ind w:left="110" w:right="103"/>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84" w:type="dxa"/>
            <w:vMerge w:val="restart"/>
            <w:tcBorders>
              <w:top w:val="single" w:sz="4" w:space="0" w:color="FFFFFF"/>
              <w:left w:val="single" w:sz="4" w:space="0" w:color="000000"/>
              <w:right w:val="single" w:sz="4" w:space="0" w:color="000000"/>
            </w:tcBorders>
            <w:shd w:val="clear" w:color="auto" w:fill="D2D2D2"/>
          </w:tcPr>
          <w:p>
            <w:pPr/>
          </w:p>
        </w:tc>
        <w:tc>
          <w:tcPr>
            <w:tcW w:w="583" w:type="dxa"/>
            <w:vMerge w:val="restart"/>
            <w:tcBorders>
              <w:top w:val="single" w:sz="4" w:space="0" w:color="FFFFFF"/>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65" w:hRule="exact"/>
        </w:trPr>
        <w:tc>
          <w:tcPr>
            <w:tcW w:w="1241" w:type="dxa"/>
            <w:vMerge/>
            <w:tcBorders>
              <w:left w:val="single" w:sz="4" w:space="0" w:color="000000"/>
              <w:bottom w:val="nil" w:sz="6" w:space="0" w:color="auto"/>
              <w:right w:val="single" w:sz="4" w:space="0" w:color="000000"/>
            </w:tcBorders>
            <w:shd w:val="clear" w:color="auto" w:fill="D2D2D2"/>
          </w:tcPr>
          <w:p>
            <w:pPr/>
          </w:p>
        </w:tc>
        <w:tc>
          <w:tcPr>
            <w:tcW w:w="494" w:type="dxa"/>
            <w:vMerge/>
            <w:tcBorders>
              <w:left w:val="single" w:sz="4" w:space="0" w:color="000000"/>
              <w:bottom w:val="nil" w:sz="6" w:space="0" w:color="auto"/>
              <w:right w:val="single" w:sz="4" w:space="0" w:color="000000"/>
            </w:tcBorders>
            <w:shd w:val="clear" w:color="auto" w:fill="D2D2D2"/>
          </w:tcPr>
          <w:p>
            <w:pPr/>
          </w:p>
        </w:tc>
        <w:tc>
          <w:tcPr>
            <w:tcW w:w="1400" w:type="dxa"/>
            <w:gridSpan w:val="3"/>
            <w:vMerge/>
            <w:tcBorders>
              <w:left w:val="single" w:sz="4" w:space="0" w:color="000000"/>
              <w:bottom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8" w:right="103"/>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7" w:right="22" w:hanging="84"/>
              <w:jc w:val="left"/>
              <w:rPr>
                <w:rFonts w:ascii="宋体" w:hAnsi="宋体" w:cs="宋体" w:eastAsia="宋体" w:hint="default"/>
                <w:sz w:val="18"/>
                <w:szCs w:val="18"/>
              </w:rPr>
            </w:pPr>
            <w:r>
              <w:rPr>
                <w:rFonts w:ascii="宋体" w:hAnsi="宋体" w:cs="宋体" w:eastAsia="宋体" w:hint="default"/>
                <w:spacing w:val="-5"/>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583"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8" w:right="10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7" w:right="103"/>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93" w:hRule="exact"/>
        </w:trPr>
        <w:tc>
          <w:tcPr>
            <w:tcW w:w="1241" w:type="dxa"/>
            <w:vMerge w:val="restart"/>
            <w:tcBorders>
              <w:top w:val="nil" w:sz="6" w:space="0" w:color="auto"/>
              <w:left w:val="single" w:sz="4" w:space="0" w:color="000000"/>
              <w:right w:val="single" w:sz="4" w:space="0" w:color="000000"/>
            </w:tcBorders>
            <w:shd w:val="clear" w:color="auto" w:fill="D2D2D2"/>
          </w:tcPr>
          <w:p>
            <w:pPr/>
          </w:p>
        </w:tc>
        <w:tc>
          <w:tcPr>
            <w:tcW w:w="4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6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0"/>
              <w:ind w:left="139" w:right="47"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0"/>
              <w:ind w:left="139" w:right="46"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468" w:type="dxa"/>
            <w:tcBorders>
              <w:top w:val="single" w:sz="4" w:space="0" w:color="000000"/>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10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92" w:hRule="exact"/>
        </w:trPr>
        <w:tc>
          <w:tcPr>
            <w:tcW w:w="1241" w:type="dxa"/>
            <w:vMerge/>
            <w:tcBorders>
              <w:left w:val="single" w:sz="4" w:space="0" w:color="000000"/>
              <w:right w:val="single" w:sz="4" w:space="0" w:color="000000"/>
            </w:tcBorders>
            <w:shd w:val="clear" w:color="auto" w:fill="D2D2D2"/>
          </w:tcPr>
          <w:p>
            <w:pPr/>
          </w:p>
        </w:tc>
        <w:tc>
          <w:tcPr>
            <w:tcW w:w="494" w:type="dxa"/>
            <w:vMerge/>
            <w:tcBorders>
              <w:left w:val="single" w:sz="4" w:space="0" w:color="000000"/>
              <w:bottom w:val="nil" w:sz="6" w:space="0" w:color="auto"/>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33" w:hRule="exact"/>
        </w:trPr>
        <w:tc>
          <w:tcPr>
            <w:tcW w:w="1241" w:type="dxa"/>
            <w:vMerge/>
            <w:tcBorders>
              <w:left w:val="single" w:sz="4" w:space="0" w:color="000000"/>
              <w:right w:val="single" w:sz="4" w:space="0" w:color="000000"/>
            </w:tcBorders>
            <w:shd w:val="clear" w:color="auto" w:fill="D2D2D2"/>
          </w:tcPr>
          <w:p>
            <w:pPr/>
          </w:p>
        </w:tc>
        <w:tc>
          <w:tcPr>
            <w:tcW w:w="494" w:type="dxa"/>
            <w:vMerge w:val="restart"/>
            <w:tcBorders>
              <w:top w:val="nil" w:sz="6" w:space="0" w:color="auto"/>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22" w:hRule="exact"/>
        </w:trPr>
        <w:tc>
          <w:tcPr>
            <w:tcW w:w="1241" w:type="dxa"/>
            <w:vMerge/>
            <w:tcBorders>
              <w:left w:val="single" w:sz="4" w:space="0" w:color="000000"/>
              <w:right w:val="single" w:sz="4" w:space="0" w:color="000000"/>
            </w:tcBorders>
            <w:shd w:val="clear" w:color="auto" w:fill="D2D2D2"/>
          </w:tcPr>
          <w:p>
            <w:pPr/>
          </w:p>
        </w:tc>
        <w:tc>
          <w:tcPr>
            <w:tcW w:w="494"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78" w:type="dxa"/>
            <w:vMerge/>
            <w:tcBorders>
              <w:left w:val="single" w:sz="4" w:space="0" w:color="000000"/>
              <w:bottom w:val="nil" w:sz="6" w:space="0" w:color="auto"/>
              <w:right w:val="single" w:sz="4" w:space="0" w:color="000000"/>
            </w:tcBorders>
            <w:shd w:val="clear" w:color="auto" w:fill="D2D2D2"/>
          </w:tcPr>
          <w:p>
            <w:pPr/>
          </w:p>
        </w:tc>
      </w:tr>
      <w:tr>
        <w:trPr>
          <w:trHeight w:val="96" w:hRule="exact"/>
        </w:trPr>
        <w:tc>
          <w:tcPr>
            <w:tcW w:w="1241" w:type="dxa"/>
            <w:vMerge/>
            <w:tcBorders>
              <w:left w:val="single" w:sz="4" w:space="0" w:color="000000"/>
              <w:bottom w:val="single" w:sz="4" w:space="0" w:color="000000"/>
              <w:right w:val="single" w:sz="4" w:space="0" w:color="000000"/>
            </w:tcBorders>
            <w:shd w:val="clear" w:color="auto" w:fill="D2D2D2"/>
          </w:tcPr>
          <w:p>
            <w:pPr/>
          </w:p>
        </w:tc>
        <w:tc>
          <w:tcPr>
            <w:tcW w:w="494"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68"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7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241" w:type="dxa"/>
            <w:tcBorders>
              <w:top w:val="single" w:sz="4" w:space="0" w:color="000000"/>
              <w:left w:val="single" w:sz="4" w:space="0" w:color="000000"/>
              <w:bottom w:val="nil" w:sz="6" w:space="0" w:color="auto"/>
              <w:right w:val="single" w:sz="4" w:space="0" w:color="000000"/>
            </w:tcBorders>
            <w:shd w:val="clear" w:color="auto" w:fill="D2D2D2"/>
          </w:tcPr>
          <w:p>
            <w:pPr/>
          </w:p>
        </w:tc>
        <w:tc>
          <w:tcPr>
            <w:tcW w:w="494" w:type="dxa"/>
            <w:vMerge w:val="restart"/>
            <w:tcBorders>
              <w:top w:val="single" w:sz="4" w:space="0" w:color="000000"/>
              <w:left w:val="single" w:sz="9" w:space="0" w:color="D2D2D2"/>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1,247</w:t>
            </w:r>
          </w:p>
          <w:p>
            <w:pPr>
              <w:pStyle w:val="TableParagraph"/>
              <w:spacing w:line="240" w:lineRule="auto" w:before="102"/>
              <w:ind w:left="94" w:right="0"/>
              <w:jc w:val="left"/>
              <w:rPr>
                <w:rFonts w:ascii="Times New Roman" w:hAnsi="Times New Roman" w:cs="Times New Roman" w:eastAsia="Times New Roman" w:hint="default"/>
                <w:sz w:val="18"/>
                <w:szCs w:val="18"/>
              </w:rPr>
            </w:pPr>
            <w:r>
              <w:rPr>
                <w:rFonts w:ascii="Times New Roman"/>
                <w:sz w:val="18"/>
              </w:rPr>
              <w:t>,335,</w:t>
            </w:r>
          </w:p>
          <w:p>
            <w:pPr>
              <w:pStyle w:val="TableParagraph"/>
              <w:spacing w:line="240" w:lineRule="auto" w:before="105"/>
              <w:ind w:left="49" w:right="0"/>
              <w:jc w:val="left"/>
              <w:rPr>
                <w:rFonts w:ascii="Times New Roman" w:hAnsi="Times New Roman" w:cs="Times New Roman" w:eastAsia="Times New Roman" w:hint="default"/>
                <w:sz w:val="18"/>
                <w:szCs w:val="18"/>
              </w:rPr>
            </w:pPr>
            <w:r>
              <w:rPr>
                <w:rFonts w:ascii="Times New Roman"/>
                <w:sz w:val="18"/>
              </w:rPr>
              <w:t>239.0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4,673,</w:t>
            </w:r>
          </w:p>
          <w:p>
            <w:pPr>
              <w:pStyle w:val="TableParagraph"/>
              <w:spacing w:line="240" w:lineRule="auto" w:before="102"/>
              <w:ind w:left="36" w:right="0"/>
              <w:jc w:val="center"/>
              <w:rPr>
                <w:rFonts w:ascii="Times New Roman" w:hAnsi="Times New Roman" w:cs="Times New Roman" w:eastAsia="Times New Roman" w:hint="default"/>
                <w:sz w:val="18"/>
                <w:szCs w:val="18"/>
              </w:rPr>
            </w:pPr>
            <w:r>
              <w:rPr>
                <w:rFonts w:ascii="Times New Roman"/>
                <w:sz w:val="18"/>
              </w:rPr>
              <w:t>593,45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2.49</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475,86</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1,413.</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21</w:t>
            </w:r>
          </w:p>
        </w:tc>
        <w:tc>
          <w:tcPr>
            <w:tcW w:w="583" w:type="dxa"/>
            <w:vMerge w:val="restart"/>
            <w:tcBorders>
              <w:top w:val="single" w:sz="18" w:space="0" w:color="D2D2D2"/>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36" w:right="0"/>
              <w:jc w:val="center"/>
              <w:rPr>
                <w:rFonts w:ascii="Times New Roman" w:hAnsi="Times New Roman" w:cs="Times New Roman" w:eastAsia="Times New Roman" w:hint="default"/>
                <w:sz w:val="18"/>
                <w:szCs w:val="18"/>
              </w:rPr>
            </w:pPr>
            <w:r>
              <w:rPr>
                <w:rFonts w:ascii="Times New Roman"/>
                <w:sz w:val="18"/>
              </w:rPr>
              <w:t>784,60</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5.57</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99,437</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,184.9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583" w:type="dxa"/>
            <w:vMerge w:val="restart"/>
            <w:tcBorders>
              <w:top w:val="single" w:sz="18" w:space="0" w:color="D2D2D2"/>
              <w:left w:val="single" w:sz="4" w:space="0" w:color="000000"/>
              <w:right w:val="single" w:sz="4" w:space="0" w:color="000000"/>
            </w:tcBorders>
          </w:tcPr>
          <w:p>
            <w:pPr/>
          </w:p>
        </w:tc>
        <w:tc>
          <w:tcPr>
            <w:tcW w:w="586" w:type="dxa"/>
            <w:vMerge w:val="restart"/>
            <w:tcBorders>
              <w:top w:val="single" w:sz="18" w:space="0" w:color="D2D2D2"/>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982,06</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4,442.</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16</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6,527,</w:t>
            </w:r>
          </w:p>
          <w:p>
            <w:pPr>
              <w:pStyle w:val="TableParagraph"/>
              <w:spacing w:line="240" w:lineRule="auto" w:before="102"/>
              <w:ind w:left="36" w:right="0"/>
              <w:jc w:val="center"/>
              <w:rPr>
                <w:rFonts w:ascii="Times New Roman" w:hAnsi="Times New Roman" w:cs="Times New Roman" w:eastAsia="Times New Roman" w:hint="default"/>
                <w:sz w:val="18"/>
                <w:szCs w:val="18"/>
              </w:rPr>
            </w:pPr>
            <w:r>
              <w:rPr>
                <w:rFonts w:ascii="Times New Roman"/>
                <w:sz w:val="18"/>
              </w:rPr>
              <w:t>353,51</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0.93</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96,299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,017.8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578" w:type="dxa"/>
            <w:vMerge w:val="restart"/>
            <w:tcBorders>
              <w:top w:val="single" w:sz="36" w:space="0" w:color="D2D2D2"/>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6,623,</w:t>
            </w:r>
          </w:p>
          <w:p>
            <w:pPr>
              <w:pStyle w:val="TableParagraph"/>
              <w:spacing w:line="240" w:lineRule="auto" w:before="102"/>
              <w:ind w:left="31" w:right="0"/>
              <w:jc w:val="center"/>
              <w:rPr>
                <w:rFonts w:ascii="Times New Roman" w:hAnsi="Times New Roman" w:cs="Times New Roman" w:eastAsia="Times New Roman" w:hint="default"/>
                <w:sz w:val="18"/>
                <w:szCs w:val="18"/>
              </w:rPr>
            </w:pPr>
            <w:r>
              <w:rPr>
                <w:rFonts w:ascii="Times New Roman"/>
                <w:sz w:val="18"/>
              </w:rPr>
              <w:t>652,52</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8.74</w:t>
            </w:r>
          </w:p>
        </w:tc>
      </w:tr>
      <w:tr>
        <w:trPr>
          <w:trHeight w:val="703" w:hRule="exact"/>
        </w:trPr>
        <w:tc>
          <w:tcPr>
            <w:tcW w:w="12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20"/>
              <w:jc w:val="left"/>
              <w:rPr>
                <w:rFonts w:ascii="宋体" w:hAnsi="宋体" w:cs="宋体" w:eastAsia="宋体" w:hint="default"/>
                <w:sz w:val="18"/>
                <w:szCs w:val="18"/>
              </w:rPr>
            </w:pPr>
            <w:r>
              <w:rPr>
                <w:rFonts w:ascii="宋体" w:hAnsi="宋体" w:cs="宋体" w:eastAsia="宋体" w:hint="default"/>
                <w:spacing w:val="-9"/>
                <w:sz w:val="18"/>
                <w:szCs w:val="18"/>
              </w:rPr>
              <w:t>一、上年期末余</w:t>
            </w:r>
            <w:r>
              <w:rPr>
                <w:rFonts w:ascii="宋体" w:hAnsi="宋体" w:cs="宋体" w:eastAsia="宋体" w:hint="default"/>
                <w:sz w:val="18"/>
                <w:szCs w:val="18"/>
              </w:rPr>
              <w:t> 额</w:t>
            </w:r>
          </w:p>
        </w:tc>
        <w:tc>
          <w:tcPr>
            <w:tcW w:w="494"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317" w:hRule="exact"/>
        </w:trPr>
        <w:tc>
          <w:tcPr>
            <w:tcW w:w="1241" w:type="dxa"/>
            <w:tcBorders>
              <w:top w:val="nil" w:sz="6" w:space="0" w:color="auto"/>
              <w:left w:val="single" w:sz="4" w:space="0" w:color="000000"/>
              <w:bottom w:val="single" w:sz="4" w:space="0" w:color="000000"/>
              <w:right w:val="single" w:sz="4" w:space="0" w:color="000000"/>
            </w:tcBorders>
            <w:shd w:val="clear" w:color="auto" w:fill="D2D2D2"/>
          </w:tcPr>
          <w:p>
            <w:pPr/>
          </w:p>
        </w:tc>
        <w:tc>
          <w:tcPr>
            <w:tcW w:w="494"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715"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9" w:firstLine="360"/>
              <w:jc w:val="left"/>
              <w:rPr>
                <w:rFonts w:ascii="宋体" w:hAnsi="宋体" w:cs="宋体" w:eastAsia="宋体" w:hint="default"/>
                <w:sz w:val="18"/>
                <w:szCs w:val="18"/>
              </w:rPr>
            </w:pPr>
            <w:r>
              <w:rPr>
                <w:rFonts w:ascii="宋体" w:hAnsi="宋体" w:cs="宋体" w:eastAsia="宋体" w:hint="default"/>
                <w:spacing w:val="-13"/>
                <w:sz w:val="18"/>
                <w:szCs w:val="18"/>
              </w:rPr>
              <w:t>加：会计政</w:t>
            </w:r>
            <w:r>
              <w:rPr>
                <w:rFonts w:ascii="宋体" w:hAnsi="宋体" w:cs="宋体" w:eastAsia="宋体" w:hint="default"/>
                <w:sz w:val="18"/>
                <w:szCs w:val="18"/>
              </w:rPr>
              <w:t> 策变更</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37"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241" w:type="dxa"/>
            <w:tcBorders>
              <w:top w:val="single" w:sz="4" w:space="0" w:color="000000"/>
              <w:left w:val="single" w:sz="4" w:space="0" w:color="000000"/>
              <w:bottom w:val="nil" w:sz="6" w:space="0" w:color="auto"/>
              <w:right w:val="single" w:sz="4" w:space="0" w:color="000000"/>
            </w:tcBorders>
            <w:shd w:val="clear" w:color="auto" w:fill="D2D2D2"/>
          </w:tcPr>
          <w:p>
            <w:pPr/>
          </w:p>
        </w:tc>
        <w:tc>
          <w:tcPr>
            <w:tcW w:w="494" w:type="dxa"/>
            <w:vMerge w:val="restart"/>
            <w:tcBorders>
              <w:top w:val="single" w:sz="4" w:space="0" w:color="000000"/>
              <w:left w:val="single" w:sz="9" w:space="0" w:color="D2D2D2"/>
              <w:right w:val="single" w:sz="4" w:space="0" w:color="000000"/>
            </w:tcBorders>
          </w:tcPr>
          <w:p>
            <w:pPr>
              <w:pStyle w:val="TableParagraph"/>
              <w:spacing w:line="240" w:lineRule="auto" w:before="112"/>
              <w:ind w:left="49" w:right="0"/>
              <w:jc w:val="left"/>
              <w:rPr>
                <w:rFonts w:ascii="Times New Roman" w:hAnsi="Times New Roman" w:cs="Times New Roman" w:eastAsia="Times New Roman" w:hint="default"/>
                <w:sz w:val="18"/>
                <w:szCs w:val="18"/>
              </w:rPr>
            </w:pPr>
            <w:r>
              <w:rPr>
                <w:rFonts w:ascii="Times New Roman"/>
                <w:sz w:val="18"/>
              </w:rPr>
              <w:t>1,247</w:t>
            </w:r>
          </w:p>
          <w:p>
            <w:pPr>
              <w:pStyle w:val="TableParagraph"/>
              <w:spacing w:line="240" w:lineRule="auto" w:before="102"/>
              <w:ind w:left="94" w:right="0"/>
              <w:jc w:val="left"/>
              <w:rPr>
                <w:rFonts w:ascii="Times New Roman" w:hAnsi="Times New Roman" w:cs="Times New Roman" w:eastAsia="Times New Roman" w:hint="default"/>
                <w:sz w:val="18"/>
                <w:szCs w:val="18"/>
              </w:rPr>
            </w:pPr>
            <w:r>
              <w:rPr>
                <w:rFonts w:ascii="Times New Roman"/>
                <w:sz w:val="18"/>
              </w:rPr>
              <w:t>,335,</w:t>
            </w:r>
          </w:p>
          <w:p>
            <w:pPr>
              <w:pStyle w:val="TableParagraph"/>
              <w:spacing w:line="240" w:lineRule="auto" w:before="105"/>
              <w:ind w:left="49" w:right="0"/>
              <w:jc w:val="left"/>
              <w:rPr>
                <w:rFonts w:ascii="Times New Roman" w:hAnsi="Times New Roman" w:cs="Times New Roman" w:eastAsia="Times New Roman" w:hint="default"/>
                <w:sz w:val="18"/>
                <w:szCs w:val="18"/>
              </w:rPr>
            </w:pPr>
            <w:r>
              <w:rPr>
                <w:rFonts w:ascii="Times New Roman"/>
                <w:sz w:val="18"/>
              </w:rPr>
              <w:t>239.0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4,673,</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593,45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2.49</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475,86</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1,413.</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21</w:t>
            </w: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784,60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5.57</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99,437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,184.9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982,06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4,442.</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16</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6,527,</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353,51</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0.93</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96,299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,017.8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6,623,</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652,52</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8.74</w:t>
            </w:r>
          </w:p>
        </w:tc>
      </w:tr>
      <w:tr>
        <w:trPr>
          <w:trHeight w:val="703" w:hRule="exact"/>
        </w:trPr>
        <w:tc>
          <w:tcPr>
            <w:tcW w:w="12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9"/>
                <w:sz w:val="18"/>
                <w:szCs w:val="18"/>
              </w:rPr>
              <w:t>二、本年期初余</w:t>
            </w:r>
            <w:r>
              <w:rPr>
                <w:rFonts w:ascii="宋体" w:hAnsi="宋体" w:cs="宋体" w:eastAsia="宋体" w:hint="default"/>
                <w:sz w:val="18"/>
                <w:szCs w:val="18"/>
              </w:rPr>
              <w:t> 额</w:t>
            </w:r>
          </w:p>
        </w:tc>
        <w:tc>
          <w:tcPr>
            <w:tcW w:w="494"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163" w:hRule="exact"/>
        </w:trPr>
        <w:tc>
          <w:tcPr>
            <w:tcW w:w="1241" w:type="dxa"/>
            <w:tcBorders>
              <w:top w:val="nil" w:sz="6" w:space="0" w:color="auto"/>
              <w:left w:val="single" w:sz="4" w:space="0" w:color="000000"/>
              <w:bottom w:val="single" w:sz="4" w:space="0" w:color="000000"/>
              <w:right w:val="single" w:sz="4" w:space="0" w:color="000000"/>
            </w:tcBorders>
            <w:shd w:val="clear" w:color="auto" w:fill="D2D2D2"/>
          </w:tcPr>
          <w:p>
            <w:pPr/>
          </w:p>
        </w:tc>
        <w:tc>
          <w:tcPr>
            <w:tcW w:w="494"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4"/>
        <w:gridCol w:w="583"/>
        <w:gridCol w:w="583"/>
        <w:gridCol w:w="586"/>
        <w:gridCol w:w="584"/>
        <w:gridCol w:w="583"/>
        <w:gridCol w:w="586"/>
        <w:gridCol w:w="578"/>
      </w:tblGrid>
      <w:tr>
        <w:trPr>
          <w:trHeight w:val="36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both"/>
              <w:rPr>
                <w:rFonts w:ascii="宋体" w:hAnsi="宋体" w:cs="宋体" w:eastAsia="宋体" w:hint="default"/>
                <w:sz w:val="18"/>
                <w:szCs w:val="18"/>
              </w:rPr>
            </w:pPr>
            <w:r>
              <w:rPr>
                <w:rFonts w:ascii="宋体" w:hAnsi="宋体" w:cs="宋体" w:eastAsia="宋体" w:hint="default"/>
                <w:spacing w:val="-9"/>
                <w:sz w:val="18"/>
                <w:szCs w:val="18"/>
              </w:rPr>
              <w:t>三、本期增减变</w:t>
            </w:r>
            <w:r>
              <w:rPr>
                <w:rFonts w:ascii="宋体" w:hAnsi="宋体" w:cs="宋体" w:eastAsia="宋体" w:hint="default"/>
                <w:sz w:val="18"/>
                <w:szCs w:val="18"/>
              </w:rPr>
              <w:t> </w:t>
            </w:r>
            <w:r>
              <w:rPr>
                <w:rFonts w:ascii="宋体" w:hAnsi="宋体" w:cs="宋体" w:eastAsia="宋体" w:hint="default"/>
                <w:spacing w:val="-9"/>
                <w:sz w:val="18"/>
                <w:szCs w:val="18"/>
              </w:rPr>
              <w:t>动金额（减少以</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center"/>
              <w:rPr>
                <w:rFonts w:ascii="Times New Roman" w:hAnsi="Times New Roman" w:cs="Times New Roman" w:eastAsia="Times New Roman" w:hint="default"/>
                <w:sz w:val="18"/>
                <w:szCs w:val="18"/>
              </w:rPr>
            </w:pPr>
            <w:r>
              <w:rPr>
                <w:rFonts w:ascii="Times New Roman"/>
                <w:sz w:val="18"/>
              </w:rPr>
              <w:t>-3,80</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2,803,</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507.18</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182,86</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6,350.</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07</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-13,87</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8,879.</w:t>
            </w:r>
          </w:p>
          <w:p>
            <w:pPr>
              <w:pStyle w:val="TableParagraph"/>
              <w:spacing w:line="240" w:lineRule="auto" w:before="105"/>
              <w:ind w:left="372" w:right="0"/>
              <w:jc w:val="left"/>
              <w:rPr>
                <w:rFonts w:ascii="Times New Roman" w:hAnsi="Times New Roman" w:cs="Times New Roman" w:eastAsia="Times New Roman" w:hint="default"/>
                <w:sz w:val="18"/>
                <w:szCs w:val="18"/>
              </w:rPr>
            </w:pPr>
            <w:r>
              <w:rPr>
                <w:rFonts w:ascii="Times New Roman"/>
                <w:sz w:val="18"/>
              </w:rPr>
              <w:t>86</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29,374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,519.3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1,429,</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109.72</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-2,547,</w:t>
            </w:r>
          </w:p>
          <w:p>
            <w:pPr>
              <w:pStyle w:val="TableParagraph"/>
              <w:spacing w:line="240" w:lineRule="auto" w:before="105"/>
              <w:ind w:left="39" w:right="0"/>
              <w:jc w:val="center"/>
              <w:rPr>
                <w:rFonts w:ascii="Times New Roman" w:hAnsi="Times New Roman" w:cs="Times New Roman" w:eastAsia="Times New Roman" w:hint="default"/>
                <w:sz w:val="18"/>
                <w:szCs w:val="18"/>
              </w:rPr>
            </w:pPr>
            <w:r>
              <w:rPr>
                <w:rFonts w:ascii="Times New Roman"/>
                <w:sz w:val="18"/>
              </w:rPr>
              <w:t>136,46</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7.30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-2,714,</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074,56</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0.95</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-7,277,</w:t>
            </w:r>
          </w:p>
          <w:p>
            <w:pPr>
              <w:pStyle w:val="TableParagraph"/>
              <w:spacing w:line="240" w:lineRule="auto" w:before="105"/>
              <w:ind w:left="59" w:right="0"/>
              <w:jc w:val="left"/>
              <w:rPr>
                <w:rFonts w:ascii="Times New Roman" w:hAnsi="Times New Roman" w:cs="Times New Roman" w:eastAsia="Times New Roman" w:hint="default"/>
                <w:sz w:val="18"/>
                <w:szCs w:val="18"/>
              </w:rPr>
            </w:pPr>
            <w:r>
              <w:rPr>
                <w:rFonts w:ascii="Times New Roman"/>
                <w:sz w:val="18"/>
              </w:rPr>
              <w:t>226.92</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 w:right="0"/>
              <w:jc w:val="center"/>
              <w:rPr>
                <w:rFonts w:ascii="Times New Roman" w:hAnsi="Times New Roman" w:cs="Times New Roman" w:eastAsia="Times New Roman" w:hint="default"/>
                <w:sz w:val="18"/>
                <w:szCs w:val="18"/>
              </w:rPr>
            </w:pPr>
            <w:r>
              <w:rPr>
                <w:rFonts w:ascii="Times New Roman"/>
                <w:sz w:val="18"/>
              </w:rPr>
              <w:t>-2,721,</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351,78</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7.87</w:t>
            </w: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（一）综合收益</w:t>
            </w:r>
            <w:r>
              <w:rPr>
                <w:rFonts w:ascii="宋体" w:hAnsi="宋体" w:cs="宋体" w:eastAsia="宋体" w:hint="default"/>
                <w:sz w:val="18"/>
                <w:szCs w:val="18"/>
              </w:rPr>
              <w:t> 总额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-13,87</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8,879.</w:t>
            </w:r>
          </w:p>
          <w:p>
            <w:pPr>
              <w:pStyle w:val="TableParagraph"/>
              <w:spacing w:line="240" w:lineRule="auto" w:before="105"/>
              <w:ind w:left="372" w:right="0"/>
              <w:jc w:val="left"/>
              <w:rPr>
                <w:rFonts w:ascii="Times New Roman" w:hAnsi="Times New Roman" w:cs="Times New Roman" w:eastAsia="Times New Roman" w:hint="default"/>
                <w:sz w:val="18"/>
                <w:szCs w:val="18"/>
              </w:rPr>
            </w:pPr>
            <w:r>
              <w:rPr>
                <w:rFonts w:ascii="Times New Roman"/>
                <w:sz w:val="18"/>
              </w:rPr>
              <w:t>86</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-2,455,</w:t>
            </w:r>
          </w:p>
          <w:p>
            <w:pPr>
              <w:pStyle w:val="TableParagraph"/>
              <w:spacing w:line="240" w:lineRule="auto" w:before="105"/>
              <w:ind w:left="39" w:right="0"/>
              <w:jc w:val="center"/>
              <w:rPr>
                <w:rFonts w:ascii="Times New Roman" w:hAnsi="Times New Roman" w:cs="Times New Roman" w:eastAsia="Times New Roman" w:hint="default"/>
                <w:sz w:val="18"/>
                <w:szCs w:val="18"/>
              </w:rPr>
            </w:pPr>
            <w:r>
              <w:rPr>
                <w:rFonts w:ascii="Times New Roman"/>
                <w:sz w:val="18"/>
              </w:rPr>
              <w:t>867,19</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8.03</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-2,469,</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746,07</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7.89</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-1,058,</w:t>
            </w:r>
          </w:p>
          <w:p>
            <w:pPr>
              <w:pStyle w:val="TableParagraph"/>
              <w:spacing w:line="240" w:lineRule="auto" w:before="105"/>
              <w:ind w:left="59" w:right="0"/>
              <w:jc w:val="left"/>
              <w:rPr>
                <w:rFonts w:ascii="Times New Roman" w:hAnsi="Times New Roman" w:cs="Times New Roman" w:eastAsia="Times New Roman" w:hint="default"/>
                <w:sz w:val="18"/>
                <w:szCs w:val="18"/>
              </w:rPr>
            </w:pPr>
            <w:r>
              <w:rPr>
                <w:rFonts w:ascii="Times New Roman"/>
                <w:sz w:val="18"/>
              </w:rPr>
              <w:t>295.40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 w:right="0"/>
              <w:jc w:val="center"/>
              <w:rPr>
                <w:rFonts w:ascii="Times New Roman" w:hAnsi="Times New Roman" w:cs="Times New Roman" w:eastAsia="Times New Roman" w:hint="default"/>
                <w:sz w:val="18"/>
                <w:szCs w:val="18"/>
              </w:rPr>
            </w:pPr>
            <w:r>
              <w:rPr>
                <w:rFonts w:ascii="Times New Roman"/>
                <w:sz w:val="18"/>
              </w:rPr>
              <w:t>-2,470,</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804,37</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3.29</w:t>
            </w: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（二）所有者投</w:t>
            </w:r>
            <w:r>
              <w:rPr>
                <w:rFonts w:ascii="宋体" w:hAnsi="宋体" w:cs="宋体" w:eastAsia="宋体" w:hint="default"/>
                <w:sz w:val="18"/>
                <w:szCs w:val="18"/>
              </w:rPr>
              <w:t> 入和减少资本</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center"/>
              <w:rPr>
                <w:rFonts w:ascii="Times New Roman" w:hAnsi="Times New Roman" w:cs="Times New Roman" w:eastAsia="Times New Roman" w:hint="default"/>
                <w:sz w:val="18"/>
                <w:szCs w:val="18"/>
              </w:rPr>
            </w:pPr>
            <w:r>
              <w:rPr>
                <w:rFonts w:ascii="Times New Roman"/>
                <w:sz w:val="18"/>
              </w:rPr>
              <w:t>-3,80</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2,803,</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507.18</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182,86</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6,350.</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07</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-183,8</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62,842</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.89</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-218,9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31.52</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-184,0</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81,774</w:t>
            </w:r>
          </w:p>
          <w:p>
            <w:pPr>
              <w:pStyle w:val="TableParagraph"/>
              <w:spacing w:line="240" w:lineRule="auto" w:before="105"/>
              <w:ind w:left="321" w:right="0"/>
              <w:jc w:val="left"/>
              <w:rPr>
                <w:rFonts w:ascii="Times New Roman" w:hAnsi="Times New Roman" w:cs="Times New Roman" w:eastAsia="Times New Roman" w:hint="default"/>
                <w:sz w:val="18"/>
                <w:szCs w:val="18"/>
              </w:rPr>
            </w:pPr>
            <w:r>
              <w:rPr>
                <w:rFonts w:ascii="Times New Roman"/>
                <w:sz w:val="18"/>
              </w:rPr>
              <w:t>.41</w:t>
            </w:r>
          </w:p>
        </w:tc>
      </w:tr>
      <w:tr>
        <w:trPr>
          <w:trHeight w:val="1028"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center"/>
              <w:rPr>
                <w:rFonts w:ascii="Times New Roman" w:hAnsi="Times New Roman" w:cs="Times New Roman" w:eastAsia="Times New Roman" w:hint="default"/>
                <w:sz w:val="18"/>
                <w:szCs w:val="18"/>
              </w:rPr>
            </w:pPr>
            <w:r>
              <w:rPr>
                <w:rFonts w:ascii="Times New Roman"/>
                <w:sz w:val="18"/>
              </w:rPr>
              <w:t>-3,80</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-40,38</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5,506.</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16</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227,05</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1,856.</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23</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-271,2</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37,362</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.39</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-270,9</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37,362</w:t>
            </w:r>
          </w:p>
          <w:p>
            <w:pPr>
              <w:pStyle w:val="TableParagraph"/>
              <w:spacing w:line="240" w:lineRule="auto" w:before="105"/>
              <w:ind w:left="321" w:right="0"/>
              <w:jc w:val="left"/>
              <w:rPr>
                <w:rFonts w:ascii="Times New Roman" w:hAnsi="Times New Roman" w:cs="Times New Roman" w:eastAsia="Times New Roman" w:hint="default"/>
                <w:sz w:val="18"/>
                <w:szCs w:val="18"/>
              </w:rPr>
            </w:pPr>
            <w:r>
              <w:rPr>
                <w:rFonts w:ascii="Times New Roman"/>
                <w:sz w:val="18"/>
              </w:rPr>
              <w:t>.39</w:t>
            </w: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1,950,</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813.34</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1,950,</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813.34</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1,950,</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813.34</w:t>
            </w: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41,238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-44,18</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5,506.</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16</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85,423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,706.1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-518,9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31.52</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84,904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,774.6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9"/>
                <w:sz w:val="18"/>
                <w:szCs w:val="18"/>
              </w:rPr>
              <w:t>（三）利润分配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29,374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,519.3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1,429,</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109.72</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-91,26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9,269.</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27</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-60,46</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5,640.</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17</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-6,000,</w:t>
            </w:r>
          </w:p>
          <w:p>
            <w:pPr>
              <w:pStyle w:val="TableParagraph"/>
              <w:spacing w:line="240" w:lineRule="auto" w:before="105"/>
              <w:ind w:left="59" w:right="0"/>
              <w:jc w:val="left"/>
              <w:rPr>
                <w:rFonts w:ascii="Times New Roman" w:hAnsi="Times New Roman" w:cs="Times New Roman" w:eastAsia="Times New Roman" w:hint="default"/>
                <w:sz w:val="18"/>
                <w:szCs w:val="18"/>
              </w:rPr>
            </w:pPr>
            <w:r>
              <w:rPr>
                <w:rFonts w:ascii="Times New Roman"/>
                <w:sz w:val="18"/>
              </w:rPr>
              <w:t>000.00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-66,46</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5,640.</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17</w:t>
            </w: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29,374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,519.3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-29,37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4,519.</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38</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1,429,</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109.72</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-1,429,</w:t>
            </w:r>
          </w:p>
          <w:p>
            <w:pPr>
              <w:pStyle w:val="TableParagraph"/>
              <w:spacing w:line="240" w:lineRule="auto" w:before="105"/>
              <w:ind w:left="60" w:right="0"/>
              <w:jc w:val="left"/>
              <w:rPr>
                <w:rFonts w:ascii="Times New Roman" w:hAnsi="Times New Roman" w:cs="Times New Roman" w:eastAsia="Times New Roman" w:hint="default"/>
                <w:sz w:val="18"/>
                <w:szCs w:val="18"/>
              </w:rPr>
            </w:pPr>
            <w:r>
              <w:rPr>
                <w:rFonts w:ascii="Times New Roman"/>
                <w:sz w:val="18"/>
              </w:rPr>
              <w:t>109.72</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20"/>
              <w:jc w:val="left"/>
              <w:rPr>
                <w:rFonts w:ascii="宋体" w:hAnsi="宋体" w:cs="宋体" w:eastAsia="宋体" w:hint="default"/>
                <w:sz w:val="18"/>
                <w:szCs w:val="18"/>
              </w:rPr>
            </w:pPr>
            <w:r>
              <w:rPr>
                <w:rFonts w:ascii="Times New Roman" w:hAnsi="Times New Roman" w:cs="Times New Roman" w:eastAsia="Times New Roman" w:hint="default"/>
                <w:spacing w:val="-20"/>
                <w:sz w:val="18"/>
                <w:szCs w:val="18"/>
              </w:rPr>
              <w:t>3</w:t>
            </w:r>
            <w:r>
              <w:rPr>
                <w:rFonts w:ascii="宋体" w:hAnsi="宋体" w:cs="宋体" w:eastAsia="宋体" w:hint="default"/>
                <w:spacing w:val="-20"/>
                <w:sz w:val="18"/>
                <w:szCs w:val="18"/>
              </w:rPr>
              <w:t>．对所有者（或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股东）的分配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-60,46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5,640.</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17</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-60,46</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5,640.</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17</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-6,000,</w:t>
            </w:r>
          </w:p>
          <w:p>
            <w:pPr>
              <w:pStyle w:val="TableParagraph"/>
              <w:spacing w:line="240" w:lineRule="auto" w:before="105"/>
              <w:ind w:left="59" w:right="0"/>
              <w:jc w:val="left"/>
              <w:rPr>
                <w:rFonts w:ascii="Times New Roman" w:hAnsi="Times New Roman" w:cs="Times New Roman" w:eastAsia="Times New Roman" w:hint="default"/>
                <w:sz w:val="18"/>
                <w:szCs w:val="18"/>
              </w:rPr>
            </w:pPr>
            <w:r>
              <w:rPr>
                <w:rFonts w:ascii="Times New Roman"/>
                <w:sz w:val="18"/>
              </w:rPr>
              <w:t>000.00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-66,46</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5,640.</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17</w:t>
            </w: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9"/>
                <w:sz w:val="18"/>
                <w:szCs w:val="18"/>
              </w:rPr>
              <w:t>（四）所有者权</w:t>
            </w:r>
            <w:r>
              <w:rPr>
                <w:rFonts w:ascii="宋体" w:hAnsi="宋体" w:cs="宋体" w:eastAsia="宋体" w:hint="default"/>
                <w:sz w:val="18"/>
                <w:szCs w:val="18"/>
              </w:rPr>
              <w:t> 益内部结转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4"/>
        <w:gridCol w:w="583"/>
        <w:gridCol w:w="583"/>
        <w:gridCol w:w="586"/>
        <w:gridCol w:w="584"/>
        <w:gridCol w:w="583"/>
        <w:gridCol w:w="586"/>
        <w:gridCol w:w="578"/>
      </w:tblGrid>
      <w:tr>
        <w:trPr>
          <w:trHeight w:val="67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2" w:right="137"/>
              <w:jc w:val="left"/>
              <w:rPr>
                <w:rFonts w:ascii="宋体" w:hAnsi="宋体" w:cs="宋体" w:eastAsia="宋体" w:hint="default"/>
                <w:sz w:val="18"/>
                <w:szCs w:val="18"/>
              </w:rPr>
            </w:pPr>
            <w:r>
              <w:rPr>
                <w:rFonts w:ascii="宋体" w:hAnsi="宋体" w:cs="宋体" w:eastAsia="宋体" w:hint="default"/>
                <w:sz w:val="18"/>
                <w:szCs w:val="18"/>
              </w:rPr>
              <w:t>增资本（或股 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
                <w:sz w:val="18"/>
                <w:szCs w:val="18"/>
              </w:rPr>
              <w:t>（五）专项储备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2" w:right="20"/>
              <w:jc w:val="left"/>
              <w:rPr>
                <w:rFonts w:ascii="宋体" w:hAnsi="宋体" w:cs="宋体" w:eastAsia="宋体" w:hint="default"/>
                <w:sz w:val="18"/>
                <w:szCs w:val="18"/>
              </w:rPr>
            </w:pPr>
            <w:r>
              <w:rPr>
                <w:rFonts w:ascii="宋体" w:hAnsi="宋体" w:cs="宋体" w:eastAsia="宋体" w:hint="default"/>
                <w:spacing w:val="-9"/>
                <w:sz w:val="18"/>
                <w:szCs w:val="18"/>
              </w:rPr>
              <w:t>四、本期期末余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1,243</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,535,</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239.0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4,676,</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396,95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9.67</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658,72</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7,763.</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28</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-13,09</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4,274.</w:t>
            </w:r>
          </w:p>
          <w:p>
            <w:pPr>
              <w:pStyle w:val="TableParagraph"/>
              <w:spacing w:line="240" w:lineRule="auto" w:before="105"/>
              <w:ind w:left="372" w:right="0"/>
              <w:jc w:val="left"/>
              <w:rPr>
                <w:rFonts w:ascii="Times New Roman" w:hAnsi="Times New Roman" w:cs="Times New Roman" w:eastAsia="Times New Roman" w:hint="default"/>
                <w:sz w:val="18"/>
                <w:szCs w:val="18"/>
              </w:rPr>
            </w:pPr>
            <w:r>
              <w:rPr>
                <w:rFonts w:ascii="Times New Roman"/>
                <w:sz w:val="18"/>
              </w:rPr>
              <w:t>29</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128,81</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1,704.</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30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1,429,</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109.72</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-1,565,</w:t>
            </w:r>
          </w:p>
          <w:p>
            <w:pPr>
              <w:pStyle w:val="TableParagraph"/>
              <w:spacing w:line="240" w:lineRule="auto" w:before="105"/>
              <w:ind w:left="39" w:right="0"/>
              <w:jc w:val="center"/>
              <w:rPr>
                <w:rFonts w:ascii="Times New Roman" w:hAnsi="Times New Roman" w:cs="Times New Roman" w:eastAsia="Times New Roman" w:hint="default"/>
                <w:sz w:val="18"/>
                <w:szCs w:val="18"/>
              </w:rPr>
            </w:pPr>
            <w:r>
              <w:rPr>
                <w:rFonts w:ascii="Times New Roman"/>
                <w:sz w:val="18"/>
              </w:rPr>
              <w:t>072,02</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5.14</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3,813,</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278,94</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9.98</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89,021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,790.8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3,902,</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300,74</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0.87</w:t>
            </w:r>
          </w:p>
        </w:tc>
      </w:tr>
    </w:tbl>
    <w:p>
      <w:pPr>
        <w:pStyle w:val="BodyText"/>
        <w:spacing w:line="240" w:lineRule="auto" w:before="49"/>
        <w:ind w:right="1133"/>
        <w:jc w:val="left"/>
      </w:pPr>
      <w:r>
        <w:rPr/>
        <w:t>上期金额</w:t>
      </w:r>
    </w:p>
    <w:p>
      <w:pPr>
        <w:pStyle w:val="BodyText"/>
        <w:spacing w:line="240" w:lineRule="auto" w:before="117"/>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00"/>
        <w:gridCol w:w="490"/>
        <w:gridCol w:w="449"/>
        <w:gridCol w:w="449"/>
        <w:gridCol w:w="493"/>
        <w:gridCol w:w="576"/>
        <w:gridCol w:w="576"/>
        <w:gridCol w:w="578"/>
        <w:gridCol w:w="576"/>
        <w:gridCol w:w="576"/>
        <w:gridCol w:w="578"/>
        <w:gridCol w:w="588"/>
        <w:gridCol w:w="567"/>
        <w:gridCol w:w="569"/>
        <w:gridCol w:w="641"/>
        <w:gridCol w:w="653"/>
      </w:tblGrid>
      <w:tr>
        <w:trPr>
          <w:trHeight w:val="402" w:hRule="exact"/>
        </w:trPr>
        <w:tc>
          <w:tcPr>
            <w:tcW w:w="1200" w:type="dxa"/>
            <w:vMerge w:val="restart"/>
            <w:tcBorders>
              <w:top w:val="single" w:sz="4" w:space="0" w:color="000000"/>
              <w:left w:val="single" w:sz="4" w:space="0" w:color="000000"/>
              <w:right w:val="single" w:sz="4" w:space="0" w:color="000000"/>
            </w:tcBorders>
            <w:shd w:val="clear" w:color="auto" w:fill="D2D2D2"/>
          </w:tcPr>
          <w:p>
            <w:pPr/>
          </w:p>
        </w:tc>
        <w:tc>
          <w:tcPr>
            <w:tcW w:w="8358"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252" w:hRule="exact"/>
        </w:trPr>
        <w:tc>
          <w:tcPr>
            <w:tcW w:w="1200" w:type="dxa"/>
            <w:vMerge/>
            <w:tcBorders>
              <w:left w:val="single" w:sz="4" w:space="0" w:color="000000"/>
              <w:right w:val="single" w:sz="4" w:space="0" w:color="000000"/>
            </w:tcBorders>
            <w:shd w:val="clear" w:color="auto" w:fill="D2D2D2"/>
          </w:tcPr>
          <w:p>
            <w:pPr/>
          </w:p>
        </w:tc>
        <w:tc>
          <w:tcPr>
            <w:tcW w:w="7065" w:type="dxa"/>
            <w:gridSpan w:val="1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41" w:type="dxa"/>
            <w:vMerge w:val="restart"/>
            <w:tcBorders>
              <w:top w:val="single" w:sz="4" w:space="0" w:color="000000"/>
              <w:left w:val="single" w:sz="4" w:space="0" w:color="000000"/>
              <w:right w:val="single" w:sz="4" w:space="0" w:color="000000"/>
            </w:tcBorders>
            <w:shd w:val="clear" w:color="auto" w:fill="D2D2D2"/>
          </w:tcPr>
          <w:p>
            <w:pPr/>
          </w:p>
        </w:tc>
        <w:tc>
          <w:tcPr>
            <w:tcW w:w="65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49" w:hRule="exact"/>
        </w:trPr>
        <w:tc>
          <w:tcPr>
            <w:tcW w:w="1200" w:type="dxa"/>
            <w:vMerge/>
            <w:tcBorders>
              <w:left w:val="single" w:sz="4" w:space="0" w:color="000000"/>
              <w:bottom w:val="nil" w:sz="6" w:space="0" w:color="auto"/>
              <w:right w:val="single" w:sz="4" w:space="0" w:color="000000"/>
            </w:tcBorders>
            <w:shd w:val="clear" w:color="auto" w:fill="D2D2D2"/>
          </w:tcPr>
          <w:p>
            <w:pPr/>
          </w:p>
        </w:tc>
        <w:tc>
          <w:tcPr>
            <w:tcW w:w="7065" w:type="dxa"/>
            <w:gridSpan w:val="13"/>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48"/>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2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490" w:type="dxa"/>
            <w:vMerge w:val="restart"/>
            <w:tcBorders>
              <w:top w:val="single" w:sz="4" w:space="0" w:color="000000"/>
              <w:left w:val="single" w:sz="4" w:space="0" w:color="000000"/>
              <w:right w:val="single" w:sz="4" w:space="0" w:color="000000"/>
            </w:tcBorders>
            <w:shd w:val="clear" w:color="auto" w:fill="D2D2D2"/>
          </w:tcPr>
          <w:p>
            <w:pPr/>
          </w:p>
        </w:tc>
        <w:tc>
          <w:tcPr>
            <w:tcW w:w="139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4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03"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03"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10" w:right="107"/>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67" w:type="dxa"/>
            <w:vMerge w:val="restart"/>
            <w:tcBorders>
              <w:top w:val="single" w:sz="4" w:space="0" w:color="000000"/>
              <w:left w:val="single" w:sz="4" w:space="0" w:color="000000"/>
              <w:right w:val="single" w:sz="4" w:space="0" w:color="000000"/>
            </w:tcBorders>
            <w:shd w:val="clear" w:color="auto" w:fill="D2D2D2"/>
          </w:tcPr>
          <w:p>
            <w:pPr/>
          </w:p>
        </w:tc>
        <w:tc>
          <w:tcPr>
            <w:tcW w:w="569" w:type="dxa"/>
            <w:vMerge w:val="restart"/>
            <w:tcBorders>
              <w:top w:val="single" w:sz="4" w:space="0" w:color="000000"/>
              <w:left w:val="single" w:sz="4" w:space="0" w:color="000000"/>
              <w:right w:val="single" w:sz="4" w:space="0" w:color="000000"/>
            </w:tcBorders>
            <w:shd w:val="clear" w:color="auto" w:fill="D2D2D2"/>
          </w:tcPr>
          <w:p>
            <w:pPr/>
          </w:p>
        </w:tc>
        <w:tc>
          <w:tcPr>
            <w:tcW w:w="641"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6"/>
              <w:ind w:left="48" w:right="41"/>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3" w:type="dxa"/>
            <w:vMerge/>
            <w:tcBorders>
              <w:left w:val="single" w:sz="4" w:space="0" w:color="000000"/>
              <w:right w:val="single" w:sz="4" w:space="0" w:color="000000"/>
            </w:tcBorders>
            <w:shd w:val="clear" w:color="auto" w:fill="D2D2D2"/>
          </w:tcPr>
          <w:p>
            <w:pPr/>
          </w:p>
        </w:tc>
      </w:tr>
      <w:tr>
        <w:trPr>
          <w:trHeight w:val="165" w:hRule="exact"/>
        </w:trPr>
        <w:tc>
          <w:tcPr>
            <w:tcW w:w="1200" w:type="dxa"/>
            <w:vMerge/>
            <w:tcBorders>
              <w:left w:val="single" w:sz="4" w:space="0" w:color="000000"/>
              <w:bottom w:val="nil" w:sz="6" w:space="0" w:color="auto"/>
              <w:right w:val="single" w:sz="4" w:space="0" w:color="000000"/>
            </w:tcBorders>
            <w:shd w:val="clear" w:color="auto" w:fill="D2D2D2"/>
          </w:tcPr>
          <w:p>
            <w:pPr/>
          </w:p>
        </w:tc>
        <w:tc>
          <w:tcPr>
            <w:tcW w:w="490" w:type="dxa"/>
            <w:vMerge/>
            <w:tcBorders>
              <w:left w:val="single" w:sz="4" w:space="0" w:color="000000"/>
              <w:bottom w:val="nil" w:sz="6" w:space="0" w:color="auto"/>
              <w:right w:val="single" w:sz="4" w:space="0" w:color="000000"/>
            </w:tcBorders>
            <w:shd w:val="clear" w:color="auto" w:fill="D2D2D2"/>
          </w:tcPr>
          <w:p>
            <w:pPr/>
          </w:p>
        </w:tc>
        <w:tc>
          <w:tcPr>
            <w:tcW w:w="1390" w:type="dxa"/>
            <w:gridSpan w:val="3"/>
            <w:vMerge/>
            <w:tcBorders>
              <w:left w:val="single" w:sz="4" w:space="0" w:color="000000"/>
              <w:bottom w:val="single" w:sz="4" w:space="0" w:color="000000"/>
              <w:right w:val="single" w:sz="4" w:space="0" w:color="000000"/>
            </w:tcBorders>
            <w:shd w:val="clear" w:color="auto" w:fill="D2D2D2"/>
          </w:tcPr>
          <w:p>
            <w:pP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3" w:right="19" w:hanging="80"/>
              <w:jc w:val="left"/>
              <w:rPr>
                <w:rFonts w:ascii="宋体" w:hAnsi="宋体" w:cs="宋体" w:eastAsia="宋体" w:hint="default"/>
                <w:sz w:val="18"/>
                <w:szCs w:val="18"/>
              </w:rPr>
            </w:pPr>
            <w:r>
              <w:rPr>
                <w:rFonts w:ascii="宋体" w:hAnsi="宋体" w:cs="宋体" w:eastAsia="宋体" w:hint="default"/>
                <w:spacing w:val="-7"/>
                <w:sz w:val="18"/>
                <w:szCs w:val="18"/>
              </w:rPr>
              <w:t>减：库</w:t>
            </w:r>
            <w:r>
              <w:rPr>
                <w:rFonts w:ascii="宋体" w:hAnsi="宋体" w:cs="宋体" w:eastAsia="宋体" w:hint="default"/>
                <w:sz w:val="18"/>
                <w:szCs w:val="18"/>
              </w:rPr>
              <w:t> 存股</w:t>
            </w:r>
          </w:p>
        </w:tc>
        <w:tc>
          <w:tcPr>
            <w:tcW w:w="578" w:type="dxa"/>
            <w:vMerge/>
            <w:tcBorders>
              <w:left w:val="single" w:sz="4" w:space="0" w:color="000000"/>
              <w:right w:val="single" w:sz="4" w:space="0" w:color="000000"/>
            </w:tcBorders>
            <w:shd w:val="clear" w:color="auto" w:fill="D2D2D2"/>
          </w:tcPr>
          <w:p>
            <w:pP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tcBorders>
              <w:left w:val="single" w:sz="4" w:space="0" w:color="000000"/>
              <w:bottom w:val="nil" w:sz="6" w:space="0" w:color="auto"/>
              <w:right w:val="single" w:sz="4" w:space="0" w:color="000000"/>
            </w:tcBorders>
            <w:shd w:val="clear" w:color="auto" w:fill="D2D2D2"/>
          </w:tcPr>
          <w:p>
            <w:pPr/>
          </w:p>
        </w:tc>
        <w:tc>
          <w:tcPr>
            <w:tcW w:w="569" w:type="dxa"/>
            <w:vMerge/>
            <w:tcBorders>
              <w:left w:val="single" w:sz="4" w:space="0" w:color="000000"/>
              <w:bottom w:val="nil" w:sz="6" w:space="0" w:color="auto"/>
              <w:right w:val="single" w:sz="4" w:space="0" w:color="000000"/>
            </w:tcBorders>
            <w:shd w:val="clear" w:color="auto" w:fill="D2D2D2"/>
          </w:tcPr>
          <w:p>
            <w:pPr/>
          </w:p>
        </w:tc>
        <w:tc>
          <w:tcPr>
            <w:tcW w:w="641"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193" w:hRule="exact"/>
        </w:trPr>
        <w:tc>
          <w:tcPr>
            <w:tcW w:w="1200" w:type="dxa"/>
            <w:vMerge w:val="restart"/>
            <w:tcBorders>
              <w:top w:val="nil" w:sz="6" w:space="0" w:color="auto"/>
              <w:left w:val="single" w:sz="4" w:space="0" w:color="000000"/>
              <w:right w:val="single" w:sz="4" w:space="0" w:color="000000"/>
            </w:tcBorders>
            <w:shd w:val="clear" w:color="auto" w:fill="D2D2D2"/>
          </w:tcPr>
          <w:p>
            <w:pPr/>
          </w:p>
        </w:tc>
        <w:tc>
          <w:tcPr>
            <w:tcW w:w="4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4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0"/>
              <w:ind w:left="129" w:right="36"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44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0"/>
              <w:ind w:left="129" w:right="36"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493"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9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41"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192" w:hRule="exact"/>
        </w:trPr>
        <w:tc>
          <w:tcPr>
            <w:tcW w:w="1200" w:type="dxa"/>
            <w:vMerge/>
            <w:tcBorders>
              <w:left w:val="single" w:sz="4" w:space="0" w:color="000000"/>
              <w:right w:val="single" w:sz="4" w:space="0" w:color="000000"/>
            </w:tcBorders>
            <w:shd w:val="clear" w:color="auto" w:fill="D2D2D2"/>
          </w:tcPr>
          <w:p>
            <w:pPr/>
          </w:p>
        </w:tc>
        <w:tc>
          <w:tcPr>
            <w:tcW w:w="490" w:type="dxa"/>
            <w:vMerge/>
            <w:tcBorders>
              <w:left w:val="single" w:sz="4" w:space="0" w:color="000000"/>
              <w:bottom w:val="nil" w:sz="6" w:space="0" w:color="auto"/>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tcBorders>
              <w:left w:val="single" w:sz="4" w:space="0" w:color="000000"/>
              <w:bottom w:val="nil" w:sz="6" w:space="0" w:color="auto"/>
              <w:right w:val="single" w:sz="4" w:space="0" w:color="000000"/>
            </w:tcBorders>
            <w:shd w:val="clear" w:color="auto" w:fill="D2D2D2"/>
          </w:tcPr>
          <w:p>
            <w:pPr/>
          </w:p>
        </w:tc>
        <w:tc>
          <w:tcPr>
            <w:tcW w:w="569" w:type="dxa"/>
            <w:vMerge/>
            <w:tcBorders>
              <w:left w:val="single" w:sz="4" w:space="0" w:color="000000"/>
              <w:bottom w:val="nil" w:sz="6" w:space="0" w:color="auto"/>
              <w:right w:val="single" w:sz="4" w:space="0" w:color="000000"/>
            </w:tcBorders>
            <w:shd w:val="clear" w:color="auto" w:fill="D2D2D2"/>
          </w:tcPr>
          <w:p>
            <w:pPr/>
          </w:p>
        </w:tc>
        <w:tc>
          <w:tcPr>
            <w:tcW w:w="641" w:type="dxa"/>
            <w:vMerge/>
            <w:tcBorders>
              <w:left w:val="single" w:sz="4" w:space="0" w:color="000000"/>
              <w:bottom w:val="nil" w:sz="6" w:space="0" w:color="auto"/>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133" w:hRule="exact"/>
        </w:trPr>
        <w:tc>
          <w:tcPr>
            <w:tcW w:w="1200" w:type="dxa"/>
            <w:vMerge/>
            <w:tcBorders>
              <w:left w:val="single" w:sz="4" w:space="0" w:color="000000"/>
              <w:right w:val="single" w:sz="4" w:space="0" w:color="000000"/>
            </w:tcBorders>
            <w:shd w:val="clear" w:color="auto" w:fill="D2D2D2"/>
          </w:tcPr>
          <w:p>
            <w:pPr/>
          </w:p>
        </w:tc>
        <w:tc>
          <w:tcPr>
            <w:tcW w:w="490" w:type="dxa"/>
            <w:vMerge w:val="restart"/>
            <w:tcBorders>
              <w:top w:val="nil" w:sz="6" w:space="0" w:color="auto"/>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93"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val="restart"/>
            <w:tcBorders>
              <w:top w:val="nil" w:sz="6" w:space="0" w:color="auto"/>
              <w:left w:val="single" w:sz="4" w:space="0" w:color="000000"/>
              <w:right w:val="single" w:sz="4" w:space="0" w:color="000000"/>
            </w:tcBorders>
            <w:shd w:val="clear" w:color="auto" w:fill="D2D2D2"/>
          </w:tcPr>
          <w:p>
            <w:pPr/>
          </w:p>
        </w:tc>
        <w:tc>
          <w:tcPr>
            <w:tcW w:w="569" w:type="dxa"/>
            <w:vMerge w:val="restart"/>
            <w:tcBorders>
              <w:top w:val="nil" w:sz="6" w:space="0" w:color="auto"/>
              <w:left w:val="single" w:sz="4" w:space="0" w:color="000000"/>
              <w:right w:val="single" w:sz="4" w:space="0" w:color="000000"/>
            </w:tcBorders>
            <w:shd w:val="clear" w:color="auto" w:fill="D2D2D2"/>
          </w:tcPr>
          <w:p>
            <w:pPr/>
          </w:p>
        </w:tc>
        <w:tc>
          <w:tcPr>
            <w:tcW w:w="641" w:type="dxa"/>
            <w:vMerge w:val="restart"/>
            <w:tcBorders>
              <w:top w:val="nil" w:sz="6" w:space="0" w:color="auto"/>
              <w:left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r>
      <w:tr>
        <w:trPr>
          <w:trHeight w:val="215" w:hRule="exact"/>
        </w:trPr>
        <w:tc>
          <w:tcPr>
            <w:tcW w:w="1200" w:type="dxa"/>
            <w:vMerge/>
            <w:tcBorders>
              <w:left w:val="single" w:sz="4" w:space="0" w:color="000000"/>
              <w:bottom w:val="single" w:sz="4" w:space="0" w:color="000000"/>
              <w:right w:val="single" w:sz="4" w:space="0" w:color="000000"/>
            </w:tcBorders>
            <w:shd w:val="clear" w:color="auto" w:fill="D2D2D2"/>
          </w:tcPr>
          <w:p>
            <w:pPr/>
          </w:p>
        </w:tc>
        <w:tc>
          <w:tcPr>
            <w:tcW w:w="490" w:type="dxa"/>
            <w:vMerge/>
            <w:tcBorders>
              <w:left w:val="single" w:sz="4" w:space="0" w:color="000000"/>
              <w:bottom w:val="single" w:sz="4" w:space="0" w:color="000000"/>
              <w:right w:val="single" w:sz="4" w:space="0" w:color="000000"/>
            </w:tcBorders>
            <w:shd w:val="clear" w:color="auto" w:fill="D2D2D2"/>
          </w:tcPr>
          <w:p>
            <w:pPr/>
          </w:p>
        </w:tc>
        <w:tc>
          <w:tcPr>
            <w:tcW w:w="449" w:type="dxa"/>
            <w:vMerge/>
            <w:tcBorders>
              <w:left w:val="single" w:sz="4" w:space="0" w:color="000000"/>
              <w:bottom w:val="single" w:sz="4" w:space="0" w:color="000000"/>
              <w:right w:val="single" w:sz="4" w:space="0" w:color="000000"/>
            </w:tcBorders>
            <w:shd w:val="clear" w:color="auto" w:fill="D2D2D2"/>
          </w:tcPr>
          <w:p>
            <w:pPr/>
          </w:p>
        </w:tc>
        <w:tc>
          <w:tcPr>
            <w:tcW w:w="449" w:type="dxa"/>
            <w:vMerge/>
            <w:tcBorders>
              <w:left w:val="single" w:sz="4" w:space="0" w:color="000000"/>
              <w:bottom w:val="single" w:sz="4" w:space="0" w:color="000000"/>
              <w:right w:val="single" w:sz="4" w:space="0" w:color="000000"/>
            </w:tcBorders>
            <w:shd w:val="clear" w:color="auto" w:fill="D2D2D2"/>
          </w:tcPr>
          <w:p>
            <w:pPr/>
          </w:p>
        </w:tc>
        <w:tc>
          <w:tcPr>
            <w:tcW w:w="493"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88" w:type="dxa"/>
            <w:vMerge/>
            <w:tcBorders>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single" w:sz="4" w:space="0" w:color="000000"/>
              <w:right w:val="single" w:sz="4" w:space="0" w:color="000000"/>
            </w:tcBorders>
            <w:shd w:val="clear" w:color="auto" w:fill="D2D2D2"/>
          </w:tcPr>
          <w:p>
            <w:pPr/>
          </w:p>
        </w:tc>
        <w:tc>
          <w:tcPr>
            <w:tcW w:w="65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9" w:hRule="exact"/>
        </w:trPr>
        <w:tc>
          <w:tcPr>
            <w:tcW w:w="1200" w:type="dxa"/>
            <w:tcBorders>
              <w:top w:val="single" w:sz="4" w:space="0" w:color="000000"/>
              <w:left w:val="single" w:sz="4" w:space="0" w:color="000000"/>
              <w:bottom w:val="nil" w:sz="6" w:space="0" w:color="auto"/>
              <w:right w:val="single" w:sz="4" w:space="0" w:color="000000"/>
            </w:tcBorders>
            <w:shd w:val="clear" w:color="auto" w:fill="D2D2D2"/>
          </w:tcPr>
          <w:p>
            <w:pPr/>
          </w:p>
        </w:tc>
        <w:tc>
          <w:tcPr>
            <w:tcW w:w="490" w:type="dxa"/>
            <w:vMerge w:val="restart"/>
            <w:tcBorders>
              <w:top w:val="single" w:sz="4" w:space="0" w:color="000000"/>
              <w:left w:val="single" w:sz="9" w:space="0" w:color="D2D2D2"/>
              <w:right w:val="single" w:sz="4" w:space="0" w:color="000000"/>
            </w:tcBorders>
          </w:tcPr>
          <w:p>
            <w:pPr>
              <w:pStyle w:val="TableParagraph"/>
              <w:spacing w:line="240" w:lineRule="auto" w:before="93"/>
              <w:ind w:left="46" w:right="0"/>
              <w:jc w:val="left"/>
              <w:rPr>
                <w:rFonts w:ascii="Times New Roman" w:hAnsi="Times New Roman" w:cs="Times New Roman" w:eastAsia="Times New Roman" w:hint="default"/>
                <w:sz w:val="18"/>
                <w:szCs w:val="18"/>
              </w:rPr>
            </w:pPr>
            <w:r>
              <w:rPr>
                <w:rFonts w:ascii="Times New Roman"/>
                <w:sz w:val="18"/>
              </w:rPr>
              <w:t>1,251</w:t>
            </w:r>
          </w:p>
          <w:p>
            <w:pPr>
              <w:pStyle w:val="TableParagraph"/>
              <w:spacing w:line="240" w:lineRule="auto" w:before="102"/>
              <w:ind w:left="92" w:right="0"/>
              <w:jc w:val="left"/>
              <w:rPr>
                <w:rFonts w:ascii="Times New Roman" w:hAnsi="Times New Roman" w:cs="Times New Roman" w:eastAsia="Times New Roman" w:hint="default"/>
                <w:sz w:val="18"/>
                <w:szCs w:val="18"/>
              </w:rPr>
            </w:pPr>
            <w:r>
              <w:rPr>
                <w:rFonts w:ascii="Times New Roman"/>
                <w:sz w:val="18"/>
              </w:rPr>
              <w:t>,350,</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095.0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3"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4,707,</w:t>
            </w:r>
          </w:p>
          <w:p>
            <w:pPr>
              <w:pStyle w:val="TableParagraph"/>
              <w:spacing w:line="240" w:lineRule="auto" w:before="102"/>
              <w:ind w:left="29" w:right="0"/>
              <w:jc w:val="center"/>
              <w:rPr>
                <w:rFonts w:ascii="Times New Roman" w:hAnsi="Times New Roman" w:cs="Times New Roman" w:eastAsia="Times New Roman" w:hint="default"/>
                <w:sz w:val="18"/>
                <w:szCs w:val="18"/>
              </w:rPr>
            </w:pPr>
            <w:r>
              <w:rPr>
                <w:rFonts w:ascii="Times New Roman"/>
                <w:sz w:val="18"/>
              </w:rPr>
              <w:t>104,89</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6.60</w:t>
            </w: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21" w:space="0" w:color="D2D2D2"/>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35" w:right="0"/>
              <w:jc w:val="left"/>
              <w:rPr>
                <w:rFonts w:ascii="Times New Roman" w:hAnsi="Times New Roman" w:cs="Times New Roman" w:eastAsia="Times New Roman" w:hint="default"/>
                <w:sz w:val="18"/>
                <w:szCs w:val="18"/>
              </w:rPr>
            </w:pPr>
            <w:r>
              <w:rPr>
                <w:rFonts w:ascii="Times New Roman"/>
                <w:sz w:val="18"/>
              </w:rPr>
              <w:t>-1,596,</w:t>
            </w:r>
          </w:p>
          <w:p>
            <w:pPr>
              <w:pStyle w:val="TableParagraph"/>
              <w:spacing w:line="240" w:lineRule="auto" w:before="102"/>
              <w:ind w:left="50" w:right="0"/>
              <w:jc w:val="left"/>
              <w:rPr>
                <w:rFonts w:ascii="Times New Roman" w:hAnsi="Times New Roman" w:cs="Times New Roman" w:eastAsia="Times New Roman" w:hint="default"/>
                <w:sz w:val="18"/>
                <w:szCs w:val="18"/>
              </w:rPr>
            </w:pPr>
            <w:r>
              <w:rPr>
                <w:rFonts w:ascii="Times New Roman"/>
                <w:sz w:val="18"/>
              </w:rPr>
              <w:t>209.06</w:t>
            </w: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47,424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,431.3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578" w:type="dxa"/>
            <w:vMerge w:val="restart"/>
            <w:tcBorders>
              <w:top w:val="single" w:sz="21" w:space="0" w:color="D2D2D2"/>
              <w:left w:val="single" w:sz="4" w:space="0" w:color="000000"/>
              <w:right w:val="single" w:sz="4" w:space="0" w:color="000000"/>
            </w:tcBorders>
          </w:tcPr>
          <w:p>
            <w:pPr/>
          </w:p>
        </w:tc>
        <w:tc>
          <w:tcPr>
            <w:tcW w:w="588" w:type="dxa"/>
            <w:vMerge w:val="restart"/>
            <w:tcBorders>
              <w:top w:val="single" w:sz="21" w:space="0" w:color="D2D2D2"/>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963,19</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6,408.</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72</w:t>
            </w:r>
          </w:p>
        </w:tc>
        <w:tc>
          <w:tcPr>
            <w:tcW w:w="567"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6,967,</w:t>
            </w:r>
          </w:p>
          <w:p>
            <w:pPr>
              <w:pStyle w:val="TableParagraph"/>
              <w:spacing w:line="240" w:lineRule="auto" w:before="102"/>
              <w:ind w:left="17" w:right="0"/>
              <w:jc w:val="center"/>
              <w:rPr>
                <w:rFonts w:ascii="Times New Roman" w:hAnsi="Times New Roman" w:cs="Times New Roman" w:eastAsia="Times New Roman" w:hint="default"/>
                <w:sz w:val="18"/>
                <w:szCs w:val="18"/>
              </w:rPr>
            </w:pPr>
            <w:r>
              <w:rPr>
                <w:rFonts w:ascii="Times New Roman"/>
                <w:sz w:val="18"/>
              </w:rPr>
              <w:t>479,62</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2.61</w:t>
            </w:r>
          </w:p>
        </w:tc>
        <w:tc>
          <w:tcPr>
            <w:tcW w:w="6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36,001,</w:t>
            </w:r>
          </w:p>
          <w:p>
            <w:pPr>
              <w:pStyle w:val="TableParagraph"/>
              <w:spacing w:line="240" w:lineRule="auto" w:before="102"/>
              <w:ind w:left="117" w:right="0"/>
              <w:jc w:val="left"/>
              <w:rPr>
                <w:rFonts w:ascii="Times New Roman" w:hAnsi="Times New Roman" w:cs="Times New Roman" w:eastAsia="Times New Roman" w:hint="default"/>
                <w:sz w:val="18"/>
                <w:szCs w:val="18"/>
              </w:rPr>
            </w:pPr>
            <w:r>
              <w:rPr>
                <w:rFonts w:ascii="Times New Roman"/>
                <w:sz w:val="18"/>
              </w:rPr>
              <w:t>050.18</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7,003,4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80,672.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79</w:t>
            </w:r>
          </w:p>
        </w:tc>
      </w:tr>
      <w:tr>
        <w:trPr>
          <w:trHeight w:val="703" w:hRule="exact"/>
        </w:trPr>
        <w:tc>
          <w:tcPr>
            <w:tcW w:w="12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96"/>
              <w:jc w:val="left"/>
              <w:rPr>
                <w:rFonts w:ascii="宋体" w:hAnsi="宋体" w:cs="宋体" w:eastAsia="宋体" w:hint="default"/>
                <w:sz w:val="18"/>
                <w:szCs w:val="18"/>
              </w:rPr>
            </w:pPr>
            <w:r>
              <w:rPr>
                <w:rFonts w:ascii="宋体" w:hAnsi="宋体" w:cs="宋体" w:eastAsia="宋体" w:hint="default"/>
                <w:sz w:val="18"/>
                <w:szCs w:val="18"/>
              </w:rPr>
              <w:t>一、上年期末 余额</w:t>
            </w:r>
          </w:p>
        </w:tc>
        <w:tc>
          <w:tcPr>
            <w:tcW w:w="490" w:type="dxa"/>
            <w:vMerge/>
            <w:tcBorders>
              <w:left w:val="single" w:sz="9" w:space="0" w:color="D2D2D2"/>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3"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317" w:hRule="exact"/>
        </w:trPr>
        <w:tc>
          <w:tcPr>
            <w:tcW w:w="1200" w:type="dxa"/>
            <w:tcBorders>
              <w:top w:val="nil" w:sz="6" w:space="0" w:color="auto"/>
              <w:left w:val="single" w:sz="4" w:space="0" w:color="000000"/>
              <w:bottom w:val="single" w:sz="4" w:space="0" w:color="000000"/>
              <w:right w:val="single" w:sz="4" w:space="0" w:color="000000"/>
            </w:tcBorders>
            <w:shd w:val="clear" w:color="auto" w:fill="D2D2D2"/>
          </w:tcPr>
          <w:p>
            <w:pPr/>
          </w:p>
        </w:tc>
        <w:tc>
          <w:tcPr>
            <w:tcW w:w="490" w:type="dxa"/>
            <w:vMerge/>
            <w:tcBorders>
              <w:left w:val="single" w:sz="9" w:space="0" w:color="D2D2D2"/>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3"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6" w:firstLine="360"/>
              <w:jc w:val="left"/>
              <w:rPr>
                <w:rFonts w:ascii="宋体" w:hAnsi="宋体" w:cs="宋体" w:eastAsia="宋体" w:hint="default"/>
                <w:sz w:val="18"/>
                <w:szCs w:val="18"/>
              </w:rPr>
            </w:pPr>
            <w:r>
              <w:rPr>
                <w:rFonts w:ascii="宋体" w:hAnsi="宋体" w:cs="宋体" w:eastAsia="宋体" w:hint="default"/>
                <w:sz w:val="18"/>
                <w:szCs w:val="18"/>
              </w:rPr>
              <w:t>加：会计 政策变更</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6"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3"/>
        <w:gridCol w:w="576"/>
        <w:gridCol w:w="576"/>
        <w:gridCol w:w="578"/>
        <w:gridCol w:w="576"/>
        <w:gridCol w:w="576"/>
        <w:gridCol w:w="578"/>
        <w:gridCol w:w="588"/>
        <w:gridCol w:w="567"/>
        <w:gridCol w:w="569"/>
        <w:gridCol w:w="641"/>
        <w:gridCol w:w="653"/>
      </w:tblGrid>
      <w:tr>
        <w:trPr>
          <w:trHeight w:val="133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2" w:right="96"/>
              <w:jc w:val="left"/>
              <w:rPr>
                <w:rFonts w:ascii="宋体" w:hAnsi="宋体" w:cs="宋体" w:eastAsia="宋体" w:hint="default"/>
                <w:sz w:val="18"/>
                <w:szCs w:val="18"/>
              </w:rPr>
            </w:pPr>
            <w:r>
              <w:rPr>
                <w:rFonts w:ascii="宋体" w:hAnsi="宋体" w:cs="宋体" w:eastAsia="宋体" w:hint="default"/>
                <w:sz w:val="18"/>
                <w:szCs w:val="18"/>
              </w:rPr>
              <w:t>二、本年期初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1,251</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,350,</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095.0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4,707,</w:t>
            </w:r>
          </w:p>
          <w:p>
            <w:pPr>
              <w:pStyle w:val="TableParagraph"/>
              <w:spacing w:line="240" w:lineRule="auto" w:before="105"/>
              <w:ind w:left="29" w:right="0"/>
              <w:jc w:val="center"/>
              <w:rPr>
                <w:rFonts w:ascii="Times New Roman" w:hAnsi="Times New Roman" w:cs="Times New Roman" w:eastAsia="Times New Roman" w:hint="default"/>
                <w:sz w:val="18"/>
                <w:szCs w:val="18"/>
              </w:rPr>
            </w:pPr>
            <w:r>
              <w:rPr>
                <w:rFonts w:ascii="Times New Roman"/>
                <w:sz w:val="18"/>
              </w:rPr>
              <w:t>104,89</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6.60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-1,596,</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209.06</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47,424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,431.3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963,19</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6,408.</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72</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6,967,</w:t>
            </w:r>
          </w:p>
          <w:p>
            <w:pPr>
              <w:pStyle w:val="TableParagraph"/>
              <w:spacing w:line="240" w:lineRule="auto" w:before="105"/>
              <w:ind w:left="17" w:right="0"/>
              <w:jc w:val="center"/>
              <w:rPr>
                <w:rFonts w:ascii="Times New Roman" w:hAnsi="Times New Roman" w:cs="Times New Roman" w:eastAsia="Times New Roman" w:hint="default"/>
                <w:sz w:val="18"/>
                <w:szCs w:val="18"/>
              </w:rPr>
            </w:pPr>
            <w:r>
              <w:rPr>
                <w:rFonts w:ascii="Times New Roman"/>
                <w:sz w:val="18"/>
              </w:rPr>
              <w:t>479,62</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2.61</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36,001,</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050.18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7,003,4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80,672.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79</w:t>
            </w:r>
          </w:p>
        </w:tc>
      </w:tr>
      <w:tr>
        <w:trPr>
          <w:trHeight w:val="1339"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三、本期增减 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-4,01</w:t>
            </w:r>
          </w:p>
          <w:p>
            <w:pPr>
              <w:pStyle w:val="TableParagraph"/>
              <w:spacing w:line="240" w:lineRule="auto" w:before="102"/>
              <w:ind w:left="31" w:right="0"/>
              <w:jc w:val="center"/>
              <w:rPr>
                <w:rFonts w:ascii="Times New Roman" w:hAnsi="Times New Roman" w:cs="Times New Roman" w:eastAsia="Times New Roman" w:hint="default"/>
                <w:sz w:val="18"/>
                <w:szCs w:val="18"/>
              </w:rPr>
            </w:pPr>
            <w:r>
              <w:rPr>
                <w:rFonts w:ascii="Times New Roman"/>
                <w:sz w:val="18"/>
              </w:rPr>
              <w:t>4,856</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-33,51</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1,444.</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475,86</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1,413.</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21</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2,380,</w:t>
            </w:r>
          </w:p>
          <w:p>
            <w:pPr>
              <w:pStyle w:val="TableParagraph"/>
              <w:spacing w:line="240" w:lineRule="auto" w:before="102"/>
              <w:ind w:left="50" w:right="0"/>
              <w:jc w:val="left"/>
              <w:rPr>
                <w:rFonts w:ascii="Times New Roman" w:hAnsi="Times New Roman" w:cs="Times New Roman" w:eastAsia="Times New Roman" w:hint="default"/>
                <w:sz w:val="18"/>
                <w:szCs w:val="18"/>
              </w:rPr>
            </w:pPr>
            <w:r>
              <w:rPr>
                <w:rFonts w:ascii="Times New Roman"/>
                <w:sz w:val="18"/>
              </w:rPr>
              <w:t>814.63</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52,012</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,753.5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18,868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,033.4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-440,1</w:t>
            </w:r>
          </w:p>
          <w:p>
            <w:pPr>
              <w:pStyle w:val="TableParagraph"/>
              <w:spacing w:line="240" w:lineRule="auto" w:before="102"/>
              <w:ind w:left="52" w:right="0"/>
              <w:jc w:val="left"/>
              <w:rPr>
                <w:rFonts w:ascii="Times New Roman" w:hAnsi="Times New Roman" w:cs="Times New Roman" w:eastAsia="Times New Roman" w:hint="default"/>
                <w:sz w:val="18"/>
                <w:szCs w:val="18"/>
              </w:rPr>
            </w:pPr>
            <w:r>
              <w:rPr>
                <w:rFonts w:ascii="Times New Roman"/>
                <w:sz w:val="18"/>
              </w:rPr>
              <w:t>26,111</w:t>
            </w:r>
          </w:p>
          <w:p>
            <w:pPr>
              <w:pStyle w:val="TableParagraph"/>
              <w:spacing w:line="240" w:lineRule="auto" w:before="105"/>
              <w:ind w:left="309" w:right="0"/>
              <w:jc w:val="left"/>
              <w:rPr>
                <w:rFonts w:ascii="Times New Roman" w:hAnsi="Times New Roman" w:cs="Times New Roman" w:eastAsia="Times New Roman" w:hint="default"/>
                <w:sz w:val="18"/>
                <w:szCs w:val="18"/>
              </w:rPr>
            </w:pPr>
            <w:r>
              <w:rPr>
                <w:rFonts w:ascii="Times New Roman"/>
                <w:sz w:val="18"/>
              </w:rPr>
              <w:t>.68</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60,297,</w:t>
            </w:r>
          </w:p>
          <w:p>
            <w:pPr>
              <w:pStyle w:val="TableParagraph"/>
              <w:spacing w:line="240" w:lineRule="auto" w:before="102"/>
              <w:ind w:left="117" w:right="0"/>
              <w:jc w:val="left"/>
              <w:rPr>
                <w:rFonts w:ascii="Times New Roman" w:hAnsi="Times New Roman" w:cs="Times New Roman" w:eastAsia="Times New Roman" w:hint="default"/>
                <w:sz w:val="18"/>
                <w:szCs w:val="18"/>
              </w:rPr>
            </w:pPr>
            <w:r>
              <w:rPr>
                <w:rFonts w:ascii="Times New Roman"/>
                <w:sz w:val="18"/>
              </w:rPr>
              <w:t>967.63</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-379,82</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8,144.0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（一）综合收 益总额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2,380,</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814.63</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133,23</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9,222.</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45</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135,62</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0,037.</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08</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5,513,2</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56.16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141,133</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,293.24</w:t>
            </w:r>
          </w:p>
        </w:tc>
      </w:tr>
      <w:tr>
        <w:trPr>
          <w:trHeight w:val="102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96"/>
              <w:jc w:val="both"/>
              <w:rPr>
                <w:rFonts w:ascii="宋体" w:hAnsi="宋体" w:cs="宋体" w:eastAsia="宋体" w:hint="default"/>
                <w:sz w:val="18"/>
                <w:szCs w:val="18"/>
              </w:rPr>
            </w:pPr>
            <w:r>
              <w:rPr>
                <w:rFonts w:ascii="宋体" w:hAnsi="宋体" w:cs="宋体" w:eastAsia="宋体" w:hint="default"/>
                <w:sz w:val="18"/>
                <w:szCs w:val="18"/>
              </w:rPr>
              <w:t>（二）所有者 投入和减少资 本</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63" w:right="0"/>
              <w:jc w:val="center"/>
              <w:rPr>
                <w:rFonts w:ascii="Times New Roman" w:hAnsi="Times New Roman" w:cs="Times New Roman" w:eastAsia="Times New Roman" w:hint="default"/>
                <w:sz w:val="18"/>
                <w:szCs w:val="18"/>
              </w:rPr>
            </w:pPr>
            <w:r>
              <w:rPr>
                <w:rFonts w:ascii="Times New Roman"/>
                <w:sz w:val="18"/>
              </w:rPr>
              <w:t>-4,01</w:t>
            </w:r>
          </w:p>
          <w:p>
            <w:pPr>
              <w:pStyle w:val="TableParagraph"/>
              <w:spacing w:line="240" w:lineRule="auto" w:before="102"/>
              <w:ind w:left="31" w:right="0"/>
              <w:jc w:val="center"/>
              <w:rPr>
                <w:rFonts w:ascii="Times New Roman" w:hAnsi="Times New Roman" w:cs="Times New Roman" w:eastAsia="Times New Roman" w:hint="default"/>
                <w:sz w:val="18"/>
                <w:szCs w:val="18"/>
              </w:rPr>
            </w:pPr>
            <w:r>
              <w:rPr>
                <w:rFonts w:ascii="Times New Roman"/>
                <w:sz w:val="18"/>
              </w:rPr>
              <w:t>4,856</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86" w:right="0"/>
              <w:jc w:val="left"/>
              <w:rPr>
                <w:rFonts w:ascii="Times New Roman" w:hAnsi="Times New Roman" w:cs="Times New Roman" w:eastAsia="Times New Roman" w:hint="default"/>
                <w:sz w:val="18"/>
                <w:szCs w:val="18"/>
              </w:rPr>
            </w:pPr>
            <w:r>
              <w:rPr>
                <w:rFonts w:ascii="Times New Roman"/>
                <w:sz w:val="18"/>
              </w:rPr>
              <w:t>-33,51</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1,444.</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0" w:right="0"/>
              <w:jc w:val="left"/>
              <w:rPr>
                <w:rFonts w:ascii="Times New Roman" w:hAnsi="Times New Roman" w:cs="Times New Roman" w:eastAsia="Times New Roman" w:hint="default"/>
                <w:sz w:val="18"/>
                <w:szCs w:val="18"/>
              </w:rPr>
            </w:pPr>
            <w:r>
              <w:rPr>
                <w:rFonts w:ascii="Times New Roman"/>
                <w:sz w:val="18"/>
              </w:rPr>
              <w:t>475,86</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1,413.</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21</w:t>
            </w: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539,49</w:t>
            </w:r>
          </w:p>
          <w:p>
            <w:pPr>
              <w:pStyle w:val="TableParagraph"/>
              <w:spacing w:line="240" w:lineRule="auto" w:before="102"/>
              <w:ind w:left="209" w:right="0"/>
              <w:jc w:val="center"/>
              <w:rPr>
                <w:rFonts w:ascii="Times New Roman" w:hAnsi="Times New Roman" w:cs="Times New Roman" w:eastAsia="Times New Roman" w:hint="default"/>
                <w:sz w:val="18"/>
                <w:szCs w:val="18"/>
              </w:rPr>
            </w:pPr>
            <w:r>
              <w:rPr>
                <w:rFonts w:ascii="Times New Roman"/>
                <w:sz w:val="18"/>
              </w:rPr>
              <w:t>9.51</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69" w:right="0"/>
              <w:jc w:val="left"/>
              <w:rPr>
                <w:rFonts w:ascii="Times New Roman" w:hAnsi="Times New Roman" w:cs="Times New Roman" w:eastAsia="Times New Roman" w:hint="default"/>
                <w:sz w:val="18"/>
                <w:szCs w:val="18"/>
              </w:rPr>
            </w:pPr>
            <w:r>
              <w:rPr>
                <w:rFonts w:ascii="Times New Roman"/>
                <w:sz w:val="18"/>
              </w:rPr>
              <w:t>-512,8</w:t>
            </w:r>
          </w:p>
          <w:p>
            <w:pPr>
              <w:pStyle w:val="TableParagraph"/>
              <w:spacing w:line="240" w:lineRule="auto" w:before="102"/>
              <w:ind w:left="40" w:right="0"/>
              <w:jc w:val="left"/>
              <w:rPr>
                <w:rFonts w:ascii="Times New Roman" w:hAnsi="Times New Roman" w:cs="Times New Roman" w:eastAsia="Times New Roman" w:hint="default"/>
                <w:sz w:val="18"/>
                <w:szCs w:val="18"/>
              </w:rPr>
            </w:pPr>
            <w:r>
              <w:rPr>
                <w:rFonts w:ascii="Times New Roman"/>
                <w:sz w:val="18"/>
              </w:rPr>
              <w:t>48,213</w:t>
            </w:r>
          </w:p>
          <w:p>
            <w:pPr>
              <w:pStyle w:val="TableParagraph"/>
              <w:spacing w:line="240" w:lineRule="auto" w:before="105"/>
              <w:ind w:left="309" w:right="0"/>
              <w:jc w:val="left"/>
              <w:rPr>
                <w:rFonts w:ascii="Times New Roman" w:hAnsi="Times New Roman" w:cs="Times New Roman" w:eastAsia="Times New Roman" w:hint="default"/>
                <w:sz w:val="18"/>
                <w:szCs w:val="18"/>
              </w:rPr>
            </w:pPr>
            <w:r>
              <w:rPr>
                <w:rFonts w:ascii="Times New Roman"/>
                <w:sz w:val="18"/>
              </w:rPr>
              <w:t>.81</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54,784,</w:t>
            </w:r>
          </w:p>
          <w:p>
            <w:pPr>
              <w:pStyle w:val="TableParagraph"/>
              <w:spacing w:line="240" w:lineRule="auto" w:before="102"/>
              <w:ind w:left="124" w:right="0"/>
              <w:jc w:val="left"/>
              <w:rPr>
                <w:rFonts w:ascii="Times New Roman" w:hAnsi="Times New Roman" w:cs="Times New Roman" w:eastAsia="Times New Roman" w:hint="default"/>
                <w:sz w:val="18"/>
                <w:szCs w:val="18"/>
              </w:rPr>
            </w:pPr>
            <w:r>
              <w:rPr>
                <w:rFonts w:ascii="Times New Roman"/>
                <w:sz w:val="18"/>
              </w:rPr>
              <w:t>711.47</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-458,06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3,502.3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z w:val="18"/>
                <w:szCs w:val="18"/>
              </w:rPr>
              <w:t> 的普通股</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110,46</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3,765.</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40</w:t>
            </w: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-110,4</w:t>
            </w:r>
          </w:p>
          <w:p>
            <w:pPr>
              <w:pStyle w:val="TableParagraph"/>
              <w:spacing w:line="240" w:lineRule="auto" w:before="105"/>
              <w:ind w:left="40" w:right="0"/>
              <w:jc w:val="left"/>
              <w:rPr>
                <w:rFonts w:ascii="Times New Roman" w:hAnsi="Times New Roman" w:cs="Times New Roman" w:eastAsia="Times New Roman" w:hint="default"/>
                <w:sz w:val="18"/>
                <w:szCs w:val="18"/>
              </w:rPr>
            </w:pPr>
            <w:r>
              <w:rPr>
                <w:rFonts w:ascii="Times New Roman"/>
                <w:sz w:val="18"/>
              </w:rPr>
              <w:t>63,765</w:t>
            </w:r>
          </w:p>
          <w:p>
            <w:pPr>
              <w:pStyle w:val="TableParagraph"/>
              <w:spacing w:line="240" w:lineRule="auto" w:before="105"/>
              <w:ind w:left="309" w:right="0"/>
              <w:jc w:val="left"/>
              <w:rPr>
                <w:rFonts w:ascii="Times New Roman" w:hAnsi="Times New Roman" w:cs="Times New Roman" w:eastAsia="Times New Roman" w:hint="default"/>
                <w:sz w:val="18"/>
                <w:szCs w:val="18"/>
              </w:rPr>
            </w:pPr>
            <w:r>
              <w:rPr>
                <w:rFonts w:ascii="Times New Roman"/>
                <w:sz w:val="18"/>
              </w:rPr>
              <w:t>.40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5"/>
              <w:ind w:left="386" w:right="0"/>
              <w:jc w:val="left"/>
              <w:rPr>
                <w:rFonts w:ascii="Times New Roman" w:hAnsi="Times New Roman" w:cs="Times New Roman" w:eastAsia="Times New Roman" w:hint="default"/>
                <w:sz w:val="18"/>
                <w:szCs w:val="18"/>
              </w:rPr>
            </w:pPr>
            <w:r>
              <w:rPr>
                <w:rFonts w:ascii="Times New Roman"/>
                <w:sz w:val="18"/>
              </w:rPr>
              <w:t>.00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-109,66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3,765.4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z w:val="18"/>
                <w:szCs w:val="18"/>
              </w:rPr>
              <w:t> 具持有者投入 资本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z w:val="18"/>
                <w:szCs w:val="18"/>
              </w:rPr>
              <w:t> 入所有者权益 的金额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1,023,</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229.16</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1,023,</w:t>
            </w:r>
          </w:p>
          <w:p>
            <w:pPr>
              <w:pStyle w:val="TableParagraph"/>
              <w:spacing w:line="240" w:lineRule="auto" w:before="105"/>
              <w:ind w:left="40" w:right="0"/>
              <w:jc w:val="left"/>
              <w:rPr>
                <w:rFonts w:ascii="Times New Roman" w:hAnsi="Times New Roman" w:cs="Times New Roman" w:eastAsia="Times New Roman" w:hint="default"/>
                <w:sz w:val="18"/>
                <w:szCs w:val="18"/>
              </w:rPr>
            </w:pPr>
            <w:r>
              <w:rPr>
                <w:rFonts w:ascii="Times New Roman"/>
                <w:sz w:val="18"/>
              </w:rPr>
              <w:t>229.16</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1,023,2</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29.16</w:t>
            </w: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3" w:right="0"/>
              <w:jc w:val="center"/>
              <w:rPr>
                <w:rFonts w:ascii="Times New Roman" w:hAnsi="Times New Roman" w:cs="Times New Roman" w:eastAsia="Times New Roman" w:hint="default"/>
                <w:sz w:val="18"/>
                <w:szCs w:val="18"/>
              </w:rPr>
            </w:pPr>
            <w:r>
              <w:rPr>
                <w:rFonts w:ascii="Times New Roman"/>
                <w:sz w:val="18"/>
              </w:rPr>
              <w:t>-4,01</w:t>
            </w:r>
          </w:p>
          <w:p>
            <w:pPr>
              <w:pStyle w:val="TableParagraph"/>
              <w:spacing w:line="240" w:lineRule="auto" w:before="102"/>
              <w:ind w:left="31" w:right="0"/>
              <w:jc w:val="center"/>
              <w:rPr>
                <w:rFonts w:ascii="Times New Roman" w:hAnsi="Times New Roman" w:cs="Times New Roman" w:eastAsia="Times New Roman" w:hint="default"/>
                <w:sz w:val="18"/>
                <w:szCs w:val="18"/>
              </w:rPr>
            </w:pPr>
            <w:r>
              <w:rPr>
                <w:rFonts w:ascii="Times New Roman"/>
                <w:sz w:val="18"/>
              </w:rPr>
              <w:t>4,856</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-34,53</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4,673.</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27</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365,39</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7,647.</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81</w:t>
            </w: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539,49</w:t>
            </w:r>
          </w:p>
          <w:p>
            <w:pPr>
              <w:pStyle w:val="TableParagraph"/>
              <w:spacing w:line="240" w:lineRule="auto" w:before="102"/>
              <w:ind w:left="209" w:right="0"/>
              <w:jc w:val="center"/>
              <w:rPr>
                <w:rFonts w:ascii="Times New Roman" w:hAnsi="Times New Roman" w:cs="Times New Roman" w:eastAsia="Times New Roman" w:hint="default"/>
                <w:sz w:val="18"/>
                <w:szCs w:val="18"/>
              </w:rPr>
            </w:pPr>
            <w:r>
              <w:rPr>
                <w:rFonts w:ascii="Times New Roman"/>
                <w:sz w:val="18"/>
              </w:rPr>
              <w:t>9.51</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9" w:right="0"/>
              <w:jc w:val="left"/>
              <w:rPr>
                <w:rFonts w:ascii="Times New Roman" w:hAnsi="Times New Roman" w:cs="Times New Roman" w:eastAsia="Times New Roman" w:hint="default"/>
                <w:sz w:val="18"/>
                <w:szCs w:val="18"/>
              </w:rPr>
            </w:pPr>
            <w:r>
              <w:rPr>
                <w:rFonts w:ascii="Times New Roman"/>
                <w:sz w:val="18"/>
              </w:rPr>
              <w:t>-403,4</w:t>
            </w:r>
          </w:p>
          <w:p>
            <w:pPr>
              <w:pStyle w:val="TableParagraph"/>
              <w:spacing w:line="240" w:lineRule="auto" w:before="102"/>
              <w:ind w:left="40" w:right="0"/>
              <w:jc w:val="left"/>
              <w:rPr>
                <w:rFonts w:ascii="Times New Roman" w:hAnsi="Times New Roman" w:cs="Times New Roman" w:eastAsia="Times New Roman" w:hint="default"/>
                <w:sz w:val="18"/>
                <w:szCs w:val="18"/>
              </w:rPr>
            </w:pPr>
            <w:r>
              <w:rPr>
                <w:rFonts w:ascii="Times New Roman"/>
                <w:sz w:val="18"/>
              </w:rPr>
              <w:t>07,677</w:t>
            </w:r>
          </w:p>
          <w:p>
            <w:pPr>
              <w:pStyle w:val="TableParagraph"/>
              <w:spacing w:line="240" w:lineRule="auto" w:before="105"/>
              <w:ind w:left="309" w:right="0"/>
              <w:jc w:val="left"/>
              <w:rPr>
                <w:rFonts w:ascii="Times New Roman" w:hAnsi="Times New Roman" w:cs="Times New Roman" w:eastAsia="Times New Roman" w:hint="default"/>
                <w:sz w:val="18"/>
                <w:szCs w:val="18"/>
              </w:rPr>
            </w:pPr>
            <w:r>
              <w:rPr>
                <w:rFonts w:ascii="Times New Roman"/>
                <w:sz w:val="18"/>
              </w:rPr>
              <w:t>.57</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53,984,</w:t>
            </w:r>
          </w:p>
          <w:p>
            <w:pPr>
              <w:pStyle w:val="TableParagraph"/>
              <w:spacing w:line="240" w:lineRule="auto" w:before="102"/>
              <w:ind w:left="124" w:right="0"/>
              <w:jc w:val="left"/>
              <w:rPr>
                <w:rFonts w:ascii="Times New Roman" w:hAnsi="Times New Roman" w:cs="Times New Roman" w:eastAsia="Times New Roman" w:hint="default"/>
                <w:sz w:val="18"/>
                <w:szCs w:val="18"/>
              </w:rPr>
            </w:pPr>
            <w:r>
              <w:rPr>
                <w:rFonts w:ascii="Times New Roman"/>
                <w:sz w:val="18"/>
              </w:rPr>
              <w:t>711.47</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-349,42</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2,966.1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（三）利润分 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52,012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,753.5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-114,3</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71,189</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.01</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-62,35</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8,435.</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44</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-62,358</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,435.44</w:t>
            </w: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97" w:lineRule="auto"/>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z w:val="18"/>
                <w:szCs w:val="18"/>
              </w:rPr>
              <w:t> 积</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52,012</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,753.5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1" w:right="0"/>
              <w:jc w:val="left"/>
              <w:rPr>
                <w:rFonts w:ascii="Times New Roman" w:hAnsi="Times New Roman" w:cs="Times New Roman" w:eastAsia="Times New Roman" w:hint="default"/>
                <w:sz w:val="18"/>
                <w:szCs w:val="18"/>
              </w:rPr>
            </w:pPr>
            <w:r>
              <w:rPr>
                <w:rFonts w:ascii="Times New Roman"/>
                <w:sz w:val="18"/>
              </w:rPr>
              <w:t>-52,01</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2,753.</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57</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．提取一般风</w:t>
            </w:r>
            <w:r>
              <w:rPr>
                <w:rFonts w:ascii="宋体" w:hAnsi="宋体" w:cs="宋体" w:eastAsia="宋体" w:hint="default"/>
                <w:sz w:val="18"/>
                <w:szCs w:val="18"/>
              </w:rPr>
              <w:t> 险准备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16" w:lineRule="auto" w:before="60"/>
              <w:ind w:left="22" w:right="96"/>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340,24</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1,564.</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56</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340,24</w:t>
            </w:r>
          </w:p>
          <w:p>
            <w:pPr>
              <w:pStyle w:val="TableParagraph"/>
              <w:spacing w:line="240" w:lineRule="auto" w:before="102"/>
              <w:ind w:left="84" w:right="0"/>
              <w:jc w:val="left"/>
              <w:rPr>
                <w:rFonts w:ascii="Times New Roman" w:hAnsi="Times New Roman" w:cs="Times New Roman" w:eastAsia="Times New Roman" w:hint="default"/>
                <w:sz w:val="18"/>
                <w:szCs w:val="18"/>
              </w:rPr>
            </w:pPr>
            <w:r>
              <w:rPr>
                <w:rFonts w:ascii="Times New Roman"/>
                <w:sz w:val="18"/>
              </w:rPr>
              <w:t>1,564.</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56</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340,241</w:t>
            </w:r>
          </w:p>
          <w:p>
            <w:pPr>
              <w:pStyle w:val="TableParagraph"/>
              <w:spacing w:line="240" w:lineRule="auto" w:before="102"/>
              <w:ind w:left="81" w:right="0"/>
              <w:jc w:val="left"/>
              <w:rPr>
                <w:rFonts w:ascii="Times New Roman" w:hAnsi="Times New Roman" w:cs="Times New Roman" w:eastAsia="Times New Roman" w:hint="default"/>
                <w:sz w:val="18"/>
                <w:szCs w:val="18"/>
              </w:rPr>
            </w:pPr>
            <w:r>
              <w:rPr>
                <w:rFonts w:ascii="Times New Roman"/>
                <w:sz w:val="18"/>
              </w:rPr>
              <w:t>,564.56</w:t>
            </w: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-402,6</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.00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-402,6</w:t>
            </w:r>
          </w:p>
          <w:p>
            <w:pPr>
              <w:pStyle w:val="TableParagraph"/>
              <w:spacing w:line="240" w:lineRule="auto" w:before="105"/>
              <w:ind w:left="40" w:right="0"/>
              <w:jc w:val="lef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5"/>
              <w:ind w:left="309" w:right="0"/>
              <w:jc w:val="left"/>
              <w:rPr>
                <w:rFonts w:ascii="Times New Roman" w:hAnsi="Times New Roman" w:cs="Times New Roman" w:eastAsia="Times New Roman" w:hint="default"/>
                <w:sz w:val="18"/>
                <w:szCs w:val="18"/>
              </w:rPr>
            </w:pPr>
            <w:r>
              <w:rPr>
                <w:rFonts w:ascii="Times New Roman"/>
                <w:sz w:val="18"/>
              </w:rPr>
              <w:t>.00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-402,60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3"/>
        <w:gridCol w:w="576"/>
        <w:gridCol w:w="576"/>
        <w:gridCol w:w="578"/>
        <w:gridCol w:w="576"/>
        <w:gridCol w:w="576"/>
        <w:gridCol w:w="578"/>
        <w:gridCol w:w="588"/>
        <w:gridCol w:w="567"/>
        <w:gridCol w:w="569"/>
        <w:gridCol w:w="641"/>
        <w:gridCol w:w="653"/>
      </w:tblGrid>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（四）所有者 权益内部结转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z w:val="18"/>
                <w:szCs w:val="18"/>
              </w:rPr>
              <w:t> 补亏损</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z w:val="18"/>
                <w:szCs w:val="18"/>
              </w:rPr>
              <w:t> 划变动额结转 留存收益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z w:val="18"/>
                <w:szCs w:val="18"/>
              </w:rPr>
              <w:t> 益结转留存收 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（五）专项储 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-539,4</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99.51</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9" w:right="0"/>
              <w:jc w:val="left"/>
              <w:rPr>
                <w:rFonts w:ascii="Times New Roman" w:hAnsi="Times New Roman" w:cs="Times New Roman" w:eastAsia="Times New Roman" w:hint="default"/>
                <w:sz w:val="18"/>
                <w:szCs w:val="18"/>
              </w:rPr>
            </w:pPr>
            <w:r>
              <w:rPr>
                <w:rFonts w:ascii="Times New Roman"/>
                <w:sz w:val="18"/>
              </w:rPr>
              <w:t>-539,4</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99.51</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left"/>
              <w:rPr>
                <w:rFonts w:ascii="Times New Roman" w:hAnsi="Times New Roman" w:cs="Times New Roman" w:eastAsia="Times New Roman" w:hint="default"/>
                <w:sz w:val="18"/>
                <w:szCs w:val="18"/>
              </w:rPr>
            </w:pPr>
            <w:r>
              <w:rPr>
                <w:rFonts w:ascii="Times New Roman"/>
                <w:sz w:val="18"/>
              </w:rPr>
              <w:t>-539,49</w:t>
            </w:r>
          </w:p>
          <w:p>
            <w:pPr>
              <w:pStyle w:val="TableParagraph"/>
              <w:spacing w:line="240" w:lineRule="auto" w:before="102"/>
              <w:ind w:left="307" w:right="0"/>
              <w:jc w:val="left"/>
              <w:rPr>
                <w:rFonts w:ascii="Times New Roman" w:hAnsi="Times New Roman" w:cs="Times New Roman" w:eastAsia="Times New Roman" w:hint="default"/>
                <w:sz w:val="18"/>
                <w:szCs w:val="18"/>
              </w:rPr>
            </w:pPr>
            <w:r>
              <w:rPr>
                <w:rFonts w:ascii="Times New Roman"/>
                <w:sz w:val="18"/>
              </w:rPr>
              <w:t>9.51</w:t>
            </w: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-539,4</w:t>
            </w:r>
          </w:p>
          <w:p>
            <w:pPr>
              <w:pStyle w:val="TableParagraph"/>
              <w:spacing w:line="240" w:lineRule="auto" w:before="103"/>
              <w:ind w:left="139" w:right="0"/>
              <w:jc w:val="left"/>
              <w:rPr>
                <w:rFonts w:ascii="Times New Roman" w:hAnsi="Times New Roman" w:cs="Times New Roman" w:eastAsia="Times New Roman" w:hint="default"/>
                <w:sz w:val="18"/>
                <w:szCs w:val="18"/>
              </w:rPr>
            </w:pPr>
            <w:r>
              <w:rPr>
                <w:rFonts w:ascii="Times New Roman"/>
                <w:sz w:val="18"/>
              </w:rPr>
              <w:t>99.51</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9" w:right="0"/>
              <w:jc w:val="left"/>
              <w:rPr>
                <w:rFonts w:ascii="Times New Roman" w:hAnsi="Times New Roman" w:cs="Times New Roman" w:eastAsia="Times New Roman" w:hint="default"/>
                <w:sz w:val="18"/>
                <w:szCs w:val="18"/>
              </w:rPr>
            </w:pPr>
            <w:r>
              <w:rPr>
                <w:rFonts w:ascii="Times New Roman"/>
                <w:sz w:val="18"/>
              </w:rPr>
              <w:t>-539,4</w:t>
            </w:r>
          </w:p>
          <w:p>
            <w:pPr>
              <w:pStyle w:val="TableParagraph"/>
              <w:spacing w:line="240" w:lineRule="auto" w:before="103"/>
              <w:ind w:left="129" w:right="0"/>
              <w:jc w:val="left"/>
              <w:rPr>
                <w:rFonts w:ascii="Times New Roman" w:hAnsi="Times New Roman" w:cs="Times New Roman" w:eastAsia="Times New Roman" w:hint="default"/>
                <w:sz w:val="18"/>
                <w:szCs w:val="18"/>
              </w:rPr>
            </w:pPr>
            <w:r>
              <w:rPr>
                <w:rFonts w:ascii="Times New Roman"/>
                <w:sz w:val="18"/>
              </w:rPr>
              <w:t>99.51</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left"/>
              <w:rPr>
                <w:rFonts w:ascii="Times New Roman" w:hAnsi="Times New Roman" w:cs="Times New Roman" w:eastAsia="Times New Roman" w:hint="default"/>
                <w:sz w:val="18"/>
                <w:szCs w:val="18"/>
              </w:rPr>
            </w:pPr>
            <w:r>
              <w:rPr>
                <w:rFonts w:ascii="Times New Roman"/>
                <w:sz w:val="18"/>
              </w:rPr>
              <w:t>-539,49</w:t>
            </w:r>
          </w:p>
          <w:p>
            <w:pPr>
              <w:pStyle w:val="TableParagraph"/>
              <w:spacing w:line="240" w:lineRule="auto" w:before="103"/>
              <w:ind w:left="307" w:right="0"/>
              <w:jc w:val="left"/>
              <w:rPr>
                <w:rFonts w:ascii="Times New Roman" w:hAnsi="Times New Roman" w:cs="Times New Roman" w:eastAsia="Times New Roman" w:hint="default"/>
                <w:sz w:val="18"/>
                <w:szCs w:val="18"/>
              </w:rPr>
            </w:pPr>
            <w:r>
              <w:rPr>
                <w:rFonts w:ascii="Times New Roman"/>
                <w:sz w:val="18"/>
              </w:rPr>
              <w:t>9.51</w:t>
            </w: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2" w:right="96"/>
              <w:jc w:val="left"/>
              <w:rPr>
                <w:rFonts w:ascii="宋体" w:hAnsi="宋体" w:cs="宋体" w:eastAsia="宋体" w:hint="default"/>
                <w:sz w:val="18"/>
                <w:szCs w:val="18"/>
              </w:rPr>
            </w:pPr>
            <w:r>
              <w:rPr>
                <w:rFonts w:ascii="宋体" w:hAnsi="宋体" w:cs="宋体" w:eastAsia="宋体" w:hint="default"/>
                <w:sz w:val="18"/>
                <w:szCs w:val="18"/>
              </w:rPr>
              <w:t>四、本期期末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1,247</w:t>
            </w:r>
          </w:p>
          <w:p>
            <w:pPr>
              <w:pStyle w:val="TableParagraph"/>
              <w:spacing w:line="240" w:lineRule="auto" w:before="102"/>
              <w:ind w:left="98" w:right="0"/>
              <w:jc w:val="left"/>
              <w:rPr>
                <w:rFonts w:ascii="Times New Roman" w:hAnsi="Times New Roman" w:cs="Times New Roman" w:eastAsia="Times New Roman" w:hint="default"/>
                <w:sz w:val="18"/>
                <w:szCs w:val="18"/>
              </w:rPr>
            </w:pPr>
            <w:r>
              <w:rPr>
                <w:rFonts w:ascii="Times New Roman"/>
                <w:sz w:val="18"/>
              </w:rPr>
              <w:t>,335,</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239.0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4,673,</w:t>
            </w:r>
          </w:p>
          <w:p>
            <w:pPr>
              <w:pStyle w:val="TableParagraph"/>
              <w:spacing w:line="240" w:lineRule="auto" w:before="102"/>
              <w:ind w:left="29" w:right="0"/>
              <w:jc w:val="center"/>
              <w:rPr>
                <w:rFonts w:ascii="Times New Roman" w:hAnsi="Times New Roman" w:cs="Times New Roman" w:eastAsia="Times New Roman" w:hint="default"/>
                <w:sz w:val="18"/>
                <w:szCs w:val="18"/>
              </w:rPr>
            </w:pPr>
            <w:r>
              <w:rPr>
                <w:rFonts w:ascii="Times New Roman"/>
                <w:sz w:val="18"/>
              </w:rPr>
              <w:t>593,45</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2.49</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475,86</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1,413.</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21</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784,60</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5.57</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99,437</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,184.9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982,06</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4,442.</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16</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6,527,</w:t>
            </w:r>
          </w:p>
          <w:p>
            <w:pPr>
              <w:pStyle w:val="TableParagraph"/>
              <w:spacing w:line="240" w:lineRule="auto" w:before="102"/>
              <w:ind w:left="17" w:right="0"/>
              <w:jc w:val="center"/>
              <w:rPr>
                <w:rFonts w:ascii="Times New Roman" w:hAnsi="Times New Roman" w:cs="Times New Roman" w:eastAsia="Times New Roman" w:hint="default"/>
                <w:sz w:val="18"/>
                <w:szCs w:val="18"/>
              </w:rPr>
            </w:pPr>
            <w:r>
              <w:rPr>
                <w:rFonts w:ascii="Times New Roman"/>
                <w:sz w:val="18"/>
              </w:rPr>
              <w:t>353,51</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0.93</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96,299,</w:t>
            </w:r>
          </w:p>
          <w:p>
            <w:pPr>
              <w:pStyle w:val="TableParagraph"/>
              <w:spacing w:line="240" w:lineRule="auto" w:before="102"/>
              <w:ind w:left="117" w:right="0"/>
              <w:jc w:val="left"/>
              <w:rPr>
                <w:rFonts w:ascii="Times New Roman" w:hAnsi="Times New Roman" w:cs="Times New Roman" w:eastAsia="Times New Roman" w:hint="default"/>
                <w:sz w:val="18"/>
                <w:szCs w:val="18"/>
              </w:rPr>
            </w:pPr>
            <w:r>
              <w:rPr>
                <w:rFonts w:ascii="Times New Roman"/>
                <w:sz w:val="18"/>
              </w:rPr>
              <w:t>017.81</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6,623,6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52,528.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74</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bookmarkStart w:name="8、母公司所有者权益变动表" w:id="172"/>
      <w:bookmarkEnd w:id="172"/>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本期金额</w:t>
      </w:r>
    </w:p>
    <w:p>
      <w:pPr>
        <w:pStyle w:val="BodyText"/>
        <w:spacing w:line="240" w:lineRule="auto" w:before="115"/>
        <w:ind w:left="0" w:right="1131"/>
        <w:jc w:val="right"/>
      </w:pPr>
      <w:r>
        <w:rPr/>
        <w:t>单位：元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83"/>
        <w:gridCol w:w="640"/>
        <w:gridCol w:w="605"/>
        <w:gridCol w:w="603"/>
        <w:gridCol w:w="605"/>
        <w:gridCol w:w="727"/>
        <w:gridCol w:w="728"/>
        <w:gridCol w:w="725"/>
        <w:gridCol w:w="727"/>
        <w:gridCol w:w="727"/>
        <w:gridCol w:w="615"/>
        <w:gridCol w:w="710"/>
        <w:gridCol w:w="862"/>
      </w:tblGrid>
      <w:tr>
        <w:trPr>
          <w:trHeight w:val="403" w:hRule="exact"/>
        </w:trPr>
        <w:tc>
          <w:tcPr>
            <w:tcW w:w="128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204" w:hRule="exact"/>
        </w:trPr>
        <w:tc>
          <w:tcPr>
            <w:tcW w:w="12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8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268" w:right="8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268" w:right="20" w:hanging="245"/>
              <w:jc w:val="left"/>
              <w:rPr>
                <w:rFonts w:ascii="宋体" w:hAnsi="宋体" w:cs="宋体" w:eastAsia="宋体" w:hint="default"/>
                <w:sz w:val="18"/>
                <w:szCs w:val="18"/>
              </w:rPr>
            </w:pPr>
            <w:r>
              <w:rPr>
                <w:rFonts w:ascii="宋体" w:hAnsi="宋体" w:cs="宋体" w:eastAsia="宋体" w:hint="default"/>
                <w:spacing w:val="-13"/>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88" w:right="84"/>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268" w:right="8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268" w:right="8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1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122" w:right="29"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8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155" w:right="62"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283" w:type="dxa"/>
            <w:vMerge/>
            <w:tcBorders>
              <w:left w:val="single" w:sz="4" w:space="0" w:color="000000"/>
              <w:bottom w:val="nil" w:sz="6" w:space="0" w:color="auto"/>
              <w:right w:val="single" w:sz="4" w:space="0" w:color="000000"/>
            </w:tcBorders>
            <w:shd w:val="clear" w:color="auto" w:fill="D2D2D2"/>
          </w:tcPr>
          <w:p>
            <w:pPr/>
          </w:p>
        </w:tc>
        <w:tc>
          <w:tcPr>
            <w:tcW w:w="64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3" w:type="dxa"/>
            <w:gridSpan w:val="3"/>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8"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615" w:type="dxa"/>
            <w:vMerge/>
            <w:tcBorders>
              <w:left w:val="single" w:sz="4" w:space="0" w:color="000000"/>
              <w:right w:val="single" w:sz="4" w:space="0" w:color="000000"/>
            </w:tcBorders>
            <w:shd w:val="clear" w:color="auto" w:fill="D2D2D2"/>
          </w:tcPr>
          <w:p>
            <w:pP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2" w:type="dxa"/>
            <w:vMerge/>
            <w:tcBorders>
              <w:left w:val="single" w:sz="4" w:space="0" w:color="000000"/>
              <w:right w:val="single" w:sz="4" w:space="0" w:color="000000"/>
            </w:tcBorders>
            <w:shd w:val="clear" w:color="auto" w:fill="D2D2D2"/>
          </w:tcPr>
          <w:p>
            <w:pPr/>
          </w:p>
        </w:tc>
      </w:tr>
      <w:tr>
        <w:trPr>
          <w:trHeight w:val="202" w:hRule="exact"/>
        </w:trPr>
        <w:tc>
          <w:tcPr>
            <w:tcW w:w="1283" w:type="dxa"/>
            <w:vMerge w:val="restart"/>
            <w:tcBorders>
              <w:top w:val="nil" w:sz="6" w:space="0" w:color="auto"/>
              <w:left w:val="single" w:sz="4" w:space="0" w:color="000000"/>
              <w:right w:val="single" w:sz="4" w:space="0" w:color="000000"/>
            </w:tcBorders>
            <w:shd w:val="clear" w:color="auto" w:fill="D2D2D2"/>
          </w:tcPr>
          <w:p>
            <w:pPr/>
          </w:p>
        </w:tc>
        <w:tc>
          <w:tcPr>
            <w:tcW w:w="640" w:type="dxa"/>
            <w:vMerge/>
            <w:tcBorders>
              <w:left w:val="single" w:sz="4" w:space="0" w:color="000000"/>
              <w:bottom w:val="nil" w:sz="6" w:space="0" w:color="auto"/>
              <w:right w:val="single" w:sz="4" w:space="0" w:color="000000"/>
            </w:tcBorders>
            <w:shd w:val="clear" w:color="auto" w:fill="D2D2D2"/>
          </w:tcPr>
          <w:p>
            <w:pP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1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7" w:type="dxa"/>
            <w:vMerge/>
            <w:tcBorders>
              <w:left w:val="single" w:sz="4" w:space="0" w:color="000000"/>
              <w:right w:val="single" w:sz="4" w:space="0" w:color="000000"/>
            </w:tcBorders>
            <w:shd w:val="clear" w:color="auto" w:fill="D2D2D2"/>
          </w:tcPr>
          <w:p>
            <w:pPr/>
          </w:p>
        </w:tc>
        <w:tc>
          <w:tcPr>
            <w:tcW w:w="728"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615" w:type="dxa"/>
            <w:vMerge/>
            <w:tcBorders>
              <w:left w:val="single" w:sz="4" w:space="0" w:color="000000"/>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862" w:type="dxa"/>
            <w:vMerge/>
            <w:tcBorders>
              <w:left w:val="single" w:sz="4" w:space="0" w:color="000000"/>
              <w:right w:val="single" w:sz="4" w:space="0" w:color="000000"/>
            </w:tcBorders>
            <w:shd w:val="clear" w:color="auto" w:fill="D2D2D2"/>
          </w:tcPr>
          <w:p>
            <w:pPr/>
          </w:p>
        </w:tc>
      </w:tr>
      <w:tr>
        <w:trPr>
          <w:trHeight w:val="184" w:hRule="exact"/>
        </w:trPr>
        <w:tc>
          <w:tcPr>
            <w:tcW w:w="1283" w:type="dxa"/>
            <w:vMerge/>
            <w:tcBorders>
              <w:left w:val="single" w:sz="4" w:space="0" w:color="000000"/>
              <w:bottom w:val="single" w:sz="4" w:space="0" w:color="000000"/>
              <w:right w:val="single" w:sz="4" w:space="0" w:color="000000"/>
            </w:tcBorders>
            <w:shd w:val="clear" w:color="auto" w:fill="D2D2D2"/>
          </w:tcPr>
          <w:p>
            <w:pPr/>
          </w:p>
        </w:tc>
        <w:tc>
          <w:tcPr>
            <w:tcW w:w="640" w:type="dxa"/>
            <w:tcBorders>
              <w:top w:val="nil" w:sz="6" w:space="0" w:color="auto"/>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603" w:type="dxa"/>
            <w:vMerge/>
            <w:tcBorders>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8"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615" w:type="dxa"/>
            <w:vMerge/>
            <w:tcBorders>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862" w:type="dxa"/>
            <w:vMerge/>
            <w:tcBorders>
              <w:left w:val="single" w:sz="4" w:space="0" w:color="000000"/>
              <w:bottom w:val="single" w:sz="4" w:space="0" w:color="000000"/>
              <w:right w:val="single" w:sz="4" w:space="0" w:color="000000"/>
            </w:tcBorders>
            <w:shd w:val="clear" w:color="auto" w:fill="D2D2D2"/>
          </w:tcPr>
          <w:p>
            <w:pPr/>
          </w:p>
        </w:tc>
      </w:tr>
      <w:tr>
        <w:trPr>
          <w:trHeight w:val="184" w:hRule="exact"/>
        </w:trPr>
        <w:tc>
          <w:tcPr>
            <w:tcW w:w="1283" w:type="dxa"/>
            <w:tcBorders>
              <w:top w:val="single" w:sz="4" w:space="0" w:color="000000"/>
              <w:left w:val="single" w:sz="4" w:space="0" w:color="000000"/>
              <w:bottom w:val="nil" w:sz="6" w:space="0" w:color="auto"/>
              <w:right w:val="single" w:sz="4" w:space="0" w:color="000000"/>
            </w:tcBorders>
            <w:shd w:val="clear" w:color="auto" w:fill="D2D2D2"/>
          </w:tcPr>
          <w:p>
            <w:pPr/>
          </w:p>
        </w:tc>
        <w:tc>
          <w:tcPr>
            <w:tcW w:w="640" w:type="dxa"/>
            <w:vMerge w:val="restart"/>
            <w:tcBorders>
              <w:top w:val="single" w:sz="4" w:space="0" w:color="000000"/>
              <w:left w:val="single" w:sz="10" w:space="0" w:color="D2D2D2"/>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8"/>
                <w:szCs w:val="18"/>
              </w:rPr>
            </w:pPr>
            <w:r>
              <w:rPr>
                <w:rFonts w:ascii="Times New Roman"/>
                <w:spacing w:val="-1"/>
                <w:sz w:val="18"/>
              </w:rPr>
              <w:t>1,247,3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35,239.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605" w:type="dxa"/>
            <w:vMerge w:val="restart"/>
            <w:tcBorders>
              <w:top w:val="single" w:sz="4" w:space="0" w:color="000000"/>
              <w:left w:val="single" w:sz="4" w:space="0" w:color="000000"/>
              <w:right w:val="single" w:sz="4" w:space="0" w:color="000000"/>
            </w:tcBorders>
          </w:tcPr>
          <w:p>
            <w:pPr/>
          </w:p>
        </w:tc>
        <w:tc>
          <w:tcPr>
            <w:tcW w:w="603"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18" w:space="0" w:color="D2D2D2"/>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4,655,60</w:t>
            </w:r>
          </w:p>
          <w:p>
            <w:pPr>
              <w:pStyle w:val="TableParagraph"/>
              <w:spacing w:line="240" w:lineRule="auto" w:before="102"/>
              <w:ind w:left="69" w:right="0"/>
              <w:jc w:val="left"/>
              <w:rPr>
                <w:rFonts w:ascii="Times New Roman" w:hAnsi="Times New Roman" w:cs="Times New Roman" w:eastAsia="Times New Roman" w:hint="default"/>
                <w:sz w:val="18"/>
                <w:szCs w:val="18"/>
              </w:rPr>
            </w:pPr>
            <w:r>
              <w:rPr>
                <w:rFonts w:ascii="Times New Roman"/>
                <w:sz w:val="18"/>
              </w:rPr>
              <w:t>7,500.11</w:t>
            </w:r>
          </w:p>
        </w:tc>
        <w:tc>
          <w:tcPr>
            <w:tcW w:w="728" w:type="dxa"/>
            <w:vMerge w:val="restart"/>
            <w:tcBorders>
              <w:top w:val="single" w:sz="18" w:space="0" w:color="D2D2D2"/>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475,861,</w:t>
            </w:r>
          </w:p>
          <w:p>
            <w:pPr>
              <w:pStyle w:val="TableParagraph"/>
              <w:spacing w:line="240" w:lineRule="auto" w:before="102"/>
              <w:ind w:left="180" w:right="0"/>
              <w:jc w:val="center"/>
              <w:rPr>
                <w:rFonts w:ascii="Times New Roman" w:hAnsi="Times New Roman" w:cs="Times New Roman" w:eastAsia="Times New Roman" w:hint="default"/>
                <w:sz w:val="18"/>
                <w:szCs w:val="18"/>
              </w:rPr>
            </w:pPr>
            <w:r>
              <w:rPr>
                <w:rFonts w:ascii="Times New Roman"/>
                <w:sz w:val="18"/>
              </w:rPr>
              <w:t>413.21</w:t>
            </w:r>
          </w:p>
        </w:tc>
        <w:tc>
          <w:tcPr>
            <w:tcW w:w="725" w:type="dxa"/>
            <w:vMerge w:val="restart"/>
            <w:tcBorders>
              <w:top w:val="single" w:sz="18" w:space="0" w:color="D2D2D2"/>
              <w:left w:val="single" w:sz="4" w:space="0" w:color="000000"/>
              <w:right w:val="single" w:sz="4" w:space="0" w:color="000000"/>
            </w:tcBorders>
          </w:tcPr>
          <w:p>
            <w:pPr/>
          </w:p>
        </w:tc>
        <w:tc>
          <w:tcPr>
            <w:tcW w:w="727" w:type="dxa"/>
            <w:vMerge w:val="restart"/>
            <w:tcBorders>
              <w:top w:val="single" w:sz="18" w:space="0" w:color="D2D2D2"/>
              <w:left w:val="single" w:sz="4" w:space="0" w:color="000000"/>
              <w:right w:val="single" w:sz="4" w:space="0" w:color="000000"/>
            </w:tcBorders>
          </w:tcPr>
          <w:p>
            <w:pPr/>
          </w:p>
        </w:tc>
        <w:tc>
          <w:tcPr>
            <w:tcW w:w="727" w:type="dxa"/>
            <w:vMerge w:val="restart"/>
            <w:tcBorders>
              <w:top w:val="single" w:sz="18" w:space="0" w:color="D2D2D2"/>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99,437,1</w:t>
            </w:r>
          </w:p>
          <w:p>
            <w:pPr>
              <w:pStyle w:val="TableParagraph"/>
              <w:spacing w:line="240" w:lineRule="auto" w:before="102"/>
              <w:ind w:left="287" w:right="0"/>
              <w:jc w:val="left"/>
              <w:rPr>
                <w:rFonts w:ascii="Times New Roman" w:hAnsi="Times New Roman" w:cs="Times New Roman" w:eastAsia="Times New Roman" w:hint="default"/>
                <w:sz w:val="18"/>
                <w:szCs w:val="18"/>
              </w:rPr>
            </w:pPr>
            <w:r>
              <w:rPr>
                <w:rFonts w:ascii="Times New Roman"/>
                <w:sz w:val="18"/>
              </w:rPr>
              <w:t>84.92</w:t>
            </w:r>
          </w:p>
        </w:tc>
        <w:tc>
          <w:tcPr>
            <w:tcW w:w="615" w:type="dxa"/>
            <w:vMerge w:val="restart"/>
            <w:tcBorders>
              <w:top w:val="single" w:sz="18" w:space="0" w:color="D2D2D2"/>
              <w:left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736,54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2"/>
                <w:sz w:val="18"/>
              </w:rPr>
              <w:t>5,115.9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10" w:type="dxa"/>
            <w:vMerge w:val="restart"/>
            <w:tcBorders>
              <w:top w:val="single" w:sz="4" w:space="0" w:color="000000"/>
              <w:left w:val="single" w:sz="4" w:space="0" w:color="000000"/>
              <w:right w:val="single" w:sz="4" w:space="0" w:color="000000"/>
            </w:tcBorders>
          </w:tcPr>
          <w:p>
            <w:pPr/>
          </w:p>
        </w:tc>
        <w:tc>
          <w:tcPr>
            <w:tcW w:w="862" w:type="dxa"/>
            <w:vMerge w:val="restart"/>
            <w:tcBorders>
              <w:top w:val="single" w:sz="18" w:space="0" w:color="D2D2D2"/>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6,263,063,</w:t>
            </w:r>
          </w:p>
          <w:p>
            <w:pPr>
              <w:pStyle w:val="TableParagraph"/>
              <w:spacing w:line="240" w:lineRule="auto" w:before="102"/>
              <w:ind w:left="335" w:right="0"/>
              <w:jc w:val="left"/>
              <w:rPr>
                <w:rFonts w:ascii="Times New Roman" w:hAnsi="Times New Roman" w:cs="Times New Roman" w:eastAsia="Times New Roman" w:hint="default"/>
                <w:sz w:val="18"/>
                <w:szCs w:val="18"/>
              </w:rPr>
            </w:pPr>
            <w:r>
              <w:rPr>
                <w:rFonts w:ascii="Times New Roman"/>
                <w:sz w:val="18"/>
              </w:rPr>
              <w:t>626.81</w:t>
            </w:r>
          </w:p>
        </w:tc>
      </w:tr>
      <w:tr>
        <w:trPr>
          <w:trHeight w:val="703" w:hRule="exact"/>
        </w:trPr>
        <w:tc>
          <w:tcPr>
            <w:tcW w:w="12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pacing w:val="-2"/>
                <w:sz w:val="18"/>
                <w:szCs w:val="18"/>
              </w:rPr>
              <w:t>一、上年期末余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40"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3"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8"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61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r>
      <w:tr>
        <w:trPr>
          <w:trHeight w:val="161" w:hRule="exact"/>
        </w:trPr>
        <w:tc>
          <w:tcPr>
            <w:tcW w:w="1283" w:type="dxa"/>
            <w:tcBorders>
              <w:top w:val="nil" w:sz="6" w:space="0" w:color="auto"/>
              <w:left w:val="single" w:sz="4" w:space="0" w:color="000000"/>
              <w:bottom w:val="single" w:sz="4" w:space="0" w:color="000000"/>
              <w:right w:val="single" w:sz="4" w:space="0" w:color="000000"/>
            </w:tcBorders>
            <w:shd w:val="clear" w:color="auto" w:fill="D2D2D2"/>
          </w:tcPr>
          <w:p>
            <w:pPr/>
          </w:p>
        </w:tc>
        <w:tc>
          <w:tcPr>
            <w:tcW w:w="640"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3"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615"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r>
      <w:tr>
        <w:trPr>
          <w:trHeight w:val="403" w:hRule="exact"/>
        </w:trPr>
        <w:tc>
          <w:tcPr>
            <w:tcW w:w="1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2" w:right="0"/>
              <w:jc w:val="left"/>
              <w:rPr>
                <w:rFonts w:ascii="宋体" w:hAnsi="宋体" w:cs="宋体" w:eastAsia="宋体" w:hint="default"/>
                <w:sz w:val="18"/>
                <w:szCs w:val="18"/>
              </w:rPr>
            </w:pPr>
            <w:r>
              <w:rPr>
                <w:rFonts w:ascii="宋体" w:hAnsi="宋体" w:cs="宋体" w:eastAsia="宋体" w:hint="default"/>
                <w:sz w:val="18"/>
                <w:szCs w:val="18"/>
              </w:rPr>
              <w:t>加：会计政</w:t>
            </w:r>
          </w:p>
        </w:tc>
        <w:tc>
          <w:tcPr>
            <w:tcW w:w="640"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05"/>
        <w:gridCol w:w="629"/>
        <w:gridCol w:w="605"/>
        <w:gridCol w:w="603"/>
        <w:gridCol w:w="605"/>
        <w:gridCol w:w="727"/>
        <w:gridCol w:w="728"/>
        <w:gridCol w:w="725"/>
        <w:gridCol w:w="727"/>
        <w:gridCol w:w="727"/>
        <w:gridCol w:w="615"/>
        <w:gridCol w:w="710"/>
        <w:gridCol w:w="862"/>
      </w:tblGrid>
      <w:tr>
        <w:trPr>
          <w:trHeight w:val="36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策变更</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二、本年期初余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35,239.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4,655,60</w:t>
            </w:r>
          </w:p>
          <w:p>
            <w:pPr>
              <w:pStyle w:val="TableParagraph"/>
              <w:spacing w:line="240" w:lineRule="auto" w:before="105"/>
              <w:ind w:left="69" w:right="0"/>
              <w:jc w:val="left"/>
              <w:rPr>
                <w:rFonts w:ascii="Times New Roman" w:hAnsi="Times New Roman" w:cs="Times New Roman" w:eastAsia="Times New Roman" w:hint="default"/>
                <w:sz w:val="18"/>
                <w:szCs w:val="18"/>
              </w:rPr>
            </w:pPr>
            <w:r>
              <w:rPr>
                <w:rFonts w:ascii="Times New Roman"/>
                <w:sz w:val="18"/>
              </w:rPr>
              <w:t>7,500.11</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475,861,</w:t>
            </w:r>
          </w:p>
          <w:p>
            <w:pPr>
              <w:pStyle w:val="TableParagraph"/>
              <w:spacing w:line="240" w:lineRule="auto" w:before="105"/>
              <w:ind w:left="180" w:right="0"/>
              <w:jc w:val="center"/>
              <w:rPr>
                <w:rFonts w:ascii="Times New Roman" w:hAnsi="Times New Roman" w:cs="Times New Roman" w:eastAsia="Times New Roman" w:hint="default"/>
                <w:sz w:val="18"/>
                <w:szCs w:val="18"/>
              </w:rPr>
            </w:pPr>
            <w:r>
              <w:rPr>
                <w:rFonts w:ascii="Times New Roman"/>
                <w:sz w:val="18"/>
              </w:rPr>
              <w:t>413.21</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99,437,1</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84.92</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736,54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2"/>
                <w:sz w:val="18"/>
              </w:rPr>
              <w:t>5,115.9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6,263,063,</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626.81</w:t>
            </w: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both"/>
              <w:rPr>
                <w:rFonts w:ascii="宋体" w:hAnsi="宋体" w:cs="宋体" w:eastAsia="宋体" w:hint="default"/>
                <w:sz w:val="18"/>
                <w:szCs w:val="18"/>
              </w:rPr>
            </w:pPr>
            <w:r>
              <w:rPr>
                <w:rFonts w:ascii="宋体" w:hAnsi="宋体" w:cs="宋体" w:eastAsia="宋体" w:hint="default"/>
                <w:spacing w:val="-2"/>
                <w:sz w:val="18"/>
                <w:szCs w:val="18"/>
              </w:rPr>
              <w:t>三、本期增减变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动金额（减少以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-3,800,</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000.00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2,065,05</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8.84</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182,866,</w:t>
            </w:r>
          </w:p>
          <w:p>
            <w:pPr>
              <w:pStyle w:val="TableParagraph"/>
              <w:spacing w:line="240" w:lineRule="auto" w:before="105"/>
              <w:ind w:left="180" w:right="0"/>
              <w:jc w:val="center"/>
              <w:rPr>
                <w:rFonts w:ascii="Times New Roman" w:hAnsi="Times New Roman" w:cs="Times New Roman" w:eastAsia="Times New Roman" w:hint="default"/>
                <w:sz w:val="18"/>
                <w:szCs w:val="18"/>
              </w:rPr>
            </w:pPr>
            <w:r>
              <w:rPr>
                <w:rFonts w:ascii="Times New Roman"/>
                <w:sz w:val="18"/>
              </w:rPr>
              <w:t>350.07</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000.00</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29,374,5</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19.38</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203,90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5,034.2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33,678,26</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2.38</w:t>
            </w: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（一）综合收益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000.00</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293,74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5,193.7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278,745,1</w:t>
            </w:r>
          </w:p>
          <w:p>
            <w:pPr>
              <w:pStyle w:val="TableParagraph"/>
              <w:spacing w:line="240" w:lineRule="auto" w:before="105"/>
              <w:ind w:left="424" w:right="0"/>
              <w:jc w:val="left"/>
              <w:rPr>
                <w:rFonts w:ascii="Times New Roman" w:hAnsi="Times New Roman" w:cs="Times New Roman" w:eastAsia="Times New Roman" w:hint="default"/>
                <w:sz w:val="18"/>
                <w:szCs w:val="18"/>
              </w:rPr>
            </w:pPr>
            <w:r>
              <w:rPr>
                <w:rFonts w:ascii="Times New Roman"/>
                <w:sz w:val="18"/>
              </w:rPr>
              <w:t>93.78</w:t>
            </w: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2"/>
                <w:sz w:val="18"/>
                <w:szCs w:val="18"/>
              </w:rPr>
              <w:t>（二）所有者投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入和减少资本</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-3,800,</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000.00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2,065,05</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8.84</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center"/>
              <w:rPr>
                <w:rFonts w:ascii="Times New Roman" w:hAnsi="Times New Roman" w:cs="Times New Roman" w:eastAsia="Times New Roman" w:hint="default"/>
                <w:sz w:val="18"/>
                <w:szCs w:val="18"/>
              </w:rPr>
            </w:pPr>
            <w:r>
              <w:rPr>
                <w:rFonts w:ascii="Times New Roman"/>
                <w:sz w:val="18"/>
              </w:rPr>
              <w:t>182,866,</w:t>
            </w:r>
          </w:p>
          <w:p>
            <w:pPr>
              <w:pStyle w:val="TableParagraph"/>
              <w:spacing w:line="240" w:lineRule="auto" w:before="105"/>
              <w:ind w:left="180" w:right="0"/>
              <w:jc w:val="center"/>
              <w:rPr>
                <w:rFonts w:ascii="Times New Roman" w:hAnsi="Times New Roman" w:cs="Times New Roman" w:eastAsia="Times New Roman" w:hint="default"/>
                <w:sz w:val="18"/>
                <w:szCs w:val="18"/>
              </w:rPr>
            </w:pPr>
            <w:r>
              <w:rPr>
                <w:rFonts w:ascii="Times New Roman"/>
                <w:sz w:val="18"/>
              </w:rPr>
              <w:t>350.07</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-184,601,2</w:t>
            </w:r>
          </w:p>
          <w:p>
            <w:pPr>
              <w:pStyle w:val="TableParagraph"/>
              <w:spacing w:line="240" w:lineRule="auto" w:before="105"/>
              <w:ind w:left="424" w:right="0"/>
              <w:jc w:val="left"/>
              <w:rPr>
                <w:rFonts w:ascii="Times New Roman" w:hAnsi="Times New Roman" w:cs="Times New Roman" w:eastAsia="Times New Roman" w:hint="default"/>
                <w:sz w:val="18"/>
                <w:szCs w:val="18"/>
              </w:rPr>
            </w:pPr>
            <w:r>
              <w:rPr>
                <w:rFonts w:ascii="Times New Roman"/>
                <w:sz w:val="18"/>
              </w:rPr>
              <w:t>91.23</w:t>
            </w: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-3,800,</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000.00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-40,385,</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506.16</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center"/>
              <w:rPr>
                <w:rFonts w:ascii="Times New Roman" w:hAnsi="Times New Roman" w:cs="Times New Roman" w:eastAsia="Times New Roman" w:hint="default"/>
                <w:sz w:val="18"/>
                <w:szCs w:val="18"/>
              </w:rPr>
            </w:pPr>
            <w:r>
              <w:rPr>
                <w:rFonts w:ascii="Times New Roman"/>
                <w:sz w:val="18"/>
              </w:rPr>
              <w:t>227,051,</w:t>
            </w:r>
          </w:p>
          <w:p>
            <w:pPr>
              <w:pStyle w:val="TableParagraph"/>
              <w:spacing w:line="240" w:lineRule="auto" w:before="105"/>
              <w:ind w:left="180" w:right="0"/>
              <w:jc w:val="center"/>
              <w:rPr>
                <w:rFonts w:ascii="Times New Roman" w:hAnsi="Times New Roman" w:cs="Times New Roman" w:eastAsia="Times New Roman" w:hint="default"/>
                <w:sz w:val="18"/>
                <w:szCs w:val="18"/>
              </w:rPr>
            </w:pPr>
            <w:r>
              <w:rPr>
                <w:rFonts w:ascii="Times New Roman"/>
                <w:sz w:val="18"/>
              </w:rPr>
              <w:t>856.23</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-271,237,3</w:t>
            </w:r>
          </w:p>
          <w:p>
            <w:pPr>
              <w:pStyle w:val="TableParagraph"/>
              <w:spacing w:line="240" w:lineRule="auto" w:before="105"/>
              <w:ind w:left="424" w:right="0"/>
              <w:jc w:val="left"/>
              <w:rPr>
                <w:rFonts w:ascii="Times New Roman" w:hAnsi="Times New Roman" w:cs="Times New Roman" w:eastAsia="Times New Roman" w:hint="default"/>
                <w:sz w:val="18"/>
                <w:szCs w:val="18"/>
              </w:rPr>
            </w:pPr>
            <w:r>
              <w:rPr>
                <w:rFonts w:ascii="Times New Roman"/>
                <w:sz w:val="18"/>
              </w:rPr>
              <w:t>62.39</w:t>
            </w: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1,212,36</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5.00</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1,212,365.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41,238,2</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00.00</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-44,185,</w:t>
            </w:r>
          </w:p>
          <w:p>
            <w:pPr>
              <w:pStyle w:val="TableParagraph"/>
              <w:spacing w:line="240" w:lineRule="auto" w:before="105"/>
              <w:ind w:left="180" w:right="0"/>
              <w:jc w:val="center"/>
              <w:rPr>
                <w:rFonts w:ascii="Times New Roman" w:hAnsi="Times New Roman" w:cs="Times New Roman" w:eastAsia="Times New Roman" w:hint="default"/>
                <w:sz w:val="18"/>
                <w:szCs w:val="18"/>
              </w:rPr>
            </w:pPr>
            <w:r>
              <w:rPr>
                <w:rFonts w:ascii="Times New Roman"/>
                <w:sz w:val="18"/>
              </w:rPr>
              <w:t>506.16</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85,423,70</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6.16</w:t>
            </w: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29,374,5</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19.38</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-89,840</w:t>
            </w:r>
          </w:p>
          <w:p>
            <w:pPr>
              <w:pStyle w:val="TableParagraph"/>
              <w:spacing w:line="240" w:lineRule="auto" w:before="105"/>
              <w:ind w:left="43" w:right="0"/>
              <w:jc w:val="left"/>
              <w:rPr>
                <w:rFonts w:ascii="Times New Roman" w:hAnsi="Times New Roman" w:cs="Times New Roman" w:eastAsia="Times New Roman" w:hint="default"/>
                <w:sz w:val="18"/>
                <w:szCs w:val="18"/>
              </w:rPr>
            </w:pPr>
            <w:r>
              <w:rPr>
                <w:rFonts w:ascii="Times New Roman"/>
                <w:sz w:val="18"/>
              </w:rPr>
              <w:t>,159.55</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-60,465,64</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0.17</w:t>
            </w: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29,374,5</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19.38</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-29,374</w:t>
            </w:r>
          </w:p>
          <w:p>
            <w:pPr>
              <w:pStyle w:val="TableParagraph"/>
              <w:spacing w:line="240" w:lineRule="auto" w:before="105"/>
              <w:ind w:left="43" w:right="0"/>
              <w:jc w:val="left"/>
              <w:rPr>
                <w:rFonts w:ascii="Times New Roman" w:hAnsi="Times New Roman" w:cs="Times New Roman" w:eastAsia="Times New Roman" w:hint="default"/>
                <w:sz w:val="18"/>
                <w:szCs w:val="18"/>
              </w:rPr>
            </w:pPr>
            <w:r>
              <w:rPr>
                <w:rFonts w:ascii="Times New Roman"/>
                <w:sz w:val="18"/>
              </w:rPr>
              <w:t>,519.38</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-60,465</w:t>
            </w:r>
          </w:p>
          <w:p>
            <w:pPr>
              <w:pStyle w:val="TableParagraph"/>
              <w:spacing w:line="240" w:lineRule="auto" w:before="105"/>
              <w:ind w:left="43" w:right="0"/>
              <w:jc w:val="left"/>
              <w:rPr>
                <w:rFonts w:ascii="Times New Roman" w:hAnsi="Times New Roman" w:cs="Times New Roman" w:eastAsia="Times New Roman" w:hint="default"/>
                <w:sz w:val="18"/>
                <w:szCs w:val="18"/>
              </w:rPr>
            </w:pPr>
            <w:r>
              <w:rPr>
                <w:rFonts w:ascii="Times New Roman"/>
                <w:sz w:val="18"/>
              </w:rPr>
              <w:t>,640.17</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-60,465,64</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0.17</w:t>
            </w:r>
          </w:p>
        </w:tc>
      </w:tr>
      <w:tr>
        <w:trPr>
          <w:trHeight w:val="404"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2"/>
                <w:sz w:val="18"/>
                <w:szCs w:val="18"/>
              </w:rPr>
              <w:t>（四）所有者权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益内部结转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05"/>
        <w:gridCol w:w="629"/>
        <w:gridCol w:w="605"/>
        <w:gridCol w:w="603"/>
        <w:gridCol w:w="605"/>
        <w:gridCol w:w="727"/>
        <w:gridCol w:w="728"/>
        <w:gridCol w:w="725"/>
        <w:gridCol w:w="727"/>
        <w:gridCol w:w="727"/>
        <w:gridCol w:w="615"/>
        <w:gridCol w:w="710"/>
        <w:gridCol w:w="862"/>
      </w:tblGrid>
      <w:tr>
        <w:trPr>
          <w:trHeight w:val="36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四、本期期末余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35,239.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4,657,67</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2,558.95</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658,727,</w:t>
            </w:r>
          </w:p>
          <w:p>
            <w:pPr>
              <w:pStyle w:val="TableParagraph"/>
              <w:spacing w:line="240" w:lineRule="auto" w:before="105"/>
              <w:ind w:left="180" w:right="0"/>
              <w:jc w:val="center"/>
              <w:rPr>
                <w:rFonts w:ascii="Times New Roman" w:hAnsi="Times New Roman" w:cs="Times New Roman" w:eastAsia="Times New Roman" w:hint="default"/>
                <w:sz w:val="18"/>
                <w:szCs w:val="18"/>
              </w:rPr>
            </w:pPr>
            <w:r>
              <w:rPr>
                <w:rFonts w:ascii="Times New Roman"/>
                <w:sz w:val="18"/>
              </w:rPr>
              <w:t>763.28</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000.00</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128,811,</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704.30</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940,45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0,150.2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6,296,741,</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889.19</w:t>
            </w:r>
          </w:p>
        </w:tc>
      </w:tr>
    </w:tbl>
    <w:p>
      <w:pPr>
        <w:pStyle w:val="BodyText"/>
        <w:spacing w:line="240" w:lineRule="auto" w:before="49"/>
        <w:ind w:right="1133"/>
        <w:jc w:val="left"/>
      </w:pPr>
      <w:r>
        <w:rPr/>
        <w:t>上期金额</w:t>
      </w:r>
    </w:p>
    <w:p>
      <w:pPr>
        <w:pStyle w:val="BodyText"/>
        <w:spacing w:line="240" w:lineRule="auto" w:before="117"/>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09"/>
        <w:gridCol w:w="604"/>
        <w:gridCol w:w="574"/>
        <w:gridCol w:w="572"/>
        <w:gridCol w:w="571"/>
        <w:gridCol w:w="686"/>
        <w:gridCol w:w="686"/>
        <w:gridCol w:w="684"/>
        <w:gridCol w:w="782"/>
        <w:gridCol w:w="665"/>
        <w:gridCol w:w="797"/>
        <w:gridCol w:w="797"/>
        <w:gridCol w:w="931"/>
      </w:tblGrid>
      <w:tr>
        <w:trPr>
          <w:trHeight w:val="397" w:hRule="exact"/>
        </w:trPr>
        <w:tc>
          <w:tcPr>
            <w:tcW w:w="1209" w:type="dxa"/>
            <w:vMerge w:val="restart"/>
            <w:tcBorders>
              <w:top w:val="single" w:sz="4" w:space="0" w:color="000000"/>
              <w:left w:val="single" w:sz="4" w:space="0" w:color="000000"/>
              <w:right w:val="single" w:sz="4" w:space="0" w:color="000000"/>
            </w:tcBorders>
            <w:shd w:val="clear" w:color="auto" w:fill="D2D2D2"/>
          </w:tcPr>
          <w:p>
            <w:pPr/>
          </w:p>
        </w:tc>
        <w:tc>
          <w:tcPr>
            <w:tcW w:w="8350"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189" w:hRule="exact"/>
        </w:trPr>
        <w:tc>
          <w:tcPr>
            <w:tcW w:w="1209" w:type="dxa"/>
            <w:vMerge/>
            <w:tcBorders>
              <w:left w:val="single" w:sz="4" w:space="0" w:color="000000"/>
              <w:bottom w:val="nil" w:sz="6" w:space="0" w:color="auto"/>
              <w:right w:val="single" w:sz="4" w:space="0" w:color="000000"/>
            </w:tcBorders>
            <w:shd w:val="clear" w:color="auto" w:fill="D2D2D2"/>
          </w:tcPr>
          <w:p>
            <w:pPr/>
          </w:p>
        </w:tc>
        <w:tc>
          <w:tcPr>
            <w:tcW w:w="604" w:type="dxa"/>
            <w:vMerge w:val="restart"/>
            <w:tcBorders>
              <w:top w:val="single" w:sz="4" w:space="0" w:color="000000"/>
              <w:left w:val="single" w:sz="4" w:space="0" w:color="000000"/>
              <w:right w:val="single" w:sz="4" w:space="0" w:color="000000"/>
            </w:tcBorders>
            <w:shd w:val="clear" w:color="auto" w:fill="D2D2D2"/>
          </w:tcPr>
          <w:p>
            <w:pPr/>
          </w:p>
        </w:tc>
        <w:tc>
          <w:tcPr>
            <w:tcW w:w="171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1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782" w:type="dxa"/>
            <w:vMerge w:val="restart"/>
            <w:tcBorders>
              <w:top w:val="single" w:sz="4" w:space="0" w:color="000000"/>
              <w:left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81" w:hRule="exact"/>
        </w:trPr>
        <w:tc>
          <w:tcPr>
            <w:tcW w:w="12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04" w:type="dxa"/>
            <w:vMerge/>
            <w:tcBorders>
              <w:left w:val="single" w:sz="4" w:space="0" w:color="000000"/>
              <w:bottom w:val="nil" w:sz="6" w:space="0" w:color="auto"/>
              <w:right w:val="single" w:sz="4" w:space="0" w:color="000000"/>
            </w:tcBorders>
            <w:shd w:val="clear" w:color="auto" w:fill="D2D2D2"/>
          </w:tcPr>
          <w:p>
            <w:pPr/>
          </w:p>
        </w:tc>
        <w:tc>
          <w:tcPr>
            <w:tcW w:w="1717" w:type="dxa"/>
            <w:gridSpan w:val="3"/>
            <w:vMerge/>
            <w:tcBorders>
              <w:left w:val="single" w:sz="4" w:space="0" w:color="000000"/>
              <w:bottom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0"/>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0"/>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0"/>
              <w:ind w:left="67" w:right="6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82"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304" w:right="32"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97"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189" w:right="98"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86" w:hRule="exact"/>
        </w:trPr>
        <w:tc>
          <w:tcPr>
            <w:tcW w:w="1209" w:type="dxa"/>
            <w:vMerge/>
            <w:tcBorders>
              <w:left w:val="single" w:sz="4" w:space="0" w:color="000000"/>
              <w:bottom w:val="nil" w:sz="6" w:space="0" w:color="auto"/>
              <w:right w:val="single" w:sz="4" w:space="0" w:color="000000"/>
            </w:tcBorders>
            <w:shd w:val="clear" w:color="auto" w:fill="D2D2D2"/>
          </w:tcPr>
          <w:p>
            <w:pPr/>
          </w:p>
        </w:tc>
        <w:tc>
          <w:tcPr>
            <w:tcW w:w="6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12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7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0"/>
              <w:ind w:left="194" w:right="98"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72"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0"/>
              <w:ind w:left="191" w:right="99"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71"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7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9"/>
              <w:ind w:left="2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665"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9"/>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1" w:type="dxa"/>
            <w:vMerge/>
            <w:tcBorders>
              <w:left w:val="single" w:sz="4" w:space="0" w:color="000000"/>
              <w:right w:val="single" w:sz="4" w:space="0" w:color="000000"/>
            </w:tcBorders>
            <w:shd w:val="clear" w:color="auto" w:fill="D2D2D2"/>
          </w:tcPr>
          <w:p>
            <w:pPr/>
          </w:p>
        </w:tc>
      </w:tr>
      <w:tr>
        <w:trPr>
          <w:trHeight w:val="196" w:hRule="exact"/>
        </w:trPr>
        <w:tc>
          <w:tcPr>
            <w:tcW w:w="1209" w:type="dxa"/>
            <w:vMerge w:val="restart"/>
            <w:tcBorders>
              <w:top w:val="nil" w:sz="6" w:space="0" w:color="auto"/>
              <w:left w:val="single" w:sz="4" w:space="0" w:color="000000"/>
              <w:right w:val="single" w:sz="4" w:space="0" w:color="000000"/>
            </w:tcBorders>
            <w:shd w:val="clear" w:color="auto" w:fill="D2D2D2"/>
          </w:tcPr>
          <w:p>
            <w:pPr/>
          </w:p>
        </w:tc>
        <w:tc>
          <w:tcPr>
            <w:tcW w:w="604"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5"/>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78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931" w:type="dxa"/>
            <w:vMerge/>
            <w:tcBorders>
              <w:left w:val="single" w:sz="4" w:space="0" w:color="000000"/>
              <w:right w:val="single" w:sz="4" w:space="0" w:color="000000"/>
            </w:tcBorders>
            <w:shd w:val="clear" w:color="auto" w:fill="D2D2D2"/>
          </w:tcPr>
          <w:p>
            <w:pPr/>
          </w:p>
        </w:tc>
      </w:tr>
      <w:tr>
        <w:trPr>
          <w:trHeight w:val="156" w:hRule="exact"/>
        </w:trPr>
        <w:tc>
          <w:tcPr>
            <w:tcW w:w="1209" w:type="dxa"/>
            <w:vMerge/>
            <w:tcBorders>
              <w:left w:val="single" w:sz="4" w:space="0" w:color="000000"/>
              <w:right w:val="single" w:sz="4" w:space="0" w:color="000000"/>
            </w:tcBorders>
            <w:shd w:val="clear" w:color="auto" w:fill="D2D2D2"/>
          </w:tcPr>
          <w:p>
            <w:pPr/>
          </w:p>
        </w:tc>
        <w:tc>
          <w:tcPr>
            <w:tcW w:w="604" w:type="dxa"/>
            <w:vMerge w:val="restart"/>
            <w:tcBorders>
              <w:top w:val="nil" w:sz="6" w:space="0" w:color="auto"/>
              <w:left w:val="single" w:sz="4" w:space="0" w:color="000000"/>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1"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782" w:type="dxa"/>
            <w:vMerge w:val="restart"/>
            <w:tcBorders>
              <w:top w:val="nil" w:sz="6" w:space="0" w:color="auto"/>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209" w:type="dxa"/>
            <w:vMerge/>
            <w:tcBorders>
              <w:left w:val="single" w:sz="4" w:space="0" w:color="000000"/>
              <w:bottom w:val="single" w:sz="4" w:space="0" w:color="000000"/>
              <w:right w:val="single" w:sz="4" w:space="0" w:color="000000"/>
            </w:tcBorders>
            <w:shd w:val="clear" w:color="auto" w:fill="D2D2D2"/>
          </w:tcPr>
          <w:p>
            <w:pPr/>
          </w:p>
        </w:tc>
        <w:tc>
          <w:tcPr>
            <w:tcW w:w="604"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72" w:type="dxa"/>
            <w:vMerge/>
            <w:tcBorders>
              <w:left w:val="single" w:sz="4" w:space="0" w:color="000000"/>
              <w:bottom w:val="single" w:sz="4" w:space="0" w:color="000000"/>
              <w:right w:val="single" w:sz="4" w:space="0" w:color="000000"/>
            </w:tcBorders>
            <w:shd w:val="clear" w:color="auto" w:fill="D2D2D2"/>
          </w:tcPr>
          <w:p>
            <w:pPr/>
          </w:p>
        </w:tc>
        <w:tc>
          <w:tcPr>
            <w:tcW w:w="571"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2"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93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209" w:type="dxa"/>
            <w:tcBorders>
              <w:top w:val="single" w:sz="4" w:space="0" w:color="000000"/>
              <w:left w:val="single" w:sz="4" w:space="0" w:color="000000"/>
              <w:bottom w:val="nil" w:sz="6" w:space="0" w:color="auto"/>
              <w:right w:val="single" w:sz="4" w:space="0" w:color="000000"/>
            </w:tcBorders>
            <w:shd w:val="clear" w:color="auto" w:fill="D2D2D2"/>
          </w:tcPr>
          <w:p>
            <w:pPr/>
          </w:p>
        </w:tc>
        <w:tc>
          <w:tcPr>
            <w:tcW w:w="604" w:type="dxa"/>
            <w:vMerge w:val="restart"/>
            <w:tcBorders>
              <w:top w:val="single" w:sz="4" w:space="0" w:color="000000"/>
              <w:left w:val="single" w:sz="9" w:space="0" w:color="D2D2D2"/>
              <w:right w:val="single" w:sz="4" w:space="0" w:color="000000"/>
            </w:tcBorders>
          </w:tcPr>
          <w:p>
            <w:pPr>
              <w:pStyle w:val="TableParagraph"/>
              <w:spacing w:line="240" w:lineRule="auto" w:before="91"/>
              <w:ind w:left="94" w:right="0"/>
              <w:jc w:val="center"/>
              <w:rPr>
                <w:rFonts w:ascii="Times New Roman" w:hAnsi="Times New Roman" w:cs="Times New Roman" w:eastAsia="Times New Roman" w:hint="default"/>
                <w:sz w:val="18"/>
                <w:szCs w:val="18"/>
              </w:rPr>
            </w:pPr>
            <w:r>
              <w:rPr>
                <w:rFonts w:ascii="Times New Roman"/>
                <w:sz w:val="18"/>
              </w:rPr>
              <w:t>1,251,</w:t>
            </w:r>
          </w:p>
          <w:p>
            <w:pPr>
              <w:pStyle w:val="TableParagraph"/>
              <w:spacing w:line="240" w:lineRule="auto" w:before="105"/>
              <w:ind w:left="51" w:right="0"/>
              <w:jc w:val="center"/>
              <w:rPr>
                <w:rFonts w:ascii="Times New Roman" w:hAnsi="Times New Roman" w:cs="Times New Roman" w:eastAsia="Times New Roman" w:hint="default"/>
                <w:sz w:val="18"/>
                <w:szCs w:val="18"/>
              </w:rPr>
            </w:pPr>
            <w:r>
              <w:rPr>
                <w:rFonts w:ascii="Times New Roman"/>
                <w:sz w:val="18"/>
              </w:rPr>
              <w:t>350,09</w:t>
            </w:r>
          </w:p>
          <w:p>
            <w:pPr>
              <w:pStyle w:val="TableParagraph"/>
              <w:spacing w:line="240" w:lineRule="auto" w:before="105"/>
              <w:ind w:left="231" w:right="0"/>
              <w:jc w:val="center"/>
              <w:rPr>
                <w:rFonts w:ascii="Times New Roman" w:hAnsi="Times New Roman" w:cs="Times New Roman" w:eastAsia="Times New Roman" w:hint="default"/>
                <w:sz w:val="18"/>
                <w:szCs w:val="18"/>
              </w:rPr>
            </w:pPr>
            <w:r>
              <w:rPr>
                <w:rFonts w:ascii="Times New Roman"/>
                <w:sz w:val="18"/>
              </w:rPr>
              <w:t>5.00</w:t>
            </w:r>
          </w:p>
        </w:tc>
        <w:tc>
          <w:tcPr>
            <w:tcW w:w="574"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4,689,8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53,515.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05</w:t>
            </w: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47,424,</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431.35</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330,788,7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69.32</w:t>
            </w:r>
          </w:p>
        </w:tc>
        <w:tc>
          <w:tcPr>
            <w:tcW w:w="797"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6,319,416,8</w:t>
            </w:r>
          </w:p>
          <w:p>
            <w:pPr>
              <w:pStyle w:val="TableParagraph"/>
              <w:spacing w:line="240" w:lineRule="auto" w:before="105"/>
              <w:ind w:left="491" w:right="0"/>
              <w:jc w:val="left"/>
              <w:rPr>
                <w:rFonts w:ascii="Times New Roman" w:hAnsi="Times New Roman" w:cs="Times New Roman" w:eastAsia="Times New Roman" w:hint="default"/>
                <w:sz w:val="18"/>
                <w:szCs w:val="18"/>
              </w:rPr>
            </w:pPr>
            <w:r>
              <w:rPr>
                <w:rFonts w:ascii="Times New Roman"/>
                <w:sz w:val="18"/>
              </w:rPr>
              <w:t>10.72</w:t>
            </w:r>
          </w:p>
        </w:tc>
      </w:tr>
      <w:tr>
        <w:trPr>
          <w:trHeight w:val="703" w:hRule="exact"/>
        </w:trPr>
        <w:tc>
          <w:tcPr>
            <w:tcW w:w="12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13"/>
                <w:sz w:val="18"/>
                <w:szCs w:val="18"/>
              </w:rPr>
              <w:t>一、上年期末余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604" w:type="dxa"/>
            <w:vMerge/>
            <w:tcBorders>
              <w:left w:val="single" w:sz="9" w:space="0" w:color="D2D2D2"/>
              <w:right w:val="single" w:sz="4" w:space="0" w:color="000000"/>
            </w:tcBorders>
          </w:tcPr>
          <w:p>
            <w:pPr/>
          </w:p>
        </w:tc>
        <w:tc>
          <w:tcPr>
            <w:tcW w:w="574"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209" w:type="dxa"/>
            <w:tcBorders>
              <w:top w:val="nil" w:sz="6" w:space="0" w:color="auto"/>
              <w:left w:val="single" w:sz="4" w:space="0" w:color="000000"/>
              <w:bottom w:val="single" w:sz="4" w:space="0" w:color="000000"/>
              <w:right w:val="single" w:sz="4" w:space="0" w:color="000000"/>
            </w:tcBorders>
            <w:shd w:val="clear" w:color="auto" w:fill="D2D2D2"/>
          </w:tcPr>
          <w:p>
            <w:pPr/>
          </w:p>
        </w:tc>
        <w:tc>
          <w:tcPr>
            <w:tcW w:w="604" w:type="dxa"/>
            <w:vMerge/>
            <w:tcBorders>
              <w:left w:val="single" w:sz="9" w:space="0" w:color="D2D2D2"/>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r>
        <w:trPr>
          <w:trHeight w:val="715" w:hRule="exact"/>
        </w:trPr>
        <w:tc>
          <w:tcPr>
            <w:tcW w:w="1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8" w:firstLine="360"/>
              <w:jc w:val="left"/>
              <w:rPr>
                <w:rFonts w:ascii="宋体" w:hAnsi="宋体" w:cs="宋体" w:eastAsia="宋体" w:hint="default"/>
                <w:sz w:val="18"/>
                <w:szCs w:val="18"/>
              </w:rPr>
            </w:pPr>
            <w:r>
              <w:rPr>
                <w:rFonts w:ascii="宋体" w:hAnsi="宋体" w:cs="宋体" w:eastAsia="宋体" w:hint="default"/>
                <w:spacing w:val="-17"/>
                <w:sz w:val="18"/>
                <w:szCs w:val="18"/>
              </w:rPr>
              <w:t>加：会计政</w:t>
            </w:r>
            <w:r>
              <w:rPr>
                <w:rFonts w:ascii="宋体" w:hAnsi="宋体" w:cs="宋体" w:eastAsia="宋体" w:hint="default"/>
                <w:sz w:val="18"/>
                <w:szCs w:val="18"/>
              </w:rPr>
              <w:t> 策变更</w:t>
            </w:r>
          </w:p>
        </w:tc>
        <w:tc>
          <w:tcPr>
            <w:tcW w:w="604"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04"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4"/>
              <w:jc w:val="right"/>
              <w:rPr>
                <w:rFonts w:ascii="宋体" w:hAnsi="宋体" w:cs="宋体" w:eastAsia="宋体" w:hint="default"/>
                <w:sz w:val="18"/>
                <w:szCs w:val="18"/>
              </w:rPr>
            </w:pPr>
            <w:r>
              <w:rPr>
                <w:rFonts w:ascii="宋体" w:hAnsi="宋体" w:cs="宋体" w:eastAsia="宋体" w:hint="default"/>
                <w:sz w:val="18"/>
                <w:szCs w:val="18"/>
              </w:rPr>
              <w:t>其他</w:t>
            </w:r>
          </w:p>
        </w:tc>
        <w:tc>
          <w:tcPr>
            <w:tcW w:w="604"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209" w:type="dxa"/>
            <w:tcBorders>
              <w:top w:val="single" w:sz="4" w:space="0" w:color="000000"/>
              <w:left w:val="single" w:sz="4" w:space="0" w:color="000000"/>
              <w:bottom w:val="nil" w:sz="6" w:space="0" w:color="auto"/>
              <w:right w:val="single" w:sz="4" w:space="0" w:color="000000"/>
            </w:tcBorders>
            <w:shd w:val="clear" w:color="auto" w:fill="D2D2D2"/>
          </w:tcPr>
          <w:p>
            <w:pPr/>
          </w:p>
        </w:tc>
        <w:tc>
          <w:tcPr>
            <w:tcW w:w="604" w:type="dxa"/>
            <w:vMerge w:val="restart"/>
            <w:tcBorders>
              <w:top w:val="single" w:sz="4" w:space="0" w:color="000000"/>
              <w:left w:val="single" w:sz="9" w:space="0" w:color="D2D2D2"/>
              <w:right w:val="single" w:sz="4" w:space="0" w:color="000000"/>
            </w:tcBorders>
          </w:tcPr>
          <w:p>
            <w:pPr>
              <w:pStyle w:val="TableParagraph"/>
              <w:spacing w:line="240" w:lineRule="auto" w:before="91"/>
              <w:ind w:left="94" w:right="0"/>
              <w:jc w:val="center"/>
              <w:rPr>
                <w:rFonts w:ascii="Times New Roman" w:hAnsi="Times New Roman" w:cs="Times New Roman" w:eastAsia="Times New Roman" w:hint="default"/>
                <w:sz w:val="18"/>
                <w:szCs w:val="18"/>
              </w:rPr>
            </w:pPr>
            <w:r>
              <w:rPr>
                <w:rFonts w:ascii="Times New Roman"/>
                <w:sz w:val="18"/>
              </w:rPr>
              <w:t>1,251,</w:t>
            </w:r>
          </w:p>
          <w:p>
            <w:pPr>
              <w:pStyle w:val="TableParagraph"/>
              <w:spacing w:line="240" w:lineRule="auto" w:before="105"/>
              <w:ind w:left="51" w:right="0"/>
              <w:jc w:val="center"/>
              <w:rPr>
                <w:rFonts w:ascii="Times New Roman" w:hAnsi="Times New Roman" w:cs="Times New Roman" w:eastAsia="Times New Roman" w:hint="default"/>
                <w:sz w:val="18"/>
                <w:szCs w:val="18"/>
              </w:rPr>
            </w:pPr>
            <w:r>
              <w:rPr>
                <w:rFonts w:ascii="Times New Roman"/>
                <w:sz w:val="18"/>
              </w:rPr>
              <w:t>350,09</w:t>
            </w:r>
          </w:p>
          <w:p>
            <w:pPr>
              <w:pStyle w:val="TableParagraph"/>
              <w:spacing w:line="240" w:lineRule="auto" w:before="105"/>
              <w:ind w:left="231" w:right="0"/>
              <w:jc w:val="center"/>
              <w:rPr>
                <w:rFonts w:ascii="Times New Roman" w:hAnsi="Times New Roman" w:cs="Times New Roman" w:eastAsia="Times New Roman" w:hint="default"/>
                <w:sz w:val="18"/>
                <w:szCs w:val="18"/>
              </w:rPr>
            </w:pPr>
            <w:r>
              <w:rPr>
                <w:rFonts w:ascii="Times New Roman"/>
                <w:sz w:val="18"/>
              </w:rPr>
              <w:t>5.00</w:t>
            </w:r>
          </w:p>
        </w:tc>
        <w:tc>
          <w:tcPr>
            <w:tcW w:w="574"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4,689,8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53,515.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05</w:t>
            </w: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47,424,</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431.35</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330,788,7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69.32</w:t>
            </w:r>
          </w:p>
        </w:tc>
        <w:tc>
          <w:tcPr>
            <w:tcW w:w="797"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6,319,416,8</w:t>
            </w:r>
          </w:p>
          <w:p>
            <w:pPr>
              <w:pStyle w:val="TableParagraph"/>
              <w:spacing w:line="240" w:lineRule="auto" w:before="105"/>
              <w:ind w:left="491" w:right="0"/>
              <w:jc w:val="left"/>
              <w:rPr>
                <w:rFonts w:ascii="Times New Roman" w:hAnsi="Times New Roman" w:cs="Times New Roman" w:eastAsia="Times New Roman" w:hint="default"/>
                <w:sz w:val="18"/>
                <w:szCs w:val="18"/>
              </w:rPr>
            </w:pPr>
            <w:r>
              <w:rPr>
                <w:rFonts w:ascii="Times New Roman"/>
                <w:sz w:val="18"/>
              </w:rPr>
              <w:t>10.72</w:t>
            </w:r>
          </w:p>
        </w:tc>
      </w:tr>
      <w:tr>
        <w:trPr>
          <w:trHeight w:val="703" w:hRule="exact"/>
        </w:trPr>
        <w:tc>
          <w:tcPr>
            <w:tcW w:w="12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13"/>
                <w:sz w:val="18"/>
                <w:szCs w:val="18"/>
              </w:rPr>
              <w:t>二、本年期初余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604" w:type="dxa"/>
            <w:vMerge/>
            <w:tcBorders>
              <w:left w:val="single" w:sz="9" w:space="0" w:color="D2D2D2"/>
              <w:right w:val="single" w:sz="4" w:space="0" w:color="000000"/>
            </w:tcBorders>
          </w:tcPr>
          <w:p>
            <w:pPr/>
          </w:p>
        </w:tc>
        <w:tc>
          <w:tcPr>
            <w:tcW w:w="574"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209" w:type="dxa"/>
            <w:tcBorders>
              <w:top w:val="nil" w:sz="6" w:space="0" w:color="auto"/>
              <w:left w:val="single" w:sz="4" w:space="0" w:color="000000"/>
              <w:bottom w:val="single" w:sz="4" w:space="0" w:color="000000"/>
              <w:right w:val="single" w:sz="4" w:space="0" w:color="000000"/>
            </w:tcBorders>
            <w:shd w:val="clear" w:color="auto" w:fill="D2D2D2"/>
          </w:tcPr>
          <w:p>
            <w:pPr/>
          </w:p>
        </w:tc>
        <w:tc>
          <w:tcPr>
            <w:tcW w:w="604" w:type="dxa"/>
            <w:vMerge/>
            <w:tcBorders>
              <w:left w:val="single" w:sz="9" w:space="0" w:color="D2D2D2"/>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r>
        <w:trPr>
          <w:trHeight w:val="1027" w:hRule="exact"/>
        </w:trPr>
        <w:tc>
          <w:tcPr>
            <w:tcW w:w="1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9"/>
              <w:jc w:val="both"/>
              <w:rPr>
                <w:rFonts w:ascii="宋体" w:hAnsi="宋体" w:cs="宋体" w:eastAsia="宋体" w:hint="default"/>
                <w:sz w:val="18"/>
                <w:szCs w:val="18"/>
              </w:rPr>
            </w:pPr>
            <w:r>
              <w:rPr>
                <w:rFonts w:ascii="宋体" w:hAnsi="宋体" w:cs="宋体" w:eastAsia="宋体" w:hint="default"/>
                <w:spacing w:val="-13"/>
                <w:sz w:val="18"/>
                <w:szCs w:val="18"/>
              </w:rPr>
              <w:t>三、本期增减变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3"/>
                <w:sz w:val="18"/>
                <w:szCs w:val="18"/>
              </w:rPr>
              <w:t>动金额（减少以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-4,014,</w:t>
            </w:r>
          </w:p>
          <w:p>
            <w:pPr>
              <w:pStyle w:val="TableParagraph"/>
              <w:spacing w:line="240" w:lineRule="auto" w:before="102"/>
              <w:ind w:left="67" w:right="0"/>
              <w:jc w:val="left"/>
              <w:rPr>
                <w:rFonts w:ascii="Times New Roman" w:hAnsi="Times New Roman" w:cs="Times New Roman" w:eastAsia="Times New Roman" w:hint="default"/>
                <w:sz w:val="18"/>
                <w:szCs w:val="18"/>
              </w:rPr>
            </w:pPr>
            <w:r>
              <w:rPr>
                <w:rFonts w:ascii="Times New Roman"/>
                <w:sz w:val="18"/>
              </w:rPr>
              <w:t>856.00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-34,246,</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014.94</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475,861,</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413.21</w:t>
            </w: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52,012,</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753.57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405,756,3</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46.67</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-56,353,183</w:t>
            </w:r>
            <w:r>
              <w:rPr>
                <w:rFonts w:ascii="Times New Roman"/>
                <w:sz w:val="18"/>
              </w:rPr>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.91</w:t>
            </w:r>
          </w:p>
        </w:tc>
      </w:tr>
      <w:tr>
        <w:trPr>
          <w:trHeight w:val="403" w:hRule="exact"/>
        </w:trPr>
        <w:tc>
          <w:tcPr>
            <w:tcW w:w="1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9"/>
              <w:jc w:val="righ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85"/>
                <w:sz w:val="18"/>
                <w:szCs w:val="18"/>
              </w:rPr>
              <w:t>）</w:t>
            </w:r>
            <w:r>
              <w:rPr>
                <w:rFonts w:ascii="宋体" w:hAnsi="宋体" w:cs="宋体" w:eastAsia="宋体" w:hint="default"/>
                <w:sz w:val="18"/>
                <w:szCs w:val="18"/>
              </w:rPr>
              <w:t>综合收益</w:t>
            </w:r>
          </w:p>
        </w:tc>
        <w:tc>
          <w:tcPr>
            <w:tcW w:w="604"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5" w:right="0"/>
              <w:jc w:val="left"/>
              <w:rPr>
                <w:rFonts w:ascii="Times New Roman" w:hAnsi="Times New Roman" w:cs="Times New Roman" w:eastAsia="Times New Roman" w:hint="default"/>
                <w:sz w:val="18"/>
                <w:szCs w:val="18"/>
              </w:rPr>
            </w:pPr>
            <w:r>
              <w:rPr>
                <w:rFonts w:ascii="Times New Roman"/>
                <w:sz w:val="18"/>
              </w:rPr>
              <w:t>520,127,5</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86" w:right="0"/>
              <w:jc w:val="left"/>
              <w:rPr>
                <w:rFonts w:ascii="Times New Roman" w:hAnsi="Times New Roman" w:cs="Times New Roman" w:eastAsia="Times New Roman" w:hint="default"/>
                <w:sz w:val="18"/>
                <w:szCs w:val="18"/>
              </w:rPr>
            </w:pPr>
            <w:r>
              <w:rPr>
                <w:rFonts w:ascii="Times New Roman"/>
                <w:sz w:val="18"/>
              </w:rPr>
              <w:t>520,127,53</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0"/>
        <w:gridCol w:w="593"/>
        <w:gridCol w:w="574"/>
        <w:gridCol w:w="572"/>
        <w:gridCol w:w="571"/>
        <w:gridCol w:w="686"/>
        <w:gridCol w:w="686"/>
        <w:gridCol w:w="684"/>
        <w:gridCol w:w="782"/>
        <w:gridCol w:w="665"/>
        <w:gridCol w:w="797"/>
        <w:gridCol w:w="797"/>
        <w:gridCol w:w="931"/>
      </w:tblGrid>
      <w:tr>
        <w:trPr>
          <w:trHeight w:val="36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59" w:right="0"/>
              <w:jc w:val="left"/>
              <w:rPr>
                <w:rFonts w:ascii="Times New Roman" w:hAnsi="Times New Roman" w:cs="Times New Roman" w:eastAsia="Times New Roman" w:hint="default"/>
                <w:sz w:val="18"/>
                <w:szCs w:val="18"/>
              </w:rPr>
            </w:pPr>
            <w:r>
              <w:rPr>
                <w:rFonts w:ascii="Times New Roman"/>
                <w:sz w:val="18"/>
              </w:rPr>
              <w:t>35.68</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5.68</w:t>
            </w: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13"/>
                <w:sz w:val="18"/>
                <w:szCs w:val="18"/>
              </w:rPr>
              <w:t>（二）所有者投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入和减少资本</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-4,014,</w:t>
            </w:r>
          </w:p>
          <w:p>
            <w:pPr>
              <w:pStyle w:val="TableParagraph"/>
              <w:spacing w:line="240" w:lineRule="auto" w:before="105"/>
              <w:ind w:left="67" w:right="0"/>
              <w:jc w:val="left"/>
              <w:rPr>
                <w:rFonts w:ascii="Times New Roman" w:hAnsi="Times New Roman" w:cs="Times New Roman" w:eastAsia="Times New Roman" w:hint="default"/>
                <w:sz w:val="18"/>
                <w:szCs w:val="18"/>
              </w:rPr>
            </w:pPr>
            <w:r>
              <w:rPr>
                <w:rFonts w:ascii="Times New Roman"/>
                <w:sz w:val="18"/>
              </w:rPr>
              <w:t>856.00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-34,246,</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014.94</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-38,260,870</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.94</w:t>
            </w: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288,658</w:t>
            </w:r>
          </w:p>
          <w:p>
            <w:pPr>
              <w:pStyle w:val="TableParagraph"/>
              <w:spacing w:line="240" w:lineRule="auto" w:before="105"/>
              <w:ind w:left="429" w:right="0"/>
              <w:jc w:val="left"/>
              <w:rPr>
                <w:rFonts w:ascii="Times New Roman" w:hAnsi="Times New Roman" w:cs="Times New Roman" w:eastAsia="Times New Roman" w:hint="default"/>
                <w:sz w:val="18"/>
                <w:szCs w:val="18"/>
              </w:rPr>
            </w:pPr>
            <w:r>
              <w:rPr>
                <w:rFonts w:ascii="Times New Roman"/>
                <w:sz w:val="18"/>
              </w:rPr>
              <w:t>.33</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288,658.33</w:t>
            </w: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-4,014,</w:t>
            </w:r>
          </w:p>
          <w:p>
            <w:pPr>
              <w:pStyle w:val="TableParagraph"/>
              <w:spacing w:line="240" w:lineRule="auto" w:before="105"/>
              <w:ind w:left="67" w:right="0"/>
              <w:jc w:val="left"/>
              <w:rPr>
                <w:rFonts w:ascii="Times New Roman" w:hAnsi="Times New Roman" w:cs="Times New Roman" w:eastAsia="Times New Roman" w:hint="default"/>
                <w:sz w:val="18"/>
                <w:szCs w:val="18"/>
              </w:rPr>
            </w:pPr>
            <w:r>
              <w:rPr>
                <w:rFonts w:ascii="Times New Roman"/>
                <w:sz w:val="18"/>
              </w:rPr>
              <w:t>856.00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-34,534,</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673.27</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-38,549,529</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.27</w:t>
            </w: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5"/>
                <w:sz w:val="18"/>
                <w:szCs w:val="18"/>
              </w:rPr>
              <w:t>）</w:t>
            </w:r>
            <w:r>
              <w:rPr>
                <w:rFonts w:ascii="宋体" w:hAnsi="宋体" w:cs="宋体" w:eastAsia="宋体" w:hint="default"/>
                <w:sz w:val="18"/>
                <w:szCs w:val="18"/>
              </w:rPr>
              <w:t>利润分配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52,012,</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753.57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center"/>
              <w:rPr>
                <w:rFonts w:ascii="Times New Roman" w:hAnsi="Times New Roman" w:cs="Times New Roman" w:eastAsia="Times New Roman" w:hint="default"/>
                <w:sz w:val="18"/>
                <w:szCs w:val="18"/>
              </w:rPr>
            </w:pPr>
            <w:r>
              <w:rPr>
                <w:rFonts w:ascii="Times New Roman"/>
                <w:sz w:val="18"/>
              </w:rPr>
              <w:t>-114,371,</w:t>
            </w:r>
          </w:p>
          <w:p>
            <w:pPr>
              <w:pStyle w:val="TableParagraph"/>
              <w:spacing w:line="240" w:lineRule="auto" w:before="105"/>
              <w:ind w:left="249" w:right="0"/>
              <w:jc w:val="center"/>
              <w:rPr>
                <w:rFonts w:ascii="Times New Roman" w:hAnsi="Times New Roman" w:cs="Times New Roman" w:eastAsia="Times New Roman" w:hint="default"/>
                <w:sz w:val="18"/>
                <w:szCs w:val="18"/>
              </w:rPr>
            </w:pPr>
            <w:r>
              <w:rPr>
                <w:rFonts w:ascii="Times New Roman"/>
                <w:sz w:val="18"/>
              </w:rPr>
              <w:t>189.01</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-62,358,435</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.44</w:t>
            </w: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52,012,</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753.57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-52,012,7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53.57</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7"/>
              <w:jc w:val="left"/>
              <w:rPr>
                <w:rFonts w:ascii="宋体" w:hAnsi="宋体" w:cs="宋体" w:eastAsia="宋体" w:hint="default"/>
                <w:sz w:val="18"/>
                <w:szCs w:val="18"/>
              </w:rPr>
            </w:pPr>
            <w:r>
              <w:rPr>
                <w:rFonts w:ascii="Times New Roman" w:hAnsi="Times New Roman" w:cs="Times New Roman" w:eastAsia="Times New Roman" w:hint="default"/>
                <w:spacing w:val="-22"/>
                <w:sz w:val="18"/>
                <w:szCs w:val="18"/>
              </w:rPr>
              <w:t>2</w:t>
            </w:r>
            <w:r>
              <w:rPr>
                <w:rFonts w:ascii="宋体" w:hAnsi="宋体" w:cs="宋体" w:eastAsia="宋体" w:hint="default"/>
                <w:spacing w:val="-22"/>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-62,358,4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35.44</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-62,358,435</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.44</w:t>
            </w: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20"/>
              <w:jc w:val="left"/>
              <w:rPr>
                <w:rFonts w:ascii="宋体" w:hAnsi="宋体" w:cs="宋体" w:eastAsia="宋体" w:hint="default"/>
                <w:sz w:val="18"/>
                <w:szCs w:val="18"/>
              </w:rPr>
            </w:pPr>
            <w:r>
              <w:rPr>
                <w:rFonts w:ascii="宋体" w:hAnsi="宋体" w:cs="宋体" w:eastAsia="宋体" w:hint="default"/>
                <w:spacing w:val="-13"/>
                <w:sz w:val="18"/>
                <w:szCs w:val="18"/>
              </w:rPr>
              <w:t>（四）所有者权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益内部结转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475,861,</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413.21</w:t>
            </w: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-475,861,41</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3.21</w:t>
            </w: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475,861,</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413.21</w:t>
            </w: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-475,861,41</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3.21</w:t>
            </w: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5"/>
                <w:sz w:val="18"/>
                <w:szCs w:val="18"/>
              </w:rPr>
              <w:t>）</w:t>
            </w:r>
            <w:r>
              <w:rPr>
                <w:rFonts w:ascii="宋体" w:hAnsi="宋体" w:cs="宋体" w:eastAsia="宋体" w:hint="default"/>
                <w:sz w:val="18"/>
                <w:szCs w:val="18"/>
              </w:rPr>
              <w:t>专项储备</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0"/>
        <w:gridCol w:w="593"/>
        <w:gridCol w:w="574"/>
        <w:gridCol w:w="572"/>
        <w:gridCol w:w="571"/>
        <w:gridCol w:w="686"/>
        <w:gridCol w:w="686"/>
        <w:gridCol w:w="684"/>
        <w:gridCol w:w="782"/>
        <w:gridCol w:w="665"/>
        <w:gridCol w:w="797"/>
        <w:gridCol w:w="797"/>
        <w:gridCol w:w="931"/>
      </w:tblGrid>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20"/>
              <w:jc w:val="left"/>
              <w:rPr>
                <w:rFonts w:ascii="宋体" w:hAnsi="宋体" w:cs="宋体" w:eastAsia="宋体" w:hint="default"/>
                <w:sz w:val="18"/>
                <w:szCs w:val="18"/>
              </w:rPr>
            </w:pPr>
            <w:r>
              <w:rPr>
                <w:rFonts w:ascii="宋体" w:hAnsi="宋体" w:cs="宋体" w:eastAsia="宋体" w:hint="default"/>
                <w:spacing w:val="-13"/>
                <w:sz w:val="18"/>
                <w:szCs w:val="18"/>
              </w:rPr>
              <w:t>四、本期期末余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9" w:right="0"/>
              <w:jc w:val="center"/>
              <w:rPr>
                <w:rFonts w:ascii="Times New Roman" w:hAnsi="Times New Roman" w:cs="Times New Roman" w:eastAsia="Times New Roman" w:hint="default"/>
                <w:sz w:val="18"/>
                <w:szCs w:val="18"/>
              </w:rPr>
            </w:pPr>
            <w:r>
              <w:rPr>
                <w:rFonts w:ascii="Times New Roman"/>
                <w:sz w:val="18"/>
              </w:rPr>
              <w:t>1,247,</w:t>
            </w:r>
          </w:p>
          <w:p>
            <w:pPr>
              <w:pStyle w:val="TableParagraph"/>
              <w:spacing w:line="240" w:lineRule="auto" w:before="102"/>
              <w:ind w:left="46" w:right="0"/>
              <w:jc w:val="center"/>
              <w:rPr>
                <w:rFonts w:ascii="Times New Roman" w:hAnsi="Times New Roman" w:cs="Times New Roman" w:eastAsia="Times New Roman" w:hint="default"/>
                <w:sz w:val="18"/>
                <w:szCs w:val="18"/>
              </w:rPr>
            </w:pPr>
            <w:r>
              <w:rPr>
                <w:rFonts w:ascii="Times New Roman"/>
                <w:sz w:val="18"/>
              </w:rPr>
              <w:t>335,23</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9.00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4,655,6</w:t>
            </w:r>
          </w:p>
          <w:p>
            <w:pPr>
              <w:pStyle w:val="TableParagraph"/>
              <w:spacing w:line="240" w:lineRule="auto" w:before="102"/>
              <w:ind w:right="11"/>
              <w:jc w:val="right"/>
              <w:rPr>
                <w:rFonts w:ascii="Times New Roman" w:hAnsi="Times New Roman" w:cs="Times New Roman" w:eastAsia="Times New Roman" w:hint="default"/>
                <w:sz w:val="18"/>
                <w:szCs w:val="18"/>
              </w:rPr>
            </w:pPr>
            <w:r>
              <w:rPr>
                <w:rFonts w:ascii="Times New Roman"/>
                <w:sz w:val="18"/>
              </w:rPr>
              <w:t>07,500.1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475,861,</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413.21</w:t>
            </w: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99,437,</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184.92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736,545,1</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15.99</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6,263,063,6</w:t>
            </w:r>
          </w:p>
          <w:p>
            <w:pPr>
              <w:pStyle w:val="TableParagraph"/>
              <w:spacing w:line="240" w:lineRule="auto" w:before="102"/>
              <w:ind w:left="491" w:right="0"/>
              <w:jc w:val="left"/>
              <w:rPr>
                <w:rFonts w:ascii="Times New Roman" w:hAnsi="Times New Roman" w:cs="Times New Roman" w:eastAsia="Times New Roman" w:hint="default"/>
                <w:sz w:val="18"/>
                <w:szCs w:val="18"/>
              </w:rPr>
            </w:pPr>
            <w:r>
              <w:rPr>
                <w:rFonts w:ascii="Times New Roman"/>
                <w:sz w:val="18"/>
              </w:rPr>
              <w:t>26.81</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1133"/>
        <w:jc w:val="left"/>
        <w:rPr>
          <w:b w:val="0"/>
          <w:bCs w:val="0"/>
        </w:rPr>
      </w:pPr>
      <w:bookmarkStart w:name="三、公司基本情况" w:id="173"/>
      <w:bookmarkEnd w:id="173"/>
      <w:r>
        <w:rPr>
          <w:b w:val="0"/>
          <w:bCs w:val="0"/>
        </w:rPr>
      </w:r>
      <w:r>
        <w:rPr/>
        <w:t>三、公司基本情况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575" w:right="1133"/>
        <w:jc w:val="left"/>
        <w:rPr>
          <w:b w:val="0"/>
          <w:bCs w:val="0"/>
        </w:rPr>
      </w:pPr>
      <w:r>
        <w:rPr>
          <w:rFonts w:ascii="宋体" w:hAnsi="宋体" w:cs="宋体" w:eastAsia="宋体" w:hint="default"/>
        </w:rPr>
        <w:t>1</w:t>
      </w:r>
      <w:r>
        <w:rPr/>
        <w:t>、公司基本情况</w:t>
      </w:r>
      <w:r>
        <w:rPr>
          <w:b w:val="0"/>
          <w:bCs w:val="0"/>
        </w:rPr>
      </w:r>
    </w:p>
    <w:p>
      <w:pPr>
        <w:spacing w:line="240" w:lineRule="auto" w:before="11"/>
        <w:rPr>
          <w:rFonts w:ascii="宋体" w:hAnsi="宋体" w:cs="宋体" w:eastAsia="宋体" w:hint="default"/>
          <w:b/>
          <w:bCs/>
          <w:sz w:val="22"/>
          <w:szCs w:val="22"/>
        </w:rPr>
      </w:pPr>
    </w:p>
    <w:p>
      <w:pPr>
        <w:pStyle w:val="BodyText"/>
        <w:spacing w:line="300" w:lineRule="auto"/>
        <w:ind w:right="1128" w:firstLine="360"/>
        <w:jc w:val="both"/>
      </w:pPr>
      <w:r>
        <w:rPr/>
        <w:t>海联金汇科技股份有限公司（以下简称本公司或公司，在包含子公司时统称本集团）初始成立于</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w:t>
      </w:r>
      <w:r>
        <w:rPr/>
        <w:t>日，注册 地为青岛市即墨区，总部办公地址为青岛市即墨区青威路</w:t>
      </w:r>
      <w:r>
        <w:rPr>
          <w:rFonts w:ascii="Times New Roman" w:hAnsi="Times New Roman" w:cs="Times New Roman" w:eastAsia="Times New Roman" w:hint="default"/>
        </w:rPr>
        <w:t>1626</w:t>
      </w:r>
      <w:r>
        <w:rPr/>
        <w:t>号。</w:t>
      </w:r>
    </w:p>
    <w:p>
      <w:pPr>
        <w:spacing w:line="240" w:lineRule="auto" w:before="4"/>
        <w:rPr>
          <w:rFonts w:ascii="宋体" w:hAnsi="宋体" w:cs="宋体" w:eastAsia="宋体" w:hint="default"/>
          <w:sz w:val="19"/>
          <w:szCs w:val="19"/>
        </w:rPr>
      </w:pPr>
    </w:p>
    <w:p>
      <w:pPr>
        <w:pStyle w:val="BodyText"/>
        <w:spacing w:line="300" w:lineRule="auto"/>
        <w:ind w:right="1131" w:firstLine="360"/>
        <w:jc w:val="both"/>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15</w:t>
      </w:r>
      <w:r>
        <w:rPr>
          <w:spacing w:val="-2"/>
        </w:rPr>
        <w:t>日，公司召开第四届董事会第四次会议和</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10</w:t>
      </w:r>
      <w:r>
        <w:rPr>
          <w:spacing w:val="-2"/>
        </w:rPr>
        <w:t>日，公司召开</w:t>
      </w:r>
      <w:r>
        <w:rPr>
          <w:rFonts w:ascii="Times New Roman" w:hAnsi="Times New Roman" w:cs="Times New Roman" w:eastAsia="Times New Roman" w:hint="default"/>
          <w:spacing w:val="-2"/>
        </w:rPr>
        <w:t>2018</w:t>
      </w:r>
      <w:r>
        <w:rPr>
          <w:spacing w:val="-2"/>
        </w:rPr>
        <w:t>年度股东大会，审议通过了《关于</w:t>
      </w:r>
      <w:r>
        <w:rPr/>
        <w:t> </w:t>
      </w:r>
      <w:r>
        <w:rPr>
          <w:spacing w:val="-1"/>
        </w:rPr>
        <w:t>回购注销未达到第一个解除限售期条件的限制性股票的议案》</w:t>
      </w:r>
      <w:r>
        <w:rPr>
          <w:rFonts w:ascii="Times New Roman" w:hAnsi="Times New Roman" w:cs="Times New Roman" w:eastAsia="Times New Roman" w:hint="default"/>
          <w:spacing w:val="-1"/>
        </w:rPr>
        <w:t>,</w:t>
      </w:r>
      <w:r>
        <w:rPr>
          <w:spacing w:val="-1"/>
        </w:rPr>
        <w:t>同意公司对已授予但未达第一期解除限售期条件的</w:t>
      </w:r>
      <w:r>
        <w:rPr>
          <w:rFonts w:ascii="Times New Roman" w:hAnsi="Times New Roman" w:cs="Times New Roman" w:eastAsia="Times New Roman" w:hint="default"/>
          <w:spacing w:val="-1"/>
        </w:rPr>
        <w:t>380</w:t>
      </w:r>
      <w:r>
        <w:rPr>
          <w:spacing w:val="-1"/>
        </w:rPr>
        <w:t>万股限</w:t>
      </w:r>
      <w:r>
        <w:rPr>
          <w:spacing w:val="-72"/>
        </w:rPr>
        <w:t> </w:t>
      </w:r>
      <w:r>
        <w:rPr>
          <w:spacing w:val="-72"/>
        </w:rPr>
      </w:r>
      <w:r>
        <w:rPr/>
        <w:t>制性股票进行回购注销。变更后的注册资本为人民币</w:t>
      </w:r>
      <w:r>
        <w:rPr>
          <w:rFonts w:ascii="Times New Roman" w:hAnsi="Times New Roman" w:cs="Times New Roman" w:eastAsia="Times New Roman" w:hint="default"/>
        </w:rPr>
        <w:t>1,243,535,239</w:t>
      </w:r>
      <w:r>
        <w:rPr/>
        <w:t>元。</w:t>
      </w:r>
    </w:p>
    <w:p>
      <w:pPr>
        <w:spacing w:line="240" w:lineRule="auto" w:before="4"/>
        <w:rPr>
          <w:rFonts w:ascii="宋体" w:hAnsi="宋体" w:cs="宋体" w:eastAsia="宋体" w:hint="default"/>
          <w:sz w:val="19"/>
          <w:szCs w:val="19"/>
        </w:rPr>
      </w:pPr>
    </w:p>
    <w:p>
      <w:pPr>
        <w:pStyle w:val="BodyText"/>
        <w:spacing w:line="240" w:lineRule="auto"/>
        <w:ind w:left="513" w:right="1133"/>
        <w:jc w:val="left"/>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w:t>
      </w:r>
      <w:r>
        <w:rPr/>
        <w:t>本公司股本结构为：</w:t>
      </w:r>
    </w:p>
    <w:p>
      <w:pPr>
        <w:spacing w:line="240" w:lineRule="auto" w:before="2"/>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610"/>
        <w:gridCol w:w="3495"/>
        <w:gridCol w:w="2088"/>
        <w:gridCol w:w="1748"/>
        <w:gridCol w:w="1841"/>
      </w:tblGrid>
      <w:tr>
        <w:trPr>
          <w:trHeight w:val="346" w:hRule="exact"/>
        </w:trPr>
        <w:tc>
          <w:tcPr>
            <w:tcW w:w="6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49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923" w:right="0"/>
              <w:jc w:val="left"/>
              <w:rPr>
                <w:rFonts w:ascii="宋体" w:hAnsi="宋体" w:cs="宋体" w:eastAsia="宋体" w:hint="default"/>
                <w:sz w:val="18"/>
                <w:szCs w:val="18"/>
              </w:rPr>
            </w:pPr>
            <w:r>
              <w:rPr>
                <w:rFonts w:ascii="宋体" w:hAnsi="宋体" w:cs="宋体" w:eastAsia="宋体" w:hint="default"/>
                <w:b/>
                <w:bCs/>
                <w:sz w:val="18"/>
                <w:szCs w:val="18"/>
              </w:rPr>
              <w:t>发起人（股东）名称</w:t>
            </w:r>
            <w:r>
              <w:rPr>
                <w:rFonts w:ascii="宋体" w:hAnsi="宋体" w:cs="宋体" w:eastAsia="宋体" w:hint="default"/>
                <w:sz w:val="18"/>
                <w:szCs w:val="18"/>
              </w:rPr>
            </w:r>
          </w:p>
        </w:tc>
        <w:tc>
          <w:tcPr>
            <w:tcW w:w="208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525"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所持股份</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股</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74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32"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84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348" w:hRule="exact"/>
        </w:trPr>
        <w:tc>
          <w:tcPr>
            <w:tcW w:w="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w:t>
            </w:r>
          </w:p>
        </w:tc>
        <w:tc>
          <w:tcPr>
            <w:tcW w:w="34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青岛海立控股有限公司</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241,775,600.00</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19.44</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43" w:right="0"/>
              <w:jc w:val="left"/>
              <w:rPr>
                <w:rFonts w:ascii="宋体" w:hAnsi="宋体" w:cs="宋体" w:eastAsia="宋体" w:hint="default"/>
                <w:sz w:val="18"/>
                <w:szCs w:val="18"/>
              </w:rPr>
            </w:pPr>
            <w:r>
              <w:rPr>
                <w:rFonts w:ascii="宋体" w:hAnsi="宋体" w:cs="宋体" w:eastAsia="宋体" w:hint="default"/>
                <w:sz w:val="18"/>
                <w:szCs w:val="18"/>
              </w:rPr>
              <w:t>非限售</w:t>
            </w:r>
          </w:p>
        </w:tc>
      </w:tr>
      <w:tr>
        <w:trPr>
          <w:trHeight w:val="346" w:hRule="exact"/>
        </w:trPr>
        <w:tc>
          <w:tcPr>
            <w:tcW w:w="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w:t>
            </w:r>
          </w:p>
        </w:tc>
        <w:tc>
          <w:tcPr>
            <w:tcW w:w="34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青岛天晨投资有限公司</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89,100,000.00</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7.17</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43" w:right="0"/>
              <w:jc w:val="left"/>
              <w:rPr>
                <w:rFonts w:ascii="宋体" w:hAnsi="宋体" w:cs="宋体" w:eastAsia="宋体" w:hint="default"/>
                <w:sz w:val="18"/>
                <w:szCs w:val="18"/>
              </w:rPr>
            </w:pPr>
            <w:r>
              <w:rPr>
                <w:rFonts w:ascii="宋体" w:hAnsi="宋体" w:cs="宋体" w:eastAsia="宋体" w:hint="default"/>
                <w:sz w:val="18"/>
                <w:szCs w:val="18"/>
              </w:rPr>
              <w:t>非限售</w:t>
            </w:r>
          </w:p>
        </w:tc>
      </w:tr>
      <w:tr>
        <w:trPr>
          <w:trHeight w:val="348" w:hRule="exact"/>
        </w:trPr>
        <w:tc>
          <w:tcPr>
            <w:tcW w:w="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w:t>
            </w:r>
          </w:p>
        </w:tc>
        <w:tc>
          <w:tcPr>
            <w:tcW w:w="34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社会公众普通股</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562,598,617.00</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45.24</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43" w:right="0"/>
              <w:jc w:val="left"/>
              <w:rPr>
                <w:rFonts w:ascii="宋体" w:hAnsi="宋体" w:cs="宋体" w:eastAsia="宋体" w:hint="default"/>
                <w:sz w:val="18"/>
                <w:szCs w:val="18"/>
              </w:rPr>
            </w:pPr>
            <w:r>
              <w:rPr>
                <w:rFonts w:ascii="宋体" w:hAnsi="宋体" w:cs="宋体" w:eastAsia="宋体" w:hint="default"/>
                <w:sz w:val="18"/>
                <w:szCs w:val="18"/>
              </w:rPr>
              <w:t>非限售</w:t>
            </w:r>
          </w:p>
        </w:tc>
      </w:tr>
      <w:tr>
        <w:trPr>
          <w:trHeight w:val="348" w:hRule="exact"/>
        </w:trPr>
        <w:tc>
          <w:tcPr>
            <w:tcW w:w="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4</w:t>
            </w:r>
          </w:p>
        </w:tc>
        <w:tc>
          <w:tcPr>
            <w:tcW w:w="34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社会公众普通股</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5,700,000.00</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0.46</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669" w:right="0"/>
              <w:jc w:val="left"/>
              <w:rPr>
                <w:rFonts w:ascii="宋体" w:hAnsi="宋体" w:cs="宋体" w:eastAsia="宋体" w:hint="default"/>
                <w:sz w:val="18"/>
                <w:szCs w:val="18"/>
              </w:rPr>
            </w:pPr>
            <w:r>
              <w:rPr>
                <w:rFonts w:ascii="宋体" w:hAnsi="宋体" w:cs="宋体" w:eastAsia="宋体" w:hint="default"/>
                <w:sz w:val="18"/>
                <w:szCs w:val="18"/>
              </w:rPr>
              <w:t>限售</w:t>
            </w:r>
          </w:p>
        </w:tc>
      </w:tr>
      <w:tr>
        <w:trPr>
          <w:trHeight w:val="346" w:hRule="exact"/>
        </w:trPr>
        <w:tc>
          <w:tcPr>
            <w:tcW w:w="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5</w:t>
            </w:r>
          </w:p>
        </w:tc>
        <w:tc>
          <w:tcPr>
            <w:tcW w:w="34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银联商务股份有限公司</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88,060,100.00</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7.08</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43" w:right="0"/>
              <w:jc w:val="left"/>
              <w:rPr>
                <w:rFonts w:ascii="宋体" w:hAnsi="宋体" w:cs="宋体" w:eastAsia="宋体" w:hint="default"/>
                <w:sz w:val="18"/>
                <w:szCs w:val="18"/>
              </w:rPr>
            </w:pPr>
            <w:r>
              <w:rPr>
                <w:rFonts w:ascii="宋体" w:hAnsi="宋体" w:cs="宋体" w:eastAsia="宋体" w:hint="default"/>
                <w:sz w:val="18"/>
                <w:szCs w:val="18"/>
              </w:rPr>
              <w:t>非限售</w:t>
            </w:r>
          </w:p>
        </w:tc>
      </w:tr>
      <w:tr>
        <w:trPr>
          <w:trHeight w:val="348" w:hRule="exact"/>
        </w:trPr>
        <w:tc>
          <w:tcPr>
            <w:tcW w:w="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6</w:t>
            </w:r>
          </w:p>
        </w:tc>
        <w:tc>
          <w:tcPr>
            <w:tcW w:w="34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北京博升优势科技发展有限公司</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256,300,922.00</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20.61</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43" w:right="0"/>
              <w:jc w:val="left"/>
              <w:rPr>
                <w:rFonts w:ascii="宋体" w:hAnsi="宋体" w:cs="宋体" w:eastAsia="宋体" w:hint="default"/>
                <w:sz w:val="18"/>
                <w:szCs w:val="18"/>
              </w:rPr>
            </w:pPr>
            <w:r>
              <w:rPr>
                <w:rFonts w:ascii="宋体" w:hAnsi="宋体" w:cs="宋体" w:eastAsia="宋体" w:hint="default"/>
                <w:sz w:val="18"/>
                <w:szCs w:val="18"/>
              </w:rPr>
              <w:t>非限售</w:t>
            </w:r>
          </w:p>
        </w:tc>
      </w:tr>
      <w:tr>
        <w:trPr>
          <w:trHeight w:val="348" w:hRule="exact"/>
        </w:trPr>
        <w:tc>
          <w:tcPr>
            <w:tcW w:w="410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1,243,535,239.00</w:t>
            </w:r>
            <w:r>
              <w:rPr>
                <w:rFonts w:ascii="Times New Roman"/>
                <w:spacing w:val="-1"/>
                <w:sz w:val="18"/>
              </w:rPr>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841"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7"/>
        <w:rPr>
          <w:rFonts w:ascii="宋体" w:hAnsi="宋体" w:cs="宋体" w:eastAsia="宋体" w:hint="default"/>
          <w:sz w:val="15"/>
          <w:szCs w:val="15"/>
        </w:rPr>
      </w:pPr>
    </w:p>
    <w:p>
      <w:pPr>
        <w:pStyle w:val="BodyText"/>
        <w:spacing w:line="300" w:lineRule="auto" w:before="44"/>
        <w:ind w:right="1133" w:firstLine="360"/>
        <w:jc w:val="left"/>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日，本公司总股本为</w:t>
      </w:r>
      <w:r>
        <w:rPr>
          <w:rFonts w:ascii="Times New Roman" w:hAnsi="Times New Roman" w:cs="Times New Roman" w:eastAsia="Times New Roman" w:hint="default"/>
        </w:rPr>
        <w:t>1,243,535,239</w:t>
      </w:r>
      <w:r>
        <w:rPr/>
        <w:t>股，其中有限售条件股份</w:t>
      </w:r>
      <w:r>
        <w:rPr>
          <w:rFonts w:ascii="Times New Roman" w:hAnsi="Times New Roman" w:cs="Times New Roman" w:eastAsia="Times New Roman" w:hint="default"/>
        </w:rPr>
        <w:t>5,700,000</w:t>
      </w:r>
      <w:r>
        <w:rPr/>
        <w:t>股，占总股本的</w:t>
      </w:r>
      <w:r>
        <w:rPr>
          <w:rFonts w:ascii="Times New Roman" w:hAnsi="Times New Roman" w:cs="Times New Roman" w:eastAsia="Times New Roman" w:hint="default"/>
        </w:rPr>
        <w:t>0.46%</w:t>
      </w:r>
      <w:r>
        <w:rPr/>
        <w:t>；无限售 条件股份</w:t>
      </w:r>
      <w:r>
        <w:rPr>
          <w:rFonts w:ascii="Times New Roman" w:hAnsi="Times New Roman" w:cs="Times New Roman" w:eastAsia="Times New Roman" w:hint="default"/>
        </w:rPr>
        <w:t>1,237,835,239</w:t>
      </w:r>
      <w:r>
        <w:rPr/>
        <w:t>股，占总股本的</w:t>
      </w:r>
      <w:r>
        <w:rPr>
          <w:rFonts w:ascii="Times New Roman" w:hAnsi="Times New Roman" w:cs="Times New Roman" w:eastAsia="Times New Roman" w:hint="default"/>
        </w:rPr>
        <w:t>99.54%</w:t>
      </w:r>
      <w:r>
        <w:rPr/>
        <w:t>。</w:t>
      </w:r>
    </w:p>
    <w:p>
      <w:pPr>
        <w:spacing w:line="240" w:lineRule="auto" w:before="4"/>
        <w:rPr>
          <w:rFonts w:ascii="宋体" w:hAnsi="宋体" w:cs="宋体" w:eastAsia="宋体" w:hint="default"/>
          <w:sz w:val="19"/>
          <w:szCs w:val="19"/>
        </w:rPr>
      </w:pPr>
    </w:p>
    <w:p>
      <w:pPr>
        <w:pStyle w:val="BodyText"/>
        <w:spacing w:line="300" w:lineRule="auto"/>
        <w:ind w:right="1133" w:firstLine="360"/>
        <w:jc w:val="left"/>
      </w:pPr>
      <w:r>
        <w:rPr>
          <w:spacing w:val="-2"/>
        </w:rPr>
        <w:t>本公司统一社会信用代码：</w:t>
      </w:r>
      <w:r>
        <w:rPr>
          <w:rFonts w:ascii="Times New Roman" w:hAnsi="Times New Roman" w:cs="Times New Roman" w:eastAsia="Times New Roman" w:hint="default"/>
          <w:spacing w:val="-2"/>
        </w:rPr>
        <w:t>91370200766733419J</w:t>
      </w:r>
      <w:r>
        <w:rPr>
          <w:spacing w:val="-2"/>
        </w:rPr>
        <w:t>；法定代表人：刘国平；住所：青岛市即墨区青威路</w:t>
      </w:r>
      <w:r>
        <w:rPr>
          <w:rFonts w:ascii="Times New Roman" w:hAnsi="Times New Roman" w:cs="Times New Roman" w:eastAsia="Times New Roman" w:hint="default"/>
          <w:spacing w:val="-2"/>
        </w:rPr>
        <w:t>1626</w:t>
      </w:r>
      <w:r>
        <w:rPr>
          <w:spacing w:val="-2"/>
        </w:rPr>
        <w:t>号；总部办公</w:t>
      </w:r>
      <w:r>
        <w:rPr/>
        <w:t> 地址为：青岛市即墨区青威路</w:t>
      </w:r>
      <w:r>
        <w:rPr>
          <w:rFonts w:ascii="Times New Roman" w:hAnsi="Times New Roman" w:cs="Times New Roman" w:eastAsia="Times New Roman" w:hint="default"/>
        </w:rPr>
        <w:t>1626</w:t>
      </w:r>
      <w:r>
        <w:rPr/>
        <w:t>号。</w:t>
      </w:r>
    </w:p>
    <w:p>
      <w:pPr>
        <w:spacing w:line="240" w:lineRule="auto" w:before="5"/>
        <w:rPr>
          <w:rFonts w:ascii="宋体" w:hAnsi="宋体" w:cs="宋体" w:eastAsia="宋体" w:hint="default"/>
          <w:sz w:val="19"/>
          <w:szCs w:val="19"/>
        </w:rPr>
      </w:pPr>
    </w:p>
    <w:p>
      <w:pPr>
        <w:pStyle w:val="BodyText"/>
        <w:spacing w:line="314" w:lineRule="auto"/>
        <w:ind w:right="1034" w:firstLine="360"/>
        <w:jc w:val="left"/>
      </w:pPr>
      <w:r>
        <w:rPr>
          <w:spacing w:val="-1"/>
        </w:rPr>
        <w:t>本公司经营范围为：计算机数据服务及数据处理（数据处理中的银行卡中心、</w:t>
      </w:r>
      <w:r>
        <w:rPr>
          <w:rFonts w:ascii="Times New Roman" w:hAnsi="Times New Roman" w:cs="Times New Roman" w:eastAsia="Times New Roman" w:hint="default"/>
          <w:spacing w:val="-1"/>
        </w:rPr>
        <w:t>PUE</w:t>
      </w:r>
      <w:r>
        <w:rPr>
          <w:spacing w:val="-1"/>
        </w:rPr>
        <w:t>值在</w:t>
      </w:r>
      <w:r>
        <w:rPr>
          <w:rFonts w:ascii="Times New Roman" w:hAnsi="Times New Roman" w:cs="Times New Roman" w:eastAsia="Times New Roman" w:hint="default"/>
          <w:spacing w:val="-1"/>
        </w:rPr>
        <w:t>1.5</w:t>
      </w:r>
      <w:r>
        <w:rPr>
          <w:spacing w:val="-1"/>
        </w:rPr>
        <w:t>以上的云计算数据中心除外）</w:t>
      </w:r>
      <w:r>
        <w:rPr/>
        <w:t> </w:t>
      </w:r>
      <w:r>
        <w:rPr>
          <w:spacing w:val="-2"/>
        </w:rPr>
        <w:t>计算机及电子信息终端设备的软、硬件开发、设计、制作、销售；移动网络增值电信服务；接受金融机构委托从事金融信息</w:t>
      </w:r>
      <w:r>
        <w:rPr>
          <w:spacing w:val="-70"/>
        </w:rPr>
        <w:t> </w:t>
      </w:r>
      <w:r>
        <w:rPr>
          <w:spacing w:val="-70"/>
        </w:rPr>
      </w:r>
      <w:r>
        <w:rPr/>
        <w:t>技术外包、金融业务流程外包、金融知识流程外包；新能源汽车、专用汽车整车及车架、配件的制造与销售；钢板的剪切、 </w:t>
      </w:r>
      <w:r>
        <w:rPr>
          <w:spacing w:val="-2"/>
        </w:rPr>
        <w:t>冲压加工，汽车总成及零部件的加工与制造，家电零部件的加工与制造，模具的开发与生产，电机、电机原件及电机零部件</w:t>
      </w:r>
      <w:r>
        <w:rPr>
          <w:spacing w:val="-67"/>
        </w:rPr>
        <w:t> </w:t>
      </w:r>
      <w:r>
        <w:rPr>
          <w:spacing w:val="-67"/>
        </w:rPr>
      </w:r>
      <w:r>
        <w:rPr/>
        <w:t>的开发与生产；货物及技术进出口。（依法须经批准的项目，经相关部门批准后方可开展经营活动）。</w:t>
      </w:r>
    </w:p>
    <w:p>
      <w:pPr>
        <w:spacing w:line="240" w:lineRule="auto" w:before="12"/>
        <w:rPr>
          <w:rFonts w:ascii="宋体" w:hAnsi="宋体" w:cs="宋体" w:eastAsia="宋体" w:hint="default"/>
          <w:sz w:val="19"/>
          <w:szCs w:val="19"/>
        </w:rPr>
      </w:pPr>
    </w:p>
    <w:p>
      <w:pPr>
        <w:pStyle w:val="BodyText"/>
        <w:spacing w:line="316" w:lineRule="auto"/>
        <w:ind w:right="0" w:firstLine="360"/>
        <w:jc w:val="left"/>
      </w:pPr>
      <w:r>
        <w:rPr>
          <w:spacing w:val="-4"/>
        </w:rPr>
        <w:t>本集团最终控制人为孙刚先生、刘国平女士夫妇。股东大会是本公司的权力机构，依法行使公司经营方针、筹资、投资、</w:t>
      </w:r>
      <w:r>
        <w:rPr/>
        <w:t> </w:t>
      </w:r>
      <w:r>
        <w:rPr>
          <w:spacing w:val="-2"/>
        </w:rPr>
        <w:t>利润分配等重大事项决议权。董事会对股东大会负责，依法行使公司的经营决策权；经理层负责组织实施股东大会、董事会</w:t>
      </w:r>
      <w:r>
        <w:rPr>
          <w:spacing w:val="-65"/>
        </w:rPr>
        <w:t> </w:t>
      </w:r>
      <w:r>
        <w:rPr>
          <w:spacing w:val="-65"/>
        </w:rPr>
      </w:r>
      <w:r>
        <w:rPr/>
        <w:t>决议事项，主持企业的生产经营管理工作。</w:t>
      </w:r>
    </w:p>
    <w:p>
      <w:pPr>
        <w:spacing w:after="0" w:line="31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513" w:right="1133"/>
        <w:jc w:val="left"/>
      </w:pPr>
      <w:r>
        <w:rPr/>
        <w:t>本公司组织结构如下：</w:t>
      </w:r>
    </w:p>
    <w:p>
      <w:pPr>
        <w:spacing w:line="240" w:lineRule="auto" w:before="8"/>
        <w:rPr>
          <w:rFonts w:ascii="宋体" w:hAnsi="宋体" w:cs="宋体" w:eastAsia="宋体" w:hint="default"/>
          <w:sz w:val="16"/>
          <w:szCs w:val="16"/>
        </w:rPr>
      </w:pPr>
    </w:p>
    <w:p>
      <w:pPr>
        <w:spacing w:line="6250" w:lineRule="exact"/>
        <w:ind w:left="153" w:right="0" w:firstLine="0"/>
        <w:rPr>
          <w:rFonts w:ascii="宋体" w:hAnsi="宋体" w:cs="宋体" w:eastAsia="宋体" w:hint="default"/>
          <w:sz w:val="20"/>
          <w:szCs w:val="20"/>
        </w:rPr>
      </w:pPr>
      <w:r>
        <w:rPr>
          <w:rFonts w:ascii="宋体" w:hAnsi="宋体" w:cs="宋体" w:eastAsia="宋体" w:hint="default"/>
          <w:position w:val="-124"/>
          <w:sz w:val="20"/>
          <w:szCs w:val="20"/>
        </w:rPr>
        <w:drawing>
          <wp:inline distT="0" distB="0" distL="0" distR="0">
            <wp:extent cx="5390491" cy="3969067"/>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21" cstate="print"/>
                    <a:stretch>
                      <a:fillRect/>
                    </a:stretch>
                  </pic:blipFill>
                  <pic:spPr>
                    <a:xfrm>
                      <a:off x="0" y="0"/>
                      <a:ext cx="5390491" cy="3969067"/>
                    </a:xfrm>
                    <a:prstGeom prst="rect">
                      <a:avLst/>
                    </a:prstGeom>
                  </pic:spPr>
                </pic:pic>
              </a:graphicData>
            </a:graphic>
          </wp:inline>
        </w:drawing>
      </w:r>
      <w:r>
        <w:rPr>
          <w:rFonts w:ascii="宋体" w:hAnsi="宋体" w:cs="宋体" w:eastAsia="宋体" w:hint="default"/>
          <w:position w:val="-124"/>
          <w:sz w:val="20"/>
          <w:szCs w:val="20"/>
        </w:rPr>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、合并财务报表范围</w:t>
      </w:r>
      <w:r>
        <w:rPr>
          <w:b w:val="0"/>
          <w:bCs w:val="0"/>
        </w:rPr>
      </w:r>
    </w:p>
    <w:p>
      <w:pPr>
        <w:spacing w:line="240" w:lineRule="auto" w:before="10"/>
        <w:rPr>
          <w:rFonts w:ascii="宋体" w:hAnsi="宋体" w:cs="宋体" w:eastAsia="宋体" w:hint="default"/>
          <w:b/>
          <w:bCs/>
          <w:sz w:val="11"/>
          <w:szCs w:val="11"/>
        </w:rPr>
      </w:pPr>
    </w:p>
    <w:tbl>
      <w:tblPr>
        <w:tblW w:w="0" w:type="auto"/>
        <w:jc w:val="left"/>
        <w:tblInd w:w="145" w:type="dxa"/>
        <w:tblLayout w:type="fixed"/>
        <w:tblCellMar>
          <w:top w:w="0" w:type="dxa"/>
          <w:left w:w="0" w:type="dxa"/>
          <w:bottom w:w="0" w:type="dxa"/>
          <w:right w:w="0" w:type="dxa"/>
        </w:tblCellMar>
        <w:tblLook w:val="01E0"/>
      </w:tblPr>
      <w:tblGrid>
        <w:gridCol w:w="1102"/>
        <w:gridCol w:w="4679"/>
        <w:gridCol w:w="2945"/>
      </w:tblGrid>
      <w:tr>
        <w:trPr>
          <w:trHeight w:val="348" w:hRule="exact"/>
        </w:trPr>
        <w:tc>
          <w:tcPr>
            <w:tcW w:w="11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467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b/>
                <w:bCs/>
                <w:sz w:val="18"/>
                <w:szCs w:val="18"/>
              </w:rPr>
              <w:t>合并范围</w:t>
            </w:r>
            <w:r>
              <w:rPr>
                <w:rFonts w:ascii="宋体" w:hAnsi="宋体" w:cs="宋体" w:eastAsia="宋体" w:hint="default"/>
                <w:sz w:val="18"/>
                <w:szCs w:val="18"/>
              </w:rPr>
            </w:r>
          </w:p>
        </w:tc>
        <w:tc>
          <w:tcPr>
            <w:tcW w:w="294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b/>
                <w:bCs/>
                <w:sz w:val="18"/>
                <w:szCs w:val="18"/>
              </w:rPr>
              <w:t>子公司级次</w:t>
            </w:r>
            <w:r>
              <w:rPr>
                <w:rFonts w:ascii="宋体" w:hAnsi="宋体" w:cs="宋体" w:eastAsia="宋体" w:hint="default"/>
                <w:sz w:val="18"/>
                <w:szCs w:val="18"/>
              </w:rPr>
            </w:r>
          </w:p>
        </w:tc>
      </w:tr>
      <w:tr>
        <w:trPr>
          <w:trHeight w:val="346" w:hRule="exact"/>
        </w:trPr>
        <w:tc>
          <w:tcPr>
            <w:tcW w:w="110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left="1" w:right="0"/>
              <w:jc w:val="center"/>
              <w:rPr>
                <w:rFonts w:ascii="Times New Roman" w:hAnsi="Times New Roman" w:cs="Times New Roman" w:eastAsia="Times New Roman" w:hint="default"/>
                <w:sz w:val="18"/>
                <w:szCs w:val="18"/>
              </w:rPr>
            </w:pPr>
            <w:r>
              <w:rPr>
                <w:rFonts w:ascii="Times New Roman"/>
                <w:sz w:val="18"/>
              </w:rPr>
              <w:t>1</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青岛海立达冲压件有限公司</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二级子公司</w:t>
            </w:r>
          </w:p>
        </w:tc>
      </w:tr>
      <w:tr>
        <w:trPr>
          <w:trHeight w:val="348"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青岛海立美达模具有限公司</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二级子公司</w:t>
            </w:r>
          </w:p>
        </w:tc>
      </w:tr>
      <w:tr>
        <w:trPr>
          <w:trHeight w:val="346"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3</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枣庄海立美达模具有限公司</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三级子公司</w:t>
            </w:r>
          </w:p>
        </w:tc>
      </w:tr>
      <w:tr>
        <w:trPr>
          <w:trHeight w:val="348"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4</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青岛海立美达电机有限公司</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二级子公司</w:t>
            </w:r>
          </w:p>
        </w:tc>
      </w:tr>
      <w:tr>
        <w:trPr>
          <w:trHeight w:val="346"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5</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湖南海立美达钢板加工配送有限公司</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二级子公司</w:t>
            </w:r>
          </w:p>
        </w:tc>
      </w:tr>
      <w:tr>
        <w:trPr>
          <w:trHeight w:val="348"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6</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宁波泰鸿机电有限公司</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二级子公司</w:t>
            </w:r>
          </w:p>
        </w:tc>
      </w:tr>
      <w:tr>
        <w:trPr>
          <w:trHeight w:val="348"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7</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宁波泰鸿冲压件有限公司</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三级子公司</w:t>
            </w:r>
          </w:p>
        </w:tc>
      </w:tr>
      <w:tr>
        <w:trPr>
          <w:trHeight w:val="346"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8</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宝鸡泰鸿机电有限公司</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三级子公司</w:t>
            </w:r>
          </w:p>
        </w:tc>
      </w:tr>
      <w:tr>
        <w:trPr>
          <w:trHeight w:val="349"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9</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宁波海立美达汽车部件有限公司</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三级子公司</w:t>
            </w:r>
          </w:p>
        </w:tc>
      </w:tr>
      <w:tr>
        <w:trPr>
          <w:trHeight w:val="346"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10</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上海海众实业发展有限公司</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二级子公司</w:t>
            </w:r>
          </w:p>
        </w:tc>
      </w:tr>
      <w:tr>
        <w:trPr>
          <w:trHeight w:val="348"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11</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烟台海立美达精密钢制品有限公司</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二级子公司</w:t>
            </w:r>
          </w:p>
        </w:tc>
      </w:tr>
      <w:tr>
        <w:trPr>
          <w:trHeight w:val="348"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12</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海立美达香港有限公司</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二级子公司</w:t>
            </w:r>
          </w:p>
        </w:tc>
      </w:tr>
      <w:tr>
        <w:trPr>
          <w:trHeight w:val="346"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13</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湖北海立田汽车部件有限公司</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二级子公司</w:t>
            </w:r>
          </w:p>
        </w:tc>
      </w:tr>
      <w:tr>
        <w:trPr>
          <w:trHeight w:val="348"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14</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湖北海立美达汽车有限公司</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二级子公司</w:t>
            </w:r>
          </w:p>
        </w:tc>
      </w:tr>
      <w:tr>
        <w:trPr>
          <w:trHeight w:val="346"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15</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舟山陆泰石油化工有限公司</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三级子公司</w:t>
            </w:r>
          </w:p>
        </w:tc>
      </w:tr>
      <w:tr>
        <w:trPr>
          <w:trHeight w:val="348"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16</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枣阳市海美房地产开发有限公司</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三级子公司</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5" w:type="dxa"/>
        <w:tblLayout w:type="fixed"/>
        <w:tblCellMar>
          <w:top w:w="0" w:type="dxa"/>
          <w:left w:w="0" w:type="dxa"/>
          <w:bottom w:w="0" w:type="dxa"/>
          <w:right w:w="0" w:type="dxa"/>
        </w:tblCellMar>
        <w:tblLook w:val="01E0"/>
      </w:tblPr>
      <w:tblGrid>
        <w:gridCol w:w="1102"/>
        <w:gridCol w:w="4679"/>
        <w:gridCol w:w="2945"/>
      </w:tblGrid>
      <w:tr>
        <w:trPr>
          <w:trHeight w:val="348"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17</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青岛海立美达精密机械制造有限公司</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二级子公司</w:t>
            </w:r>
          </w:p>
        </w:tc>
      </w:tr>
      <w:tr>
        <w:trPr>
          <w:trHeight w:val="346"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18</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江苏盛世通钢铁供应链管理有限公司</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二级子公司</w:t>
            </w:r>
          </w:p>
        </w:tc>
      </w:tr>
      <w:tr>
        <w:trPr>
          <w:trHeight w:val="348"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19</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青岛中安美达技术有限公司</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二级子公司</w:t>
            </w:r>
          </w:p>
        </w:tc>
      </w:tr>
      <w:tr>
        <w:trPr>
          <w:trHeight w:val="346"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青岛海立美达科技有限公司</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二级子公司</w:t>
            </w:r>
          </w:p>
        </w:tc>
      </w:tr>
      <w:tr>
        <w:trPr>
          <w:trHeight w:val="348"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21</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上海和达汽车配件有限公司</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二级子公司</w:t>
            </w:r>
          </w:p>
        </w:tc>
      </w:tr>
      <w:tr>
        <w:trPr>
          <w:trHeight w:val="346"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22</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天津和达汽车配件有限公司</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三级子公司</w:t>
            </w:r>
          </w:p>
        </w:tc>
      </w:tr>
      <w:tr>
        <w:trPr>
          <w:trHeight w:val="348"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23</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宁德和达汽车配件有限公司</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三级子公司</w:t>
            </w:r>
          </w:p>
        </w:tc>
      </w:tr>
      <w:tr>
        <w:trPr>
          <w:trHeight w:val="348"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24</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梅州和达汽车配件有限公司</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三级子公司</w:t>
            </w:r>
          </w:p>
        </w:tc>
      </w:tr>
      <w:tr>
        <w:trPr>
          <w:trHeight w:val="346"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25</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联动优势科技有限公司</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二级子公司</w:t>
            </w:r>
          </w:p>
        </w:tc>
      </w:tr>
      <w:tr>
        <w:trPr>
          <w:trHeight w:val="348"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26</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联保汇通</w:t>
            </w:r>
            <w:r>
              <w:rPr>
                <w:rFonts w:ascii="Times New Roman" w:hAnsi="Times New Roman" w:cs="Times New Roman" w:eastAsia="Times New Roman" w:hint="default"/>
                <w:sz w:val="18"/>
                <w:szCs w:val="18"/>
              </w:rPr>
              <w:t>(</w:t>
            </w:r>
            <w:r>
              <w:rPr>
                <w:rFonts w:ascii="宋体" w:hAnsi="宋体" w:cs="宋体" w:eastAsia="宋体" w:hint="default"/>
                <w:sz w:val="18"/>
                <w:szCs w:val="18"/>
              </w:rPr>
              <w:t>汕头</w:t>
            </w:r>
            <w:r>
              <w:rPr>
                <w:rFonts w:ascii="Times New Roman" w:hAnsi="Times New Roman" w:cs="Times New Roman" w:eastAsia="Times New Roman" w:hint="default"/>
                <w:sz w:val="18"/>
                <w:szCs w:val="18"/>
              </w:rPr>
              <w:t>)</w:t>
            </w:r>
            <w:r>
              <w:rPr>
                <w:rFonts w:ascii="宋体" w:hAnsi="宋体" w:cs="宋体" w:eastAsia="宋体" w:hint="default"/>
                <w:sz w:val="18"/>
                <w:szCs w:val="18"/>
              </w:rPr>
              <w:t>保险代理有限公司</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三级子公司</w:t>
            </w:r>
          </w:p>
        </w:tc>
      </w:tr>
      <w:tr>
        <w:trPr>
          <w:trHeight w:val="346"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27</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蜜小蜂智慧</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科技有限公司</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三级子公司</w:t>
            </w:r>
          </w:p>
        </w:tc>
      </w:tr>
      <w:tr>
        <w:trPr>
          <w:trHeight w:val="349"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sz w:val="18"/>
              </w:rPr>
              <w:t>28</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联动优势电子商务有限公司</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三级子公司</w:t>
            </w:r>
          </w:p>
        </w:tc>
      </w:tr>
      <w:tr>
        <w:trPr>
          <w:trHeight w:val="348"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29</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哈尔滨迪达能化科技有限公司</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四级子公司</w:t>
            </w:r>
          </w:p>
        </w:tc>
      </w:tr>
      <w:tr>
        <w:trPr>
          <w:trHeight w:val="346"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30</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青岛中金卓越保理有限公司</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五级子公司</w:t>
            </w:r>
          </w:p>
        </w:tc>
      </w:tr>
      <w:tr>
        <w:trPr>
          <w:trHeight w:val="348"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31</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青岛万金通达经济信息服务有限公司</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三级子公司</w:t>
            </w:r>
          </w:p>
        </w:tc>
      </w:tr>
      <w:tr>
        <w:trPr>
          <w:trHeight w:val="346"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32</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安派国际控股有限公司</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三级子公司</w:t>
            </w:r>
          </w:p>
        </w:tc>
      </w:tr>
      <w:tr>
        <w:trPr>
          <w:trHeight w:val="348"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33</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安派国际美国有限责任公司</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四级子公司</w:t>
            </w:r>
          </w:p>
        </w:tc>
      </w:tr>
      <w:tr>
        <w:trPr>
          <w:trHeight w:val="346"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34</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北京玖联金通科技有限责任公司</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四级子公司</w:t>
            </w:r>
          </w:p>
        </w:tc>
      </w:tr>
      <w:tr>
        <w:trPr>
          <w:trHeight w:val="348"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35</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辉海（上海）科技服务有限公司</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三级子公司</w:t>
            </w:r>
          </w:p>
        </w:tc>
      </w:tr>
      <w:tr>
        <w:trPr>
          <w:trHeight w:val="348"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36</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联动优势科技（加拿大）有限公司</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四级子公司</w:t>
            </w:r>
          </w:p>
        </w:tc>
      </w:tr>
      <w:tr>
        <w:trPr>
          <w:trHeight w:val="346"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37</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天津奥美林生物科技有限公司</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三级子公司</w:t>
            </w:r>
          </w:p>
        </w:tc>
      </w:tr>
      <w:tr>
        <w:trPr>
          <w:trHeight w:val="348"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38</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九州环球国际融资租赁</w:t>
            </w:r>
            <w:r>
              <w:rPr>
                <w:rFonts w:ascii="Times New Roman" w:hAnsi="Times New Roman" w:cs="Times New Roman" w:eastAsia="Times New Roman" w:hint="default"/>
                <w:sz w:val="18"/>
                <w:szCs w:val="18"/>
              </w:rPr>
              <w:t>(</w:t>
            </w:r>
            <w:r>
              <w:rPr>
                <w:rFonts w:ascii="宋体" w:hAnsi="宋体" w:cs="宋体" w:eastAsia="宋体" w:hint="default"/>
                <w:sz w:val="18"/>
                <w:szCs w:val="18"/>
              </w:rPr>
              <w:t>天津</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四级子公司</w:t>
            </w:r>
          </w:p>
        </w:tc>
      </w:tr>
      <w:tr>
        <w:trPr>
          <w:trHeight w:val="346"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39</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ZhonghengConstructionGroupCo.,Limited</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四级子公司</w:t>
            </w:r>
          </w:p>
        </w:tc>
      </w:tr>
      <w:tr>
        <w:trPr>
          <w:trHeight w:val="348"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40</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海联金汇</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金融科技有限公司</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三级子公司</w:t>
            </w:r>
          </w:p>
        </w:tc>
      </w:tr>
      <w:tr>
        <w:trPr>
          <w:trHeight w:val="348"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41</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济南广盈商业保理有限公司</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三级子公司</w:t>
            </w:r>
          </w:p>
        </w:tc>
      </w:tr>
      <w:tr>
        <w:trPr>
          <w:trHeight w:val="346"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42</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联动优势数字（北京）科技有限公司</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三级子公司</w:t>
            </w:r>
          </w:p>
        </w:tc>
      </w:tr>
      <w:tr>
        <w:trPr>
          <w:trHeight w:val="348"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43</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北京金玉联汇科技有限公司</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三级子公司</w:t>
            </w:r>
          </w:p>
        </w:tc>
      </w:tr>
    </w:tbl>
    <w:p>
      <w:pPr>
        <w:spacing w:line="240" w:lineRule="auto" w:before="7"/>
        <w:rPr>
          <w:rFonts w:ascii="宋体" w:hAnsi="宋体" w:cs="宋体" w:eastAsia="宋体" w:hint="default"/>
          <w:b/>
          <w:bCs/>
          <w:sz w:val="15"/>
          <w:szCs w:val="15"/>
        </w:rPr>
      </w:pPr>
    </w:p>
    <w:p>
      <w:pPr>
        <w:pStyle w:val="BodyText"/>
        <w:spacing w:line="240" w:lineRule="auto" w:before="44"/>
        <w:ind w:left="513" w:right="1133"/>
        <w:jc w:val="left"/>
      </w:pPr>
      <w:r>
        <w:rPr/>
        <w:t>注：本公司</w:t>
      </w:r>
      <w:r>
        <w:rPr>
          <w:rFonts w:ascii="Times New Roman" w:hAnsi="Times New Roman" w:cs="Times New Roman" w:eastAsia="Times New Roman" w:hint="default"/>
        </w:rPr>
        <w:t>2019</w:t>
      </w:r>
      <w:r>
        <w:rPr/>
        <w:t>年度新增、处置子公司事项详见</w:t>
      </w:r>
      <w:r>
        <w:rPr>
          <w:rFonts w:ascii="Times New Roman" w:hAnsi="Times New Roman" w:cs="Times New Roman" w:eastAsia="Times New Roman" w:hint="default"/>
        </w:rPr>
        <w:t>“</w:t>
      </w:r>
      <w:r>
        <w:rPr/>
        <w:t>本附注八、合并范围的变化</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本附注九、在其他主体中的权益</w:t>
      </w:r>
      <w:r>
        <w:rPr>
          <w:rFonts w:ascii="Times New Roman" w:hAnsi="Times New Roman" w:cs="Times New Roman" w:eastAsia="Times New Roman" w:hint="default"/>
        </w:rPr>
        <w:t>”</w:t>
      </w:r>
      <w:r>
        <w:rPr/>
        <w:t>。</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bookmarkStart w:name="四、财务报表的编制基础" w:id="174"/>
      <w:bookmarkEnd w:id="174"/>
      <w:r>
        <w:rPr>
          <w:b w:val="0"/>
          <w:bCs w:val="0"/>
        </w:rPr>
      </w: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编制基础" w:id="175"/>
      <w:bookmarkEnd w:id="175"/>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3" w:firstLine="360"/>
        <w:jc w:val="left"/>
      </w:pPr>
      <w:r>
        <w:rPr>
          <w:spacing w:val="-2"/>
        </w:rPr>
        <w:t>本公司财务报表以持续经营为基础，根据实际发生的交易和事项，按照财政部颁布的《企业会计准则》及相关规定，并</w:t>
      </w:r>
      <w:r>
        <w:rPr/>
        <w:t> 基于本附注</w:t>
      </w:r>
      <w:r>
        <w:rPr>
          <w:rFonts w:ascii="Times New Roman" w:hAnsi="Times New Roman" w:cs="Times New Roman" w:eastAsia="Times New Roman" w:hint="default"/>
        </w:rPr>
        <w:t>“</w:t>
      </w:r>
      <w:r>
        <w:rPr/>
        <w:t>五、重要会计政策及会计估计</w:t>
      </w:r>
      <w:r>
        <w:rPr>
          <w:rFonts w:ascii="Times New Roman" w:hAnsi="Times New Roman" w:cs="Times New Roman" w:eastAsia="Times New Roman" w:hint="default"/>
        </w:rPr>
        <w:t>”</w:t>
      </w:r>
      <w:r>
        <w:rPr/>
        <w:t>所述会计政策和会计估计编制。</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19"/>
        <w:ind w:right="1133"/>
        <w:jc w:val="left"/>
        <w:rPr>
          <w:b w:val="0"/>
          <w:bCs w:val="0"/>
        </w:rPr>
      </w:pPr>
      <w:bookmarkStart w:name="2、持续经营" w:id="176"/>
      <w:bookmarkEnd w:id="176"/>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33"/>
        <w:jc w:val="left"/>
      </w:pPr>
      <w:r>
        <w:rPr/>
        <w:t>本公司自本报告期末起</w:t>
      </w:r>
      <w:r>
        <w:rPr>
          <w:rFonts w:ascii="Times New Roman" w:hAnsi="Times New Roman" w:cs="Times New Roman" w:eastAsia="Times New Roman" w:hint="default"/>
        </w:rPr>
        <w:t>12</w:t>
      </w:r>
      <w:r>
        <w:rPr/>
        <w:t>个月内不存在对本公司持续经营能力产生重大疑虑的事项或情况。</w:t>
      </w:r>
    </w:p>
    <w:p>
      <w:pPr>
        <w:spacing w:after="0" w:line="240"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bookmarkStart w:name="五、重要会计政策及会计估计" w:id="177"/>
      <w:bookmarkEnd w:id="177"/>
      <w:r>
        <w:rPr>
          <w:b w:val="0"/>
          <w:bCs w:val="0"/>
        </w:rPr>
      </w:r>
      <w:r>
        <w:rPr/>
        <w:t>五、重要会计政策及会计估计</w:t>
      </w:r>
      <w:r>
        <w:rPr>
          <w:b w:val="0"/>
          <w:bCs w:val="0"/>
        </w:rPr>
      </w:r>
    </w:p>
    <w:p>
      <w:pPr>
        <w:pStyle w:val="BodyText"/>
        <w:spacing w:line="550" w:lineRule="atLeast" w:before="32"/>
        <w:ind w:left="513" w:right="0" w:hanging="361"/>
        <w:jc w:val="left"/>
      </w:pPr>
      <w:r>
        <w:rPr/>
        <w:t>具体会计政策和会计估计提示： </w:t>
      </w:r>
      <w:r>
        <w:rPr>
          <w:spacing w:val="-2"/>
        </w:rPr>
        <w:t>本集团根据实际生产经营特点制定的具体会计政策和会计估计包括应收款项坏账准备的确认和计量、发出存货计量、固</w:t>
      </w:r>
    </w:p>
    <w:p>
      <w:pPr>
        <w:pStyle w:val="BodyText"/>
        <w:spacing w:line="240" w:lineRule="auto" w:before="76"/>
        <w:ind w:right="1133"/>
        <w:jc w:val="left"/>
      </w:pPr>
      <w:r>
        <w:rPr/>
        <w:t>定资产分类及折旧方法、无形资产摊销、研发费用资本化条件、收入确认和计量等。</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1、遵循企业会计准则的声明" w:id="178"/>
      <w:bookmarkEnd w:id="178"/>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0" w:firstLine="360"/>
        <w:jc w:val="left"/>
      </w:pPr>
      <w:r>
        <w:rPr>
          <w:spacing w:val="-2"/>
        </w:rPr>
        <w:t>本公司编制的财务报表符合企业会计准则的要求，真实、完整地反映了本公司及本集团的财务状况、经营成果和现金流</w:t>
      </w:r>
      <w:r>
        <w:rPr/>
        <w:t> 量等有关信息。</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bookmarkStart w:name="2、会计期间" w:id="179"/>
      <w:bookmarkEnd w:id="179"/>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92" w:right="1133"/>
        <w:jc w:val="left"/>
      </w:pPr>
      <w:r>
        <w:rPr/>
        <w:t>本集团的会计期间为公历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3、营业周期" w:id="180"/>
      <w:bookmarkEnd w:id="180"/>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0" w:firstLine="439"/>
        <w:jc w:val="left"/>
      </w:pPr>
      <w:r>
        <w:rPr/>
        <w:t>正常营业周期是指本公司从购买用于加工的资产起至实现现金或现金等价物的期间。本公司以</w:t>
      </w:r>
      <w:r>
        <w:rPr>
          <w:rFonts w:ascii="Times New Roman" w:hAnsi="Times New Roman" w:cs="Times New Roman" w:eastAsia="Times New Roman" w:hint="default"/>
        </w:rPr>
        <w:t>12</w:t>
      </w:r>
      <w:r>
        <w:rPr/>
        <w:t>个月作为一个营业周 期，并以其作为资产和负债的流动性划分标准。</w:t>
      </w:r>
    </w:p>
    <w:p>
      <w:pPr>
        <w:spacing w:line="240" w:lineRule="auto" w:before="10"/>
        <w:rPr>
          <w:rFonts w:ascii="宋体" w:hAnsi="宋体" w:cs="宋体" w:eastAsia="宋体" w:hint="default"/>
          <w:sz w:val="23"/>
          <w:szCs w:val="23"/>
        </w:rPr>
      </w:pPr>
    </w:p>
    <w:p>
      <w:pPr>
        <w:pStyle w:val="Heading3"/>
        <w:spacing w:line="240" w:lineRule="auto"/>
        <w:ind w:right="1133"/>
        <w:jc w:val="left"/>
        <w:rPr>
          <w:b w:val="0"/>
          <w:bCs w:val="0"/>
        </w:rPr>
      </w:pPr>
      <w:bookmarkStart w:name="4、记账本位币" w:id="181"/>
      <w:bookmarkEnd w:id="181"/>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0" w:firstLine="360"/>
        <w:jc w:val="left"/>
      </w:pPr>
      <w:r>
        <w:rPr>
          <w:spacing w:val="-2"/>
        </w:rPr>
        <w:t>本集团除海立美达香港有限公司、安派国际控股有限公司、安派国际美国有限责任公司以美元为记账本位币、联动优势</w:t>
      </w:r>
      <w:r>
        <w:rPr/>
        <w:t> 科技（加拿大）有限公司以加元为记账本位币以外，本公司及其他子公司以人民币为记账本位币。</w:t>
      </w:r>
    </w:p>
    <w:p>
      <w:pPr>
        <w:spacing w:line="240" w:lineRule="auto" w:before="9"/>
        <w:rPr>
          <w:rFonts w:ascii="宋体" w:hAnsi="宋体" w:cs="宋体" w:eastAsia="宋体" w:hint="default"/>
          <w:sz w:val="22"/>
          <w:szCs w:val="22"/>
        </w:rPr>
      </w:pPr>
    </w:p>
    <w:p>
      <w:pPr>
        <w:pStyle w:val="Heading3"/>
        <w:spacing w:line="240" w:lineRule="auto"/>
        <w:ind w:right="1133"/>
        <w:jc w:val="left"/>
        <w:rPr>
          <w:b w:val="0"/>
          <w:bCs w:val="0"/>
        </w:rPr>
      </w:pPr>
      <w:bookmarkStart w:name="5、同一控制下和非同一控制下企业合并的会计处理方法" w:id="182"/>
      <w:bookmarkEnd w:id="182"/>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0" w:firstLine="360"/>
        <w:jc w:val="left"/>
      </w:pPr>
      <w:r>
        <w:rPr>
          <w:spacing w:val="-2"/>
        </w:rPr>
        <w:t>本集团作为合并方，在同一控制下企业合并中取得的资产和负债，在合并日按被合并方在最终控制方合并报表中的账面</w:t>
      </w:r>
      <w:r>
        <w:rPr/>
        <w:t> </w:t>
      </w:r>
      <w:r>
        <w:rPr>
          <w:spacing w:val="-4"/>
        </w:rPr>
        <w:t>价值计量。取得的净资产账面价值与支付的合并对价账面价值的差额，调整资本公积；资本公积不足冲减的，调整留存收益。</w:t>
      </w:r>
    </w:p>
    <w:p>
      <w:pPr>
        <w:spacing w:line="240" w:lineRule="auto" w:before="10"/>
        <w:rPr>
          <w:rFonts w:ascii="宋体" w:hAnsi="宋体" w:cs="宋体" w:eastAsia="宋体" w:hint="default"/>
          <w:sz w:val="19"/>
          <w:szCs w:val="19"/>
        </w:rPr>
      </w:pPr>
    </w:p>
    <w:p>
      <w:pPr>
        <w:pStyle w:val="BodyText"/>
        <w:spacing w:line="319" w:lineRule="auto"/>
        <w:ind w:left="255" w:right="1129" w:firstLine="360"/>
        <w:jc w:val="both"/>
      </w:pPr>
      <w:r>
        <w:rPr/>
        <w:t>在非同一控制下企业合并中取得的被购买方可辨认资产、负债及或有负债在收购日以公允价值计量。合并成本为本集 团在购买日为取得对被购买方的控制权而支付的现金或非现金资产、发行或承担的负债、发行的权益性证券等的公允价值 以及在企业合并中发生的各项直接相关费用之和（通过多次交易分步实现的企业合并，其合并成本为每一单项交易的成本 之和）。合并成本大于合并中取得的被购买方可辨认净资产公允价值份额的差额，确认为商誉；合并成本小于合并中取得 的被购买方可辨认净资产公允价值份额的，首先对合并中取得的各项可辨认资产、负债及或有负债的公允价值、以及合并 对价的非现金资产或发行的权益性证券等的公允价值进行复核，经复核后，合并成本仍小于合并中取得的被购买方可辨认 净资产公允价值份额的，将其差额计入合并当期营业外收入。</w:t>
      </w:r>
    </w:p>
    <w:p>
      <w:pPr>
        <w:spacing w:line="240" w:lineRule="auto" w:before="9"/>
        <w:rPr>
          <w:rFonts w:ascii="宋体" w:hAnsi="宋体" w:cs="宋体" w:eastAsia="宋体" w:hint="default"/>
          <w:sz w:val="22"/>
          <w:szCs w:val="22"/>
        </w:rPr>
      </w:pPr>
    </w:p>
    <w:p>
      <w:pPr>
        <w:pStyle w:val="Heading3"/>
        <w:spacing w:line="240" w:lineRule="auto"/>
        <w:ind w:right="1133"/>
        <w:jc w:val="left"/>
        <w:rPr>
          <w:b w:val="0"/>
          <w:bCs w:val="0"/>
        </w:rPr>
      </w:pPr>
      <w:bookmarkStart w:name="6、合并财务报表的编制方法" w:id="183"/>
      <w:bookmarkEnd w:id="183"/>
      <w:r>
        <w:rPr>
          <w:b w:val="0"/>
          <w:bCs w:val="0"/>
        </w:rPr>
      </w:r>
      <w:r>
        <w:rPr>
          <w:rFonts w:ascii="Times New Roman" w:hAnsi="Times New Roman" w:cs="Times New Roman" w:eastAsia="Times New Roman" w:hint="default"/>
        </w:rPr>
        <w:t>6</w:t>
      </w:r>
      <w:r>
        <w:rPr/>
        <w:t>、合并财务报表的编制方法</w:t>
      </w:r>
      <w:r>
        <w:rPr>
          <w:b w:val="0"/>
          <w:bCs w:val="0"/>
        </w:rPr>
      </w:r>
    </w:p>
    <w:p>
      <w:pPr>
        <w:pStyle w:val="BodyText"/>
        <w:spacing w:line="550" w:lineRule="atLeast" w:before="30"/>
        <w:ind w:left="513" w:right="0"/>
        <w:jc w:val="left"/>
      </w:pPr>
      <w:r>
        <w:rPr/>
        <w:t>本集团将所有控制的子公司及结构化主体纳入合并财务报表范围。 </w:t>
      </w:r>
      <w:r>
        <w:rPr>
          <w:spacing w:val="-2"/>
        </w:rPr>
        <w:t>对于同一控制下企业合并取得的子公司，其经营成果和现金流量自合并当期期初纳入合并财务报表。编制比较合并财务</w:t>
      </w:r>
    </w:p>
    <w:p>
      <w:pPr>
        <w:pStyle w:val="BodyText"/>
        <w:spacing w:line="240" w:lineRule="auto" w:before="76"/>
        <w:ind w:right="1133"/>
        <w:jc w:val="left"/>
      </w:pPr>
      <w:r>
        <w:rPr/>
        <w:t>报表时，对上年财务报表的相关项目进行调整，视同合并后形成的报告主体自最终控制方开始控制时点起一直存在。</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6" w:lineRule="auto" w:before="44"/>
        <w:ind w:right="1130" w:firstLine="360"/>
        <w:jc w:val="both"/>
      </w:pPr>
      <w:r>
        <w:rPr>
          <w:spacing w:val="-2"/>
        </w:rPr>
        <w:t>通过多次交易分步取得同一控制下被投资单位的股权，最终形成企业合并的，应在取得控制权的报告期，补充披露在合</w:t>
      </w:r>
      <w:r>
        <w:rPr/>
        <w:t> </w:t>
      </w:r>
      <w:r>
        <w:rPr>
          <w:spacing w:val="-2"/>
        </w:rPr>
        <w:t>并财务报表中的处理方法。例如：通过多次交易分步取得同一控制下被投资单位的股权，最终形成企业合并，编制合并报表</w:t>
      </w:r>
      <w:r>
        <w:rPr>
          <w:spacing w:val="-65"/>
        </w:rPr>
        <w:t> </w:t>
      </w:r>
      <w:r>
        <w:rPr>
          <w:spacing w:val="-65"/>
        </w:rPr>
      </w:r>
      <w:r>
        <w:rPr>
          <w:spacing w:val="-2"/>
        </w:rPr>
        <w:t>时，视同在最终控制方开始控制时即以目前的状态存在进行调整，在编制比较报表时，以不早于本集团和被合并方同处于最</w:t>
      </w:r>
      <w:r>
        <w:rPr>
          <w:spacing w:val="-66"/>
        </w:rPr>
        <w:t> </w:t>
      </w:r>
      <w:r>
        <w:rPr>
          <w:spacing w:val="-66"/>
        </w:rPr>
      </w:r>
      <w:r>
        <w:rPr>
          <w:spacing w:val="-2"/>
        </w:rPr>
        <w:t>终控制方的控制之下的时点为限，将被合并方的有关资产、负债并入本集团合并财务报表的比较报表中，并将合并而增加的</w:t>
      </w:r>
      <w:r>
        <w:rPr>
          <w:spacing w:val="-63"/>
        </w:rPr>
        <w:t> </w:t>
      </w:r>
      <w:r>
        <w:rPr>
          <w:spacing w:val="-63"/>
        </w:rPr>
      </w:r>
      <w:r>
        <w:rPr>
          <w:spacing w:val="-2"/>
        </w:rPr>
        <w:t>净资产在比较报表中调整所有者权益项下的相关项目。为避免对被合并方净资产的价值进行重复计算，本集团在达到合并之</w:t>
      </w:r>
      <w:r>
        <w:rPr>
          <w:spacing w:val="-64"/>
        </w:rPr>
        <w:t> </w:t>
      </w:r>
      <w:r>
        <w:rPr>
          <w:spacing w:val="-64"/>
        </w:rPr>
      </w:r>
      <w:r>
        <w:rPr>
          <w:spacing w:val="-2"/>
        </w:rPr>
        <w:t>前持有的长期股权投资，在取得原股权之日与本集团和被合并方处于同一方最终控制之日孰晚日起至合并日之间已确认有关</w:t>
      </w:r>
      <w:r>
        <w:rPr>
          <w:spacing w:val="-64"/>
        </w:rPr>
        <w:t> </w:t>
      </w:r>
      <w:r>
        <w:rPr>
          <w:spacing w:val="-64"/>
        </w:rPr>
      </w:r>
      <w:r>
        <w:rPr/>
        <w:t>损益、其他综合收益和其他净资产变动，应分别冲减比较报表期间的期初留存收益和当期损益。</w:t>
      </w:r>
    </w:p>
    <w:p>
      <w:pPr>
        <w:spacing w:line="240" w:lineRule="auto" w:before="10"/>
        <w:rPr>
          <w:rFonts w:ascii="宋体" w:hAnsi="宋体" w:cs="宋体" w:eastAsia="宋体" w:hint="default"/>
          <w:sz w:val="19"/>
          <w:szCs w:val="19"/>
        </w:rPr>
      </w:pPr>
    </w:p>
    <w:p>
      <w:pPr>
        <w:pStyle w:val="BodyText"/>
        <w:spacing w:line="316" w:lineRule="auto"/>
        <w:ind w:right="1132" w:firstLine="360"/>
        <w:jc w:val="both"/>
      </w:pPr>
      <w:r>
        <w:rPr>
          <w:spacing w:val="-2"/>
        </w:rPr>
        <w:t>对于非同一控制下企业合并取得子公司，经营成果和现金流量自本集团取得控制权之日起纳入合并财务报表。在编制合</w:t>
      </w:r>
      <w:r>
        <w:rPr/>
        <w:t> 并财务报表时，以购买日确定的各项可辨认资产、负债及或有负债的公允价值为基础对子公司的财务报表进行调整。</w:t>
      </w:r>
    </w:p>
    <w:p>
      <w:pPr>
        <w:spacing w:line="240" w:lineRule="auto" w:before="10"/>
        <w:rPr>
          <w:rFonts w:ascii="宋体" w:hAnsi="宋体" w:cs="宋体" w:eastAsia="宋体" w:hint="default"/>
          <w:sz w:val="19"/>
          <w:szCs w:val="19"/>
        </w:rPr>
      </w:pPr>
    </w:p>
    <w:p>
      <w:pPr>
        <w:pStyle w:val="BodyText"/>
        <w:spacing w:line="319" w:lineRule="auto"/>
        <w:ind w:right="1130" w:firstLine="360"/>
        <w:jc w:val="both"/>
      </w:pPr>
      <w:r>
        <w:rPr>
          <w:spacing w:val="-2"/>
        </w:rPr>
        <w:t>通过多次交易分步取得非同一控制下被投资单位的股权，最终形成企业合并的，应在取得控制权的报告期，补充披露在</w:t>
      </w:r>
      <w:r>
        <w:rPr/>
        <w:t> </w:t>
      </w:r>
      <w:r>
        <w:rPr>
          <w:spacing w:val="-2"/>
        </w:rPr>
        <w:t>合并财务报表中的处理方法。例如：通过多次交易分步取得非同一控制下被投资单位的股权，最终形成企业合并，编制合并</w:t>
      </w:r>
      <w:r>
        <w:rPr>
          <w:spacing w:val="-64"/>
        </w:rPr>
        <w:t> </w:t>
      </w:r>
      <w:r>
        <w:rPr>
          <w:spacing w:val="-64"/>
        </w:rPr>
      </w:r>
      <w:r>
        <w:rPr>
          <w:spacing w:val="-2"/>
        </w:rPr>
        <w:t>报表时，对于购买日之前持有的被购买方的股权，按照该股权在购买日的公允价值进行重新计量，公允价值与其账面价值的</w:t>
      </w:r>
      <w:r>
        <w:rPr>
          <w:spacing w:val="-63"/>
        </w:rPr>
        <w:t> </w:t>
      </w:r>
      <w:r>
        <w:rPr>
          <w:spacing w:val="-63"/>
        </w:rPr>
      </w:r>
      <w:r>
        <w:rPr>
          <w:spacing w:val="-2"/>
        </w:rPr>
        <w:t>差额计入当期投资收益；与其相关的购买日之前持有的被购买方的股权涉及权益法核算下的其他综合收益以及除净损益、其</w:t>
      </w:r>
      <w:r>
        <w:rPr>
          <w:spacing w:val="-64"/>
        </w:rPr>
        <w:t> </w:t>
      </w:r>
      <w:r>
        <w:rPr>
          <w:spacing w:val="-64"/>
        </w:rPr>
      </w:r>
      <w:r>
        <w:rPr>
          <w:spacing w:val="-2"/>
        </w:rPr>
        <w:t>他综合收益和利润分配外的其他所有者权益变动，在购买日所属当期转为投资损益，由于被投资方重新计量设定受益计划净</w:t>
      </w:r>
      <w:r>
        <w:rPr>
          <w:spacing w:val="-63"/>
        </w:rPr>
        <w:t> </w:t>
      </w:r>
      <w:r>
        <w:rPr>
          <w:spacing w:val="-63"/>
        </w:rPr>
      </w:r>
      <w:r>
        <w:rPr/>
        <w:t>负债或净资产变动而产生的其他综合收益除外。</w:t>
      </w:r>
    </w:p>
    <w:p>
      <w:pPr>
        <w:spacing w:line="240" w:lineRule="auto" w:before="8"/>
        <w:rPr>
          <w:rFonts w:ascii="宋体" w:hAnsi="宋体" w:cs="宋体" w:eastAsia="宋体" w:hint="default"/>
          <w:sz w:val="19"/>
          <w:szCs w:val="19"/>
        </w:rPr>
      </w:pPr>
    </w:p>
    <w:p>
      <w:pPr>
        <w:pStyle w:val="BodyText"/>
        <w:spacing w:line="316" w:lineRule="auto"/>
        <w:ind w:right="1132" w:firstLine="360"/>
        <w:jc w:val="both"/>
      </w:pPr>
      <w:r>
        <w:rPr>
          <w:spacing w:val="-2"/>
        </w:rPr>
        <w:t>本集团在不丧失控制权的情况下部分处置对子公司的长期股权投资，在合并财务报表中，处置价款与处置长期股权投资</w:t>
      </w:r>
      <w:r>
        <w:rPr/>
        <w:t> </w:t>
      </w:r>
      <w:r>
        <w:rPr>
          <w:spacing w:val="-2"/>
        </w:rPr>
        <w:t>相对应享有子公司自购买日或合并日开始持续计算的净资产份额之间的差额，调整资本溢价或股本溢价，资本公积不足冲减</w:t>
      </w:r>
      <w:r>
        <w:rPr>
          <w:spacing w:val="-64"/>
        </w:rPr>
        <w:t> </w:t>
      </w:r>
      <w:r>
        <w:rPr>
          <w:spacing w:val="-64"/>
        </w:rPr>
      </w:r>
      <w:r>
        <w:rPr/>
        <w:t>的，调整留存收益。</w:t>
      </w:r>
    </w:p>
    <w:p>
      <w:pPr>
        <w:spacing w:line="240" w:lineRule="auto" w:before="10"/>
        <w:rPr>
          <w:rFonts w:ascii="宋体" w:hAnsi="宋体" w:cs="宋体" w:eastAsia="宋体" w:hint="default"/>
          <w:sz w:val="19"/>
          <w:szCs w:val="19"/>
        </w:rPr>
      </w:pPr>
    </w:p>
    <w:p>
      <w:pPr>
        <w:pStyle w:val="BodyText"/>
        <w:spacing w:line="319" w:lineRule="auto"/>
        <w:ind w:right="1130" w:firstLine="360"/>
        <w:jc w:val="both"/>
      </w:pPr>
      <w:r>
        <w:rPr>
          <w:spacing w:val="-2"/>
        </w:rPr>
        <w:t>本集团因处置部分股权投资等原因丧失了对被投资方的控制权的，在编制合并财务报表时，对于剩余股权，按照其在丧</w:t>
      </w:r>
      <w:r>
        <w:rPr/>
        <w:t> </w:t>
      </w:r>
      <w:r>
        <w:rPr>
          <w:spacing w:val="-2"/>
        </w:rPr>
        <w:t>失控制权日的公允价值进行重新计量。处置股权取得的对价与剩余股权公允价值之和，减去按原持股比例计算应享有原有子</w:t>
      </w:r>
      <w:r>
        <w:rPr>
          <w:spacing w:val="-62"/>
        </w:rPr>
        <w:t> </w:t>
      </w:r>
      <w:r>
        <w:rPr>
          <w:spacing w:val="-62"/>
        </w:rPr>
      </w:r>
      <w:r>
        <w:rPr>
          <w:spacing w:val="-2"/>
        </w:rPr>
        <w:t>公司自购买日或合并日开始持续计算的净资产的份额之间的差额，计入丧失控制权当期的投资损益，同时冲减商誉。与原有</w:t>
      </w:r>
      <w:r>
        <w:rPr>
          <w:spacing w:val="-66"/>
        </w:rPr>
        <w:t> </w:t>
      </w:r>
      <w:r>
        <w:rPr>
          <w:spacing w:val="-66"/>
        </w:rPr>
      </w:r>
      <w:r>
        <w:rPr/>
        <w:t>子公司股权投资相关的其他综合收益等，在丧失控制权时转为当期投资损益。</w:t>
      </w:r>
    </w:p>
    <w:p>
      <w:pPr>
        <w:spacing w:line="240" w:lineRule="auto" w:before="8"/>
        <w:rPr>
          <w:rFonts w:ascii="宋体" w:hAnsi="宋体" w:cs="宋体" w:eastAsia="宋体" w:hint="default"/>
          <w:sz w:val="19"/>
          <w:szCs w:val="19"/>
        </w:rPr>
      </w:pPr>
    </w:p>
    <w:p>
      <w:pPr>
        <w:pStyle w:val="BodyText"/>
        <w:spacing w:line="316" w:lineRule="auto"/>
        <w:ind w:right="1132" w:firstLine="360"/>
        <w:jc w:val="both"/>
      </w:pPr>
      <w:r>
        <w:rPr>
          <w:spacing w:val="-2"/>
        </w:rPr>
        <w:t>本集团通过多次交易分步处置对子公司股权投资直至丧失控制权的，如果处置对子公司股权投资直至丧失控制权的各项</w:t>
      </w:r>
      <w:r>
        <w:rPr/>
        <w:t> </w:t>
      </w:r>
      <w:r>
        <w:rPr>
          <w:spacing w:val="-2"/>
        </w:rPr>
        <w:t>交易属于一揽子交易的，应当将各项交易作为一项处置子公司并丧失控制权的交易进行会计处理；但是，在丧失控制权之前</w:t>
      </w:r>
      <w:r>
        <w:rPr>
          <w:spacing w:val="-66"/>
        </w:rPr>
        <w:t> </w:t>
      </w:r>
      <w:r>
        <w:rPr>
          <w:spacing w:val="-66"/>
        </w:rPr>
      </w:r>
      <w:r>
        <w:rPr>
          <w:spacing w:val="-2"/>
        </w:rPr>
        <w:t>每一次处置价款与处置投资对应的享有该子公司净资产份额的差额，在合并财务报表中确认为其他综合收益，在丧失控制权</w:t>
      </w:r>
      <w:r>
        <w:rPr>
          <w:spacing w:val="-64"/>
        </w:rPr>
        <w:t> </w:t>
      </w:r>
      <w:r>
        <w:rPr>
          <w:spacing w:val="-64"/>
        </w:rPr>
      </w:r>
      <w:r>
        <w:rPr/>
        <w:t>时一并转入丧失控制权当期的投资损益。</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bookmarkStart w:name="7、合营安排分类及共同经营会计处理方法" w:id="184"/>
      <w:bookmarkEnd w:id="184"/>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130" w:firstLine="360"/>
        <w:jc w:val="both"/>
      </w:pPr>
      <w:r>
        <w:rPr>
          <w:spacing w:val="-2"/>
        </w:rPr>
        <w:t>本集团的合营安排包括共同经营和合营企业。对于共同经营项目，本集团作为共同经营中的合营方确认单独持有的资产</w:t>
      </w:r>
      <w:r>
        <w:rPr/>
        <w:t> </w:t>
      </w:r>
      <w:r>
        <w:rPr>
          <w:spacing w:val="-2"/>
        </w:rPr>
        <w:t>和承担的负债，以及按份额确认持有的资产和承担的负债，根据相关约定单独或按份额确认相关的收入和费用。与共同经营</w:t>
      </w:r>
      <w:r>
        <w:rPr>
          <w:spacing w:val="-63"/>
        </w:rPr>
        <w:t> </w:t>
      </w:r>
      <w:r>
        <w:rPr>
          <w:spacing w:val="-63"/>
        </w:rPr>
      </w:r>
      <w:r>
        <w:rPr/>
        <w:t>发生购买、销售不构成业务的资产交易的，仅确认因该交易产生的损益中归属于共同经营其他参与方的部分。</w:t>
      </w:r>
    </w:p>
    <w:p>
      <w:pPr>
        <w:spacing w:line="240" w:lineRule="auto" w:before="9"/>
        <w:rPr>
          <w:rFonts w:ascii="宋体" w:hAnsi="宋体" w:cs="宋体" w:eastAsia="宋体" w:hint="default"/>
          <w:sz w:val="22"/>
          <w:szCs w:val="22"/>
        </w:rPr>
      </w:pPr>
    </w:p>
    <w:p>
      <w:pPr>
        <w:pStyle w:val="Heading3"/>
        <w:spacing w:line="240" w:lineRule="auto"/>
        <w:ind w:right="1133"/>
        <w:jc w:val="left"/>
        <w:rPr>
          <w:b w:val="0"/>
          <w:bCs w:val="0"/>
        </w:rPr>
      </w:pPr>
      <w:bookmarkStart w:name="8、现金及现金等价物的确定标准" w:id="185"/>
      <w:bookmarkEnd w:id="185"/>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040" w:firstLine="360"/>
        <w:jc w:val="both"/>
      </w:pPr>
      <w:r>
        <w:rPr>
          <w:spacing w:val="-2"/>
        </w:rPr>
        <w:t>本集团现金流量表之现金指库存现金以及可以随时用于支付的存款。现金流量表之现金等价物指持有期限不超过</w:t>
      </w:r>
      <w:r>
        <w:rPr>
          <w:rFonts w:ascii="Times New Roman" w:hAnsi="Times New Roman" w:cs="Times New Roman" w:eastAsia="Times New Roman" w:hint="default"/>
          <w:spacing w:val="-2"/>
        </w:rPr>
        <w:t>3</w:t>
      </w:r>
      <w:r>
        <w:rPr>
          <w:spacing w:val="-2"/>
        </w:rPr>
        <w:t>个月、</w:t>
      </w:r>
      <w:r>
        <w:rPr/>
        <w:t> 流动性强、易于转换为已知金额现金且价值变动风险很小的投资。</w:t>
      </w:r>
    </w:p>
    <w:p>
      <w:pPr>
        <w:spacing w:line="240" w:lineRule="auto" w:before="10"/>
        <w:rPr>
          <w:rFonts w:ascii="宋体" w:hAnsi="宋体" w:cs="宋体" w:eastAsia="宋体" w:hint="default"/>
          <w:sz w:val="23"/>
          <w:szCs w:val="23"/>
        </w:rPr>
      </w:pPr>
    </w:p>
    <w:p>
      <w:pPr>
        <w:pStyle w:val="Heading3"/>
        <w:spacing w:line="240" w:lineRule="auto"/>
        <w:ind w:right="1133"/>
        <w:jc w:val="left"/>
        <w:rPr>
          <w:b w:val="0"/>
          <w:bCs w:val="0"/>
        </w:rPr>
      </w:pPr>
      <w:bookmarkStart w:name="9、外币业务和外币报表折算" w:id="186"/>
      <w:bookmarkEnd w:id="186"/>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33"/>
        <w:jc w:val="left"/>
      </w:pPr>
      <w:r>
        <w:rPr/>
        <w:t>（</w:t>
      </w:r>
      <w:r>
        <w:rPr>
          <w:rFonts w:ascii="Times New Roman" w:hAnsi="Times New Roman" w:cs="Times New Roman" w:eastAsia="Times New Roman" w:hint="default"/>
        </w:rPr>
        <w:t>1</w:t>
      </w:r>
      <w:r>
        <w:rPr/>
        <w:t>）外币交易</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9" w:lineRule="auto" w:before="44"/>
        <w:ind w:right="1133" w:firstLine="360"/>
        <w:jc w:val="both"/>
      </w:pPr>
      <w:r>
        <w:rPr/>
        <w:t>本集团外币交易按发生当月</w:t>
      </w:r>
      <w:r>
        <w:rPr>
          <w:rFonts w:ascii="Times New Roman" w:hAnsi="Times New Roman" w:cs="Times New Roman" w:eastAsia="Times New Roman" w:hint="default"/>
        </w:rPr>
        <w:t>1</w:t>
      </w:r>
      <w:r>
        <w:rPr/>
        <w:t>日的中国人民银行公布的市场汇价（中间价）将外币金额折算为人民币金额。于资产负债 </w:t>
      </w:r>
      <w:r>
        <w:rPr>
          <w:spacing w:val="-2"/>
        </w:rPr>
        <w:t>表日，外币货币性项目采用资产负债表日的即期汇率折算为人民币，所产生的折算差额除了为购建或生产符合资本化条件的</w:t>
      </w:r>
      <w:r>
        <w:rPr>
          <w:spacing w:val="-64"/>
        </w:rPr>
        <w:t> </w:t>
      </w:r>
      <w:r>
        <w:rPr>
          <w:spacing w:val="-64"/>
        </w:rPr>
      </w:r>
      <w:r>
        <w:rPr/>
        <w:t>资产而借入的外币专门借款产生的汇兑差额按资本化的原则处理外，直接计入当期损益。</w:t>
      </w:r>
    </w:p>
    <w:p>
      <w:pPr>
        <w:pStyle w:val="BodyText"/>
        <w:spacing w:line="552" w:lineRule="exact" w:before="33"/>
        <w:ind w:left="513" w:right="0"/>
        <w:jc w:val="left"/>
      </w:pPr>
      <w:r>
        <w:rPr/>
        <w:t>（</w:t>
      </w:r>
      <w:r>
        <w:rPr>
          <w:rFonts w:ascii="Times New Roman" w:hAnsi="Times New Roman" w:cs="Times New Roman" w:eastAsia="Times New Roman" w:hint="default"/>
        </w:rPr>
        <w:t>2</w:t>
      </w:r>
      <w:r>
        <w:rPr/>
        <w:t>）外币财务报表的折算 外币资产负债表中资产、负债类项目采用资产负债表日的即期汇率折算；所有者权益类项目除</w:t>
      </w:r>
      <w:r>
        <w:rPr>
          <w:rFonts w:ascii="Times New Roman" w:hAnsi="Times New Roman" w:cs="Times New Roman" w:eastAsia="Times New Roman" w:hint="default"/>
        </w:rPr>
        <w:t>“</w:t>
      </w:r>
      <w:r>
        <w:rPr/>
        <w:t>合并现金流量表补充资</w:t>
      </w:r>
    </w:p>
    <w:p>
      <w:pPr>
        <w:pStyle w:val="BodyText"/>
        <w:spacing w:line="309" w:lineRule="auto"/>
        <w:ind w:right="1131"/>
        <w:jc w:val="both"/>
      </w:pPr>
      <w:r>
        <w:rPr>
          <w:spacing w:val="-2"/>
        </w:rPr>
        <w:t>料利润</w:t>
      </w:r>
      <w:r>
        <w:rPr>
          <w:rFonts w:ascii="Times New Roman" w:hAnsi="Times New Roman" w:cs="Times New Roman" w:eastAsia="Times New Roman" w:hint="default"/>
          <w:spacing w:val="-2"/>
        </w:rPr>
        <w:t>”</w:t>
      </w:r>
      <w:r>
        <w:rPr>
          <w:spacing w:val="-2"/>
        </w:rPr>
        <w:t>外，均按业务发生时的即期汇率折算；利润表中的收入与费用项目，采用交易发生当月</w:t>
      </w:r>
      <w:r>
        <w:rPr>
          <w:rFonts w:ascii="Times New Roman" w:hAnsi="Times New Roman" w:cs="Times New Roman" w:eastAsia="Times New Roman" w:hint="default"/>
          <w:spacing w:val="-2"/>
        </w:rPr>
        <w:t>1</w:t>
      </w:r>
      <w:r>
        <w:rPr>
          <w:spacing w:val="-2"/>
        </w:rPr>
        <w:t>日的中国人民银行公布的市</w:t>
      </w:r>
      <w:r>
        <w:rPr>
          <w:spacing w:val="-52"/>
        </w:rPr>
        <w:t> </w:t>
      </w:r>
      <w:r>
        <w:rPr>
          <w:spacing w:val="-2"/>
        </w:rPr>
        <w:t>场汇价（中间价）折算。上述折算产生的外币报表折算差额，在其他综合收益项目中列示。外币现金流量采用现金流量发生</w:t>
      </w:r>
      <w:r>
        <w:rPr>
          <w:spacing w:val="-65"/>
        </w:rPr>
        <w:t> </w:t>
      </w:r>
      <w:r>
        <w:rPr>
          <w:spacing w:val="-65"/>
        </w:rPr>
      </w:r>
      <w:r>
        <w:rPr/>
        <w:t>当月</w:t>
      </w:r>
      <w:r>
        <w:rPr>
          <w:rFonts w:ascii="Times New Roman" w:hAnsi="Times New Roman" w:cs="Times New Roman" w:eastAsia="Times New Roman" w:hint="default"/>
        </w:rPr>
        <w:t>1</w:t>
      </w:r>
      <w:r>
        <w:rPr/>
        <w:t>日的中国人民银行公布的市场汇价（中间价）折算。汇率变动对现金的影响额，在现金流量表中单独列示。</w:t>
      </w:r>
    </w:p>
    <w:p>
      <w:pPr>
        <w:spacing w:line="240" w:lineRule="auto" w:before="10"/>
        <w:rPr>
          <w:rFonts w:ascii="宋体" w:hAnsi="宋体" w:cs="宋体" w:eastAsia="宋体" w:hint="default"/>
          <w:sz w:val="21"/>
          <w:szCs w:val="21"/>
        </w:rPr>
      </w:pPr>
    </w:p>
    <w:p>
      <w:pPr>
        <w:pStyle w:val="Heading3"/>
        <w:spacing w:line="240" w:lineRule="auto"/>
        <w:ind w:right="0"/>
        <w:jc w:val="both"/>
        <w:rPr>
          <w:b w:val="0"/>
          <w:bCs w:val="0"/>
        </w:rPr>
      </w:pPr>
      <w:bookmarkStart w:name="10、金融工具" w:id="187"/>
      <w:bookmarkEnd w:id="187"/>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13" w:right="1133"/>
        <w:jc w:val="left"/>
      </w:pPr>
      <w:r>
        <w:rPr/>
        <w:t>在本公司成为金融工具合同的一方时确认一项金融资产或金融负债。</w:t>
      </w:r>
    </w:p>
    <w:p>
      <w:pPr>
        <w:pStyle w:val="BodyText"/>
        <w:spacing w:line="540" w:lineRule="atLeast" w:before="25"/>
        <w:ind w:left="513" w:right="0"/>
        <w:jc w:val="left"/>
      </w:pPr>
      <w:r>
        <w:rPr/>
        <w:t>（</w:t>
      </w:r>
      <w:r>
        <w:rPr>
          <w:rFonts w:ascii="Times New Roman" w:hAnsi="Times New Roman" w:cs="Times New Roman" w:eastAsia="Times New Roman" w:hint="default"/>
        </w:rPr>
        <w:t>1</w:t>
      </w:r>
      <w:r>
        <w:rPr/>
        <w:t>）金融资产的分类、确认和计量 </w:t>
      </w:r>
      <w:r>
        <w:rPr>
          <w:spacing w:val="-4"/>
        </w:rPr>
        <w:t>本公司根据管理金融资产的业务模式和金融资产的合同现金流量特征，将金融资产划分为：以摊余成本计量的金融资产；</w:t>
      </w:r>
    </w:p>
    <w:p>
      <w:pPr>
        <w:pStyle w:val="BodyText"/>
        <w:spacing w:line="240" w:lineRule="auto" w:before="76"/>
        <w:ind w:right="0"/>
        <w:jc w:val="both"/>
      </w:pPr>
      <w:r>
        <w:rPr/>
        <w:t>以公允价值计量且其变动计入其他综合收益的金融资产；以公允价值计量且其变动计入当期损益的金融资产。</w:t>
      </w:r>
    </w:p>
    <w:p>
      <w:pPr>
        <w:spacing w:line="240" w:lineRule="auto" w:before="2"/>
        <w:rPr>
          <w:rFonts w:ascii="宋体" w:hAnsi="宋体" w:cs="宋体" w:eastAsia="宋体" w:hint="default"/>
          <w:sz w:val="24"/>
          <w:szCs w:val="24"/>
        </w:rPr>
      </w:pPr>
    </w:p>
    <w:p>
      <w:pPr>
        <w:pStyle w:val="BodyText"/>
        <w:spacing w:line="316" w:lineRule="auto"/>
        <w:ind w:right="1131" w:firstLine="360"/>
        <w:jc w:val="both"/>
      </w:pPr>
      <w:r>
        <w:rPr>
          <w:spacing w:val="-2"/>
        </w:rPr>
        <w:t>金融资产在初始确认时以公允价值计量。对于以公允价值计量且其变动计入当期损益的金融资产，相关交易费用直接计</w:t>
      </w:r>
      <w:r>
        <w:rPr/>
        <w:t> </w:t>
      </w:r>
      <w:r>
        <w:rPr>
          <w:spacing w:val="-2"/>
        </w:rPr>
        <w:t>入当期损益；对于其他类别的金融资产，相关交易费用计入初始确认金额。因销售产品或提供劳务而产生的、未包含或不考</w:t>
      </w:r>
      <w:r>
        <w:rPr>
          <w:spacing w:val="-65"/>
        </w:rPr>
        <w:t> </w:t>
      </w:r>
      <w:r>
        <w:rPr>
          <w:spacing w:val="-65"/>
        </w:rPr>
      </w:r>
      <w:r>
        <w:rPr/>
        <w:t>虑重大融资成分的应收账款或应收票据，本公司按照预期有权收取的对价金额作为初始确认金额。</w:t>
      </w:r>
    </w:p>
    <w:p>
      <w:pPr>
        <w:spacing w:line="240" w:lineRule="auto" w:before="10"/>
        <w:rPr>
          <w:rFonts w:ascii="宋体" w:hAnsi="宋体" w:cs="宋体" w:eastAsia="宋体" w:hint="default"/>
          <w:sz w:val="19"/>
          <w:szCs w:val="19"/>
        </w:rPr>
      </w:pPr>
    </w:p>
    <w:p>
      <w:pPr>
        <w:pStyle w:val="BodyText"/>
        <w:spacing w:line="240" w:lineRule="auto"/>
        <w:ind w:left="513" w:right="1133"/>
        <w:jc w:val="left"/>
      </w:pPr>
      <w:r>
        <w:rPr/>
        <w:t>债务工具：</w:t>
      </w:r>
    </w:p>
    <w:p>
      <w:pPr>
        <w:pStyle w:val="BodyText"/>
        <w:spacing w:line="540" w:lineRule="atLeast" w:before="26"/>
        <w:ind w:left="513" w:right="0"/>
        <w:jc w:val="left"/>
      </w:pPr>
      <w:r>
        <w:rPr>
          <w:rFonts w:ascii="Times New Roman" w:hAnsi="Times New Roman" w:cs="Times New Roman" w:eastAsia="Times New Roman" w:hint="default"/>
        </w:rPr>
        <w:t>1</w:t>
      </w:r>
      <w:r>
        <w:rPr/>
        <w:t>）摊余成本计量的金融资产 </w:t>
      </w:r>
      <w:r>
        <w:rPr>
          <w:spacing w:val="-2"/>
        </w:rPr>
        <w:t>本公司管理此类金融资产的业务模式为以收取合同现金流量为目标，且此类金融资产的合同现金流量特征与基本借贷安</w:t>
      </w:r>
    </w:p>
    <w:p>
      <w:pPr>
        <w:pStyle w:val="BodyText"/>
        <w:spacing w:line="309" w:lineRule="auto" w:before="76"/>
        <w:ind w:right="1130"/>
        <w:jc w:val="both"/>
      </w:pPr>
      <w:r>
        <w:rPr>
          <w:spacing w:val="-2"/>
        </w:rPr>
        <w:t>排相一致，即在特定日期产生的现金流量，仅为对本金和以未偿付本金金额为基础的利息的支付。本公司对于此类金融资产</w:t>
      </w:r>
      <w:r>
        <w:rPr>
          <w:spacing w:val="-63"/>
        </w:rPr>
        <w:t> </w:t>
      </w:r>
      <w:r>
        <w:rPr>
          <w:spacing w:val="-63"/>
        </w:rPr>
      </w:r>
      <w:r>
        <w:rPr>
          <w:spacing w:val="-2"/>
        </w:rPr>
        <w:t>按照实际利率法确认利息收入，按照摊余成本进行后续计量，其摊销或减值产生的利得或损失，计入当期损益。本公司的此</w:t>
      </w:r>
      <w:r>
        <w:rPr>
          <w:spacing w:val="-64"/>
        </w:rPr>
        <w:t> </w:t>
      </w:r>
      <w:r>
        <w:rPr>
          <w:spacing w:val="-64"/>
        </w:rPr>
      </w:r>
      <w:r>
        <w:rPr/>
        <w:t>类金融资产主要包括货币资金、应收票据、应收账款、其他应收款和长期应收款等，本公司将自资产负债表日起一年内</w:t>
      </w:r>
      <w:r>
        <w:rPr>
          <w:rFonts w:ascii="Times New Roman" w:hAnsi="Times New Roman" w:cs="Times New Roman" w:eastAsia="Times New Roman" w:hint="default"/>
        </w:rPr>
        <w:t>(</w:t>
      </w:r>
      <w:r>
        <w:rPr/>
        <w:t>含</w:t>
      </w:r>
      <w:r>
        <w:rPr>
          <w:spacing w:val="-54"/>
        </w:rPr>
        <w:t> </w:t>
      </w:r>
      <w:r>
        <w:rPr>
          <w:spacing w:val="-2"/>
        </w:rPr>
        <w:t>一年</w:t>
      </w:r>
      <w:r>
        <w:rPr>
          <w:rFonts w:ascii="Times New Roman" w:hAnsi="Times New Roman" w:cs="Times New Roman" w:eastAsia="Times New Roman" w:hint="default"/>
          <w:spacing w:val="-2"/>
        </w:rPr>
        <w:t>)</w:t>
      </w:r>
      <w:r>
        <w:rPr>
          <w:spacing w:val="-2"/>
        </w:rPr>
        <w:t>到期的债权投资和长期应收款，列示为一年内到期的非流动资产；取得时期限在一年内</w:t>
      </w:r>
      <w:r>
        <w:rPr>
          <w:rFonts w:ascii="Times New Roman" w:hAnsi="Times New Roman" w:cs="Times New Roman" w:eastAsia="Times New Roman" w:hint="default"/>
          <w:spacing w:val="-2"/>
        </w:rPr>
        <w:t>(</w:t>
      </w:r>
      <w:r>
        <w:rPr>
          <w:spacing w:val="-2"/>
        </w:rPr>
        <w:t>含一年</w:t>
      </w:r>
      <w:r>
        <w:rPr>
          <w:rFonts w:ascii="Times New Roman" w:hAnsi="Times New Roman" w:cs="Times New Roman" w:eastAsia="Times New Roman" w:hint="default"/>
          <w:spacing w:val="-2"/>
        </w:rPr>
        <w:t>)</w:t>
      </w:r>
      <w:r>
        <w:rPr>
          <w:spacing w:val="-2"/>
        </w:rPr>
        <w:t>的债权投资列示为其他</w:t>
      </w:r>
      <w:r>
        <w:rPr>
          <w:spacing w:val="-59"/>
        </w:rPr>
        <w:t> </w:t>
      </w:r>
      <w:r>
        <w:rPr/>
        <w:t>流动资产。</w:t>
      </w:r>
    </w:p>
    <w:p>
      <w:pPr>
        <w:pStyle w:val="BodyText"/>
        <w:spacing w:line="552" w:lineRule="exact" w:before="33"/>
        <w:ind w:left="513" w:right="0"/>
        <w:jc w:val="left"/>
      </w:pPr>
      <w:r>
        <w:rPr>
          <w:rFonts w:ascii="Times New Roman" w:hAnsi="Times New Roman" w:cs="Times New Roman" w:eastAsia="Times New Roman" w:hint="default"/>
        </w:rPr>
        <w:t>2</w:t>
      </w:r>
      <w:r>
        <w:rPr/>
        <w:t>）以公允价值计量且其变动计入其他综合收益的金融资产 </w:t>
      </w:r>
      <w:r>
        <w:rPr>
          <w:spacing w:val="-2"/>
        </w:rPr>
        <w:t>本公司管理此类金融资产的业务模式为既以收取合同现金流量为目标又以出售为目标，且此类金融资产的合同现金流量</w:t>
      </w:r>
    </w:p>
    <w:p>
      <w:pPr>
        <w:pStyle w:val="BodyText"/>
        <w:spacing w:line="316" w:lineRule="auto"/>
        <w:ind w:right="1133"/>
        <w:jc w:val="both"/>
      </w:pPr>
      <w:r>
        <w:rPr>
          <w:spacing w:val="-2"/>
        </w:rPr>
        <w:t>特征与基本借贷安排相一致。此类金融资产按照公允价值计量且其变动计入其他综合收益，但减值损失或利得、汇兑、和按</w:t>
      </w:r>
      <w:r>
        <w:rPr>
          <w:spacing w:val="-66"/>
        </w:rPr>
        <w:t> </w:t>
      </w:r>
      <w:r>
        <w:rPr>
          <w:spacing w:val="-66"/>
        </w:rPr>
      </w:r>
      <w:r>
        <w:rPr/>
        <w:t>照实际利率法计算的利息收入计入当期损益。</w:t>
      </w:r>
    </w:p>
    <w:p>
      <w:pPr>
        <w:spacing w:line="240" w:lineRule="auto" w:before="10"/>
        <w:rPr>
          <w:rFonts w:ascii="宋体" w:hAnsi="宋体" w:cs="宋体" w:eastAsia="宋体" w:hint="default"/>
          <w:sz w:val="19"/>
          <w:szCs w:val="19"/>
        </w:rPr>
      </w:pPr>
    </w:p>
    <w:p>
      <w:pPr>
        <w:pStyle w:val="BodyText"/>
        <w:spacing w:line="300" w:lineRule="auto"/>
        <w:ind w:right="1109" w:firstLine="360"/>
        <w:jc w:val="both"/>
      </w:pPr>
      <w:r>
        <w:rPr/>
        <w:t>此类金融资产主要包括应收款项融资、其他投资等，本公司将自资产负债表日起一年内</w:t>
      </w:r>
      <w:r>
        <w:rPr>
          <w:rFonts w:ascii="Times New Roman" w:hAnsi="Times New Roman" w:cs="Times New Roman" w:eastAsia="Times New Roman" w:hint="default"/>
        </w:rPr>
        <w:t>(</w:t>
      </w:r>
      <w:r>
        <w:rPr/>
        <w:t>含一年</w:t>
      </w:r>
      <w:r>
        <w:rPr>
          <w:rFonts w:ascii="Times New Roman" w:hAnsi="Times New Roman" w:cs="Times New Roman" w:eastAsia="Times New Roman" w:hint="default"/>
        </w:rPr>
        <w:t>)</w:t>
      </w:r>
      <w:r>
        <w:rPr/>
        <w:t>到期的其他债权投资， 列示为一年内到期的非流动资产；取得时期限在一年内</w:t>
      </w:r>
      <w:r>
        <w:rPr>
          <w:rFonts w:ascii="Times New Roman" w:hAnsi="Times New Roman" w:cs="Times New Roman" w:eastAsia="Times New Roman" w:hint="default"/>
        </w:rPr>
        <w:t>(</w:t>
      </w:r>
      <w:r>
        <w:rPr/>
        <w:t>含一年</w:t>
      </w:r>
      <w:r>
        <w:rPr>
          <w:rFonts w:ascii="Times New Roman" w:hAnsi="Times New Roman" w:cs="Times New Roman" w:eastAsia="Times New Roman" w:hint="default"/>
        </w:rPr>
        <w:t>)</w:t>
      </w:r>
      <w:r>
        <w:rPr/>
        <w:t>的其他债权投资列示为其他流动资产。</w:t>
      </w:r>
    </w:p>
    <w:p>
      <w:pPr>
        <w:spacing w:line="240" w:lineRule="auto" w:before="4"/>
        <w:rPr>
          <w:rFonts w:ascii="宋体" w:hAnsi="宋体" w:cs="宋体" w:eastAsia="宋体" w:hint="default"/>
          <w:sz w:val="19"/>
          <w:szCs w:val="19"/>
        </w:rPr>
      </w:pPr>
    </w:p>
    <w:p>
      <w:pPr>
        <w:pStyle w:val="BodyText"/>
        <w:spacing w:line="532" w:lineRule="auto"/>
        <w:ind w:left="513" w:right="0"/>
        <w:jc w:val="left"/>
      </w:pPr>
      <w:r>
        <w:rPr>
          <w:rFonts w:ascii="Times New Roman" w:hAnsi="Times New Roman" w:cs="Times New Roman" w:eastAsia="Times New Roman" w:hint="default"/>
        </w:rPr>
        <w:t>3</w:t>
      </w:r>
      <w:r>
        <w:rPr/>
        <w:t>）以公允价值计量且其变动计入当期损益的金融资产 </w:t>
      </w:r>
      <w:r>
        <w:rPr>
          <w:spacing w:val="-2"/>
        </w:rPr>
        <w:t>本公司将上述以摊余成本计量的金融资产和以公允价值计量且其变动计入其他综合收益的金融资产之外的金融资产，分</w:t>
      </w:r>
    </w:p>
    <w:p>
      <w:pPr>
        <w:spacing w:after="0" w:line="532"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30"/>
        <w:jc w:val="both"/>
      </w:pPr>
      <w:r>
        <w:rPr>
          <w:spacing w:val="-2"/>
        </w:rPr>
        <w:t>类为以公允价值计量且其变动计入当期损益的金融资产，列示为交易性金融资产。此外，在初始确认时，本公司为了消除或</w:t>
      </w:r>
      <w:r>
        <w:rPr>
          <w:spacing w:val="-64"/>
        </w:rPr>
        <w:t> </w:t>
      </w:r>
      <w:r>
        <w:rPr>
          <w:spacing w:val="-64"/>
        </w:rPr>
      </w:r>
      <w:r>
        <w:rPr>
          <w:spacing w:val="-2"/>
        </w:rPr>
        <w:t>显著减少会计错配，将部分金融资产指定为以公允价值计量且其变动计入当期损益的金融资产。对于此类金融资产，本公司</w:t>
      </w:r>
      <w:r>
        <w:rPr>
          <w:spacing w:val="-66"/>
        </w:rPr>
        <w:t> </w:t>
      </w:r>
      <w:r>
        <w:rPr>
          <w:spacing w:val="-66"/>
        </w:rPr>
      </w:r>
      <w:r>
        <w:rPr>
          <w:spacing w:val="-2"/>
        </w:rPr>
        <w:t>采用公允价值进行后续计量，公允价值变动计入当期损益。自资产负债表日起超过一年到期且预期持有超过一年的，列示为</w:t>
      </w:r>
      <w:r>
        <w:rPr>
          <w:spacing w:val="-63"/>
        </w:rPr>
        <w:t> </w:t>
      </w:r>
      <w:r>
        <w:rPr>
          <w:spacing w:val="-63"/>
        </w:rPr>
      </w:r>
      <w:r>
        <w:rPr/>
        <w:t>其他非流动金融资产。</w:t>
      </w:r>
    </w:p>
    <w:p>
      <w:pPr>
        <w:pStyle w:val="BodyText"/>
        <w:spacing w:line="552" w:lineRule="exact" w:before="25"/>
        <w:ind w:left="513" w:right="1119"/>
        <w:jc w:val="left"/>
      </w:pPr>
      <w:r>
        <w:rPr/>
        <w:t>权益工具： </w:t>
      </w:r>
      <w:r>
        <w:rPr>
          <w:spacing w:val="-2"/>
        </w:rPr>
        <w:t>本公司将对其没有控制、共同控制和重大影响的权益工具分类为以公允价值计量且其变动计入当期损益的金融资产，列</w:t>
      </w:r>
    </w:p>
    <w:p>
      <w:pPr>
        <w:pStyle w:val="BodyText"/>
        <w:spacing w:line="316" w:lineRule="auto"/>
        <w:ind w:right="1130"/>
        <w:jc w:val="both"/>
      </w:pPr>
      <w:r>
        <w:rPr>
          <w:spacing w:val="-2"/>
        </w:rPr>
        <w:t>示为交易性金融资产；自资产负债表日起预期持有超过一年的，列示为其他非流动金融资产。此外，本公司将部分非交易性</w:t>
      </w:r>
      <w:r>
        <w:rPr>
          <w:spacing w:val="-64"/>
        </w:rPr>
        <w:t> </w:t>
      </w:r>
      <w:r>
        <w:rPr>
          <w:spacing w:val="-64"/>
        </w:rPr>
      </w:r>
      <w:r>
        <w:rPr>
          <w:spacing w:val="-2"/>
        </w:rPr>
        <w:t>权益工具投资指定为以公允价值计量且其变动计入其他综合收益的金融资产，列示为其他权益工具投资，且该指定一经作出</w:t>
      </w:r>
      <w:r>
        <w:rPr>
          <w:spacing w:val="-64"/>
        </w:rPr>
        <w:t> </w:t>
      </w:r>
      <w:r>
        <w:rPr>
          <w:spacing w:val="-64"/>
        </w:rPr>
      </w:r>
      <w:r>
        <w:rPr>
          <w:spacing w:val="-2"/>
        </w:rPr>
        <w:t>不得撤销。本公司将该类金融资产的相关股利收入计入当期损益，公允价值变动计入其他综合收益。当该金融资产终止确认</w:t>
      </w:r>
      <w:r>
        <w:rPr>
          <w:spacing w:val="-63"/>
        </w:rPr>
        <w:t> </w:t>
      </w:r>
      <w:r>
        <w:rPr>
          <w:spacing w:val="-63"/>
        </w:rPr>
      </w:r>
      <w:r>
        <w:rPr/>
        <w:t>时，之前计入其他综合收益的累计利得或损失将从其他综合收益转入留存收益，不计入当期损益。</w:t>
      </w:r>
    </w:p>
    <w:p>
      <w:pPr>
        <w:pStyle w:val="BodyText"/>
        <w:spacing w:line="552" w:lineRule="exact" w:before="28"/>
        <w:ind w:left="513" w:right="0"/>
        <w:jc w:val="left"/>
      </w:pPr>
      <w:r>
        <w:rPr/>
        <w:t>（</w:t>
      </w:r>
      <w:r>
        <w:rPr>
          <w:rFonts w:ascii="Times New Roman" w:hAnsi="Times New Roman" w:cs="Times New Roman" w:eastAsia="Times New Roman" w:hint="default"/>
        </w:rPr>
        <w:t>2</w:t>
      </w:r>
      <w:r>
        <w:rPr/>
        <w:t>）金融负债的分类、确认和计量 </w:t>
      </w:r>
      <w:r>
        <w:rPr>
          <w:spacing w:val="-2"/>
        </w:rPr>
        <w:t>本公司根据所发行金融工具的合同条款及其所反映的经济实质而非仅以法律形式，结合金融负债和权益工具的定义，在</w:t>
      </w:r>
    </w:p>
    <w:p>
      <w:pPr>
        <w:pStyle w:val="BodyText"/>
        <w:spacing w:line="227" w:lineRule="exact"/>
        <w:ind w:right="0"/>
        <w:jc w:val="both"/>
      </w:pPr>
      <w:r>
        <w:rPr/>
        <w:t>初始确认时将该金融工具或其组成部分分类为金融负债或权益工具。</w:t>
      </w:r>
    </w:p>
    <w:p>
      <w:pPr>
        <w:spacing w:line="240" w:lineRule="auto" w:before="2"/>
        <w:rPr>
          <w:rFonts w:ascii="宋体" w:hAnsi="宋体" w:cs="宋体" w:eastAsia="宋体" w:hint="default"/>
          <w:sz w:val="24"/>
          <w:szCs w:val="24"/>
        </w:rPr>
      </w:pPr>
    </w:p>
    <w:p>
      <w:pPr>
        <w:pStyle w:val="BodyText"/>
        <w:spacing w:line="316" w:lineRule="auto"/>
        <w:ind w:right="1051" w:firstLine="360"/>
        <w:jc w:val="both"/>
      </w:pPr>
      <w:r>
        <w:rPr>
          <w:spacing w:val="-2"/>
        </w:rPr>
        <w:t>金融负债于初始确认时分类为以公允价值计量且其变动计入当期损益的金融负债和其他金融负债。对于以公允价值计量</w:t>
      </w:r>
      <w:r>
        <w:rPr/>
        <w:t> 且其变动计入当期损益的金融负债，相关交易费用直接计入当期损益，其他金融负债的相关交易费用计入其初始确认金额。</w:t>
      </w:r>
    </w:p>
    <w:p>
      <w:pPr>
        <w:spacing w:line="240" w:lineRule="auto" w:before="10"/>
        <w:rPr>
          <w:rFonts w:ascii="宋体" w:hAnsi="宋体" w:cs="宋体" w:eastAsia="宋体" w:hint="default"/>
          <w:sz w:val="19"/>
          <w:szCs w:val="19"/>
        </w:rPr>
      </w:pPr>
    </w:p>
    <w:p>
      <w:pPr>
        <w:pStyle w:val="BodyText"/>
        <w:spacing w:line="309" w:lineRule="auto"/>
        <w:ind w:right="1026" w:firstLine="360"/>
        <w:jc w:val="left"/>
      </w:pPr>
      <w:r>
        <w:rPr>
          <w:spacing w:val="-2"/>
        </w:rPr>
        <w:t>本公司的金融负债主要为以摊余成本计量的金融负债，包括应付票据及应付账款、其他应付款等。该类金融负债按其公</w:t>
      </w:r>
      <w:r>
        <w:rPr/>
        <w:t> 允价值扣除交易费用后的金额进行初始计量，并采用实际利率法进行后续计量。期限在一年以下</w:t>
      </w:r>
      <w:r>
        <w:rPr>
          <w:rFonts w:ascii="Times New Roman" w:hAnsi="Times New Roman" w:cs="Times New Roman" w:eastAsia="Times New Roman" w:hint="default"/>
        </w:rPr>
        <w:t>(</w:t>
      </w:r>
      <w:r>
        <w:rPr/>
        <w:t>含一年</w:t>
      </w:r>
      <w:r>
        <w:rPr>
          <w:rFonts w:ascii="Times New Roman" w:hAnsi="Times New Roman" w:cs="Times New Roman" w:eastAsia="Times New Roman" w:hint="default"/>
        </w:rPr>
        <w:t>)</w:t>
      </w:r>
      <w:r>
        <w:rPr/>
        <w:t>的，列示为流动负 </w:t>
      </w:r>
      <w:r>
        <w:rPr>
          <w:spacing w:val="-2"/>
        </w:rPr>
        <w:t>债；期限在一年以上但自资产负债表日起一年内</w:t>
      </w:r>
      <w:r>
        <w:rPr>
          <w:rFonts w:ascii="Times New Roman" w:hAnsi="Times New Roman" w:cs="Times New Roman" w:eastAsia="Times New Roman" w:hint="default"/>
          <w:spacing w:val="-2"/>
        </w:rPr>
        <w:t>(</w:t>
      </w:r>
      <w:r>
        <w:rPr>
          <w:spacing w:val="-2"/>
        </w:rPr>
        <w:t>含一年</w:t>
      </w:r>
      <w:r>
        <w:rPr>
          <w:rFonts w:ascii="Times New Roman" w:hAnsi="Times New Roman" w:cs="Times New Roman" w:eastAsia="Times New Roman" w:hint="default"/>
          <w:spacing w:val="-2"/>
        </w:rPr>
        <w:t>)</w:t>
      </w:r>
      <w:r>
        <w:rPr>
          <w:spacing w:val="-2"/>
        </w:rPr>
        <w:t>到期的，列示为一年内到期的非流动负债；其余列示为非流动负债。</w:t>
      </w:r>
      <w:r>
        <w:rPr/>
        <w:t> </w:t>
      </w:r>
      <w:r>
        <w:rPr>
          <w:spacing w:val="-2"/>
        </w:rPr>
        <w:t>当金融负债的现时义务全部或部分已经解除时，本公司终止确认该金融负债或义务已解除的部分。终止确认部分的账面价值</w:t>
      </w:r>
      <w:r>
        <w:rPr>
          <w:spacing w:val="-64"/>
        </w:rPr>
        <w:t> </w:t>
      </w:r>
      <w:r>
        <w:rPr>
          <w:spacing w:val="-64"/>
        </w:rPr>
      </w:r>
      <w:r>
        <w:rPr/>
        <w:t>与支付的对价之间的差额，计入当期损益。</w:t>
      </w:r>
    </w:p>
    <w:p>
      <w:pPr>
        <w:pStyle w:val="BodyText"/>
        <w:spacing w:line="552" w:lineRule="exact" w:before="33"/>
        <w:ind w:left="513" w:right="1033"/>
        <w:jc w:val="left"/>
      </w:pPr>
      <w:r>
        <w:rPr/>
        <w:t>（</w:t>
      </w:r>
      <w:r>
        <w:rPr>
          <w:rFonts w:ascii="Times New Roman" w:hAnsi="Times New Roman" w:cs="Times New Roman" w:eastAsia="Times New Roman" w:hint="default"/>
        </w:rPr>
        <w:t>3</w:t>
      </w:r>
      <w:r>
        <w:rPr/>
        <w:t>）金融资产转移的确认依据和计量方法 满足下列条件之一的金融资产，予以终止确认：</w:t>
      </w:r>
      <w:r>
        <w:rPr>
          <w:rFonts w:ascii="Times New Roman" w:hAnsi="Times New Roman" w:cs="Times New Roman" w:eastAsia="Times New Roman" w:hint="default"/>
        </w:rPr>
        <w:t>1</w:t>
      </w:r>
      <w:r>
        <w:rPr/>
        <w:t>）收取该金融资产现金流量的合同权利终止；</w:t>
      </w:r>
      <w:r>
        <w:rPr>
          <w:rFonts w:ascii="Times New Roman" w:hAnsi="Times New Roman" w:cs="Times New Roman" w:eastAsia="Times New Roman" w:hint="default"/>
        </w:rPr>
        <w:t>2</w:t>
      </w:r>
      <w:r>
        <w:rPr/>
        <w:t>）该金融资产已转移，</w:t>
      </w:r>
    </w:p>
    <w:p>
      <w:pPr>
        <w:pStyle w:val="BodyText"/>
        <w:spacing w:line="312" w:lineRule="auto"/>
        <w:ind w:right="1130"/>
        <w:jc w:val="both"/>
      </w:pPr>
      <w:r>
        <w:rPr/>
        <w:t>且将金融资产所有权上几乎所有的风险和报酬转移给转入方；</w:t>
      </w:r>
      <w:r>
        <w:rPr>
          <w:rFonts w:ascii="Times New Roman" w:hAnsi="Times New Roman" w:cs="Times New Roman" w:eastAsia="Times New Roman" w:hint="default"/>
        </w:rPr>
        <w:t>3</w:t>
      </w:r>
      <w:r>
        <w:rPr/>
        <w:t>）该金融资产已转移，虽然企业既没有转移也没有保留金融</w:t>
      </w:r>
      <w:r>
        <w:rPr>
          <w:spacing w:val="-83"/>
        </w:rPr>
        <w:t> </w:t>
      </w:r>
      <w:r>
        <w:rPr>
          <w:spacing w:val="-83"/>
        </w:rPr>
      </w:r>
      <w:r>
        <w:rPr>
          <w:spacing w:val="-2"/>
        </w:rPr>
        <w:t>资产所有权上几乎所有的风险和报酬，但是放弃了对该金融资产的控制。若企业既没有转移也没有保留金融资产所有权上几</w:t>
      </w:r>
      <w:r>
        <w:rPr>
          <w:spacing w:val="-64"/>
        </w:rPr>
        <w:t> </w:t>
      </w:r>
      <w:r>
        <w:rPr>
          <w:spacing w:val="-64"/>
        </w:rPr>
      </w:r>
      <w:r>
        <w:rPr>
          <w:spacing w:val="-2"/>
        </w:rPr>
        <w:t>乎所有的风险和报酬，且未放弃对该金融资产的控制的，则按照继续涉入所转移金融资产的程度确认有关金融资产，并相应</w:t>
      </w:r>
      <w:r>
        <w:rPr>
          <w:spacing w:val="-63"/>
        </w:rPr>
        <w:t> </w:t>
      </w:r>
      <w:r>
        <w:rPr>
          <w:spacing w:val="-63"/>
        </w:rPr>
      </w:r>
      <w:r>
        <w:rPr/>
        <w:t>确认有关负债。继续涉入所转移金融资产的程度，是指该金融资产价值变动使企业面临的风险水平。</w:t>
      </w:r>
    </w:p>
    <w:p>
      <w:pPr>
        <w:spacing w:line="240" w:lineRule="auto" w:before="1"/>
        <w:rPr>
          <w:rFonts w:ascii="宋体" w:hAnsi="宋体" w:cs="宋体" w:eastAsia="宋体" w:hint="default"/>
          <w:sz w:val="20"/>
          <w:szCs w:val="20"/>
        </w:rPr>
      </w:pPr>
    </w:p>
    <w:p>
      <w:pPr>
        <w:pStyle w:val="BodyText"/>
        <w:spacing w:line="319" w:lineRule="auto"/>
        <w:ind w:right="1131" w:firstLine="360"/>
        <w:jc w:val="both"/>
      </w:pPr>
      <w:r>
        <w:rPr>
          <w:spacing w:val="-2"/>
        </w:rPr>
        <w:t>其他权益工具投资终止确认时，本公司将其账面价值与收到的对价以及原直接计入其他综合收益的公允价值变动累计额</w:t>
      </w:r>
      <w:r>
        <w:rPr/>
        <w:t> </w:t>
      </w:r>
      <w:r>
        <w:rPr>
          <w:spacing w:val="-2"/>
        </w:rPr>
        <w:t>之和的差额，计入留存收益；其余金融资产终止确认时，其账面价值与收到的对价以及原直接计入其他综合收益的公允价值</w:t>
      </w:r>
      <w:r>
        <w:rPr>
          <w:spacing w:val="-65"/>
        </w:rPr>
        <w:t> </w:t>
      </w:r>
      <w:r>
        <w:rPr>
          <w:spacing w:val="-65"/>
        </w:rPr>
      </w:r>
      <w:r>
        <w:rPr/>
        <w:t>变动累计额之和的差额，计入当期损益。</w:t>
      </w:r>
    </w:p>
    <w:p>
      <w:pPr>
        <w:spacing w:line="240" w:lineRule="auto" w:before="8"/>
        <w:rPr>
          <w:rFonts w:ascii="宋体" w:hAnsi="宋体" w:cs="宋体" w:eastAsia="宋体" w:hint="default"/>
          <w:sz w:val="19"/>
          <w:szCs w:val="19"/>
        </w:rPr>
      </w:pPr>
    </w:p>
    <w:p>
      <w:pPr>
        <w:pStyle w:val="BodyText"/>
        <w:spacing w:line="316" w:lineRule="auto"/>
        <w:ind w:right="1132" w:firstLine="360"/>
        <w:jc w:val="both"/>
      </w:pPr>
      <w:r>
        <w:rPr>
          <w:spacing w:val="-2"/>
        </w:rPr>
        <w:t>本公司对采用附追索权方式出售的金融资产，或将持有的金融资产背书转让，需确定该金融资产所有权上几乎所有的风</w:t>
      </w:r>
      <w:r>
        <w:rPr/>
        <w:t> </w:t>
      </w:r>
      <w:r>
        <w:rPr>
          <w:spacing w:val="-2"/>
        </w:rPr>
        <w:t>险和报酬是否已经转移。已将该金融资产所有权上几乎所有的风险和报酬转移给转入方的，终止确认该金融资产；保留了金</w:t>
      </w:r>
      <w:r>
        <w:rPr>
          <w:spacing w:val="-66"/>
        </w:rPr>
        <w:t> </w:t>
      </w:r>
      <w:r>
        <w:rPr>
          <w:spacing w:val="-66"/>
        </w:rPr>
      </w:r>
      <w:r>
        <w:rPr>
          <w:spacing w:val="-2"/>
        </w:rPr>
        <w:t>融资产所有权上几乎所有的风险和报酬的，不终止确认该金融资产；既没有转移也没有保留金融资产所有权上几乎所有的风</w:t>
      </w:r>
      <w:r>
        <w:rPr>
          <w:spacing w:val="-64"/>
        </w:rPr>
        <w:t> </w:t>
      </w:r>
      <w:r>
        <w:rPr>
          <w:spacing w:val="-64"/>
        </w:rPr>
      </w:r>
      <w:r>
        <w:rPr/>
        <w:t>险和报酬的，则继续判断企业是否对该资产保留了控制，并根据前面各段所述的原则进行会计处理。</w:t>
      </w:r>
    </w:p>
    <w:p>
      <w:pPr>
        <w:spacing w:line="240" w:lineRule="auto" w:before="10"/>
        <w:rPr>
          <w:rFonts w:ascii="宋体" w:hAnsi="宋体" w:cs="宋体" w:eastAsia="宋体" w:hint="default"/>
          <w:sz w:val="19"/>
          <w:szCs w:val="19"/>
        </w:rPr>
      </w:pPr>
    </w:p>
    <w:p>
      <w:pPr>
        <w:pStyle w:val="BodyText"/>
        <w:spacing w:line="532" w:lineRule="auto"/>
        <w:ind w:left="513" w:right="0"/>
        <w:jc w:val="left"/>
      </w:pPr>
      <w:r>
        <w:rPr/>
        <w:t>（</w:t>
      </w:r>
      <w:r>
        <w:rPr>
          <w:rFonts w:ascii="Times New Roman" w:hAnsi="Times New Roman" w:cs="Times New Roman" w:eastAsia="Times New Roman" w:hint="default"/>
        </w:rPr>
        <w:t>4</w:t>
      </w:r>
      <w:r>
        <w:rPr/>
        <w:t>）金融负债的终止确认 </w:t>
      </w:r>
      <w:r>
        <w:rPr>
          <w:spacing w:val="-4"/>
        </w:rPr>
        <w:t>金融负债（或其一部分）的现时义务已经解除的，本公司终止确认该金融负债（或该部分金融负债）。本公司（借入方）</w:t>
      </w:r>
    </w:p>
    <w:p>
      <w:pPr>
        <w:spacing w:after="0" w:line="532"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30"/>
        <w:jc w:val="both"/>
      </w:pPr>
      <w:r>
        <w:rPr>
          <w:spacing w:val="-2"/>
        </w:rPr>
        <w:t>与借出方签订协议，以承担新金融负债的方式替换原金融负债，且新金融负债与原金融负债的合同条款实质上不同的，终止</w:t>
      </w:r>
      <w:r>
        <w:rPr>
          <w:spacing w:val="-63"/>
        </w:rPr>
        <w:t> </w:t>
      </w:r>
      <w:r>
        <w:rPr>
          <w:spacing w:val="-63"/>
        </w:rPr>
      </w:r>
      <w:r>
        <w:rPr>
          <w:spacing w:val="-2"/>
        </w:rPr>
        <w:t>确认原金融负债，同时确认一项新金融负债。本公司对原金融负债（或其一部分）的合同条款作出实质性修改的，终止确认</w:t>
      </w:r>
      <w:r>
        <w:rPr>
          <w:spacing w:val="-67"/>
        </w:rPr>
        <w:t> </w:t>
      </w:r>
      <w:r>
        <w:rPr>
          <w:spacing w:val="-67"/>
        </w:rPr>
      </w:r>
      <w:r>
        <w:rPr/>
        <w:t>原金融负债，同时按照修改后的条款确认一项新金融负债。</w:t>
      </w:r>
    </w:p>
    <w:p>
      <w:pPr>
        <w:spacing w:line="240" w:lineRule="auto" w:before="8"/>
        <w:rPr>
          <w:rFonts w:ascii="宋体" w:hAnsi="宋体" w:cs="宋体" w:eastAsia="宋体" w:hint="default"/>
          <w:sz w:val="19"/>
          <w:szCs w:val="19"/>
        </w:rPr>
      </w:pPr>
    </w:p>
    <w:p>
      <w:pPr>
        <w:pStyle w:val="BodyText"/>
        <w:spacing w:line="316" w:lineRule="auto"/>
        <w:ind w:right="1134" w:firstLine="360"/>
        <w:jc w:val="both"/>
      </w:pPr>
      <w:r>
        <w:rPr>
          <w:spacing w:val="-2"/>
        </w:rPr>
        <w:t>金融负债（或其一部分）终止确认的，本公司将其账面价值与支付的对价（包括转出的非现金资产或承担的负债）之间</w:t>
      </w:r>
      <w:r>
        <w:rPr/>
        <w:t> 的差额，计入当期损益。</w:t>
      </w:r>
    </w:p>
    <w:p>
      <w:pPr>
        <w:pStyle w:val="BodyText"/>
        <w:spacing w:line="552" w:lineRule="exact" w:before="27"/>
        <w:ind w:left="513" w:right="0"/>
        <w:jc w:val="left"/>
      </w:pPr>
      <w:r>
        <w:rPr/>
        <w:t>（</w:t>
      </w:r>
      <w:r>
        <w:rPr>
          <w:rFonts w:ascii="Times New Roman" w:hAnsi="Times New Roman" w:cs="Times New Roman" w:eastAsia="Times New Roman" w:hint="default"/>
        </w:rPr>
        <w:t>5</w:t>
      </w:r>
      <w:r>
        <w:rPr/>
        <w:t>）金融资产和金融负债的抵销 </w:t>
      </w:r>
      <w:r>
        <w:rPr>
          <w:spacing w:val="-2"/>
        </w:rPr>
        <w:t>当本公司具有抵销已确认金额的金融资产和金融负债的法定权利，且该种法定权利是当前可执行的，同时本公司计划以</w:t>
      </w:r>
    </w:p>
    <w:p>
      <w:pPr>
        <w:pStyle w:val="BodyText"/>
        <w:spacing w:line="316" w:lineRule="auto"/>
        <w:ind w:right="0"/>
        <w:jc w:val="left"/>
      </w:pPr>
      <w:r>
        <w:rPr>
          <w:spacing w:val="-2"/>
        </w:rPr>
        <w:t>净额结算或同时变现该金融资产和清偿该金融负债时，金融资产和金融负债以相互抵销后的净额在资产负债表内列示。除此</w:t>
      </w:r>
      <w:r>
        <w:rPr>
          <w:spacing w:val="-64"/>
        </w:rPr>
        <w:t> </w:t>
      </w:r>
      <w:r>
        <w:rPr>
          <w:spacing w:val="-64"/>
        </w:rPr>
      </w:r>
      <w:r>
        <w:rPr/>
        <w:t>以外，金融资产和金融负债在资产负债表内分别列示，不予相互抵销。</w:t>
      </w:r>
    </w:p>
    <w:p>
      <w:pPr>
        <w:pStyle w:val="BodyText"/>
        <w:spacing w:line="552" w:lineRule="exact" w:before="28"/>
        <w:ind w:left="513" w:right="1033"/>
        <w:jc w:val="left"/>
      </w:pPr>
      <w:r>
        <w:rPr/>
        <w:t>（</w:t>
      </w:r>
      <w:r>
        <w:rPr>
          <w:rFonts w:ascii="Times New Roman" w:hAnsi="Times New Roman" w:cs="Times New Roman" w:eastAsia="Times New Roman" w:hint="default"/>
        </w:rPr>
        <w:t>6</w:t>
      </w:r>
      <w:r>
        <w:rPr/>
        <w:t>）金融资产和金融负债的公允价值确定方法 公允价值，是指市场参与者在计量日发生的有序交易中，出售一项资产所能收到或者转移一项负债所需支付的价格。 金融工具存在活跃市场的，本公司采用活跃市场中的报价确定其公允价值。活跃市场中的报价是指易于定期从交易所、</w:t>
      </w:r>
    </w:p>
    <w:p>
      <w:pPr>
        <w:pStyle w:val="BodyText"/>
        <w:spacing w:line="316" w:lineRule="auto"/>
        <w:ind w:right="0"/>
        <w:jc w:val="left"/>
      </w:pPr>
      <w:r>
        <w:rPr>
          <w:spacing w:val="-2"/>
        </w:rPr>
        <w:t>经纪商、行业协会、定价服务机构等获得的价格，且代表了在公平交易中实际发生的市场交易的价格。金融工具不存在活跃</w:t>
      </w:r>
      <w:r>
        <w:rPr>
          <w:spacing w:val="-64"/>
        </w:rPr>
        <w:t> </w:t>
      </w:r>
      <w:r>
        <w:rPr>
          <w:spacing w:val="-64"/>
        </w:rPr>
      </w:r>
      <w:r>
        <w:rPr>
          <w:spacing w:val="-2"/>
        </w:rPr>
        <w:t>市场的，本公司采用估值技术确定其公允价值。估值技术包括参考熟悉情况并自愿交易的各方最近进行的市场交易中使用的</w:t>
      </w:r>
      <w:r>
        <w:rPr>
          <w:spacing w:val="-64"/>
        </w:rPr>
        <w:t> </w:t>
      </w:r>
      <w:r>
        <w:rPr>
          <w:spacing w:val="-64"/>
        </w:rPr>
      </w:r>
      <w:r>
        <w:rPr>
          <w:spacing w:val="-2"/>
        </w:rPr>
        <w:t>价格、参照实质上相同的其他金融工具当前的公允价值、现金流量折现法和期权定价模型等。在估值时，公司采用在当前情</w:t>
      </w:r>
      <w:r>
        <w:rPr>
          <w:spacing w:val="-64"/>
        </w:rPr>
        <w:t> </w:t>
      </w:r>
      <w:r>
        <w:rPr>
          <w:spacing w:val="-64"/>
        </w:rPr>
      </w:r>
      <w:r>
        <w:rPr>
          <w:spacing w:val="-2"/>
        </w:rPr>
        <w:t>况下适用并且有足够可利用数据和其他信息支持的估值技术，选择与市场参与者在相关资产或负债的交易中所考虑的资产或</w:t>
      </w:r>
      <w:r>
        <w:rPr>
          <w:spacing w:val="-63"/>
        </w:rPr>
        <w:t> </w:t>
      </w:r>
      <w:r>
        <w:rPr>
          <w:spacing w:val="-63"/>
        </w:rPr>
      </w:r>
      <w:r>
        <w:rPr>
          <w:spacing w:val="-4"/>
        </w:rPr>
        <w:t>负债特征相一致的输入值，并尽可能优先使用相关可观察输入值。在相关可观察输入值无法取得或取得不切实可行的情况下，</w:t>
      </w:r>
      <w:r>
        <w:rPr>
          <w:spacing w:val="-44"/>
        </w:rPr>
        <w:t> </w:t>
      </w:r>
      <w:r>
        <w:rPr>
          <w:spacing w:val="-44"/>
        </w:rPr>
      </w:r>
      <w:r>
        <w:rPr/>
        <w:t>使用不可输入值。</w:t>
      </w:r>
    </w:p>
    <w:p>
      <w:pPr>
        <w:pStyle w:val="BodyText"/>
        <w:spacing w:line="552" w:lineRule="exact" w:before="28"/>
        <w:ind w:left="513" w:right="0"/>
        <w:jc w:val="left"/>
      </w:pPr>
      <w:r>
        <w:rPr/>
        <w:t>（</w:t>
      </w:r>
      <w:r>
        <w:rPr>
          <w:rFonts w:ascii="Times New Roman" w:hAnsi="Times New Roman" w:cs="Times New Roman" w:eastAsia="Times New Roman" w:hint="default"/>
        </w:rPr>
        <w:t>7</w:t>
      </w:r>
      <w:r>
        <w:rPr/>
        <w:t>）金融资产减值 </w:t>
      </w:r>
      <w:r>
        <w:rPr>
          <w:spacing w:val="-2"/>
        </w:rPr>
        <w:t>本公司对于以摊余成本计量的金融资产、以公允价值计量且其变动计入其他综合收益的债务工具投资等，以预期信用损</w:t>
      </w:r>
    </w:p>
    <w:p>
      <w:pPr>
        <w:pStyle w:val="BodyText"/>
        <w:spacing w:line="316" w:lineRule="auto"/>
        <w:ind w:right="0"/>
        <w:jc w:val="left"/>
      </w:pPr>
      <w:r>
        <w:rPr>
          <w:spacing w:val="-2"/>
        </w:rPr>
        <w:t>失为基础确认损失准备。预期信用损失的计量本公司考虑有关过去事项、当前状况以及对未来经济状况的预测等合理且有依</w:t>
      </w:r>
      <w:r>
        <w:rPr>
          <w:spacing w:val="-64"/>
        </w:rPr>
        <w:t> </w:t>
      </w:r>
      <w:r>
        <w:rPr>
          <w:spacing w:val="-64"/>
        </w:rPr>
      </w:r>
      <w:r>
        <w:rPr/>
        <w:t>据的信息，确认预期信用损失。</w:t>
      </w:r>
    </w:p>
    <w:p>
      <w:pPr>
        <w:spacing w:line="240" w:lineRule="auto" w:before="10"/>
        <w:rPr>
          <w:rFonts w:ascii="宋体" w:hAnsi="宋体" w:cs="宋体" w:eastAsia="宋体" w:hint="default"/>
          <w:sz w:val="19"/>
          <w:szCs w:val="19"/>
        </w:rPr>
      </w:pPr>
    </w:p>
    <w:p>
      <w:pPr>
        <w:pStyle w:val="BodyText"/>
        <w:spacing w:line="312" w:lineRule="auto"/>
        <w:ind w:right="1129" w:firstLine="360"/>
        <w:jc w:val="both"/>
      </w:pPr>
      <w:r>
        <w:rPr>
          <w:spacing w:val="-2"/>
        </w:rPr>
        <w:t>在每个资产负债表日，本公司对于处于不同阶段的金融工具的预期信用损失分别进行计量。金融工具自初始确认后信用</w:t>
      </w:r>
      <w:r>
        <w:rPr/>
        <w:t> </w:t>
      </w:r>
      <w:r>
        <w:rPr>
          <w:spacing w:val="-2"/>
        </w:rPr>
        <w:t>风险未显著增加的，处于第一阶段，本公司按照未来</w:t>
      </w:r>
      <w:r>
        <w:rPr>
          <w:rFonts w:ascii="Times New Roman" w:hAnsi="Times New Roman" w:cs="Times New Roman" w:eastAsia="Times New Roman" w:hint="default"/>
          <w:spacing w:val="-2"/>
        </w:rPr>
        <w:t>12</w:t>
      </w:r>
      <w:r>
        <w:rPr>
          <w:spacing w:val="-2"/>
        </w:rPr>
        <w:t>个月内的预期信用损失计量损失准备；金融工具自初始确认后信用风</w:t>
      </w:r>
      <w:r>
        <w:rPr>
          <w:spacing w:val="-61"/>
        </w:rPr>
        <w:t> </w:t>
      </w:r>
      <w:r>
        <w:rPr>
          <w:spacing w:val="-61"/>
        </w:rPr>
      </w:r>
      <w:r>
        <w:rPr>
          <w:spacing w:val="-2"/>
        </w:rPr>
        <w:t>险已显著增加但尚未发生信用减值的，处于第二阶段，本公司按照该工具整个存续期的预期信用损失计量损失准备；金融工</w:t>
      </w:r>
      <w:r>
        <w:rPr>
          <w:spacing w:val="-66"/>
        </w:rPr>
        <w:t> </w:t>
      </w:r>
      <w:r>
        <w:rPr>
          <w:spacing w:val="-66"/>
        </w:rPr>
      </w:r>
      <w:r>
        <w:rPr/>
        <w:t>具自初始确认后已经发生信用减值的，处于第三阶段，本公司按照该工具整个存续期的预期信用损失计量损失准备。</w:t>
      </w:r>
    </w:p>
    <w:p>
      <w:pPr>
        <w:spacing w:line="240" w:lineRule="auto" w:before="1"/>
        <w:rPr>
          <w:rFonts w:ascii="宋体" w:hAnsi="宋体" w:cs="宋体" w:eastAsia="宋体" w:hint="default"/>
          <w:sz w:val="20"/>
          <w:szCs w:val="20"/>
        </w:rPr>
      </w:pPr>
    </w:p>
    <w:p>
      <w:pPr>
        <w:pStyle w:val="BodyText"/>
        <w:spacing w:line="300" w:lineRule="auto"/>
        <w:ind w:right="1128" w:firstLine="360"/>
        <w:jc w:val="both"/>
      </w:pPr>
      <w:r>
        <w:rPr/>
        <w:t>对于在资产负债表日具有较低信用风险的金融工具，本公司假设其信用风险自初始确认后并未显著增加，按照未来</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个月内的预期信用损失计量损失准备。</w:t>
      </w:r>
    </w:p>
    <w:p>
      <w:pPr>
        <w:spacing w:line="240" w:lineRule="auto" w:before="10"/>
        <w:rPr>
          <w:rFonts w:ascii="宋体" w:hAnsi="宋体" w:cs="宋体" w:eastAsia="宋体" w:hint="default"/>
          <w:sz w:val="20"/>
          <w:szCs w:val="20"/>
        </w:rPr>
      </w:pPr>
    </w:p>
    <w:p>
      <w:pPr>
        <w:pStyle w:val="BodyText"/>
        <w:spacing w:line="316" w:lineRule="auto"/>
        <w:ind w:right="1130" w:firstLine="360"/>
        <w:jc w:val="both"/>
      </w:pPr>
      <w:r>
        <w:rPr>
          <w:spacing w:val="-2"/>
        </w:rPr>
        <w:t>本公司对于处于第一阶段和第二阶段、以及较低信用风险的金融工具，按照其未扣除减值准备的账面余额和实际利率计</w:t>
      </w:r>
      <w:r>
        <w:rPr/>
        <w:t> </w:t>
      </w:r>
      <w:r>
        <w:rPr>
          <w:spacing w:val="-2"/>
        </w:rPr>
        <w:t>算利息收入。对于处于第三阶段的金融工具，按照其账面余额减已计提减值准备后的摊余成本和实际利率计算利息收入。对</w:t>
      </w:r>
      <w:r>
        <w:rPr>
          <w:spacing w:val="-63"/>
        </w:rPr>
        <w:t> </w:t>
      </w:r>
      <w:r>
        <w:rPr>
          <w:spacing w:val="-63"/>
        </w:rPr>
      </w:r>
      <w:r>
        <w:rPr>
          <w:spacing w:val="-2"/>
        </w:rPr>
        <w:t>于因销售商品、提供劳务等日常经营活动形成的应收票据和应收账款，无论是否存在重大融资成分，本公司均按照整个存续</w:t>
      </w:r>
      <w:r>
        <w:rPr>
          <w:spacing w:val="-63"/>
        </w:rPr>
        <w:t> </w:t>
      </w:r>
      <w:r>
        <w:rPr>
          <w:spacing w:val="-63"/>
        </w:rPr>
      </w:r>
      <w:r>
        <w:rPr/>
        <w:t>期的预期信用损失计量损失准备。</w:t>
      </w:r>
    </w:p>
    <w:p>
      <w:pPr>
        <w:spacing w:line="240" w:lineRule="auto" w:before="10"/>
        <w:rPr>
          <w:rFonts w:ascii="宋体" w:hAnsi="宋体" w:cs="宋体" w:eastAsia="宋体" w:hint="default"/>
          <w:sz w:val="19"/>
          <w:szCs w:val="19"/>
        </w:rPr>
      </w:pPr>
    </w:p>
    <w:p>
      <w:pPr>
        <w:pStyle w:val="BodyText"/>
        <w:spacing w:line="532" w:lineRule="auto"/>
        <w:ind w:left="513" w:right="0"/>
        <w:jc w:val="left"/>
      </w:pPr>
      <w:r>
        <w:rPr>
          <w:rFonts w:ascii="Times New Roman" w:hAnsi="Times New Roman" w:cs="Times New Roman" w:eastAsia="Times New Roman" w:hint="default"/>
        </w:rPr>
        <w:t>A</w:t>
      </w:r>
      <w:r>
        <w:rPr/>
        <w:t>、应收款项： </w:t>
      </w:r>
      <w:r>
        <w:rPr>
          <w:spacing w:val="-2"/>
        </w:rPr>
        <w:t>对于存在客观证据表明存在减值，以及其他适用于单项评估的应收票据、应收账款，其他应收款、应收款项融资及长期</w:t>
      </w:r>
    </w:p>
    <w:p>
      <w:pPr>
        <w:spacing w:after="0" w:line="532"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32"/>
        <w:jc w:val="both"/>
      </w:pPr>
      <w:r>
        <w:rPr>
          <w:spacing w:val="-2"/>
        </w:rPr>
        <w:t>应收款等单独进行减值测试，确认预期信用损失，计提单项减值准备。对于不存在减值客观证据的应收票据、应收账款、其</w:t>
      </w:r>
      <w:r>
        <w:rPr>
          <w:spacing w:val="-67"/>
        </w:rPr>
        <w:t> </w:t>
      </w:r>
      <w:r>
        <w:rPr>
          <w:spacing w:val="-67"/>
        </w:rPr>
      </w:r>
      <w:r>
        <w:rPr>
          <w:spacing w:val="-2"/>
        </w:rPr>
        <w:t>他应收款及应收款项融资或当单项金融资产无法以合理成本评估预期信用损失的信息时，本公司依据信用风险特征将应收票</w:t>
      </w:r>
      <w:r>
        <w:rPr>
          <w:spacing w:val="-64"/>
        </w:rPr>
        <w:t> </w:t>
      </w:r>
      <w:r>
        <w:rPr>
          <w:spacing w:val="-64"/>
        </w:rPr>
      </w:r>
      <w:r>
        <w:rPr>
          <w:spacing w:val="-2"/>
        </w:rPr>
        <w:t>据、应收账款、其他应收款、应收款项融资及长期应收款等划分为若干组合，在组合基础上计算预期信用损失，确定组合依</w:t>
      </w:r>
      <w:r>
        <w:rPr>
          <w:spacing w:val="-65"/>
        </w:rPr>
        <w:t> </w:t>
      </w:r>
      <w:r>
        <w:rPr>
          <w:spacing w:val="-65"/>
        </w:rPr>
      </w:r>
      <w:r>
        <w:rPr/>
        <w:t>据及计量预期信用损失的方法如下</w:t>
      </w:r>
    </w:p>
    <w:p>
      <w:pPr>
        <w:spacing w:line="240" w:lineRule="auto" w:before="8"/>
        <w:rPr>
          <w:rFonts w:ascii="宋体" w:hAnsi="宋体" w:cs="宋体" w:eastAsia="宋体" w:hint="default"/>
          <w:sz w:val="19"/>
          <w:szCs w:val="19"/>
        </w:rPr>
      </w:pPr>
    </w:p>
    <w:p>
      <w:pPr>
        <w:pStyle w:val="BodyText"/>
        <w:spacing w:line="240" w:lineRule="auto"/>
        <w:ind w:left="513" w:right="1133"/>
        <w:jc w:val="left"/>
      </w:pPr>
      <w:r>
        <w:rPr>
          <w:rFonts w:ascii="Times New Roman" w:hAnsi="Times New Roman" w:cs="Times New Roman" w:eastAsia="Times New Roman" w:hint="default"/>
        </w:rPr>
        <w:t>a</w:t>
      </w:r>
      <w:r>
        <w:rPr/>
        <w:t>、应收票据依据信用风险特征确定组合的依据及计量预期信用损失的方法如下</w:t>
      </w:r>
    </w:p>
    <w:p>
      <w:pPr>
        <w:spacing w:line="240" w:lineRule="auto" w:before="5"/>
        <w:rPr>
          <w:rFonts w:ascii="宋体" w:hAnsi="宋体" w:cs="宋体" w:eastAsia="宋体" w:hint="default"/>
          <w:sz w:val="13"/>
          <w:szCs w:val="13"/>
        </w:rPr>
      </w:pPr>
    </w:p>
    <w:tbl>
      <w:tblPr>
        <w:tblW w:w="0" w:type="auto"/>
        <w:jc w:val="left"/>
        <w:tblInd w:w="145" w:type="dxa"/>
        <w:tblLayout w:type="fixed"/>
        <w:tblCellMar>
          <w:top w:w="0" w:type="dxa"/>
          <w:left w:w="0" w:type="dxa"/>
          <w:bottom w:w="0" w:type="dxa"/>
          <w:right w:w="0" w:type="dxa"/>
        </w:tblCellMar>
        <w:tblLook w:val="01E0"/>
      </w:tblPr>
      <w:tblGrid>
        <w:gridCol w:w="2912"/>
        <w:gridCol w:w="6728"/>
      </w:tblGrid>
      <w:tr>
        <w:trPr>
          <w:trHeight w:val="342" w:hRule="exact"/>
        </w:trPr>
        <w:tc>
          <w:tcPr>
            <w:tcW w:w="291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b/>
                <w:bCs/>
                <w:sz w:val="18"/>
                <w:szCs w:val="18"/>
              </w:rPr>
              <w:t>组合</w:t>
            </w:r>
            <w:r>
              <w:rPr>
                <w:rFonts w:ascii="宋体" w:hAnsi="宋体" w:cs="宋体" w:eastAsia="宋体" w:hint="default"/>
                <w:sz w:val="18"/>
                <w:szCs w:val="18"/>
              </w:rPr>
            </w:r>
          </w:p>
        </w:tc>
        <w:tc>
          <w:tcPr>
            <w:tcW w:w="672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b/>
                <w:bCs/>
                <w:sz w:val="18"/>
                <w:szCs w:val="18"/>
              </w:rPr>
              <w:t>计量预期信用损失的方法</w:t>
            </w:r>
            <w:r>
              <w:rPr>
                <w:rFonts w:ascii="宋体" w:hAnsi="宋体" w:cs="宋体" w:eastAsia="宋体" w:hint="default"/>
                <w:sz w:val="18"/>
                <w:szCs w:val="18"/>
              </w:rPr>
            </w:r>
          </w:p>
        </w:tc>
      </w:tr>
      <w:tr>
        <w:trPr>
          <w:trHeight w:val="352" w:hRule="exact"/>
        </w:trPr>
        <w:tc>
          <w:tcPr>
            <w:tcW w:w="2912"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6728" w:type="dxa"/>
            <w:vMerge w:val="restart"/>
            <w:tcBorders>
              <w:top w:val="single" w:sz="11" w:space="0" w:color="000000"/>
              <w:left w:val="single" w:sz="6" w:space="0" w:color="000000"/>
              <w:right w:val="single" w:sz="6" w:space="0" w:color="000000"/>
            </w:tcBorders>
          </w:tcPr>
          <w:p>
            <w:pPr>
              <w:pStyle w:val="TableParagraph"/>
              <w:spacing w:line="316" w:lineRule="auto" w:before="17"/>
              <w:ind w:left="2" w:right="49"/>
              <w:jc w:val="left"/>
              <w:rPr>
                <w:rFonts w:ascii="宋体" w:hAnsi="宋体" w:cs="宋体" w:eastAsia="宋体" w:hint="default"/>
                <w:sz w:val="18"/>
                <w:szCs w:val="18"/>
              </w:rPr>
            </w:pPr>
            <w:r>
              <w:rPr>
                <w:rFonts w:ascii="宋体" w:hAnsi="宋体" w:cs="宋体" w:eastAsia="宋体" w:hint="default"/>
                <w:sz w:val="18"/>
                <w:szCs w:val="18"/>
              </w:rPr>
              <w:t>参考历史信用损失经验，结合当前状况以及对未来经济状况的预测，通过违约风险敞 口和整个存续期预期信用损失率，计量预期信用损失</w:t>
            </w:r>
          </w:p>
        </w:tc>
      </w:tr>
      <w:tr>
        <w:trPr>
          <w:trHeight w:val="350" w:hRule="exact"/>
        </w:trPr>
        <w:tc>
          <w:tcPr>
            <w:tcW w:w="2912"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6728" w:type="dxa"/>
            <w:vMerge/>
            <w:tcBorders>
              <w:left w:val="single" w:sz="6" w:space="0" w:color="000000"/>
              <w:bottom w:val="single" w:sz="8" w:space="0" w:color="000000"/>
              <w:right w:val="single" w:sz="6" w:space="0" w:color="000000"/>
            </w:tcBorders>
          </w:tcPr>
          <w:p>
            <w:pPr/>
          </w:p>
        </w:tc>
      </w:tr>
    </w:tbl>
    <w:p>
      <w:pPr>
        <w:spacing w:line="240" w:lineRule="auto" w:before="3"/>
        <w:rPr>
          <w:rFonts w:ascii="宋体" w:hAnsi="宋体" w:cs="宋体" w:eastAsia="宋体" w:hint="default"/>
          <w:sz w:val="26"/>
          <w:szCs w:val="26"/>
        </w:rPr>
      </w:pPr>
    </w:p>
    <w:p>
      <w:pPr>
        <w:pStyle w:val="BodyText"/>
        <w:spacing w:line="240" w:lineRule="auto" w:before="44"/>
        <w:ind w:left="513" w:right="1133"/>
        <w:jc w:val="left"/>
      </w:pPr>
      <w:r>
        <w:rPr>
          <w:rFonts w:ascii="Times New Roman" w:hAnsi="Times New Roman" w:cs="Times New Roman" w:eastAsia="Times New Roman" w:hint="default"/>
        </w:rPr>
        <w:t>b</w:t>
      </w:r>
      <w:r>
        <w:rPr/>
        <w:t>、应收账款依据信用风险特征确定组合的依据及计量预期信用损失的方法如下</w:t>
      </w:r>
    </w:p>
    <w:p>
      <w:pPr>
        <w:spacing w:line="240" w:lineRule="auto" w:before="11"/>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2965"/>
        <w:gridCol w:w="6675"/>
      </w:tblGrid>
      <w:tr>
        <w:trPr>
          <w:trHeight w:val="454" w:hRule="exact"/>
        </w:trPr>
        <w:tc>
          <w:tcPr>
            <w:tcW w:w="296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6"/>
              <w:ind w:left="7" w:right="0"/>
              <w:jc w:val="center"/>
              <w:rPr>
                <w:rFonts w:ascii="宋体" w:hAnsi="宋体" w:cs="宋体" w:eastAsia="宋体" w:hint="default"/>
                <w:sz w:val="18"/>
                <w:szCs w:val="18"/>
              </w:rPr>
            </w:pPr>
            <w:r>
              <w:rPr>
                <w:rFonts w:ascii="宋体" w:hAnsi="宋体" w:cs="宋体" w:eastAsia="宋体" w:hint="default"/>
                <w:b/>
                <w:bCs/>
                <w:sz w:val="18"/>
                <w:szCs w:val="18"/>
              </w:rPr>
              <w:t>组合</w:t>
            </w:r>
            <w:r>
              <w:rPr>
                <w:rFonts w:ascii="宋体" w:hAnsi="宋体" w:cs="宋体" w:eastAsia="宋体" w:hint="default"/>
                <w:sz w:val="18"/>
                <w:szCs w:val="18"/>
              </w:rPr>
            </w:r>
          </w:p>
        </w:tc>
        <w:tc>
          <w:tcPr>
            <w:tcW w:w="667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6"/>
              <w:ind w:left="1" w:right="0"/>
              <w:jc w:val="center"/>
              <w:rPr>
                <w:rFonts w:ascii="宋体" w:hAnsi="宋体" w:cs="宋体" w:eastAsia="宋体" w:hint="default"/>
                <w:sz w:val="18"/>
                <w:szCs w:val="18"/>
              </w:rPr>
            </w:pPr>
            <w:r>
              <w:rPr>
                <w:rFonts w:ascii="宋体" w:hAnsi="宋体" w:cs="宋体" w:eastAsia="宋体" w:hint="default"/>
                <w:b/>
                <w:bCs/>
                <w:sz w:val="18"/>
                <w:szCs w:val="18"/>
              </w:rPr>
              <w:t>计量预期信用损失的方法</w:t>
            </w:r>
            <w:r>
              <w:rPr>
                <w:rFonts w:ascii="宋体" w:hAnsi="宋体" w:cs="宋体" w:eastAsia="宋体" w:hint="default"/>
                <w:sz w:val="18"/>
                <w:szCs w:val="18"/>
              </w:rPr>
            </w:r>
          </w:p>
        </w:tc>
      </w:tr>
      <w:tr>
        <w:trPr>
          <w:trHeight w:val="816"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应收合并范围关联方款项</w:t>
            </w:r>
          </w:p>
        </w:tc>
        <w:tc>
          <w:tcPr>
            <w:tcW w:w="6675" w:type="dxa"/>
            <w:tcBorders>
              <w:top w:val="single" w:sz="6" w:space="0" w:color="000000"/>
              <w:left w:val="single" w:sz="6" w:space="0" w:color="000000"/>
              <w:bottom w:val="single" w:sz="6" w:space="0" w:color="000000"/>
              <w:right w:val="single" w:sz="6" w:space="0" w:color="000000"/>
            </w:tcBorders>
          </w:tcPr>
          <w:p>
            <w:pPr>
              <w:pStyle w:val="TableParagraph"/>
              <w:spacing w:line="364" w:lineRule="auto" w:before="118"/>
              <w:ind w:left="103" w:right="99"/>
              <w:jc w:val="left"/>
              <w:rPr>
                <w:rFonts w:ascii="宋体" w:hAnsi="宋体" w:cs="宋体" w:eastAsia="宋体" w:hint="default"/>
                <w:sz w:val="18"/>
                <w:szCs w:val="18"/>
              </w:rPr>
            </w:pPr>
            <w:r>
              <w:rPr>
                <w:rFonts w:ascii="宋体" w:hAnsi="宋体" w:cs="宋体" w:eastAsia="宋体" w:hint="default"/>
                <w:spacing w:val="-1"/>
                <w:sz w:val="18"/>
                <w:szCs w:val="18"/>
              </w:rPr>
              <w:t>参考历史信用损失经验，结合当前状况以及对未来经济状况的预测，通过违约风险</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敞口和整个存续期预期信用损失率，该组合预期信用损失率为</w:t>
            </w:r>
            <w:r>
              <w:rPr>
                <w:rFonts w:ascii="宋体" w:hAnsi="宋体" w:cs="宋体" w:eastAsia="宋体" w:hint="default"/>
                <w:spacing w:val="-42"/>
                <w:sz w:val="18"/>
                <w:szCs w:val="18"/>
              </w:rPr>
              <w:t> </w:t>
            </w:r>
            <w:r>
              <w:rPr>
                <w:rFonts w:ascii="宋体" w:hAnsi="宋体" w:cs="宋体" w:eastAsia="宋体" w:hint="default"/>
                <w:sz w:val="18"/>
                <w:szCs w:val="18"/>
              </w:rPr>
              <w:t>0%</w:t>
            </w:r>
          </w:p>
        </w:tc>
      </w:tr>
      <w:tr>
        <w:trPr>
          <w:trHeight w:val="816"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应收外部款项</w:t>
            </w:r>
          </w:p>
        </w:tc>
        <w:tc>
          <w:tcPr>
            <w:tcW w:w="6675" w:type="dxa"/>
            <w:tcBorders>
              <w:top w:val="single" w:sz="6" w:space="0" w:color="000000"/>
              <w:left w:val="single" w:sz="6" w:space="0" w:color="000000"/>
              <w:bottom w:val="single" w:sz="6" w:space="0" w:color="000000"/>
              <w:right w:val="single" w:sz="6" w:space="0" w:color="000000"/>
            </w:tcBorders>
          </w:tcPr>
          <w:p>
            <w:pPr>
              <w:pStyle w:val="TableParagraph"/>
              <w:spacing w:line="367" w:lineRule="auto" w:before="116"/>
              <w:ind w:left="103" w:right="99"/>
              <w:jc w:val="left"/>
              <w:rPr>
                <w:rFonts w:ascii="宋体" w:hAnsi="宋体" w:cs="宋体" w:eastAsia="宋体" w:hint="default"/>
                <w:sz w:val="18"/>
                <w:szCs w:val="18"/>
              </w:rPr>
            </w:pPr>
            <w:r>
              <w:rPr>
                <w:rFonts w:ascii="宋体" w:hAnsi="宋体" w:cs="宋体" w:eastAsia="宋体" w:hint="default"/>
                <w:spacing w:val="-1"/>
                <w:sz w:val="18"/>
                <w:szCs w:val="18"/>
              </w:rPr>
              <w:t>参考历史信用损失经验，结合当前状况以及对未来经济状况的预测，编制应收账款</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账龄与整个存续期预期信用损失率对照表，计算预期信用损失</w:t>
            </w:r>
          </w:p>
        </w:tc>
      </w:tr>
    </w:tbl>
    <w:p>
      <w:pPr>
        <w:spacing w:line="240" w:lineRule="auto" w:before="7"/>
        <w:rPr>
          <w:rFonts w:ascii="宋体" w:hAnsi="宋体" w:cs="宋体" w:eastAsia="宋体" w:hint="default"/>
          <w:sz w:val="15"/>
          <w:szCs w:val="15"/>
        </w:rPr>
      </w:pPr>
    </w:p>
    <w:p>
      <w:pPr>
        <w:pStyle w:val="BodyText"/>
        <w:spacing w:line="240" w:lineRule="auto" w:before="44"/>
        <w:ind w:left="513" w:right="1133"/>
        <w:jc w:val="left"/>
      </w:pPr>
      <w:r>
        <w:rPr>
          <w:rFonts w:ascii="Times New Roman" w:hAnsi="Times New Roman" w:cs="Times New Roman" w:eastAsia="Times New Roman" w:hint="default"/>
        </w:rPr>
        <w:t>c</w:t>
      </w:r>
      <w:r>
        <w:rPr/>
        <w:t>、其他应收款依据信用风险特征确定组合的依据及计量预期信用损失的方法如下</w:t>
      </w:r>
    </w:p>
    <w:p>
      <w:pPr>
        <w:spacing w:line="240" w:lineRule="auto" w:before="2"/>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2943"/>
        <w:gridCol w:w="6697"/>
      </w:tblGrid>
      <w:tr>
        <w:trPr>
          <w:trHeight w:val="346" w:hRule="exact"/>
        </w:trPr>
        <w:tc>
          <w:tcPr>
            <w:tcW w:w="294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b/>
                <w:bCs/>
                <w:sz w:val="18"/>
                <w:szCs w:val="18"/>
              </w:rPr>
              <w:t>组合</w:t>
            </w:r>
            <w:r>
              <w:rPr>
                <w:rFonts w:ascii="宋体" w:hAnsi="宋体" w:cs="宋体" w:eastAsia="宋体" w:hint="default"/>
                <w:sz w:val="18"/>
                <w:szCs w:val="18"/>
              </w:rPr>
            </w:r>
          </w:p>
        </w:tc>
        <w:tc>
          <w:tcPr>
            <w:tcW w:w="669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b/>
                <w:bCs/>
                <w:sz w:val="18"/>
                <w:szCs w:val="18"/>
              </w:rPr>
              <w:t>计量预期信用损失的方法</w:t>
            </w:r>
            <w:r>
              <w:rPr>
                <w:rFonts w:ascii="宋体" w:hAnsi="宋体" w:cs="宋体" w:eastAsia="宋体" w:hint="default"/>
                <w:sz w:val="18"/>
                <w:szCs w:val="18"/>
              </w:rPr>
            </w:r>
          </w:p>
        </w:tc>
      </w:tr>
      <w:tr>
        <w:trPr>
          <w:trHeight w:val="660" w:hRule="exact"/>
        </w:trPr>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42"/>
              <w:jc w:val="left"/>
              <w:rPr>
                <w:rFonts w:ascii="宋体" w:hAnsi="宋体" w:cs="宋体" w:eastAsia="宋体" w:hint="default"/>
                <w:sz w:val="18"/>
                <w:szCs w:val="18"/>
              </w:rPr>
            </w:pPr>
            <w:r>
              <w:rPr>
                <w:rFonts w:ascii="宋体" w:hAnsi="宋体" w:cs="宋体" w:eastAsia="宋体" w:hint="default"/>
                <w:sz w:val="18"/>
                <w:szCs w:val="18"/>
              </w:rPr>
              <w:t>应收合并范围关联方款项、押金、保 证金、备用金</w:t>
            </w:r>
          </w:p>
        </w:tc>
        <w:tc>
          <w:tcPr>
            <w:tcW w:w="669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5"/>
              <w:jc w:val="left"/>
              <w:rPr>
                <w:rFonts w:ascii="Times New Roman" w:hAnsi="Times New Roman" w:cs="Times New Roman" w:eastAsia="Times New Roman" w:hint="default"/>
                <w:sz w:val="18"/>
                <w:szCs w:val="18"/>
              </w:rPr>
            </w:pPr>
            <w:r>
              <w:rPr>
                <w:rFonts w:ascii="宋体" w:hAnsi="宋体" w:cs="宋体" w:eastAsia="宋体" w:hint="default"/>
                <w:sz w:val="18"/>
                <w:szCs w:val="18"/>
              </w:rPr>
              <w:t>参考历史信用损失经验，结合当前状况以及对未来经济状况的预测，通过违约风险敞 口和整个存续期预期信用损失率，该组合预期信用损失率为</w:t>
            </w:r>
            <w:r>
              <w:rPr>
                <w:rFonts w:ascii="Times New Roman" w:hAnsi="Times New Roman" w:cs="Times New Roman" w:eastAsia="Times New Roman" w:hint="default"/>
                <w:sz w:val="18"/>
                <w:szCs w:val="18"/>
              </w:rPr>
              <w:t>0%</w:t>
            </w:r>
          </w:p>
        </w:tc>
      </w:tr>
      <w:tr>
        <w:trPr>
          <w:trHeight w:val="660" w:hRule="exact"/>
        </w:trPr>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其他往来款</w:t>
            </w:r>
          </w:p>
        </w:tc>
        <w:tc>
          <w:tcPr>
            <w:tcW w:w="669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8"/>
              <w:ind w:left="4" w:right="15"/>
              <w:jc w:val="left"/>
              <w:rPr>
                <w:rFonts w:ascii="宋体" w:hAnsi="宋体" w:cs="宋体" w:eastAsia="宋体" w:hint="default"/>
                <w:sz w:val="18"/>
                <w:szCs w:val="18"/>
              </w:rPr>
            </w:pPr>
            <w:r>
              <w:rPr>
                <w:rFonts w:ascii="宋体" w:hAnsi="宋体" w:cs="宋体" w:eastAsia="宋体" w:hint="default"/>
                <w:sz w:val="18"/>
                <w:szCs w:val="18"/>
              </w:rPr>
              <w:t>参考历史信用损失经验，结合当前状况以及对未来经济状况的预测，编制应收款项账 龄与整个存续期预期信用损失率对照表，计算预期信用损失</w:t>
            </w:r>
          </w:p>
        </w:tc>
      </w:tr>
    </w:tbl>
    <w:p>
      <w:pPr>
        <w:spacing w:line="240" w:lineRule="auto" w:before="7"/>
        <w:rPr>
          <w:rFonts w:ascii="宋体" w:hAnsi="宋体" w:cs="宋体" w:eastAsia="宋体" w:hint="default"/>
          <w:sz w:val="15"/>
          <w:szCs w:val="15"/>
        </w:rPr>
      </w:pPr>
    </w:p>
    <w:p>
      <w:pPr>
        <w:pStyle w:val="BodyText"/>
        <w:spacing w:line="240" w:lineRule="auto" w:before="44"/>
        <w:ind w:left="513" w:right="1133"/>
        <w:jc w:val="left"/>
      </w:pPr>
      <w:r>
        <w:rPr>
          <w:rFonts w:ascii="Times New Roman" w:hAnsi="Times New Roman" w:cs="Times New Roman" w:eastAsia="Times New Roman" w:hint="default"/>
        </w:rPr>
        <w:t>d</w:t>
      </w:r>
      <w:r>
        <w:rPr/>
        <w:t>、应收款项融资依据信用风险特征确定组合的依据及计量预期信用损失的方法如下</w:t>
      </w:r>
    </w:p>
    <w:p>
      <w:pPr>
        <w:spacing w:line="240" w:lineRule="auto" w:before="5"/>
        <w:rPr>
          <w:rFonts w:ascii="宋体" w:hAnsi="宋体" w:cs="宋体" w:eastAsia="宋体" w:hint="default"/>
          <w:sz w:val="13"/>
          <w:szCs w:val="13"/>
        </w:rPr>
      </w:pPr>
    </w:p>
    <w:tbl>
      <w:tblPr>
        <w:tblW w:w="0" w:type="auto"/>
        <w:jc w:val="left"/>
        <w:tblInd w:w="145" w:type="dxa"/>
        <w:tblLayout w:type="fixed"/>
        <w:tblCellMar>
          <w:top w:w="0" w:type="dxa"/>
          <w:left w:w="0" w:type="dxa"/>
          <w:bottom w:w="0" w:type="dxa"/>
          <w:right w:w="0" w:type="dxa"/>
        </w:tblCellMar>
        <w:tblLook w:val="01E0"/>
      </w:tblPr>
      <w:tblGrid>
        <w:gridCol w:w="2943"/>
        <w:gridCol w:w="6697"/>
      </w:tblGrid>
      <w:tr>
        <w:trPr>
          <w:trHeight w:val="341" w:hRule="exact"/>
        </w:trPr>
        <w:tc>
          <w:tcPr>
            <w:tcW w:w="294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b/>
                <w:bCs/>
                <w:sz w:val="18"/>
                <w:szCs w:val="18"/>
              </w:rPr>
              <w:t>组合</w:t>
            </w:r>
            <w:r>
              <w:rPr>
                <w:rFonts w:ascii="宋体" w:hAnsi="宋体" w:cs="宋体" w:eastAsia="宋体" w:hint="default"/>
                <w:sz w:val="18"/>
                <w:szCs w:val="18"/>
              </w:rPr>
            </w:r>
          </w:p>
        </w:tc>
        <w:tc>
          <w:tcPr>
            <w:tcW w:w="669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b/>
                <w:bCs/>
                <w:sz w:val="18"/>
                <w:szCs w:val="18"/>
              </w:rPr>
              <w:t>计量预期信用损失的方法</w:t>
            </w:r>
            <w:r>
              <w:rPr>
                <w:rFonts w:ascii="宋体" w:hAnsi="宋体" w:cs="宋体" w:eastAsia="宋体" w:hint="default"/>
                <w:sz w:val="18"/>
                <w:szCs w:val="18"/>
              </w:rPr>
            </w:r>
          </w:p>
        </w:tc>
      </w:tr>
      <w:tr>
        <w:trPr>
          <w:trHeight w:val="353" w:hRule="exact"/>
        </w:trPr>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6697" w:type="dxa"/>
            <w:vMerge w:val="restart"/>
            <w:tcBorders>
              <w:top w:val="single" w:sz="6" w:space="0" w:color="000000"/>
              <w:left w:val="single" w:sz="6" w:space="0" w:color="000000"/>
              <w:right w:val="single" w:sz="6" w:space="0" w:color="000000"/>
            </w:tcBorders>
          </w:tcPr>
          <w:p>
            <w:pPr>
              <w:pStyle w:val="TableParagraph"/>
              <w:spacing w:line="316" w:lineRule="auto" w:before="25"/>
              <w:ind w:left="4" w:right="15"/>
              <w:jc w:val="left"/>
              <w:rPr>
                <w:rFonts w:ascii="宋体" w:hAnsi="宋体" w:cs="宋体" w:eastAsia="宋体" w:hint="default"/>
                <w:sz w:val="18"/>
                <w:szCs w:val="18"/>
              </w:rPr>
            </w:pPr>
            <w:r>
              <w:rPr>
                <w:rFonts w:ascii="宋体" w:hAnsi="宋体" w:cs="宋体" w:eastAsia="宋体" w:hint="default"/>
                <w:sz w:val="18"/>
                <w:szCs w:val="18"/>
              </w:rPr>
              <w:t>参考历史信用损失经验，结合当前状况以及对未来经济状况的预测，通过违约风险敞 口和整个存续期预期信用损失率，计量预期信用损失</w:t>
            </w:r>
          </w:p>
        </w:tc>
      </w:tr>
      <w:tr>
        <w:trPr>
          <w:trHeight w:val="350" w:hRule="exact"/>
        </w:trPr>
        <w:tc>
          <w:tcPr>
            <w:tcW w:w="2943"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6697" w:type="dxa"/>
            <w:vMerge/>
            <w:tcBorders>
              <w:left w:val="single" w:sz="6" w:space="0" w:color="000000"/>
              <w:bottom w:val="single" w:sz="8" w:space="0" w:color="000000"/>
              <w:right w:val="single" w:sz="6" w:space="0" w:color="000000"/>
            </w:tcBorders>
          </w:tcPr>
          <w:p>
            <w:pPr/>
          </w:p>
        </w:tc>
      </w:tr>
    </w:tbl>
    <w:p>
      <w:pPr>
        <w:spacing w:line="240" w:lineRule="auto" w:before="7"/>
        <w:rPr>
          <w:rFonts w:ascii="宋体" w:hAnsi="宋体" w:cs="宋体" w:eastAsia="宋体" w:hint="default"/>
          <w:sz w:val="15"/>
          <w:szCs w:val="15"/>
        </w:rPr>
      </w:pPr>
    </w:p>
    <w:p>
      <w:pPr>
        <w:pStyle w:val="BodyText"/>
        <w:spacing w:line="316" w:lineRule="auto" w:before="44"/>
        <w:ind w:right="1130" w:firstLine="360"/>
        <w:jc w:val="both"/>
      </w:pPr>
      <w:r>
        <w:rPr>
          <w:spacing w:val="-2"/>
        </w:rPr>
        <w:t>对于因销售商品、提供劳务等日常经营活动形成的长期应收款，本公司参考历史信用损失经验，结合当前状况以及对未</w:t>
      </w:r>
      <w:r>
        <w:rPr/>
        <w:t> </w:t>
      </w:r>
      <w:r>
        <w:rPr>
          <w:spacing w:val="-2"/>
        </w:rPr>
        <w:t>来经济状况的预测，通过违约风险敞口和整个存续期预期信用损失率，计算预期信用损失。对于其他长期应收款，本公司参</w:t>
      </w:r>
      <w:r>
        <w:rPr>
          <w:spacing w:val="-64"/>
        </w:rPr>
        <w:t> </w:t>
      </w:r>
      <w:r>
        <w:rPr>
          <w:spacing w:val="-64"/>
        </w:rPr>
      </w:r>
      <w:r>
        <w:rPr>
          <w:spacing w:val="-2"/>
        </w:rPr>
        <w:t>考历史信用损失经验，结合当前状况以及对未来经济状况的预测，通过违约风险敞口和未来</w:t>
      </w:r>
      <w:r>
        <w:rPr>
          <w:rFonts w:ascii="Times New Roman" w:hAnsi="Times New Roman" w:cs="Times New Roman" w:eastAsia="Times New Roman" w:hint="default"/>
          <w:spacing w:val="-2"/>
        </w:rPr>
        <w:t>12</w:t>
      </w:r>
      <w:r>
        <w:rPr>
          <w:spacing w:val="-2"/>
        </w:rPr>
        <w:t>个月内或整个存续期信用损失</w:t>
      </w:r>
    </w:p>
    <w:p>
      <w:pPr>
        <w:pStyle w:val="BodyText"/>
        <w:spacing w:line="258" w:lineRule="exact"/>
        <w:ind w:right="1133"/>
        <w:jc w:val="left"/>
        <w:rPr>
          <w:sz w:val="22"/>
          <w:szCs w:val="22"/>
        </w:rPr>
      </w:pPr>
      <w:r>
        <w:rPr/>
        <w:t>率，计算预期信用损失</w:t>
      </w:r>
      <w:r>
        <w:rPr>
          <w:sz w:val="22"/>
          <w:szCs w:val="22"/>
        </w:rPr>
        <w:t>。</w:t>
      </w:r>
    </w:p>
    <w:p>
      <w:pPr>
        <w:pStyle w:val="BodyText"/>
        <w:spacing w:line="540" w:lineRule="atLeast" w:before="3"/>
        <w:ind w:left="513" w:right="0"/>
        <w:jc w:val="left"/>
      </w:pPr>
      <w:r>
        <w:rPr>
          <w:rFonts w:ascii="Times New Roman" w:hAnsi="Times New Roman" w:cs="Times New Roman" w:eastAsia="Times New Roman" w:hint="default"/>
        </w:rPr>
        <w:t>B</w:t>
      </w:r>
      <w:r>
        <w:rPr/>
        <w:t>、债权投资、其他债权投资 </w:t>
      </w:r>
      <w:r>
        <w:rPr>
          <w:spacing w:val="-2"/>
        </w:rPr>
        <w:t>对于债权投资和其他债权投资，本公司按照投资的性质，根据交易对手和风险敞口的各种类型，通过违约风险敞口和未</w:t>
      </w:r>
    </w:p>
    <w:p>
      <w:pPr>
        <w:pStyle w:val="BodyText"/>
        <w:spacing w:line="240" w:lineRule="auto" w:before="76"/>
        <w:ind w:right="1133"/>
        <w:jc w:val="left"/>
      </w:pPr>
      <w:r>
        <w:rPr/>
        <w:t>来</w:t>
      </w:r>
      <w:r>
        <w:rPr>
          <w:rFonts w:ascii="Times New Roman" w:hAnsi="Times New Roman" w:cs="Times New Roman" w:eastAsia="Times New Roman" w:hint="default"/>
        </w:rPr>
        <w:t>12</w:t>
      </w:r>
      <w:r>
        <w:rPr/>
        <w:t>个月内或整个存续期预期信用损失率，计算预期信用损失。</w:t>
      </w:r>
    </w:p>
    <w:p>
      <w:pPr>
        <w:spacing w:line="240" w:lineRule="auto" w:before="2"/>
        <w:rPr>
          <w:rFonts w:ascii="宋体" w:hAnsi="宋体" w:cs="宋体" w:eastAsia="宋体" w:hint="default"/>
          <w:sz w:val="23"/>
          <w:szCs w:val="23"/>
        </w:rPr>
      </w:pPr>
    </w:p>
    <w:p>
      <w:pPr>
        <w:pStyle w:val="BodyText"/>
        <w:spacing w:line="532" w:lineRule="auto"/>
        <w:ind w:left="513" w:right="0"/>
        <w:jc w:val="left"/>
      </w:pPr>
      <w:r>
        <w:rPr>
          <w:rFonts w:ascii="Times New Roman" w:hAnsi="Times New Roman" w:cs="Times New Roman" w:eastAsia="Times New Roman" w:hint="default"/>
        </w:rPr>
        <w:t>1</w:t>
      </w:r>
      <w:r>
        <w:rPr/>
        <w:t>）具有较低的信用风险 </w:t>
      </w:r>
      <w:r>
        <w:rPr>
          <w:spacing w:val="-2"/>
        </w:rPr>
        <w:t>如果金融工具的违约风险较低，借款人在短期内履行其合同现金流量义务的能力很强，并且即便较长时期内经济形势和</w:t>
      </w:r>
    </w:p>
    <w:p>
      <w:pPr>
        <w:spacing w:after="0" w:line="532"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经营环境存在不利变化但未必一定降低借款人履行其合同现金流量义务的能力，该金融工具被视为具有较低的信用风险。</w:t>
      </w:r>
    </w:p>
    <w:p>
      <w:pPr>
        <w:pStyle w:val="BodyText"/>
        <w:spacing w:line="540" w:lineRule="atLeast" w:before="26"/>
        <w:ind w:left="513" w:right="1213"/>
        <w:jc w:val="left"/>
      </w:pPr>
      <w:r>
        <w:rPr>
          <w:rFonts w:ascii="Times New Roman" w:hAnsi="Times New Roman" w:cs="Times New Roman" w:eastAsia="Times New Roman" w:hint="default"/>
        </w:rPr>
        <w:t>2</w:t>
      </w:r>
      <w:r>
        <w:rPr/>
        <w:t>）信用风险显著增加 本公司通过比较金融工具在资产负债表日所确定的预计存续期内的违约概率与在初始确认时所确定的预计存续期内的</w:t>
      </w:r>
    </w:p>
    <w:p>
      <w:pPr>
        <w:pStyle w:val="BodyText"/>
        <w:spacing w:line="316" w:lineRule="auto" w:before="76"/>
        <w:ind w:right="1119"/>
        <w:jc w:val="left"/>
      </w:pPr>
      <w:r>
        <w:rPr>
          <w:spacing w:val="-2"/>
        </w:rPr>
        <w:t>违约概率，以确定金融工具预计存续期内发生违约概率的相对变化，以评估金融工具的信用风险自初始确认后是否已显著增</w:t>
      </w:r>
      <w:r>
        <w:rPr>
          <w:spacing w:val="-64"/>
        </w:rPr>
        <w:t> </w:t>
      </w:r>
      <w:r>
        <w:rPr>
          <w:spacing w:val="-64"/>
        </w:rPr>
      </w:r>
      <w:r>
        <w:rPr/>
        <w:t>加。</w:t>
      </w:r>
    </w:p>
    <w:p>
      <w:pPr>
        <w:spacing w:line="240" w:lineRule="auto" w:before="10"/>
        <w:rPr>
          <w:rFonts w:ascii="宋体" w:hAnsi="宋体" w:cs="宋体" w:eastAsia="宋体" w:hint="default"/>
          <w:sz w:val="19"/>
          <w:szCs w:val="19"/>
        </w:rPr>
      </w:pPr>
    </w:p>
    <w:p>
      <w:pPr>
        <w:pStyle w:val="BodyText"/>
        <w:spacing w:line="316" w:lineRule="auto"/>
        <w:ind w:right="1131" w:firstLine="360"/>
        <w:jc w:val="both"/>
      </w:pPr>
      <w:r>
        <w:rPr>
          <w:spacing w:val="-2"/>
        </w:rPr>
        <w:t>在确定信用风险自初始确认后是否显著增加时，本公司考虑无须付出不必要的额外成本或努力即可获得的合理且有依据</w:t>
      </w:r>
      <w:r>
        <w:rPr/>
        <w:t> </w:t>
      </w:r>
      <w:r>
        <w:rPr>
          <w:spacing w:val="-2"/>
        </w:rPr>
        <w:t>的信息，包括前瞻性信息。本公司考虑的信息包括：信用风险变化所导致的内部价格指标是否发生显著变化；预期将导致债</w:t>
      </w:r>
      <w:r>
        <w:rPr>
          <w:spacing w:val="-64"/>
        </w:rPr>
        <w:t> </w:t>
      </w:r>
      <w:r>
        <w:rPr>
          <w:spacing w:val="-64"/>
        </w:rPr>
      </w:r>
      <w:r>
        <w:rPr>
          <w:spacing w:val="-2"/>
        </w:rPr>
        <w:t>务人履行其偿债义务的能力是否发生显著变化的业务、财务或经济状况的不利变化；债务人经营成果实际或预期是否发生显</w:t>
      </w:r>
      <w:r>
        <w:rPr>
          <w:spacing w:val="-64"/>
        </w:rPr>
        <w:t> </w:t>
      </w:r>
      <w:r>
        <w:rPr>
          <w:spacing w:val="-64"/>
        </w:rPr>
      </w:r>
      <w:r>
        <w:rPr>
          <w:spacing w:val="-2"/>
        </w:rPr>
        <w:t>著变化；债务人所处的监管、经济或技术环境是否发生显著不利变化；作为债务抵押的担保物价值或第三方提供的担保或信</w:t>
      </w:r>
      <w:r>
        <w:rPr>
          <w:spacing w:val="-64"/>
        </w:rPr>
        <w:t> </w:t>
      </w:r>
      <w:r>
        <w:rPr>
          <w:spacing w:val="-64"/>
        </w:rPr>
      </w:r>
      <w:r>
        <w:rPr>
          <w:spacing w:val="-2"/>
        </w:rPr>
        <w:t>用增级质量是否发生显著变化。这些变化预期将降低债务人按合同规定期限还款的经济动机或者影响违约概率；预期将降低</w:t>
      </w:r>
      <w:r>
        <w:rPr>
          <w:spacing w:val="-64"/>
        </w:rPr>
        <w:t> </w:t>
      </w:r>
      <w:r>
        <w:rPr>
          <w:spacing w:val="-64"/>
        </w:rPr>
      </w:r>
      <w:r>
        <w:rPr>
          <w:spacing w:val="-2"/>
        </w:rPr>
        <w:t>债务人按合同约定期限还款的经济动机是否发生显著变化；借款合同的预期变更，包括预计违反合同的行为是否可能导致的</w:t>
      </w:r>
      <w:r>
        <w:rPr>
          <w:spacing w:val="-64"/>
        </w:rPr>
        <w:t> </w:t>
      </w:r>
      <w:r>
        <w:rPr>
          <w:spacing w:val="-64"/>
        </w:rPr>
      </w:r>
      <w:r>
        <w:rPr>
          <w:spacing w:val="-2"/>
        </w:rPr>
        <w:t>合同义务的免除或修订、给予免息期、利率跳升、要求追加抵押品或担保或者对金融工具的合同框架做出其他变更；债务人</w:t>
      </w:r>
      <w:r>
        <w:rPr>
          <w:spacing w:val="-64"/>
        </w:rPr>
        <w:t> </w:t>
      </w:r>
      <w:r>
        <w:rPr>
          <w:spacing w:val="-64"/>
        </w:rPr>
      </w:r>
      <w:r>
        <w:rPr/>
        <w:t>预期表现和还款行为是否发生显著变化；合同付款是否发生逾期超过（含）</w:t>
      </w:r>
      <w:r>
        <w:rPr>
          <w:rFonts w:ascii="Times New Roman" w:hAnsi="Times New Roman" w:cs="Times New Roman" w:eastAsia="Times New Roman" w:hint="default"/>
        </w:rPr>
        <w:t>30</w:t>
      </w:r>
      <w:r>
        <w:rPr/>
        <w:t>日。</w:t>
      </w:r>
    </w:p>
    <w:p>
      <w:pPr>
        <w:spacing w:line="240" w:lineRule="auto" w:before="3"/>
        <w:rPr>
          <w:rFonts w:ascii="宋体" w:hAnsi="宋体" w:cs="宋体" w:eastAsia="宋体" w:hint="default"/>
          <w:sz w:val="18"/>
          <w:szCs w:val="18"/>
        </w:rPr>
      </w:pPr>
    </w:p>
    <w:p>
      <w:pPr>
        <w:pStyle w:val="BodyText"/>
        <w:spacing w:line="316" w:lineRule="auto"/>
        <w:ind w:right="1131" w:firstLine="360"/>
        <w:jc w:val="both"/>
      </w:pPr>
      <w:r>
        <w:rPr>
          <w:spacing w:val="-2"/>
        </w:rPr>
        <w:t>根据金融工具的性质，本公司以单项金融工具或金融工具组合为基础评估信用风险是否显著增加。以金融工具组合为基</w:t>
      </w:r>
      <w:r>
        <w:rPr/>
        <w:t> 础进行评估时，本公司可基于共同信用风险特征对金融工具进行分类，例如逾期信息和信用风险评级。</w:t>
      </w:r>
    </w:p>
    <w:p>
      <w:pPr>
        <w:spacing w:line="240" w:lineRule="auto" w:before="10"/>
        <w:rPr>
          <w:rFonts w:ascii="宋体" w:hAnsi="宋体" w:cs="宋体" w:eastAsia="宋体" w:hint="default"/>
          <w:sz w:val="19"/>
          <w:szCs w:val="19"/>
        </w:rPr>
      </w:pPr>
    </w:p>
    <w:p>
      <w:pPr>
        <w:pStyle w:val="BodyText"/>
        <w:spacing w:line="300" w:lineRule="auto"/>
        <w:ind w:right="1129" w:firstLine="360"/>
        <w:jc w:val="both"/>
      </w:pPr>
      <w:r>
        <w:rPr>
          <w:spacing w:val="-2"/>
        </w:rPr>
        <w:t>通常情况下，如果逾期超过</w:t>
      </w:r>
      <w:r>
        <w:rPr>
          <w:rFonts w:ascii="Times New Roman" w:hAnsi="Times New Roman" w:cs="Times New Roman" w:eastAsia="Times New Roman" w:hint="default"/>
          <w:spacing w:val="-2"/>
        </w:rPr>
        <w:t>30</w:t>
      </w:r>
      <w:r>
        <w:rPr>
          <w:spacing w:val="-2"/>
        </w:rPr>
        <w:t>日，本公司确定金融工具的信用风险已经显著增加。除非本公司无需付出过多成本或努力</w:t>
      </w:r>
      <w:r>
        <w:rPr/>
        <w:t> 即可获得合理且有依据的信息，证明虽然超过合同约定的付款期限</w:t>
      </w:r>
      <w:r>
        <w:rPr>
          <w:rFonts w:ascii="Times New Roman" w:hAnsi="Times New Roman" w:cs="Times New Roman" w:eastAsia="Times New Roman" w:hint="default"/>
        </w:rPr>
        <w:t>30</w:t>
      </w:r>
      <w:r>
        <w:rPr/>
        <w:t>天，但信用风险自初始确认以来并未显著增加。</w:t>
      </w:r>
    </w:p>
    <w:p>
      <w:pPr>
        <w:pStyle w:val="BodyText"/>
        <w:spacing w:line="552" w:lineRule="exact" w:before="21"/>
        <w:ind w:left="513" w:right="1213"/>
        <w:jc w:val="left"/>
      </w:pPr>
      <w:r>
        <w:rPr>
          <w:rFonts w:ascii="Times New Roman" w:hAnsi="Times New Roman" w:cs="Times New Roman" w:eastAsia="Times New Roman" w:hint="default"/>
        </w:rPr>
        <w:t>3</w:t>
      </w:r>
      <w:r>
        <w:rPr/>
        <w:t>）已发生信用减值的金融资产 本公司在资产负债表日评估以摊余成本计量的金融资产和以公允价值计量且其变动计入其他综合收益的债权投资是否</w:t>
      </w:r>
    </w:p>
    <w:p>
      <w:pPr>
        <w:pStyle w:val="BodyText"/>
        <w:spacing w:line="316" w:lineRule="auto"/>
        <w:ind w:right="1034"/>
        <w:jc w:val="left"/>
      </w:pPr>
      <w:r>
        <w:rPr>
          <w:spacing w:val="-2"/>
        </w:rPr>
        <w:t>已发生信用减值。当对金融资产预期未来现金流量具有不利影响的一项或多项事件发生时，该金融资产成为已发生信用减值</w:t>
      </w:r>
      <w:r>
        <w:rPr>
          <w:spacing w:val="-63"/>
        </w:rPr>
        <w:t> </w:t>
      </w:r>
      <w:r>
        <w:rPr>
          <w:spacing w:val="-63"/>
        </w:rPr>
      </w:r>
      <w:r>
        <w:rPr/>
        <w:t>的金融资产。金融资产已发生信用减值的证据包括下列可观察信息：发行方或债务人发生重大财务困难；债务人违反合同， </w:t>
      </w:r>
      <w:r>
        <w:rPr>
          <w:spacing w:val="-2"/>
        </w:rPr>
        <w:t>如偿付利息或本金违约或逾期等；债权人出于与债务人财务困难有关的经济或合同考虑，给予债务人在任何其他情况下都不</w:t>
      </w:r>
      <w:r>
        <w:rPr>
          <w:spacing w:val="-64"/>
        </w:rPr>
        <w:t> </w:t>
      </w:r>
      <w:r>
        <w:rPr>
          <w:spacing w:val="-64"/>
        </w:rPr>
      </w:r>
      <w:r>
        <w:rPr>
          <w:spacing w:val="-2"/>
        </w:rPr>
        <w:t>会做出的让步；债务人很可能破产或进行其他财务重组；发行方或债务人财务困难导致该金融资产的活跃市场消失；以大幅</w:t>
      </w:r>
      <w:r>
        <w:rPr>
          <w:spacing w:val="-63"/>
        </w:rPr>
        <w:t> </w:t>
      </w:r>
      <w:r>
        <w:rPr>
          <w:spacing w:val="-63"/>
        </w:rPr>
      </w:r>
      <w:r>
        <w:rPr/>
        <w:t>折扣购买或源生一项金融资产，该折扣反映了发生信用损失的事实。</w:t>
      </w:r>
    </w:p>
    <w:p>
      <w:pPr>
        <w:pStyle w:val="BodyText"/>
        <w:spacing w:line="552" w:lineRule="exact" w:before="27"/>
        <w:ind w:left="513" w:right="0"/>
        <w:jc w:val="left"/>
      </w:pPr>
      <w:r>
        <w:rPr>
          <w:rFonts w:ascii="Times New Roman" w:hAnsi="Times New Roman" w:cs="Times New Roman" w:eastAsia="Times New Roman" w:hint="default"/>
        </w:rPr>
        <w:t>4</w:t>
      </w:r>
      <w:r>
        <w:rPr/>
        <w:t>）预期信用损失准备的列报 </w:t>
      </w:r>
      <w:r>
        <w:rPr>
          <w:spacing w:val="-2"/>
        </w:rPr>
        <w:t>为反映金融工具的信用风险自初始确认后的变化，本公司在每个资产负债表日重新计量预期信用损失，由此形成的损失</w:t>
      </w:r>
    </w:p>
    <w:p>
      <w:pPr>
        <w:pStyle w:val="BodyText"/>
        <w:spacing w:line="319" w:lineRule="auto"/>
        <w:ind w:right="1130"/>
        <w:jc w:val="both"/>
      </w:pPr>
      <w:r>
        <w:rPr>
          <w:spacing w:val="-2"/>
        </w:rPr>
        <w:t>准备的增加或转回金额，应当作为减值损失或利得计入当期损益。对于以摊余成本计量的金融资产，损失准备抵减该金融资</w:t>
      </w:r>
      <w:r>
        <w:rPr>
          <w:spacing w:val="-63"/>
        </w:rPr>
        <w:t> </w:t>
      </w:r>
      <w:r>
        <w:rPr>
          <w:spacing w:val="-63"/>
        </w:rPr>
      </w:r>
      <w:r>
        <w:rPr>
          <w:spacing w:val="-2"/>
        </w:rPr>
        <w:t>产在资产负债表中列示的账面价值；对于以公允价值计量且其变动计入其他综合收益的债权投资，本公司在其他综合收益中</w:t>
      </w:r>
      <w:r>
        <w:rPr>
          <w:spacing w:val="-64"/>
        </w:rPr>
        <w:t> </w:t>
      </w:r>
      <w:r>
        <w:rPr>
          <w:spacing w:val="-64"/>
        </w:rPr>
      </w:r>
      <w:r>
        <w:rPr/>
        <w:t>确认其损失准备，不抵减该金融资产的账面价值。</w:t>
      </w:r>
    </w:p>
    <w:p>
      <w:pPr>
        <w:pStyle w:val="BodyText"/>
        <w:spacing w:line="552" w:lineRule="exact" w:before="25"/>
        <w:ind w:left="513" w:right="1119"/>
        <w:jc w:val="left"/>
      </w:pPr>
      <w:r>
        <w:rPr>
          <w:rFonts w:ascii="Times New Roman" w:hAnsi="Times New Roman" w:cs="Times New Roman" w:eastAsia="Times New Roman" w:hint="default"/>
        </w:rPr>
        <w:t>5</w:t>
      </w:r>
      <w:r>
        <w:rPr/>
        <w:t>）核销 </w:t>
      </w:r>
      <w:r>
        <w:rPr>
          <w:spacing w:val="-2"/>
        </w:rPr>
        <w:t>如果本公司不再合理预期金融资产合同现金流量能够全部或部分收回，则直接减记该金融资产的账面余额，这种减记构</w:t>
      </w:r>
    </w:p>
    <w:p>
      <w:pPr>
        <w:pStyle w:val="BodyText"/>
        <w:spacing w:line="316" w:lineRule="auto"/>
        <w:ind w:right="0"/>
        <w:jc w:val="left"/>
      </w:pPr>
      <w:r>
        <w:rPr>
          <w:spacing w:val="-2"/>
        </w:rPr>
        <w:t>成相关金融资产的终止确认。这种情况通常发生在本公司确定债务人没有资产或收入来源可产生足够的现金流量以偿还将被</w:t>
      </w:r>
      <w:r>
        <w:rPr>
          <w:spacing w:val="-63"/>
        </w:rPr>
        <w:t> </w:t>
      </w:r>
      <w:r>
        <w:rPr>
          <w:spacing w:val="-63"/>
        </w:rPr>
      </w:r>
      <w:r>
        <w:rPr/>
        <w:t>减记的金额。已减记的金融资产以后又收回的，作为减值损失的转回计入收回当期的损益。</w:t>
      </w:r>
    </w:p>
    <w:p>
      <w:pPr>
        <w:spacing w:after="0" w:line="316"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11、应收票据" w:id="188"/>
      <w:bookmarkEnd w:id="188"/>
      <w:r>
        <w:rPr>
          <w:b w:val="0"/>
          <w:bCs w:val="0"/>
        </w:rPr>
      </w:r>
      <w:r>
        <w:rPr>
          <w:rFonts w:ascii="Times New Roman" w:hAnsi="Times New Roman" w:cs="Times New Roman" w:eastAsia="Times New Roman" w:hint="default"/>
        </w:rPr>
        <w:t>11</w:t>
      </w:r>
      <w:r>
        <w:rPr/>
        <w:t>、应收票据</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13" w:right="1133"/>
        <w:jc w:val="left"/>
      </w:pPr>
      <w:r>
        <w:rPr/>
        <w:t>应收票据的预期信用损失的确定方法及会计处理方法详见五、（</w:t>
      </w:r>
      <w:r>
        <w:rPr>
          <w:rFonts w:ascii="Times New Roman" w:hAnsi="Times New Roman" w:cs="Times New Roman" w:eastAsia="Times New Roman" w:hint="default"/>
        </w:rPr>
        <w:t>10</w:t>
      </w:r>
      <w:r>
        <w:rPr/>
        <w:t>）金融工具。</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12、应收账款" w:id="189"/>
      <w:bookmarkEnd w:id="189"/>
      <w:r>
        <w:rPr>
          <w:b w:val="0"/>
          <w:bCs w:val="0"/>
        </w:rPr>
      </w:r>
      <w:r>
        <w:rPr>
          <w:rFonts w:ascii="Times New Roman" w:hAnsi="Times New Roman" w:cs="Times New Roman" w:eastAsia="Times New Roman" w:hint="default"/>
        </w:rPr>
        <w:t>12</w:t>
      </w:r>
      <w:r>
        <w:rPr/>
        <w:t>、应收账款</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1133"/>
        <w:jc w:val="left"/>
      </w:pPr>
      <w:r>
        <w:rPr/>
        <w:t>应收账款的预期信用损失的确定方法及会计处理方法详见五、（</w:t>
      </w:r>
      <w:r>
        <w:rPr>
          <w:rFonts w:ascii="Times New Roman" w:hAnsi="Times New Roman" w:cs="Times New Roman" w:eastAsia="Times New Roman" w:hint="default"/>
        </w:rPr>
        <w:t>10</w:t>
      </w:r>
      <w:r>
        <w:rPr/>
        <w:t>）金融工具。</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13、应收款项融资" w:id="190"/>
      <w:bookmarkEnd w:id="190"/>
      <w:r>
        <w:rPr>
          <w:b w:val="0"/>
          <w:bCs w:val="0"/>
        </w:rPr>
      </w:r>
      <w:r>
        <w:rPr>
          <w:rFonts w:ascii="Times New Roman" w:hAnsi="Times New Roman" w:cs="Times New Roman" w:eastAsia="Times New Roman" w:hint="default"/>
        </w:rPr>
        <w:t>13</w:t>
      </w:r>
      <w:r>
        <w:rPr/>
        <w:t>、应收款项融资</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214" w:firstLine="360"/>
        <w:jc w:val="left"/>
      </w:pPr>
      <w:r>
        <w:rPr/>
        <w:t>当应收票据和应收账款同时满足以下条件时，本公司将其划分为以公允价值计量且其变动计入其他综合收益的金融资 产，相关具体会计处理方式见五、（</w:t>
      </w:r>
      <w:r>
        <w:rPr>
          <w:rFonts w:ascii="Times New Roman" w:hAnsi="Times New Roman" w:cs="Times New Roman" w:eastAsia="Times New Roman" w:hint="default"/>
        </w:rPr>
        <w:t>10</w:t>
      </w:r>
      <w:r>
        <w:rPr/>
        <w:t>）金融工具，在报表中列示为应收款项融资：</w:t>
      </w:r>
    </w:p>
    <w:p>
      <w:pPr>
        <w:spacing w:line="240" w:lineRule="auto" w:before="4"/>
        <w:rPr>
          <w:rFonts w:ascii="宋体" w:hAnsi="宋体" w:cs="宋体" w:eastAsia="宋体" w:hint="default"/>
          <w:sz w:val="18"/>
          <w:szCs w:val="18"/>
        </w:rPr>
      </w:pPr>
    </w:p>
    <w:p>
      <w:pPr>
        <w:pStyle w:val="BodyText"/>
        <w:spacing w:line="240" w:lineRule="auto"/>
        <w:ind w:left="513" w:right="1133"/>
        <w:jc w:val="left"/>
      </w:pPr>
      <w:r>
        <w:rPr/>
        <w:t>（</w:t>
      </w:r>
      <w:r>
        <w:rPr>
          <w:rFonts w:ascii="Times New Roman" w:hAnsi="Times New Roman" w:cs="Times New Roman" w:eastAsia="Times New Roman" w:hint="default"/>
        </w:rPr>
        <w:t>1</w:t>
      </w:r>
      <w:r>
        <w:rPr/>
        <w:t>）合同现金流量为对本金和以未偿付本金金额为基础的利息的支付；</w:t>
      </w:r>
    </w:p>
    <w:p>
      <w:pPr>
        <w:spacing w:line="240" w:lineRule="auto" w:before="2"/>
        <w:rPr>
          <w:rFonts w:ascii="宋体" w:hAnsi="宋体" w:cs="宋体" w:eastAsia="宋体" w:hint="default"/>
          <w:sz w:val="23"/>
          <w:szCs w:val="23"/>
        </w:rPr>
      </w:pPr>
    </w:p>
    <w:p>
      <w:pPr>
        <w:pStyle w:val="BodyText"/>
        <w:spacing w:line="240" w:lineRule="auto"/>
        <w:ind w:left="513" w:right="1133"/>
        <w:jc w:val="left"/>
      </w:pPr>
      <w:r>
        <w:rPr/>
        <w:t>（</w:t>
      </w:r>
      <w:r>
        <w:rPr>
          <w:rFonts w:ascii="Times New Roman" w:hAnsi="Times New Roman" w:cs="Times New Roman" w:eastAsia="Times New Roman" w:hint="default"/>
        </w:rPr>
        <w:t>2</w:t>
      </w:r>
      <w:r>
        <w:rPr/>
        <w:t>）本公司管理应收票据和应收账款的业务模式既以收取合同现金流量为目标又以出售为目标。</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14、其他应收款" w:id="191"/>
      <w:bookmarkEnd w:id="191"/>
      <w:r>
        <w:rPr>
          <w:b w:val="0"/>
          <w:bCs w:val="0"/>
        </w:rPr>
      </w:r>
      <w:r>
        <w:rPr>
          <w:rFonts w:ascii="Times New Roman" w:hAnsi="Times New Roman" w:cs="Times New Roman" w:eastAsia="Times New Roman" w:hint="default"/>
        </w:rPr>
        <w:t>14</w:t>
      </w:r>
      <w:r>
        <w:rPr/>
        <w:t>、其他应收款</w:t>
      </w:r>
      <w:r>
        <w:rPr>
          <w:b w:val="0"/>
          <w:bCs w:val="0"/>
        </w:rPr>
      </w:r>
    </w:p>
    <w:p>
      <w:pPr>
        <w:spacing w:line="240" w:lineRule="auto" w:before="2"/>
        <w:rPr>
          <w:rFonts w:ascii="宋体" w:hAnsi="宋体" w:cs="宋体" w:eastAsia="宋体" w:hint="default"/>
          <w:b/>
          <w:bCs/>
          <w:sz w:val="26"/>
          <w:szCs w:val="26"/>
        </w:rPr>
      </w:pPr>
    </w:p>
    <w:p>
      <w:pPr>
        <w:pStyle w:val="BodyText"/>
        <w:spacing w:line="564" w:lineRule="auto"/>
        <w:ind w:left="513" w:right="3913" w:hanging="361"/>
        <w:jc w:val="left"/>
      </w:pPr>
      <w:r>
        <w:rPr/>
        <w:t>其他应收款的预期信用损失的确定方法及会计处理方法 其他应收款的预期信用损失的确定方法及会计处理方法详见五、（</w:t>
      </w:r>
      <w:r>
        <w:rPr>
          <w:rFonts w:ascii="Times New Roman" w:hAnsi="Times New Roman" w:cs="Times New Roman" w:eastAsia="Times New Roman" w:hint="default"/>
        </w:rPr>
        <w:t>10</w:t>
      </w:r>
      <w:r>
        <w:rPr/>
        <w:t>）金融工具。</w:t>
      </w:r>
    </w:p>
    <w:p>
      <w:pPr>
        <w:pStyle w:val="Heading3"/>
        <w:spacing w:line="240" w:lineRule="auto" w:before="70"/>
        <w:ind w:right="1133"/>
        <w:jc w:val="left"/>
        <w:rPr>
          <w:b w:val="0"/>
          <w:bCs w:val="0"/>
        </w:rPr>
      </w:pPr>
      <w:bookmarkStart w:name="15、存货" w:id="192"/>
      <w:bookmarkEnd w:id="192"/>
      <w:r>
        <w:rPr>
          <w:b w:val="0"/>
          <w:bCs w:val="0"/>
        </w:rPr>
      </w:r>
      <w:r>
        <w:rPr>
          <w:rFonts w:ascii="Times New Roman" w:hAnsi="Times New Roman" w:cs="Times New Roman" w:eastAsia="Times New Roman" w:hint="default"/>
        </w:rPr>
        <w:t>15</w:t>
      </w:r>
      <w:r>
        <w:rPr/>
        <w:t>、存货</w:t>
      </w:r>
      <w:r>
        <w:rPr>
          <w:b w:val="0"/>
          <w:bCs w:val="0"/>
        </w:rPr>
      </w:r>
    </w:p>
    <w:p>
      <w:pPr>
        <w:pStyle w:val="BodyText"/>
        <w:spacing w:line="550" w:lineRule="atLeast" w:before="30"/>
        <w:ind w:left="513" w:right="0"/>
        <w:jc w:val="left"/>
      </w:pPr>
      <w:r>
        <w:rPr/>
        <w:t>本集团存货主要包括原材料、包装物、低值易耗品、在产品、自制半成品、委托加工物资、库存商品及虚拟商品等。 </w:t>
      </w:r>
      <w:r>
        <w:rPr>
          <w:spacing w:val="-2"/>
        </w:rPr>
        <w:t>存货实行永续盘存制，存货在取得时按实际成本计价；领用或发出存货，采用加权平均法确定其实际成本。低值易耗品</w:t>
      </w:r>
    </w:p>
    <w:p>
      <w:pPr>
        <w:pStyle w:val="BodyText"/>
        <w:spacing w:line="240" w:lineRule="auto" w:before="76"/>
        <w:ind w:right="1133"/>
        <w:jc w:val="left"/>
      </w:pPr>
      <w:r>
        <w:rPr/>
        <w:t>和包装物采用一次转销法进行摊销。</w:t>
      </w:r>
    </w:p>
    <w:p>
      <w:pPr>
        <w:spacing w:line="240" w:lineRule="auto" w:before="2"/>
        <w:rPr>
          <w:rFonts w:ascii="宋体" w:hAnsi="宋体" w:cs="宋体" w:eastAsia="宋体" w:hint="default"/>
          <w:sz w:val="24"/>
          <w:szCs w:val="24"/>
        </w:rPr>
      </w:pPr>
    </w:p>
    <w:p>
      <w:pPr>
        <w:pStyle w:val="BodyText"/>
        <w:spacing w:line="316" w:lineRule="auto"/>
        <w:ind w:right="1034" w:firstLine="360"/>
        <w:jc w:val="left"/>
      </w:pPr>
      <w:r>
        <w:rPr/>
        <w:t>期末存货按成本与可变现净值孰低原则计价，对于存货因遭受毁损、全部或部分陈旧过时或销售价格低于成本等原因， </w:t>
      </w:r>
      <w:r>
        <w:rPr>
          <w:spacing w:val="-2"/>
        </w:rPr>
        <w:t>预计其成本不可收回的部分，提取存货跌价准备。库存商品及大宗原材料的存货跌价准备按单个存货项目的成本高于其可变</w:t>
      </w:r>
      <w:r>
        <w:rPr>
          <w:spacing w:val="-64"/>
        </w:rPr>
        <w:t> </w:t>
      </w:r>
      <w:r>
        <w:rPr>
          <w:spacing w:val="-64"/>
        </w:rPr>
      </w:r>
      <w:r>
        <w:rPr/>
        <w:t>现净值的差额提取；其他数量繁多、单价较低的原辅材料按类别提取存货跌价准备。</w:t>
      </w:r>
    </w:p>
    <w:p>
      <w:pPr>
        <w:spacing w:line="240" w:lineRule="auto" w:before="10"/>
        <w:rPr>
          <w:rFonts w:ascii="宋体" w:hAnsi="宋体" w:cs="宋体" w:eastAsia="宋体" w:hint="default"/>
          <w:sz w:val="19"/>
          <w:szCs w:val="19"/>
        </w:rPr>
      </w:pPr>
    </w:p>
    <w:p>
      <w:pPr>
        <w:pStyle w:val="BodyText"/>
        <w:spacing w:line="316" w:lineRule="auto"/>
        <w:ind w:right="1131" w:firstLine="360"/>
        <w:jc w:val="both"/>
      </w:pPr>
      <w:r>
        <w:rPr>
          <w:spacing w:val="-2"/>
        </w:rPr>
        <w:t>库存商品、虚拟商品、在产品和用于出售的材料等直接用于出售的商品存货，其可变现净值按该存货的估计售价减去估</w:t>
      </w:r>
      <w:r>
        <w:rPr/>
        <w:t> </w:t>
      </w:r>
      <w:r>
        <w:rPr>
          <w:spacing w:val="-2"/>
        </w:rPr>
        <w:t>计的销售费用和相关税费后的金额确定；用于生产而持有的材料存货，其可变现净值按所生产的产成品的估计售价减去至完</w:t>
      </w:r>
      <w:r>
        <w:rPr>
          <w:spacing w:val="-62"/>
        </w:rPr>
        <w:t> </w:t>
      </w:r>
      <w:r>
        <w:rPr>
          <w:spacing w:val="-62"/>
        </w:rPr>
      </w:r>
      <w:r>
        <w:rPr/>
        <w:t>工时估计将要发生的成本、估计的销售费用和相关税费后的金额确定。</w:t>
      </w:r>
    </w:p>
    <w:p>
      <w:pPr>
        <w:spacing w:line="240" w:lineRule="auto" w:before="11"/>
        <w:rPr>
          <w:rFonts w:ascii="宋体" w:hAnsi="宋体" w:cs="宋体" w:eastAsia="宋体" w:hint="default"/>
          <w:sz w:val="22"/>
          <w:szCs w:val="22"/>
        </w:rPr>
      </w:pPr>
    </w:p>
    <w:p>
      <w:pPr>
        <w:pStyle w:val="Heading3"/>
        <w:spacing w:line="240" w:lineRule="auto"/>
        <w:ind w:right="1133"/>
        <w:jc w:val="left"/>
        <w:rPr>
          <w:b w:val="0"/>
          <w:bCs w:val="0"/>
        </w:rPr>
      </w:pPr>
      <w:bookmarkStart w:name="16、合同资产" w:id="193"/>
      <w:bookmarkEnd w:id="193"/>
      <w:r>
        <w:rPr>
          <w:b w:val="0"/>
          <w:bCs w:val="0"/>
        </w:rPr>
      </w:r>
      <w:r>
        <w:rPr>
          <w:rFonts w:ascii="Times New Roman" w:hAnsi="Times New Roman" w:cs="Times New Roman" w:eastAsia="Times New Roman" w:hint="default"/>
        </w:rPr>
        <w:t>16</w:t>
      </w:r>
      <w:r>
        <w:rPr/>
        <w:t>、合同资产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17、合同成本" w:id="194"/>
      <w:bookmarkEnd w:id="194"/>
      <w:r>
        <w:rPr>
          <w:b w:val="0"/>
          <w:bCs w:val="0"/>
        </w:rPr>
      </w:r>
      <w:r>
        <w:rPr>
          <w:rFonts w:ascii="Times New Roman" w:hAnsi="Times New Roman" w:cs="Times New Roman" w:eastAsia="Times New Roman" w:hint="default"/>
        </w:rPr>
        <w:t>17</w:t>
      </w:r>
      <w:r>
        <w:rPr/>
        <w:t>、合同成本</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both"/>
        <w:rPr>
          <w:b w:val="0"/>
          <w:bCs w:val="0"/>
        </w:rPr>
      </w:pPr>
      <w:bookmarkStart w:name="18、持有待售资产" w:id="195"/>
      <w:bookmarkEnd w:id="195"/>
      <w:r>
        <w:rPr>
          <w:b w:val="0"/>
          <w:bCs w:val="0"/>
        </w:rPr>
      </w:r>
      <w:r>
        <w:rPr>
          <w:rFonts w:ascii="Times New Roman" w:hAnsi="Times New Roman" w:cs="Times New Roman" w:eastAsia="Times New Roman" w:hint="default"/>
        </w:rPr>
        <w:t>18</w:t>
      </w:r>
      <w:r>
        <w:rPr/>
        <w:t>、持有待售资产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both"/>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both"/>
        <w:rPr>
          <w:b w:val="0"/>
          <w:bCs w:val="0"/>
        </w:rPr>
      </w:pPr>
      <w:bookmarkStart w:name="19、债权投资" w:id="196"/>
      <w:bookmarkEnd w:id="196"/>
      <w:r>
        <w:rPr>
          <w:b w:val="0"/>
          <w:bCs w:val="0"/>
        </w:rPr>
      </w:r>
      <w:r>
        <w:rPr>
          <w:rFonts w:ascii="Times New Roman" w:hAnsi="Times New Roman" w:cs="Times New Roman" w:eastAsia="Times New Roman" w:hint="default"/>
        </w:rPr>
        <w:t>19</w:t>
      </w:r>
      <w:r>
        <w:rPr/>
        <w:t>、债权投资</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bookmarkStart w:name="20、其他债权投资" w:id="197"/>
      <w:bookmarkEnd w:id="197"/>
      <w:r>
        <w:rPr>
          <w:b w:val="0"/>
          <w:bCs w:val="0"/>
        </w:rPr>
      </w:r>
      <w:r>
        <w:rPr>
          <w:rFonts w:ascii="Times New Roman" w:hAnsi="Times New Roman" w:cs="Times New Roman" w:eastAsia="Times New Roman" w:hint="default"/>
        </w:rPr>
        <w:t>20</w:t>
      </w:r>
      <w:r>
        <w:rPr/>
        <w:t>、其他债权投资</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both"/>
        <w:rPr>
          <w:b w:val="0"/>
          <w:bCs w:val="0"/>
        </w:rPr>
      </w:pPr>
      <w:bookmarkStart w:name="21、长期应收款" w:id="198"/>
      <w:bookmarkEnd w:id="198"/>
      <w:r>
        <w:rPr>
          <w:b w:val="0"/>
          <w:bCs w:val="0"/>
        </w:rPr>
      </w:r>
      <w:r>
        <w:rPr>
          <w:rFonts w:ascii="Times New Roman" w:hAnsi="Times New Roman" w:cs="Times New Roman" w:eastAsia="Times New Roman" w:hint="default"/>
        </w:rPr>
        <w:t>21</w:t>
      </w:r>
      <w:r>
        <w:rPr/>
        <w:t>、长期应收款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bookmarkStart w:name="22、长期股权投资" w:id="199"/>
      <w:bookmarkEnd w:id="199"/>
      <w:r>
        <w:rPr>
          <w:b w:val="0"/>
          <w:bCs w:val="0"/>
        </w:rPr>
      </w:r>
      <w:r>
        <w:rPr>
          <w:rFonts w:ascii="Times New Roman" w:hAnsi="Times New Roman" w:cs="Times New Roman" w:eastAsia="Times New Roman" w:hint="default"/>
        </w:rPr>
        <w:t>22</w:t>
      </w:r>
      <w:r>
        <w:rPr/>
        <w:t>、长期股权投资</w:t>
      </w:r>
      <w:r>
        <w:rPr>
          <w:b w:val="0"/>
          <w:bCs w:val="0"/>
        </w:rPr>
      </w:r>
    </w:p>
    <w:p>
      <w:pPr>
        <w:pStyle w:val="BodyText"/>
        <w:spacing w:line="410" w:lineRule="atLeast" w:before="170"/>
        <w:ind w:left="513" w:right="0"/>
        <w:jc w:val="left"/>
      </w:pPr>
      <w:r>
        <w:rPr/>
        <w:t>本集团长期股权投资主要是对子公司的投资、对联营企业的投资和对合营企业的投资。 </w:t>
      </w:r>
      <w:r>
        <w:rPr>
          <w:spacing w:val="-2"/>
        </w:rPr>
        <w:t>本集团对共同控制的判断依据是所有参与方或参与方组合集体控制该安排，并且该安排相关活动的政策必须经过这些集</w:t>
      </w:r>
    </w:p>
    <w:p>
      <w:pPr>
        <w:pStyle w:val="BodyText"/>
        <w:spacing w:line="240" w:lineRule="auto" w:before="74"/>
        <w:ind w:right="0"/>
        <w:jc w:val="both"/>
      </w:pPr>
      <w:r>
        <w:rPr/>
        <w:t>体控制该安排的参与方一致同意。</w:t>
      </w:r>
    </w:p>
    <w:p>
      <w:pPr>
        <w:spacing w:line="240" w:lineRule="auto" w:before="7"/>
        <w:rPr>
          <w:rFonts w:ascii="宋体" w:hAnsi="宋体" w:cs="宋体" w:eastAsia="宋体" w:hint="default"/>
          <w:sz w:val="13"/>
          <w:szCs w:val="13"/>
        </w:rPr>
      </w:pPr>
    </w:p>
    <w:p>
      <w:pPr>
        <w:pStyle w:val="BodyText"/>
        <w:spacing w:line="307" w:lineRule="auto"/>
        <w:ind w:right="1130" w:firstLine="360"/>
        <w:jc w:val="both"/>
      </w:pPr>
      <w:r>
        <w:rPr>
          <w:spacing w:val="-2"/>
        </w:rPr>
        <w:t>本集团直接或通过子公司间接拥有被投资单位</w:t>
      </w:r>
      <w:r>
        <w:rPr>
          <w:rFonts w:ascii="Times New Roman" w:hAnsi="Times New Roman" w:cs="Times New Roman" w:eastAsia="Times New Roman" w:hint="default"/>
          <w:spacing w:val="-2"/>
        </w:rPr>
        <w:t>20</w:t>
      </w:r>
      <w:r>
        <w:rPr>
          <w:spacing w:val="-2"/>
        </w:rPr>
        <w:t>％（含）以上但低于</w:t>
      </w:r>
      <w:r>
        <w:rPr>
          <w:rFonts w:ascii="Times New Roman" w:hAnsi="Times New Roman" w:cs="Times New Roman" w:eastAsia="Times New Roman" w:hint="default"/>
          <w:spacing w:val="-2"/>
        </w:rPr>
        <w:t>50</w:t>
      </w:r>
      <w:r>
        <w:rPr>
          <w:spacing w:val="-2"/>
        </w:rPr>
        <w:t>％的表决权时，通常认为对被投资单位具有重大</w:t>
      </w:r>
      <w:r>
        <w:rPr/>
        <w:t> </w:t>
      </w:r>
      <w:r>
        <w:rPr>
          <w:spacing w:val="-1"/>
        </w:rPr>
        <w:t>影响。持有被投资单位</w:t>
      </w:r>
      <w:r>
        <w:rPr>
          <w:rFonts w:ascii="Times New Roman" w:hAnsi="Times New Roman" w:cs="Times New Roman" w:eastAsia="Times New Roman" w:hint="default"/>
          <w:spacing w:val="-1"/>
        </w:rPr>
        <w:t>20%</w:t>
      </w:r>
      <w:r>
        <w:rPr>
          <w:spacing w:val="-1"/>
        </w:rPr>
        <w:t>以下表决权的，还需要综合考虑在被投资单位的董事会或类似权力机构中派有代表、或参与被投</w:t>
      </w:r>
      <w:r>
        <w:rPr/>
        <w:t> </w:t>
      </w:r>
      <w:r>
        <w:rPr>
          <w:spacing w:val="-2"/>
        </w:rPr>
        <w:t>资单位财务和经营政策制定过程、或与被投资单位之间发生重要交易、或向被投资单位派出管理人员、或向被投资单位提供</w:t>
      </w:r>
      <w:r>
        <w:rPr>
          <w:spacing w:val="-63"/>
        </w:rPr>
        <w:t> </w:t>
      </w:r>
      <w:r>
        <w:rPr>
          <w:spacing w:val="-63"/>
        </w:rPr>
      </w:r>
      <w:r>
        <w:rPr/>
        <w:t>关键技术资料等事实和情况判断对被投资单位具有重大影响。</w:t>
      </w:r>
    </w:p>
    <w:p>
      <w:pPr>
        <w:pStyle w:val="BodyText"/>
        <w:spacing w:line="316" w:lineRule="auto" w:before="127"/>
        <w:ind w:right="1130" w:firstLine="360"/>
        <w:jc w:val="both"/>
      </w:pPr>
      <w:r>
        <w:rPr>
          <w:spacing w:val="-2"/>
        </w:rPr>
        <w:t>对被投资单位形成控制的，为本集团的子公司。通过同一控制下的企业合并取得的长期股权投资，在合并日按照取得被</w:t>
      </w:r>
      <w:r>
        <w:rPr/>
        <w:t> </w:t>
      </w:r>
      <w:r>
        <w:rPr>
          <w:spacing w:val="-2"/>
        </w:rPr>
        <w:t>合并方在最终控制方合并报表中净资产的账面价值的份额作为长期股权投资的初始投资成本。被合并方在合并日的净资产账</w:t>
      </w:r>
      <w:r>
        <w:rPr>
          <w:spacing w:val="-63"/>
        </w:rPr>
        <w:t> </w:t>
      </w:r>
      <w:r>
        <w:rPr>
          <w:spacing w:val="-63"/>
        </w:rPr>
      </w:r>
      <w:r>
        <w:rPr/>
        <w:t>面价值为负数的，长期股权投资成本按零确定。</w:t>
      </w:r>
    </w:p>
    <w:p>
      <w:pPr>
        <w:pStyle w:val="BodyText"/>
        <w:spacing w:line="316" w:lineRule="auto" w:before="119"/>
        <w:ind w:right="1034" w:firstLine="360"/>
        <w:jc w:val="left"/>
      </w:pPr>
      <w:r>
        <w:rPr>
          <w:spacing w:val="-2"/>
        </w:rPr>
        <w:t>通过多次交易分步取得同一控制下被投资单位的股权，最终形成企业合并的，应在取得控制权的报告期，补充披露在母</w:t>
      </w:r>
      <w:r>
        <w:rPr/>
        <w:t> </w:t>
      </w:r>
      <w:r>
        <w:rPr>
          <w:spacing w:val="-2"/>
        </w:rPr>
        <w:t>公司财务报表中的长期股权投资的处理方法。例如：通过多次交易分步取得同一控制下被投资单位的股权，最终形成企业合</w:t>
      </w:r>
      <w:r>
        <w:rPr>
          <w:spacing w:val="-66"/>
        </w:rPr>
        <w:t> </w:t>
      </w:r>
      <w:r>
        <w:rPr>
          <w:spacing w:val="-66"/>
        </w:rPr>
      </w:r>
      <w:r>
        <w:rPr>
          <w:spacing w:val="-2"/>
        </w:rPr>
        <w:t>并，属于一揽子交易的，本集团将各项交易作为一项取得控制权的交易进行会计处理。不属于一览交易的，在合并日，根据</w:t>
      </w:r>
      <w:r>
        <w:rPr>
          <w:spacing w:val="-67"/>
        </w:rPr>
        <w:t> </w:t>
      </w:r>
      <w:r>
        <w:rPr>
          <w:spacing w:val="-67"/>
        </w:rPr>
      </w:r>
      <w:r>
        <w:rPr>
          <w:spacing w:val="-2"/>
        </w:rPr>
        <w:t>合并后享有被合并方净资产在最终控制方合并财务报表中的账面价值的份额作为长期股权投资的的初始投资成本。初始投资</w:t>
      </w:r>
      <w:r>
        <w:rPr>
          <w:spacing w:val="-64"/>
        </w:rPr>
        <w:t> </w:t>
      </w:r>
      <w:r>
        <w:rPr>
          <w:spacing w:val="-64"/>
        </w:rPr>
      </w:r>
      <w:r>
        <w:rPr/>
        <w:t>成本与达到合并前的长期股权投资账面价值加上合并日进一步取得股份新支付对价的账面价值之和的差额，调整资本公积， 资本公积不足冲减的，冲减留存收益。</w:t>
      </w:r>
    </w:p>
    <w:p>
      <w:pPr>
        <w:pStyle w:val="BodyText"/>
        <w:spacing w:line="412" w:lineRule="exact" w:before="1"/>
        <w:ind w:left="513" w:right="0"/>
        <w:jc w:val="left"/>
      </w:pPr>
      <w:r>
        <w:rPr/>
        <w:t>通过非同一控制下的企业合并取得的长期股权投资，以合并成本作为初始投资成本。 </w:t>
      </w:r>
      <w:r>
        <w:rPr>
          <w:spacing w:val="-2"/>
        </w:rPr>
        <w:t>通过多次交易分步取得非同一控制下被投资单位的股权，最终形成企业合并的，应在取得控制权的报告期，补充披露在</w:t>
      </w:r>
    </w:p>
    <w:p>
      <w:pPr>
        <w:pStyle w:val="BodyText"/>
        <w:spacing w:line="316" w:lineRule="auto" w:before="19"/>
        <w:ind w:right="1129"/>
        <w:jc w:val="both"/>
      </w:pPr>
      <w:r>
        <w:rPr>
          <w:spacing w:val="-2"/>
        </w:rPr>
        <w:t>母公司财务报表中的长期股权投资成本处理方法。例如：通过多次交易分步取得非同一控制下被投资单位的股权，最终形成</w:t>
      </w:r>
      <w:r>
        <w:rPr>
          <w:spacing w:val="-66"/>
        </w:rPr>
        <w:t> </w:t>
      </w:r>
      <w:r>
        <w:rPr>
          <w:spacing w:val="-66"/>
        </w:rPr>
      </w:r>
      <w:r>
        <w:rPr>
          <w:spacing w:val="-2"/>
        </w:rPr>
        <w:t>企业合并，属于一揽子交易的，本集团将各项交易作为一项取得控制权的交易进行会计处理。不属于一揽子交易的，按照原</w:t>
      </w:r>
      <w:r>
        <w:rPr>
          <w:spacing w:val="-62"/>
        </w:rPr>
        <w:t> </w:t>
      </w:r>
      <w:r>
        <w:rPr>
          <w:spacing w:val="-62"/>
        </w:rPr>
      </w:r>
      <w:r>
        <w:rPr>
          <w:spacing w:val="-2"/>
        </w:rPr>
        <w:t>持有的股权投资账面价值加上新增投资成本之和，作为改按成本法核算的初始投资成本。购买日之前持有的股权采用权益法</w:t>
      </w:r>
      <w:r>
        <w:rPr>
          <w:spacing w:val="-64"/>
        </w:rPr>
        <w:t> </w:t>
      </w:r>
      <w:r>
        <w:rPr>
          <w:spacing w:val="-64"/>
        </w:rPr>
      </w:r>
      <w:r>
        <w:rPr>
          <w:spacing w:val="-2"/>
        </w:rPr>
        <w:t>核算的，原权益法核算的相关其他综合收益暂不做调整，在处置该项投资时采用与被投资单位直接处置相关资产或负债相同</w:t>
      </w:r>
      <w:r>
        <w:rPr>
          <w:spacing w:val="-64"/>
        </w:rPr>
        <w:t> </w:t>
      </w:r>
      <w:r>
        <w:rPr>
          <w:spacing w:val="-64"/>
        </w:rPr>
      </w:r>
      <w:r>
        <w:rPr>
          <w:spacing w:val="-2"/>
        </w:rPr>
        <w:t>的基础进行会计处理。购买日之前持有的股权在可供出售金融资产中采用公允价值核算的，原计入其他综合收益的累计公允</w:t>
      </w:r>
      <w:r>
        <w:rPr>
          <w:spacing w:val="-64"/>
        </w:rPr>
        <w:t> </w:t>
      </w:r>
      <w:r>
        <w:rPr>
          <w:spacing w:val="-64"/>
        </w:rPr>
      </w:r>
      <w:r>
        <w:rPr/>
        <w:t>价值变动在合并日转入当期投资损益。</w:t>
      </w:r>
    </w:p>
    <w:p>
      <w:pPr>
        <w:spacing w:after="0" w:line="316"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0" w:firstLine="360"/>
        <w:jc w:val="left"/>
      </w:pPr>
      <w:r>
        <w:rPr>
          <w:spacing w:val="-4"/>
        </w:rPr>
        <w:t>除上述通过企业合并取得的长期股权投资外，以支付现金取得的长期股权投资，按照实际支付的购买价款作为投资成本；</w:t>
      </w:r>
      <w:r>
        <w:rPr/>
        <w:t> </w:t>
      </w:r>
      <w:r>
        <w:rPr>
          <w:spacing w:val="-2"/>
        </w:rPr>
        <w:t>以发行权益性证券取得的长期股权投资，按照发行权益性证券的公允价值作为投资成本；投资者投入的长期股权投资，按照</w:t>
      </w:r>
      <w:r>
        <w:rPr>
          <w:spacing w:val="-62"/>
        </w:rPr>
        <w:t> </w:t>
      </w:r>
      <w:r>
        <w:rPr>
          <w:spacing w:val="-62"/>
        </w:rPr>
      </w:r>
      <w:r>
        <w:rPr>
          <w:spacing w:val="-2"/>
        </w:rPr>
        <w:t>投资合同或协议约定的价值作为投资成本；公司如有以债务重组、非货币性资产交换等方式取得的长期股权投资，应根据相</w:t>
      </w:r>
      <w:r>
        <w:rPr>
          <w:spacing w:val="-63"/>
        </w:rPr>
        <w:t> </w:t>
      </w:r>
      <w:r>
        <w:rPr>
          <w:spacing w:val="-63"/>
        </w:rPr>
      </w:r>
      <w:r>
        <w:rPr/>
        <w:t>关企业会计准则的规定并结合公司的实际情况披露确定投资成本的方法。</w:t>
      </w:r>
    </w:p>
    <w:p>
      <w:pPr>
        <w:pStyle w:val="BodyText"/>
        <w:spacing w:line="240" w:lineRule="auto" w:before="118"/>
        <w:ind w:left="513" w:right="1133"/>
        <w:jc w:val="left"/>
      </w:pPr>
      <w:r>
        <w:rPr/>
        <w:t>本集团对子公司投资采用成本法核算，对合营企业及联营企业投资采用权益法核算。</w:t>
      </w:r>
    </w:p>
    <w:p>
      <w:pPr>
        <w:spacing w:line="240" w:lineRule="auto" w:before="7"/>
        <w:rPr>
          <w:rFonts w:ascii="宋体" w:hAnsi="宋体" w:cs="宋体" w:eastAsia="宋体" w:hint="default"/>
          <w:sz w:val="13"/>
          <w:szCs w:val="13"/>
        </w:rPr>
      </w:pPr>
    </w:p>
    <w:p>
      <w:pPr>
        <w:pStyle w:val="BodyText"/>
        <w:spacing w:line="314" w:lineRule="auto"/>
        <w:ind w:right="1132" w:firstLine="360"/>
        <w:jc w:val="both"/>
      </w:pPr>
      <w:r>
        <w:rPr>
          <w:spacing w:val="-2"/>
        </w:rPr>
        <w:t>后续计量采用成本法核算的长期股权投资，在追加投资时，按照追加投资支付的成本额公允价值及发生的相关交易费用</w:t>
      </w:r>
      <w:r>
        <w:rPr/>
        <w:t> 增加长期股权投资成本的账面价值。被投资单位宣告分派的现金股利或利润，按照应享有的金额确认为当期投资收益。</w:t>
      </w:r>
    </w:p>
    <w:p>
      <w:pPr>
        <w:pStyle w:val="BodyText"/>
        <w:spacing w:line="316" w:lineRule="auto" w:before="121"/>
        <w:ind w:right="1130" w:firstLine="360"/>
        <w:jc w:val="both"/>
      </w:pPr>
      <w:r>
        <w:rPr>
          <w:spacing w:val="-2"/>
        </w:rPr>
        <w:t>后续计量采用权益法核算的长期股权投资，随着被他投资单位所有者权益的变动相应调整增加或减少长期股权投资的账</w:t>
      </w:r>
      <w:r>
        <w:rPr/>
        <w:t> </w:t>
      </w:r>
      <w:r>
        <w:rPr>
          <w:spacing w:val="-2"/>
        </w:rPr>
        <w:t>面价值。其中在确认应享有被投资单位净损益的份额时，以取得投资时被投资单位各项可辨认资产等的公允价值为基础，按</w:t>
      </w:r>
      <w:r>
        <w:rPr>
          <w:spacing w:val="-63"/>
        </w:rPr>
        <w:t> </w:t>
      </w:r>
      <w:r>
        <w:rPr>
          <w:spacing w:val="-63"/>
        </w:rPr>
      </w:r>
      <w:r>
        <w:rPr>
          <w:spacing w:val="-2"/>
        </w:rPr>
        <w:t>照本集团的会计政策及会计期间，并抵销与联营企业及合营企业之间发生的内部交易损益按照持股比例计算归属于投资企业</w:t>
      </w:r>
      <w:r>
        <w:rPr>
          <w:spacing w:val="-64"/>
        </w:rPr>
        <w:t> </w:t>
      </w:r>
      <w:r>
        <w:rPr>
          <w:spacing w:val="-64"/>
        </w:rPr>
      </w:r>
      <w:r>
        <w:rPr/>
        <w:t>的部分，对被投资单位的净利润进行调整后确认。</w:t>
      </w:r>
    </w:p>
    <w:p>
      <w:pPr>
        <w:pStyle w:val="BodyText"/>
        <w:spacing w:line="316" w:lineRule="auto" w:before="120"/>
        <w:ind w:right="1132" w:firstLine="360"/>
        <w:jc w:val="both"/>
      </w:pPr>
      <w:r>
        <w:rPr>
          <w:spacing w:val="-2"/>
        </w:rPr>
        <w:t>处置长期股权投资，其账面价值与实际取得价款的差额，计入当期投资收益。采用权益法核算的长期股权投资，因被投</w:t>
      </w:r>
      <w:r>
        <w:rPr/>
        <w:t> </w:t>
      </w:r>
      <w:r>
        <w:rPr>
          <w:spacing w:val="-2"/>
        </w:rPr>
        <w:t>资单位除净损益以外所有者权益的其他变动而计入所有者权益的，处置该项投资时将原计入所有者权益的部分按相应比例转</w:t>
      </w:r>
      <w:r>
        <w:rPr>
          <w:spacing w:val="-64"/>
        </w:rPr>
        <w:t> </w:t>
      </w:r>
      <w:r>
        <w:rPr>
          <w:spacing w:val="-64"/>
        </w:rPr>
      </w:r>
      <w:r>
        <w:rPr/>
        <w:t>入当期投资损益。</w:t>
      </w:r>
    </w:p>
    <w:p>
      <w:pPr>
        <w:spacing w:line="240" w:lineRule="auto" w:before="10"/>
        <w:rPr>
          <w:rFonts w:ascii="宋体" w:hAnsi="宋体" w:cs="宋体" w:eastAsia="宋体" w:hint="default"/>
          <w:sz w:val="19"/>
          <w:szCs w:val="19"/>
        </w:rPr>
      </w:pPr>
    </w:p>
    <w:p>
      <w:pPr>
        <w:pStyle w:val="BodyText"/>
        <w:spacing w:line="316" w:lineRule="auto"/>
        <w:ind w:right="1051" w:firstLine="360"/>
        <w:jc w:val="both"/>
      </w:pPr>
      <w:r>
        <w:rPr>
          <w:spacing w:val="-2"/>
        </w:rPr>
        <w:t>因处置部分股权投资等原因丧失了对被投资单位的共同控制或重大影响的，处置后的剩余股权改按可供出售金融资产核</w:t>
      </w:r>
      <w:r>
        <w:rPr/>
        <w:t> </w:t>
      </w:r>
      <w:r>
        <w:rPr>
          <w:spacing w:val="-2"/>
        </w:rPr>
        <w:t>算，剩余股权在丧失共同控制或重大影响之日的公允价值与账面价值之间的差额计入当期损益。原股权投资因采用权益法核</w:t>
      </w:r>
      <w:r>
        <w:rPr>
          <w:spacing w:val="-64"/>
        </w:rPr>
        <w:t> </w:t>
      </w:r>
      <w:r>
        <w:rPr>
          <w:spacing w:val="-64"/>
        </w:rPr>
      </w:r>
      <w:r>
        <w:rPr/>
        <w:t>算而确认的其他综合收益，在终止采用权益法核算时采用与被投资单位直接处置相关资产或负债相同的基础进行会计处理。</w:t>
      </w:r>
    </w:p>
    <w:p>
      <w:pPr>
        <w:pStyle w:val="BodyText"/>
        <w:spacing w:line="316" w:lineRule="auto" w:before="119"/>
        <w:ind w:right="1131" w:firstLine="360"/>
        <w:jc w:val="both"/>
      </w:pPr>
      <w:r>
        <w:rPr>
          <w:spacing w:val="-2"/>
        </w:rPr>
        <w:t>因处置部分长期股权投资丧失了对被投资单位控制的，处置后的剩余股权能够对被投资单位实施共同控制或施加重大影</w:t>
      </w:r>
      <w:r>
        <w:rPr/>
        <w:t> </w:t>
      </w:r>
      <w:r>
        <w:rPr>
          <w:spacing w:val="-2"/>
        </w:rPr>
        <w:t>响的，改按权益法核算，处置股权账面价值和处置对价的差额计入投资收益，并对该剩余股权视同自取得时即采用权益法核</w:t>
      </w:r>
      <w:r>
        <w:rPr>
          <w:spacing w:val="-66"/>
        </w:rPr>
        <w:t> </w:t>
      </w:r>
      <w:r>
        <w:rPr>
          <w:spacing w:val="-66"/>
        </w:rPr>
      </w:r>
      <w:r>
        <w:rPr>
          <w:spacing w:val="-2"/>
        </w:rPr>
        <w:t>算进行调整；处置后的剩余股权不能对被投资单位实施共同控制或施加重大影响的，改按可供出售金融资产的有关规定进行</w:t>
      </w:r>
      <w:r>
        <w:rPr>
          <w:spacing w:val="-64"/>
        </w:rPr>
        <w:t> </w:t>
      </w:r>
      <w:r>
        <w:rPr>
          <w:spacing w:val="-64"/>
        </w:rPr>
      </w:r>
      <w:r>
        <w:rPr>
          <w:spacing w:val="-2"/>
        </w:rPr>
        <w:t>会计处理，处置股权账面价值和处置对价的差额计入投资收益，剩余股权在丧失控制之日的公允价值与账面价值间的差额计</w:t>
      </w:r>
      <w:r>
        <w:rPr>
          <w:spacing w:val="-64"/>
        </w:rPr>
        <w:t> </w:t>
      </w:r>
      <w:r>
        <w:rPr>
          <w:spacing w:val="-64"/>
        </w:rPr>
      </w:r>
      <w:r>
        <w:rPr/>
        <w:t>入当期投资损益。</w:t>
      </w:r>
    </w:p>
    <w:p>
      <w:pPr>
        <w:pStyle w:val="BodyText"/>
        <w:spacing w:line="307" w:lineRule="auto" w:before="119"/>
        <w:ind w:right="1133" w:firstLine="360"/>
        <w:jc w:val="both"/>
      </w:pPr>
      <w:r>
        <w:rPr/>
        <w:t>本集团对于分步处置股权至丧失控股权的各项交易不属于一揽子交易的，对每一项交易分别进行会计处理。属于</w:t>
      </w:r>
      <w:r>
        <w:rPr>
          <w:rFonts w:ascii="Times New Roman" w:hAnsi="Times New Roman" w:cs="Times New Roman" w:eastAsia="Times New Roman" w:hint="default"/>
        </w:rPr>
        <w:t>“</w:t>
      </w:r>
      <w:r>
        <w:rPr/>
        <w:t>一揽 子交易</w:t>
      </w:r>
      <w:r>
        <w:rPr>
          <w:rFonts w:ascii="Times New Roman" w:hAnsi="Times New Roman" w:cs="Times New Roman" w:eastAsia="Times New Roman" w:hint="default"/>
        </w:rPr>
        <w:t>”</w:t>
      </w:r>
      <w:r>
        <w:rPr/>
        <w:t>的，将各项交易作为一项处置子公司并丧失控制权的交易进行会计处理，但是，在丧失控制权之前每一次交易处置</w:t>
      </w:r>
      <w:r>
        <w:rPr>
          <w:spacing w:val="-75"/>
        </w:rPr>
        <w:t> </w:t>
      </w:r>
      <w:r>
        <w:rPr>
          <w:spacing w:val="-75"/>
        </w:rPr>
      </w:r>
      <w:r>
        <w:rPr>
          <w:spacing w:val="-2"/>
        </w:rPr>
        <w:t>价款与所处置的股权对应的长期股权投资账面价值之间的差额，确认为其他综合收益，到丧失控制权时再一并转入丧失控制</w:t>
      </w:r>
      <w:r>
        <w:rPr>
          <w:spacing w:val="-64"/>
        </w:rPr>
        <w:t> </w:t>
      </w:r>
      <w:r>
        <w:rPr>
          <w:spacing w:val="-64"/>
        </w:rPr>
      </w:r>
      <w:r>
        <w:rPr/>
        <w:t>权的当期损益。</w:t>
      </w:r>
    </w:p>
    <w:p>
      <w:pPr>
        <w:spacing w:line="240" w:lineRule="auto" w:before="4"/>
        <w:rPr>
          <w:rFonts w:ascii="宋体" w:hAnsi="宋体" w:cs="宋体" w:eastAsia="宋体" w:hint="default"/>
          <w:sz w:val="23"/>
          <w:szCs w:val="23"/>
        </w:rPr>
      </w:pPr>
    </w:p>
    <w:p>
      <w:pPr>
        <w:pStyle w:val="Heading3"/>
        <w:spacing w:line="240" w:lineRule="auto"/>
        <w:ind w:right="1133"/>
        <w:jc w:val="left"/>
        <w:rPr>
          <w:b w:val="0"/>
          <w:bCs w:val="0"/>
        </w:rPr>
      </w:pPr>
      <w:bookmarkStart w:name="23、投资性房地产" w:id="200"/>
      <w:bookmarkEnd w:id="200"/>
      <w:r>
        <w:rPr>
          <w:b w:val="0"/>
          <w:bCs w:val="0"/>
        </w:rPr>
      </w:r>
      <w:r>
        <w:rPr>
          <w:rFonts w:ascii="Times New Roman" w:hAnsi="Times New Roman" w:cs="Times New Roman" w:eastAsia="Times New Roman" w:hint="default"/>
        </w:rPr>
        <w:t>23</w:t>
      </w:r>
      <w:r>
        <w:rPr/>
        <w:t>、投资性房地产</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8954"/>
        <w:jc w:val="left"/>
      </w:pPr>
      <w:r>
        <w:rPr/>
        <w:t>投资性房地产计量模式 成本法计量 折旧或摊销方法</w:t>
      </w:r>
    </w:p>
    <w:p>
      <w:pPr>
        <w:pStyle w:val="BodyText"/>
        <w:spacing w:line="550" w:lineRule="exact" w:before="1"/>
        <w:ind w:left="513" w:right="0"/>
        <w:jc w:val="left"/>
      </w:pPr>
      <w:r>
        <w:rPr/>
        <w:t>本集团投资性房地产包括房屋及建筑物。采用成本价值模式计量。 </w:t>
      </w:r>
      <w:r>
        <w:rPr>
          <w:spacing w:val="-1"/>
        </w:rPr>
        <w:t>本集团投资性房地产采用平均年限法计提折旧或摊销。各类投资性房地产的预计使用寿命、净残值率及年折旧</w:t>
      </w:r>
      <w:r>
        <w:rPr>
          <w:rFonts w:ascii="Times New Roman" w:hAnsi="Times New Roman" w:cs="Times New Roman" w:eastAsia="Times New Roman" w:hint="default"/>
          <w:spacing w:val="-1"/>
        </w:rPr>
        <w:t>(</w:t>
      </w:r>
      <w:r>
        <w:rPr>
          <w:spacing w:val="-1"/>
        </w:rPr>
        <w:t>摊销</w:t>
      </w:r>
      <w:r>
        <w:rPr>
          <w:rFonts w:ascii="Times New Roman" w:hAnsi="Times New Roman" w:cs="Times New Roman" w:eastAsia="Times New Roman" w:hint="default"/>
          <w:spacing w:val="-1"/>
        </w:rPr>
        <w:t>)</w:t>
      </w:r>
      <w:r>
        <w:rPr>
          <w:spacing w:val="-1"/>
        </w:rPr>
        <w:t>率</w:t>
      </w:r>
    </w:p>
    <w:p>
      <w:pPr>
        <w:pStyle w:val="BodyText"/>
        <w:spacing w:line="227" w:lineRule="exact"/>
        <w:ind w:right="1133"/>
        <w:jc w:val="left"/>
      </w:pPr>
      <w:r>
        <w:rPr/>
        <w:t>如下：</w:t>
      </w:r>
    </w:p>
    <w:p>
      <w:pPr>
        <w:spacing w:line="240" w:lineRule="auto" w:before="4"/>
        <w:rPr>
          <w:rFonts w:ascii="宋体" w:hAnsi="宋体" w:cs="宋体" w:eastAsia="宋体" w:hint="default"/>
          <w:sz w:val="15"/>
          <w:szCs w:val="15"/>
        </w:rPr>
      </w:pPr>
    </w:p>
    <w:tbl>
      <w:tblPr>
        <w:tblW w:w="0" w:type="auto"/>
        <w:jc w:val="left"/>
        <w:tblInd w:w="145" w:type="dxa"/>
        <w:tblLayout w:type="fixed"/>
        <w:tblCellMar>
          <w:top w:w="0" w:type="dxa"/>
          <w:left w:w="0" w:type="dxa"/>
          <w:bottom w:w="0" w:type="dxa"/>
          <w:right w:w="0" w:type="dxa"/>
        </w:tblCellMar>
        <w:tblLook w:val="01E0"/>
      </w:tblPr>
      <w:tblGrid>
        <w:gridCol w:w="2492"/>
        <w:gridCol w:w="2045"/>
        <w:gridCol w:w="2410"/>
        <w:gridCol w:w="2693"/>
      </w:tblGrid>
      <w:tr>
        <w:trPr>
          <w:trHeight w:val="334" w:hRule="exact"/>
        </w:trPr>
        <w:tc>
          <w:tcPr>
            <w:tcW w:w="249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left="5"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204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b/>
                <w:bCs/>
                <w:sz w:val="18"/>
                <w:szCs w:val="18"/>
              </w:rPr>
              <w:t>折旧年限（年）</w:t>
            </w:r>
            <w:r>
              <w:rPr>
                <w:rFonts w:ascii="宋体" w:hAnsi="宋体" w:cs="宋体" w:eastAsia="宋体" w:hint="default"/>
                <w:sz w:val="18"/>
                <w:szCs w:val="18"/>
              </w:rPr>
            </w:r>
          </w:p>
        </w:tc>
        <w:tc>
          <w:tcPr>
            <w:tcW w:w="24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left="2" w:right="0"/>
              <w:jc w:val="center"/>
              <w:rPr>
                <w:rFonts w:ascii="宋体" w:hAnsi="宋体" w:cs="宋体" w:eastAsia="宋体" w:hint="default"/>
                <w:sz w:val="18"/>
                <w:szCs w:val="18"/>
              </w:rPr>
            </w:pPr>
            <w:r>
              <w:rPr>
                <w:rFonts w:ascii="宋体" w:hAnsi="宋体" w:cs="宋体" w:eastAsia="宋体" w:hint="default"/>
                <w:b/>
                <w:bCs/>
                <w:sz w:val="18"/>
                <w:szCs w:val="18"/>
              </w:rPr>
              <w:t>预计残值率（</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269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b/>
                <w:bCs/>
                <w:sz w:val="18"/>
                <w:szCs w:val="18"/>
              </w:rPr>
              <w:t>年折旧率（</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48" w:hRule="exact"/>
        </w:trPr>
        <w:tc>
          <w:tcPr>
            <w:tcW w:w="249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045"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5.00-10.00</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4.50-4.75</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24、固定资产" w:id="201"/>
      <w:bookmarkEnd w:id="201"/>
      <w:r>
        <w:rPr>
          <w:b w:val="0"/>
          <w:bCs w:val="0"/>
        </w:rPr>
      </w:r>
      <w:r>
        <w:rPr>
          <w:rFonts w:ascii="Times New Roman" w:hAnsi="Times New Roman" w:cs="Times New Roman" w:eastAsia="Times New Roman" w:hint="default"/>
        </w:rPr>
        <w:t>24</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确认条件" w:id="202"/>
      <w:bookmarkEnd w:id="202"/>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034" w:firstLine="360"/>
        <w:jc w:val="left"/>
      </w:pPr>
      <w:r>
        <w:rPr>
          <w:spacing w:val="-2"/>
        </w:rPr>
        <w:t>本集团固定资产是指同时具有以下特征，即为生产商品、提供劳务、出租或经营管理而持有的，使用年限超过一年的有</w:t>
      </w:r>
      <w:r>
        <w:rPr/>
        <w:t> </w:t>
      </w:r>
      <w:r>
        <w:rPr>
          <w:spacing w:val="-2"/>
        </w:rPr>
        <w:t>形资产。固定资产在与其有关的经济利益很可能流入本集团、且其成本能够可靠计量时予以确认。固定资产包括房屋及建筑</w:t>
      </w:r>
      <w:r>
        <w:rPr>
          <w:spacing w:val="-63"/>
        </w:rPr>
        <w:t> </w:t>
      </w:r>
      <w:r>
        <w:rPr>
          <w:spacing w:val="-63"/>
        </w:rPr>
      </w:r>
      <w:r>
        <w:rPr>
          <w:spacing w:val="-2"/>
        </w:rPr>
        <w:t>物、机器设备、运输设备、办公设备和模具，按其取得时的成本作为入账的价值，其中，外购的固定资产成本包括买价和进</w:t>
      </w:r>
      <w:r>
        <w:rPr>
          <w:spacing w:val="-68"/>
        </w:rPr>
        <w:t> </w:t>
      </w:r>
      <w:r>
        <w:rPr>
          <w:spacing w:val="-68"/>
        </w:rPr>
      </w:r>
      <w:r>
        <w:rPr>
          <w:spacing w:val="-2"/>
        </w:rPr>
        <w:t>口关税等相关税费，以及为使固定资产达到预定可使用状态前所发生的可直接归属于该资产的其他支出；自行建造固定资产</w:t>
      </w:r>
      <w:r>
        <w:rPr>
          <w:spacing w:val="-64"/>
        </w:rPr>
        <w:t> </w:t>
      </w:r>
      <w:r>
        <w:rPr>
          <w:spacing w:val="-64"/>
        </w:rPr>
      </w:r>
      <w:r>
        <w:rPr>
          <w:spacing w:val="-2"/>
        </w:rPr>
        <w:t>的成本，由建造该项资产达到预定可使用状态前所发生的必要支出构成；投资者投入的固定资产，按投资合同或协议约定的</w:t>
      </w:r>
      <w:r>
        <w:rPr>
          <w:spacing w:val="-62"/>
        </w:rPr>
        <w:t> </w:t>
      </w:r>
      <w:r>
        <w:rPr>
          <w:spacing w:val="-62"/>
        </w:rPr>
      </w:r>
      <w:r>
        <w:rPr>
          <w:spacing w:val="-2"/>
        </w:rPr>
        <w:t>价值作为入账价值，但合同或协议约定价值不公允的按公允价值入账；融资租赁租入的固定资产，按租赁开始日租赁资产公</w:t>
      </w:r>
      <w:r>
        <w:rPr>
          <w:spacing w:val="-63"/>
        </w:rPr>
        <w:t> </w:t>
      </w:r>
      <w:r>
        <w:rPr>
          <w:spacing w:val="-63"/>
        </w:rPr>
      </w:r>
      <w:r>
        <w:rPr/>
        <w:t>允价值与最低租赁付款额现值两者中较低者作为入账价值。与固定资产有关的后续支出，包括修理支出、更新改造支出等， </w:t>
      </w:r>
      <w:r>
        <w:rPr>
          <w:spacing w:val="-2"/>
        </w:rPr>
        <w:t>符合固定资产确认条件的，计入固定资产成本，对于被替换的部分，终止确认其账面价值；不符合固定资产确认条件的，于</w:t>
      </w:r>
      <w:r>
        <w:rPr>
          <w:spacing w:val="-67"/>
        </w:rPr>
        <w:t> </w:t>
      </w:r>
      <w:r>
        <w:rPr>
          <w:spacing w:val="-67"/>
        </w:rPr>
      </w:r>
      <w:r>
        <w:rPr/>
        <w:t>发生时计入当期损益。</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bookmarkStart w:name="（2）折旧方法" w:id="203"/>
      <w:bookmarkEnd w:id="203"/>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19" w:firstLine="360"/>
        <w:jc w:val="left"/>
      </w:pPr>
      <w:r>
        <w:rPr>
          <w:spacing w:val="-2"/>
        </w:rPr>
        <w:t>除已提足折旧仍继续使用的固定资产和单独计价入账的土地外，本集团对所有固定资产计提折旧，计提折旧时采用平均</w:t>
      </w:r>
      <w:r>
        <w:rPr/>
        <w:t> 年限法。</w:t>
      </w:r>
    </w:p>
    <w:p>
      <w:pPr>
        <w:pStyle w:val="BodyText"/>
        <w:spacing w:line="240" w:lineRule="auto" w:before="57"/>
        <w:ind w:left="513" w:right="1133"/>
        <w:jc w:val="left"/>
      </w:pPr>
      <w:r>
        <w:rPr/>
        <w:t>本公司及其子公司（除联动优势科技有限公司及其子公司）固定资产的分类折旧年限、预计净残值率、折旧率如下：</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5.00-10.00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4.50-4.75</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5.00-10.00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9.00-9.50</w:t>
            </w:r>
          </w:p>
        </w:tc>
      </w:tr>
      <w:tr>
        <w:trPr>
          <w:trHeight w:val="404"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5.00-10.00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18.00-23.75</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5.00-10.00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18.00-31.67</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模具</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5.00-10.00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18.00-19.00</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25.00</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20.00-50.00</w:t>
            </w:r>
          </w:p>
        </w:tc>
      </w:tr>
    </w:tbl>
    <w:p>
      <w:pPr>
        <w:spacing w:line="240" w:lineRule="auto" w:before="7"/>
        <w:rPr>
          <w:rFonts w:ascii="宋体" w:hAnsi="宋体" w:cs="宋体" w:eastAsia="宋体" w:hint="default"/>
          <w:sz w:val="15"/>
          <w:szCs w:val="15"/>
        </w:rPr>
      </w:pPr>
    </w:p>
    <w:p>
      <w:pPr>
        <w:pStyle w:val="BodyText"/>
        <w:spacing w:line="316" w:lineRule="auto" w:before="44"/>
        <w:ind w:right="1133" w:firstLine="360"/>
        <w:jc w:val="both"/>
      </w:pPr>
      <w:r>
        <w:rPr>
          <w:spacing w:val="-2"/>
        </w:rPr>
        <w:t>本集团于每年年度终了，对固定资产的预计使用寿命、预计净残值和折旧方法进行复核，如发生改变，则作为会计估计</w:t>
      </w:r>
      <w:r>
        <w:rPr/>
        <w:t> 变更处理。</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bookmarkStart w:name="（3）融资租入固定资产的认定依据、计价和折旧方法" w:id="204"/>
      <w:bookmarkEnd w:id="204"/>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25、在建工程" w:id="205"/>
      <w:bookmarkEnd w:id="205"/>
      <w:r>
        <w:rPr>
          <w:b w:val="0"/>
          <w:bCs w:val="0"/>
        </w:rPr>
      </w:r>
      <w:r>
        <w:rPr>
          <w:rFonts w:ascii="Times New Roman" w:hAnsi="Times New Roman" w:cs="Times New Roman" w:eastAsia="Times New Roman" w:hint="default"/>
        </w:rPr>
        <w:t>25</w:t>
      </w:r>
      <w:r>
        <w:rPr/>
        <w:t>、在建工程</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1" w:firstLine="360"/>
        <w:jc w:val="both"/>
      </w:pPr>
      <w:r>
        <w:rPr>
          <w:spacing w:val="-2"/>
        </w:rPr>
        <w:t>在建工程按实际发生的成本计量。自营建筑工程按直接材料、直接工资、直接施工费等计量；出包建筑工程按应支付的</w:t>
      </w:r>
      <w:r>
        <w:rPr/>
        <w:t> </w:t>
      </w:r>
      <w:r>
        <w:rPr>
          <w:spacing w:val="-2"/>
        </w:rPr>
        <w:t>工程价款等计量；设备安装工程按所安装设备的价值、安装费用、工程试运转等所发生的支出等确定工程成本。在建工程成</w:t>
      </w:r>
      <w:r>
        <w:rPr>
          <w:spacing w:val="-65"/>
        </w:rPr>
        <w:t> </w:t>
      </w:r>
      <w:r>
        <w:rPr>
          <w:spacing w:val="-65"/>
        </w:rPr>
      </w:r>
      <w:r>
        <w:rPr/>
        <w:t>本还包括应当资本化的借款费用和汇兑损益。</w:t>
      </w:r>
    </w:p>
    <w:p>
      <w:pPr>
        <w:spacing w:after="0" w:line="316"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0" w:firstLine="360"/>
        <w:jc w:val="left"/>
      </w:pPr>
      <w:r>
        <w:rPr>
          <w:spacing w:val="-2"/>
        </w:rPr>
        <w:t>在建工程在达到预定可使用状态之日起，根据工程预算、造价或工程实际成本等，按估计的价值结转固定资产，次月起</w:t>
      </w:r>
      <w:r>
        <w:rPr/>
        <w:t> 开始计提折旧，待办理了竣工决算手续后再对固定资产原值差异进行调整。</w:t>
      </w:r>
    </w:p>
    <w:p>
      <w:pPr>
        <w:spacing w:line="240" w:lineRule="auto" w:before="9"/>
        <w:rPr>
          <w:rFonts w:ascii="宋体" w:hAnsi="宋体" w:cs="宋体" w:eastAsia="宋体" w:hint="default"/>
          <w:sz w:val="22"/>
          <w:szCs w:val="22"/>
        </w:rPr>
      </w:pPr>
    </w:p>
    <w:p>
      <w:pPr>
        <w:pStyle w:val="Heading3"/>
        <w:spacing w:line="240" w:lineRule="auto"/>
        <w:ind w:right="1133"/>
        <w:jc w:val="left"/>
        <w:rPr>
          <w:b w:val="0"/>
          <w:bCs w:val="0"/>
        </w:rPr>
      </w:pPr>
      <w:bookmarkStart w:name="26、借款费用" w:id="206"/>
      <w:bookmarkEnd w:id="206"/>
      <w:r>
        <w:rPr>
          <w:b w:val="0"/>
          <w:bCs w:val="0"/>
        </w:rPr>
      </w:r>
      <w:r>
        <w:rPr>
          <w:rFonts w:ascii="Times New Roman" w:hAnsi="Times New Roman" w:cs="Times New Roman" w:eastAsia="Times New Roman" w:hint="default"/>
        </w:rPr>
        <w:t>26</w:t>
      </w:r>
      <w:r>
        <w:rPr/>
        <w:t>、借款费用</w:t>
      </w:r>
      <w:r>
        <w:rPr>
          <w:b w:val="0"/>
          <w:bCs w:val="0"/>
        </w:rPr>
      </w:r>
    </w:p>
    <w:p>
      <w:pPr>
        <w:spacing w:line="240" w:lineRule="auto" w:before="4"/>
        <w:rPr>
          <w:rFonts w:ascii="宋体" w:hAnsi="宋体" w:cs="宋体" w:eastAsia="宋体" w:hint="default"/>
          <w:b/>
          <w:bCs/>
          <w:sz w:val="26"/>
          <w:szCs w:val="26"/>
        </w:rPr>
      </w:pPr>
    </w:p>
    <w:p>
      <w:pPr>
        <w:pStyle w:val="BodyText"/>
        <w:spacing w:line="314" w:lineRule="auto"/>
        <w:ind w:right="1034" w:firstLine="360"/>
        <w:jc w:val="left"/>
      </w:pPr>
      <w:r>
        <w:rPr/>
        <w:t>发生的可直接归属于需要经过</w:t>
      </w:r>
      <w:r>
        <w:rPr>
          <w:rFonts w:ascii="Times New Roman" w:hAnsi="Times New Roman" w:cs="Times New Roman" w:eastAsia="Times New Roman" w:hint="default"/>
        </w:rPr>
        <w:t>1</w:t>
      </w:r>
      <w:r>
        <w:rPr/>
        <w:t>年以上的购建或者生产活动才能达到预定可使用或者可销售状态的固定资产、投资性房 </w:t>
      </w:r>
      <w:r>
        <w:rPr>
          <w:spacing w:val="-2"/>
        </w:rPr>
        <w:t>地产和存货等的借款费用，在资产支出已经发生、借款费用已经发生、为使资产达到预定可使用或可销售状态所必要的购建</w:t>
      </w:r>
      <w:r>
        <w:rPr>
          <w:spacing w:val="-62"/>
        </w:rPr>
        <w:t> </w:t>
      </w:r>
      <w:r>
        <w:rPr>
          <w:spacing w:val="-62"/>
        </w:rPr>
      </w:r>
      <w:r>
        <w:rPr/>
        <w:t>或生产活动已经开始时，开始资本化；当购建或生产符合资本化条件的资产达到预定可使用或可销售状态时，停止资本化， </w:t>
      </w:r>
      <w:r>
        <w:rPr>
          <w:spacing w:val="-2"/>
        </w:rPr>
        <w:t>其后发生的借款费用计入当期损益。如果符合资本化条件的资产在购建或者生产过程中发生非正常中断、且中断时间连续超</w:t>
      </w:r>
      <w:r>
        <w:rPr>
          <w:spacing w:val="-64"/>
        </w:rPr>
        <w:t> </w:t>
      </w:r>
      <w:r>
        <w:rPr>
          <w:spacing w:val="-64"/>
        </w:rPr>
      </w:r>
      <w:r>
        <w:rPr/>
        <w:t>过</w:t>
      </w:r>
      <w:r>
        <w:rPr>
          <w:rFonts w:ascii="Times New Roman" w:hAnsi="Times New Roman" w:cs="Times New Roman" w:eastAsia="Times New Roman" w:hint="default"/>
        </w:rPr>
        <w:t>3</w:t>
      </w:r>
      <w:r>
        <w:rPr/>
        <w:t>个月，暂停借款费用的资本化，直至资产的购建或生产活动重新开始。</w:t>
      </w:r>
    </w:p>
    <w:p>
      <w:pPr>
        <w:spacing w:line="240" w:lineRule="auto" w:before="5"/>
        <w:rPr>
          <w:rFonts w:ascii="宋体" w:hAnsi="宋体" w:cs="宋体" w:eastAsia="宋体" w:hint="default"/>
          <w:sz w:val="18"/>
          <w:szCs w:val="18"/>
        </w:rPr>
      </w:pPr>
    </w:p>
    <w:p>
      <w:pPr>
        <w:pStyle w:val="BodyText"/>
        <w:spacing w:line="319" w:lineRule="auto"/>
        <w:ind w:right="1132" w:firstLine="360"/>
        <w:jc w:val="both"/>
      </w:pPr>
      <w:r>
        <w:rPr>
          <w:spacing w:val="-2"/>
        </w:rPr>
        <w:t>专门借款当期实际发生的利息费用，扣除尚未动用的借款资金存入银行取得的利息收入或进行暂时性投资取得的投资收</w:t>
      </w:r>
      <w:r>
        <w:rPr/>
        <w:t> </w:t>
      </w:r>
      <w:r>
        <w:rPr>
          <w:spacing w:val="-2"/>
        </w:rPr>
        <w:t>益后的金额予以资本化；一般借款根据累计资产支出超过专门借款部分的资产支出加权平均数乘以所占用一般借款的资本化</w:t>
      </w:r>
      <w:r>
        <w:rPr>
          <w:spacing w:val="-64"/>
        </w:rPr>
        <w:t> </w:t>
      </w:r>
      <w:r>
        <w:rPr>
          <w:spacing w:val="-64"/>
        </w:rPr>
      </w:r>
      <w:r>
        <w:rPr/>
        <w:t>率，确定资本化金额。资本化率根据一般借款加权平均利率计算确定。</w:t>
      </w:r>
    </w:p>
    <w:p>
      <w:pPr>
        <w:spacing w:line="240" w:lineRule="auto" w:before="9"/>
        <w:rPr>
          <w:rFonts w:ascii="宋体" w:hAnsi="宋体" w:cs="宋体" w:eastAsia="宋体" w:hint="default"/>
          <w:sz w:val="22"/>
          <w:szCs w:val="22"/>
        </w:rPr>
      </w:pPr>
    </w:p>
    <w:p>
      <w:pPr>
        <w:pStyle w:val="Heading3"/>
        <w:spacing w:line="240" w:lineRule="auto"/>
        <w:ind w:right="1133"/>
        <w:jc w:val="left"/>
        <w:rPr>
          <w:b w:val="0"/>
          <w:bCs w:val="0"/>
        </w:rPr>
      </w:pPr>
      <w:bookmarkStart w:name="27、生物资产" w:id="207"/>
      <w:bookmarkEnd w:id="207"/>
      <w:r>
        <w:rPr>
          <w:b w:val="0"/>
          <w:bCs w:val="0"/>
        </w:rPr>
      </w:r>
      <w:r>
        <w:rPr>
          <w:rFonts w:ascii="Times New Roman" w:hAnsi="Times New Roman" w:cs="Times New Roman" w:eastAsia="Times New Roman" w:hint="default"/>
        </w:rPr>
        <w:t>27</w:t>
      </w:r>
      <w:r>
        <w:rPr/>
        <w:t>、生物资产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28、油气资产" w:id="208"/>
      <w:bookmarkEnd w:id="208"/>
      <w:r>
        <w:rPr>
          <w:b w:val="0"/>
          <w:bCs w:val="0"/>
        </w:rPr>
      </w:r>
      <w:r>
        <w:rPr>
          <w:rFonts w:ascii="Times New Roman" w:hAnsi="Times New Roman" w:cs="Times New Roman" w:eastAsia="Times New Roman" w:hint="default"/>
        </w:rPr>
        <w:t>28</w:t>
      </w:r>
      <w:r>
        <w:rPr/>
        <w:t>、油气资产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29、使用权资产" w:id="209"/>
      <w:bookmarkEnd w:id="209"/>
      <w:r>
        <w:rPr>
          <w:b w:val="0"/>
          <w:bCs w:val="0"/>
        </w:rPr>
      </w:r>
      <w:r>
        <w:rPr>
          <w:rFonts w:ascii="Times New Roman" w:hAnsi="Times New Roman" w:cs="Times New Roman" w:eastAsia="Times New Roman" w:hint="default"/>
        </w:rPr>
        <w:t>29</w:t>
      </w:r>
      <w:r>
        <w:rPr/>
        <w:t>、使用权资产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30、无形资产" w:id="210"/>
      <w:bookmarkEnd w:id="210"/>
      <w:r>
        <w:rPr>
          <w:b w:val="0"/>
          <w:bCs w:val="0"/>
        </w:rPr>
      </w:r>
      <w:r>
        <w:rPr>
          <w:rFonts w:ascii="Times New Roman" w:hAnsi="Times New Roman" w:cs="Times New Roman" w:eastAsia="Times New Roman" w:hint="default"/>
        </w:rPr>
        <w:t>30</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计价方法、使用寿命、减值测试" w:id="211"/>
      <w:bookmarkEnd w:id="211"/>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034" w:firstLine="360"/>
        <w:jc w:val="left"/>
      </w:pPr>
      <w:r>
        <w:rPr>
          <w:spacing w:val="-4"/>
        </w:rPr>
        <w:t>本集团无形资产包括土地使用权、专利技术、非专利技术、软件等，按取得时的实际成本计量，其中，购入的无形资产，</w:t>
      </w:r>
      <w:r>
        <w:rPr/>
        <w:t> 按实际支付的价款和相关的其他支出作为实际成本；投资者投入的无形资产，按投资合同或协议约定的价值确定实际成本， </w:t>
      </w:r>
      <w:r>
        <w:rPr>
          <w:spacing w:val="-2"/>
        </w:rPr>
        <w:t>但合同或协议约定价值不公允的，按公允价值确定实际成本；对非同一控制下合并中取得被购买方拥有的但在其财务报表中</w:t>
      </w:r>
      <w:r>
        <w:rPr>
          <w:spacing w:val="-63"/>
        </w:rPr>
        <w:t> </w:t>
      </w:r>
      <w:r>
        <w:rPr>
          <w:spacing w:val="-63"/>
        </w:rPr>
      </w:r>
      <w:r>
        <w:rPr/>
        <w:t>未确认的无形资产，在对被购买方资产进行初始确认时，按公允价值确认为无形资产。</w:t>
      </w:r>
    </w:p>
    <w:p>
      <w:pPr>
        <w:spacing w:line="240" w:lineRule="auto" w:before="11"/>
        <w:rPr>
          <w:rFonts w:ascii="宋体" w:hAnsi="宋体" w:cs="宋体" w:eastAsia="宋体" w:hint="default"/>
          <w:sz w:val="19"/>
          <w:szCs w:val="19"/>
        </w:rPr>
      </w:pPr>
    </w:p>
    <w:p>
      <w:pPr>
        <w:pStyle w:val="BodyText"/>
        <w:spacing w:line="316" w:lineRule="auto"/>
        <w:ind w:right="1133" w:firstLine="360"/>
        <w:jc w:val="both"/>
      </w:pPr>
      <w:r>
        <w:rPr>
          <w:spacing w:val="-2"/>
        </w:rPr>
        <w:t>土地使用权从出让起始日起，按其出让年限平均摊销；专利技术、非专利技术和其他无形资产按预计使用年限、合同规</w:t>
      </w:r>
      <w:r>
        <w:rPr/>
        <w:t> </w:t>
      </w:r>
      <w:r>
        <w:rPr>
          <w:spacing w:val="-2"/>
        </w:rPr>
        <w:t>定的受益年限和法律规定的有效年限三者中最短者分期平均摊销。摊销金额按其受益对象计入相关资产成本和当期损益。对</w:t>
      </w:r>
      <w:r>
        <w:rPr>
          <w:spacing w:val="-64"/>
        </w:rPr>
        <w:t> </w:t>
      </w:r>
      <w:r>
        <w:rPr>
          <w:spacing w:val="-64"/>
        </w:rPr>
      </w:r>
      <w:r>
        <w:rPr/>
        <w:t>使用寿命有限的无形资产的预计使用寿命及摊销方法于每年年度终了进行复核，如发生改变，则作为会计估计变更处理。</w:t>
      </w:r>
    </w:p>
    <w:p>
      <w:pPr>
        <w:spacing w:line="240" w:lineRule="auto" w:before="10"/>
        <w:rPr>
          <w:rFonts w:ascii="宋体" w:hAnsi="宋体" w:cs="宋体" w:eastAsia="宋体" w:hint="default"/>
          <w:sz w:val="19"/>
          <w:szCs w:val="19"/>
        </w:rPr>
      </w:pPr>
    </w:p>
    <w:p>
      <w:pPr>
        <w:pStyle w:val="BodyText"/>
        <w:spacing w:line="316" w:lineRule="auto"/>
        <w:ind w:right="1034" w:firstLine="360"/>
        <w:jc w:val="left"/>
      </w:pPr>
      <w:r>
        <w:rPr/>
        <w:t>在每个会计期间对使用寿命不确定的无形资产的预计使用寿命进行复核，如有证据表明无形资产的使用寿命是有限的， 则估计其使用寿命并在预计使用寿命内摊销。</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bookmarkStart w:name="（2）内部研究开发支出会计政策" w:id="212"/>
      <w:bookmarkEnd w:id="212"/>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0"/>
        <w:jc w:val="left"/>
      </w:pPr>
      <w:r>
        <w:rPr/>
        <w:t>本集团内部研究开发项目支出根据其性质以及研发活动最终形成无形资产是否具有较大不确定性</w:t>
      </w:r>
      <w:r>
        <w:rPr>
          <w:spacing w:val="-82"/>
        </w:rPr>
        <w:t>，</w:t>
      </w:r>
      <w:r>
        <w:rPr/>
        <w:t>分为研究阶段支出和</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开发阶段支出。</w:t>
      </w:r>
    </w:p>
    <w:p>
      <w:pPr>
        <w:spacing w:line="240" w:lineRule="auto" w:before="3"/>
        <w:rPr>
          <w:rFonts w:ascii="宋体" w:hAnsi="宋体" w:cs="宋体" w:eastAsia="宋体" w:hint="default"/>
          <w:sz w:val="24"/>
          <w:szCs w:val="24"/>
        </w:rPr>
      </w:pPr>
    </w:p>
    <w:p>
      <w:pPr>
        <w:pStyle w:val="BodyText"/>
        <w:spacing w:line="316" w:lineRule="auto"/>
        <w:ind w:right="1133" w:firstLine="360"/>
        <w:jc w:val="left"/>
      </w:pPr>
      <w:r>
        <w:rPr>
          <w:spacing w:val="-2"/>
        </w:rPr>
        <w:t>自行研究开发的无形资产，其研究阶段的支出，于发生时计入当期损益；其开发阶段的支出，同时满足下列条件的，确</w:t>
      </w:r>
      <w:r>
        <w:rPr/>
        <w:t> 认为无形资产：</w:t>
      </w:r>
    </w:p>
    <w:p>
      <w:pPr>
        <w:pStyle w:val="BodyText"/>
        <w:spacing w:line="240" w:lineRule="auto" w:before="19"/>
        <w:ind w:left="513" w:right="1133"/>
        <w:jc w:val="left"/>
      </w:pPr>
      <w:r>
        <w:rPr>
          <w:rFonts w:ascii="宋体" w:hAnsi="宋体" w:cs="宋体" w:eastAsia="宋体" w:hint="default"/>
        </w:rPr>
        <w:t>1</w:t>
      </w:r>
      <w:r>
        <w:rPr/>
        <w:t>）完成该无形资产以使其能够使用或出售在技术上具有可行性；</w:t>
      </w:r>
    </w:p>
    <w:p>
      <w:pPr>
        <w:pStyle w:val="BodyText"/>
        <w:spacing w:line="240" w:lineRule="auto" w:before="76"/>
        <w:ind w:left="513" w:right="1133"/>
        <w:jc w:val="left"/>
      </w:pPr>
      <w:r>
        <w:rPr>
          <w:rFonts w:ascii="宋体" w:hAnsi="宋体" w:cs="宋体" w:eastAsia="宋体" w:hint="default"/>
        </w:rPr>
        <w:t>2</w:t>
      </w:r>
      <w:r>
        <w:rPr/>
        <w:t>）具有完成该无形资产并使用或出售的意图；</w:t>
      </w:r>
    </w:p>
    <w:p>
      <w:pPr>
        <w:pStyle w:val="BodyText"/>
        <w:spacing w:line="240" w:lineRule="auto" w:before="76"/>
        <w:ind w:left="513" w:right="1133"/>
        <w:jc w:val="left"/>
      </w:pPr>
      <w:r>
        <w:rPr>
          <w:rFonts w:ascii="宋体" w:hAnsi="宋体" w:cs="宋体" w:eastAsia="宋体" w:hint="default"/>
        </w:rPr>
        <w:t>3</w:t>
      </w:r>
      <w:r>
        <w:rPr/>
        <w:t>）运用该无形资产生产的产品存在市场或无形资产自身存在市场；</w:t>
      </w:r>
    </w:p>
    <w:p>
      <w:pPr>
        <w:pStyle w:val="BodyText"/>
        <w:spacing w:line="240" w:lineRule="auto" w:before="76"/>
        <w:ind w:left="513" w:right="1133"/>
        <w:jc w:val="left"/>
      </w:pPr>
      <w:r>
        <w:rPr>
          <w:rFonts w:ascii="宋体" w:hAnsi="宋体" w:cs="宋体" w:eastAsia="宋体" w:hint="default"/>
        </w:rPr>
        <w:t>4</w:t>
      </w:r>
      <w:r>
        <w:rPr/>
        <w:t>）有足够的技术、财务资源和其他资源支持，以完成该无形资产的开发，并有能力使用或出售该无形资产；</w:t>
      </w:r>
    </w:p>
    <w:p>
      <w:pPr>
        <w:pStyle w:val="BodyText"/>
        <w:spacing w:line="240" w:lineRule="auto" w:before="76"/>
        <w:ind w:left="513" w:right="1133"/>
        <w:jc w:val="left"/>
      </w:pPr>
      <w:r>
        <w:rPr>
          <w:rFonts w:ascii="宋体" w:hAnsi="宋体" w:cs="宋体" w:eastAsia="宋体" w:hint="default"/>
        </w:rPr>
        <w:t>5</w:t>
      </w:r>
      <w:r>
        <w:rPr/>
        <w:t>）归属于该无形资产开发阶段的支出能够可靠地计量。</w:t>
      </w:r>
    </w:p>
    <w:p>
      <w:pPr>
        <w:spacing w:line="240" w:lineRule="auto" w:before="2"/>
        <w:rPr>
          <w:rFonts w:ascii="宋体" w:hAnsi="宋体" w:cs="宋体" w:eastAsia="宋体" w:hint="default"/>
          <w:sz w:val="24"/>
          <w:szCs w:val="24"/>
        </w:rPr>
      </w:pPr>
    </w:p>
    <w:p>
      <w:pPr>
        <w:pStyle w:val="BodyText"/>
        <w:spacing w:line="316" w:lineRule="auto"/>
        <w:ind w:right="1034" w:firstLine="360"/>
        <w:jc w:val="left"/>
      </w:pPr>
      <w:r>
        <w:rPr/>
        <w:t>不满足上述条件的开发阶段的支出，于发生时计入当期损益。前期已计入损益的开发支出在以后期间不再确认为资产。 已资本化的开发阶段的支出在资产负债表上列示为开发支出，自该项目达到预定可使用状态之日起转为无形资产列报。</w:t>
      </w:r>
    </w:p>
    <w:p>
      <w:pPr>
        <w:spacing w:line="240" w:lineRule="auto" w:before="11"/>
        <w:rPr>
          <w:rFonts w:ascii="宋体" w:hAnsi="宋体" w:cs="宋体" w:eastAsia="宋体" w:hint="default"/>
          <w:sz w:val="22"/>
          <w:szCs w:val="22"/>
        </w:rPr>
      </w:pPr>
    </w:p>
    <w:p>
      <w:pPr>
        <w:pStyle w:val="Heading3"/>
        <w:spacing w:line="240" w:lineRule="auto"/>
        <w:ind w:right="1133"/>
        <w:jc w:val="left"/>
        <w:rPr>
          <w:b w:val="0"/>
          <w:bCs w:val="0"/>
        </w:rPr>
      </w:pPr>
      <w:bookmarkStart w:name="31、长期资产减值" w:id="213"/>
      <w:bookmarkEnd w:id="213"/>
      <w:r>
        <w:rPr>
          <w:b w:val="0"/>
          <w:bCs w:val="0"/>
        </w:rPr>
      </w:r>
      <w:r>
        <w:rPr>
          <w:rFonts w:ascii="Times New Roman" w:hAnsi="Times New Roman" w:cs="Times New Roman" w:eastAsia="Times New Roman" w:hint="default"/>
        </w:rPr>
        <w:t>31</w:t>
      </w:r>
      <w:r>
        <w:rPr/>
        <w:t>、长期资产减值</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3" w:firstLine="360"/>
        <w:jc w:val="left"/>
      </w:pPr>
      <w:r>
        <w:rPr>
          <w:spacing w:val="-2"/>
        </w:rPr>
        <w:t>本集团于每一资产负债表日对固定资产、在建工程、使用寿命有限的无形资产等项目进行检查，当存在减值迹象时，本</w:t>
      </w:r>
      <w:r>
        <w:rPr/>
        <w:t> 集团进行减值测试。对商誉和使用寿命不确定的无形资产，无论是否存在减值迹象，每年末均进行减值测试。</w:t>
      </w:r>
    </w:p>
    <w:p>
      <w:pPr>
        <w:pStyle w:val="BodyText"/>
        <w:spacing w:line="314" w:lineRule="auto" w:before="119"/>
        <w:ind w:right="0" w:firstLine="360"/>
        <w:jc w:val="left"/>
      </w:pPr>
      <w:r>
        <w:rPr>
          <w:spacing w:val="-2"/>
        </w:rPr>
        <w:t>减值测试后，若该资产的账面价值超过其可收回金额，其差额确认为减值损失。资产的可收回金额是指资产的公允价值</w:t>
      </w:r>
      <w:r>
        <w:rPr/>
        <w:t> 减去处置费用后的净额与资产预计未来现金流量的现值两者之间的较高者。</w:t>
      </w:r>
    </w:p>
    <w:p>
      <w:pPr>
        <w:pStyle w:val="BodyText"/>
        <w:spacing w:line="240" w:lineRule="auto" w:before="121"/>
        <w:ind w:left="513" w:right="1133"/>
        <w:jc w:val="left"/>
      </w:pPr>
      <w:r>
        <w:rPr/>
        <w:t>出现减值的迹象如下：</w:t>
      </w:r>
    </w:p>
    <w:p>
      <w:pPr>
        <w:pStyle w:val="BodyText"/>
        <w:spacing w:line="240" w:lineRule="auto" w:before="76"/>
        <w:ind w:left="513" w:right="1133"/>
        <w:jc w:val="left"/>
      </w:pPr>
      <w:r>
        <w:rPr/>
        <w:t>（</w:t>
      </w:r>
      <w:r>
        <w:rPr>
          <w:rFonts w:ascii="宋体" w:hAnsi="宋体" w:cs="宋体" w:eastAsia="宋体" w:hint="default"/>
        </w:rPr>
        <w:t>1</w:t>
      </w:r>
      <w:r>
        <w:rPr/>
        <w:t>）资产的市价当期大幅度下跌，其跌幅明显高于因时间的推移或者正常使用而预计的下跌；</w:t>
      </w:r>
    </w:p>
    <w:p>
      <w:pPr>
        <w:pStyle w:val="BodyText"/>
        <w:spacing w:line="316" w:lineRule="auto" w:before="76"/>
        <w:ind w:right="1124" w:firstLine="360"/>
        <w:jc w:val="left"/>
      </w:pPr>
      <w:r>
        <w:rPr/>
        <w:t>（</w:t>
      </w:r>
      <w:r>
        <w:rPr>
          <w:rFonts w:ascii="宋体" w:hAnsi="宋体" w:cs="宋体" w:eastAsia="宋体" w:hint="default"/>
        </w:rPr>
        <w:t>2</w:t>
      </w:r>
      <w:r>
        <w:rPr/>
        <w:t>）企业经营所处的经济、技术或者法律等环境以及资产所处的市场在当期或者将在近期发生重大变化，从而对企业 产生不利影响；</w:t>
      </w:r>
    </w:p>
    <w:p>
      <w:pPr>
        <w:pStyle w:val="BodyText"/>
        <w:spacing w:line="319" w:lineRule="auto" w:before="19"/>
        <w:ind w:right="1124" w:firstLine="360"/>
        <w:jc w:val="left"/>
      </w:pPr>
      <w:r>
        <w:rPr/>
        <w:t>（</w:t>
      </w:r>
      <w:r>
        <w:rPr>
          <w:rFonts w:ascii="宋体" w:hAnsi="宋体" w:cs="宋体" w:eastAsia="宋体" w:hint="default"/>
        </w:rPr>
        <w:t>3</w:t>
      </w:r>
      <w:r>
        <w:rPr/>
        <w:t>）市场利率或者其他市场投资报酬率在当期已经提高，从而影响企业计算资产预计未来现金流量现值的折现率，导 致资产可收回金额大幅度降低；</w:t>
      </w:r>
    </w:p>
    <w:p>
      <w:pPr>
        <w:pStyle w:val="BodyText"/>
        <w:spacing w:line="240" w:lineRule="auto" w:before="17"/>
        <w:ind w:left="513" w:right="1133"/>
        <w:jc w:val="left"/>
      </w:pPr>
      <w:r>
        <w:rPr/>
        <w:t>（</w:t>
      </w:r>
      <w:r>
        <w:rPr>
          <w:rFonts w:ascii="宋体" w:hAnsi="宋体" w:cs="宋体" w:eastAsia="宋体" w:hint="default"/>
        </w:rPr>
        <w:t>4</w:t>
      </w:r>
      <w:r>
        <w:rPr/>
        <w:t>）有证据表明资产已经陈旧过时或者其实体已经损坏；</w:t>
      </w:r>
    </w:p>
    <w:p>
      <w:pPr>
        <w:pStyle w:val="BodyText"/>
        <w:spacing w:line="240" w:lineRule="auto" w:before="76"/>
        <w:ind w:left="513" w:right="1133"/>
        <w:jc w:val="left"/>
      </w:pPr>
      <w:r>
        <w:rPr/>
        <w:t>（</w:t>
      </w:r>
      <w:r>
        <w:rPr>
          <w:rFonts w:ascii="宋体" w:hAnsi="宋体" w:cs="宋体" w:eastAsia="宋体" w:hint="default"/>
        </w:rPr>
        <w:t>5</w:t>
      </w:r>
      <w:r>
        <w:rPr/>
        <w:t>）资产已经或者将被闲置、终止使用或者计划提前处置；</w:t>
      </w:r>
    </w:p>
    <w:p>
      <w:pPr>
        <w:pStyle w:val="BodyText"/>
        <w:spacing w:line="316" w:lineRule="auto" w:before="76"/>
        <w:ind w:right="1124" w:firstLine="360"/>
        <w:jc w:val="left"/>
      </w:pPr>
      <w:r>
        <w:rPr/>
        <w:t>（</w:t>
      </w:r>
      <w:r>
        <w:rPr>
          <w:rFonts w:ascii="宋体" w:hAnsi="宋体" w:cs="宋体" w:eastAsia="宋体" w:hint="default"/>
        </w:rPr>
        <w:t>6</w:t>
      </w:r>
      <w:r>
        <w:rPr/>
        <w:t>）企业内部报告的证据表明资产的经济绩效已经低于或者将低于预期，如资产所创造的净现金流量或者实现的营业 利润（或者亏损）远远低于（或者高于）预计金额等；</w:t>
      </w:r>
    </w:p>
    <w:p>
      <w:pPr>
        <w:pStyle w:val="BodyText"/>
        <w:spacing w:line="240" w:lineRule="auto" w:before="19"/>
        <w:ind w:left="513" w:right="1133"/>
        <w:jc w:val="left"/>
      </w:pPr>
      <w:r>
        <w:rPr/>
        <w:t>（</w:t>
      </w:r>
      <w:r>
        <w:rPr>
          <w:rFonts w:ascii="宋体" w:hAnsi="宋体" w:cs="宋体" w:eastAsia="宋体" w:hint="default"/>
        </w:rPr>
        <w:t>7</w:t>
      </w:r>
      <w:r>
        <w:rPr/>
        <w:t>）其他表明资产可能已经发生减值的迹象。</w:t>
      </w:r>
    </w:p>
    <w:p>
      <w:pPr>
        <w:spacing w:line="240" w:lineRule="auto" w:before="7"/>
        <w:rPr>
          <w:rFonts w:ascii="宋体" w:hAnsi="宋体" w:cs="宋体" w:eastAsia="宋体" w:hint="default"/>
          <w:sz w:val="13"/>
          <w:szCs w:val="13"/>
        </w:rPr>
      </w:pPr>
    </w:p>
    <w:p>
      <w:pPr>
        <w:pStyle w:val="BodyText"/>
        <w:spacing w:line="316" w:lineRule="auto"/>
        <w:ind w:right="0" w:firstLine="360"/>
        <w:jc w:val="left"/>
      </w:pPr>
      <w:r>
        <w:rPr>
          <w:spacing w:val="-2"/>
        </w:rPr>
        <w:t>减值测试后，若该资产的账面价值超过其可收回金额，其差额确认为减值损失，上述资产的减值损失一经确认，在以后</w:t>
      </w:r>
      <w:r>
        <w:rPr/>
        <w:t> 会计期间不予转回。</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bookmarkStart w:name="32、长期待摊费用" w:id="214"/>
      <w:bookmarkEnd w:id="214"/>
      <w:r>
        <w:rPr>
          <w:b w:val="0"/>
          <w:bCs w:val="0"/>
        </w:rPr>
      </w:r>
      <w:r>
        <w:rPr>
          <w:rFonts w:ascii="Times New Roman" w:hAnsi="Times New Roman" w:cs="Times New Roman" w:eastAsia="Times New Roman" w:hint="default"/>
        </w:rPr>
        <w:t>32</w:t>
      </w:r>
      <w:r>
        <w:rPr/>
        <w:t>、长期待摊费用</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3" w:firstLine="360"/>
        <w:jc w:val="both"/>
      </w:pPr>
      <w:r>
        <w:rPr>
          <w:spacing w:val="-2"/>
        </w:rPr>
        <w:t>本集团的长期待摊费用包括模具摊销费、工装费、装修费及软件服务费等费用。模具在受益期内按产量摊销，其他费用</w:t>
      </w:r>
      <w:r>
        <w:rPr/>
        <w:t> </w:t>
      </w:r>
      <w:r>
        <w:rPr>
          <w:spacing w:val="-2"/>
        </w:rPr>
        <w:t>在受益期内平均摊销，如果长期待摊费用项目不能使以后会计期间受益，则将尚未摊销的该项目的摊余价值全部转入当期损</w:t>
      </w:r>
      <w:r>
        <w:rPr>
          <w:spacing w:val="-64"/>
        </w:rPr>
        <w:t> </w:t>
      </w:r>
      <w:r>
        <w:rPr>
          <w:spacing w:val="-64"/>
        </w:rPr>
      </w:r>
      <w:r>
        <w:rPr/>
        <w:t>益。</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bookmarkStart w:name="33、合同负债" w:id="215"/>
      <w:bookmarkEnd w:id="215"/>
      <w:r>
        <w:rPr>
          <w:b w:val="0"/>
          <w:bCs w:val="0"/>
        </w:rPr>
      </w:r>
      <w:r>
        <w:rPr>
          <w:rFonts w:ascii="Times New Roman" w:hAnsi="Times New Roman" w:cs="Times New Roman" w:eastAsia="Times New Roman" w:hint="default"/>
        </w:rPr>
        <w:t>33</w:t>
      </w:r>
      <w:r>
        <w:rPr/>
        <w:t>、合同负债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34、职工薪酬" w:id="216"/>
      <w:bookmarkEnd w:id="216"/>
      <w:r>
        <w:rPr>
          <w:b w:val="0"/>
          <w:bCs w:val="0"/>
        </w:rPr>
      </w:r>
      <w:r>
        <w:rPr>
          <w:rFonts w:ascii="Times New Roman" w:hAnsi="Times New Roman" w:cs="Times New Roman" w:eastAsia="Times New Roman" w:hint="default"/>
        </w:rPr>
        <w:t>34</w:t>
      </w:r>
      <w:r>
        <w:rPr/>
        <w:t>、职工薪酬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短期薪酬的会计处理方法" w:id="217"/>
      <w:bookmarkEnd w:id="217"/>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pStyle w:val="BodyText"/>
        <w:spacing w:line="550" w:lineRule="atLeast" w:before="27"/>
        <w:ind w:left="513" w:right="0"/>
        <w:jc w:val="left"/>
      </w:pPr>
      <w:r>
        <w:rPr/>
        <w:t>本公司职工薪酬包括短期薪酬、离职后福利、辞退福利和其他长期福利。 </w:t>
      </w:r>
      <w:r>
        <w:rPr>
          <w:spacing w:val="-2"/>
        </w:rPr>
        <w:t>短期薪酬主要包括括工资、奖金、津贴和补贴、职工福利费、医疗保险费、生育保险费、工伤保险费、住房公积金、工</w:t>
      </w:r>
    </w:p>
    <w:p>
      <w:pPr>
        <w:pStyle w:val="BodyText"/>
        <w:spacing w:line="316" w:lineRule="auto" w:before="76"/>
        <w:ind w:right="0"/>
        <w:jc w:val="left"/>
      </w:pPr>
      <w:r>
        <w:rPr>
          <w:spacing w:val="-2"/>
        </w:rPr>
        <w:t>会经费和职工教育经费、非货币性福利等，在职工提供服务的会计期间，将实际发生的短期薪酬确认为负债，并按照受益对</w:t>
      </w:r>
      <w:r>
        <w:rPr>
          <w:spacing w:val="-65"/>
        </w:rPr>
        <w:t> </w:t>
      </w:r>
      <w:r>
        <w:rPr>
          <w:spacing w:val="-65"/>
        </w:rPr>
      </w:r>
      <w:r>
        <w:rPr/>
        <w:t>象计入当期损益或相关资产成本。</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bookmarkStart w:name="（2）离职后福利的会计处理方法" w:id="218"/>
      <w:bookmarkEnd w:id="218"/>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132" w:firstLine="360"/>
        <w:jc w:val="both"/>
      </w:pPr>
      <w:r>
        <w:rPr>
          <w:spacing w:val="-2"/>
        </w:rPr>
        <w:t>离职后福利主要包括设定提存计划。设定提存计划主要包括基本养老保险、失业保险，相应的应缴存金额于发生时计入</w:t>
      </w:r>
      <w:r>
        <w:rPr/>
        <w:t> 相关资产成本或当期损益。</w:t>
      </w:r>
    </w:p>
    <w:p>
      <w:pPr>
        <w:spacing w:line="240" w:lineRule="auto" w:before="8"/>
        <w:rPr>
          <w:rFonts w:ascii="宋体" w:hAnsi="宋体" w:cs="宋体" w:eastAsia="宋体" w:hint="default"/>
          <w:sz w:val="19"/>
          <w:szCs w:val="19"/>
        </w:rPr>
      </w:pPr>
    </w:p>
    <w:p>
      <w:pPr>
        <w:pStyle w:val="BodyText"/>
        <w:spacing w:line="316" w:lineRule="auto"/>
        <w:ind w:right="0" w:firstLine="360"/>
        <w:jc w:val="left"/>
      </w:pPr>
      <w:r>
        <w:rPr>
          <w:spacing w:val="-2"/>
        </w:rPr>
        <w:t>在职工劳动合同到期之前解除与职工的劳动关系，或为鼓励职工自愿接受裁减而提出给予补偿的建议，在本公司不能单</w:t>
      </w:r>
      <w:r>
        <w:rPr/>
        <w:t> </w:t>
      </w:r>
      <w:r>
        <w:rPr>
          <w:spacing w:val="-2"/>
        </w:rPr>
        <w:t>方面撤回因解除劳动关系计划或裁减建议所提供的辞退福利时，和本公司确认与涉及支付辞退福利的重组相关的成本两者孰</w:t>
      </w:r>
      <w:r>
        <w:rPr>
          <w:spacing w:val="-64"/>
        </w:rPr>
        <w:t> </w:t>
      </w:r>
      <w:r>
        <w:rPr>
          <w:spacing w:val="-64"/>
        </w:rPr>
      </w:r>
      <w:r>
        <w:rPr>
          <w:spacing w:val="-4"/>
        </w:rPr>
        <w:t>早日，确认辞退福利产生的职工薪酬负债，并计入当期损益。但辞退福利预期在年度报告期结束后十二个月不能完全支付的，</w:t>
      </w:r>
      <w:r>
        <w:rPr>
          <w:spacing w:val="-44"/>
        </w:rPr>
        <w:t> </w:t>
      </w:r>
      <w:r>
        <w:rPr>
          <w:spacing w:val="-44"/>
        </w:rPr>
      </w:r>
      <w:r>
        <w:rPr/>
        <w:t>按照其他长期职工薪酬处理。</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bookmarkStart w:name="（3）辞退福利的会计处理方法" w:id="219"/>
      <w:bookmarkEnd w:id="219"/>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2" w:firstLine="360"/>
        <w:jc w:val="both"/>
      </w:pPr>
      <w:r>
        <w:rPr>
          <w:spacing w:val="-2"/>
        </w:rPr>
        <w:t>辞退福利是本公司将自职工停止提供服务日至正常退休日的期间拟支付的内退人员工资和缴纳的社会保险费等，在符合</w:t>
      </w:r>
      <w:r>
        <w:rPr/>
        <w:t> 预计负债确认条件时，计入当期损益（辞退福利）。</w:t>
      </w:r>
    </w:p>
    <w:p>
      <w:pPr>
        <w:spacing w:line="240" w:lineRule="auto" w:before="11"/>
        <w:rPr>
          <w:rFonts w:ascii="宋体" w:hAnsi="宋体" w:cs="宋体" w:eastAsia="宋体" w:hint="default"/>
          <w:sz w:val="22"/>
          <w:szCs w:val="22"/>
        </w:rPr>
      </w:pPr>
    </w:p>
    <w:p>
      <w:pPr>
        <w:pStyle w:val="Heading3"/>
        <w:spacing w:line="240" w:lineRule="auto"/>
        <w:ind w:right="1133"/>
        <w:jc w:val="left"/>
        <w:rPr>
          <w:b w:val="0"/>
          <w:bCs w:val="0"/>
        </w:rPr>
      </w:pPr>
      <w:bookmarkStart w:name="（4）其他长期职工福利的会计处理方法" w:id="220"/>
      <w:bookmarkEnd w:id="220"/>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0" w:firstLine="360"/>
        <w:jc w:val="both"/>
      </w:pPr>
      <w:r>
        <w:rPr>
          <w:spacing w:val="-2"/>
        </w:rPr>
        <w:t>本公司向职工提供的其他长期职工福利，符合设定提存计划的，按照设定提存计划进行会计处理，除此之外按照设定收</w:t>
      </w:r>
      <w:r>
        <w:rPr/>
        <w:t> 益计划进行会计处理。</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bookmarkStart w:name="35、租赁负债" w:id="221"/>
      <w:bookmarkEnd w:id="221"/>
      <w:r>
        <w:rPr>
          <w:b w:val="0"/>
          <w:bCs w:val="0"/>
        </w:rPr>
      </w:r>
      <w:r>
        <w:rPr>
          <w:rFonts w:ascii="Times New Roman" w:hAnsi="Times New Roman" w:cs="Times New Roman" w:eastAsia="Times New Roman" w:hint="default"/>
        </w:rPr>
        <w:t>35</w:t>
      </w:r>
      <w:r>
        <w:rPr/>
        <w:t>、租赁负债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36、预计负债" w:id="222"/>
      <w:bookmarkEnd w:id="222"/>
      <w:r>
        <w:rPr>
          <w:b w:val="0"/>
          <w:bCs w:val="0"/>
        </w:rPr>
      </w:r>
      <w:r>
        <w:rPr>
          <w:rFonts w:ascii="Times New Roman" w:hAnsi="Times New Roman" w:cs="Times New Roman" w:eastAsia="Times New Roman" w:hint="default"/>
        </w:rPr>
        <w:t>36</w:t>
      </w:r>
      <w:r>
        <w:rPr/>
        <w:t>、预计负债</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30" w:firstLine="360"/>
        <w:jc w:val="both"/>
      </w:pPr>
      <w:r>
        <w:rPr>
          <w:spacing w:val="-2"/>
        </w:rPr>
        <w:t>当与对外担保、商业承兑汇票贴现、未决诉讼或仲裁、产品质量保证等或有事项相关的业务同时符合以下条件时，本集</w:t>
      </w:r>
      <w:r>
        <w:rPr/>
        <w:t> </w:t>
      </w:r>
      <w:r>
        <w:rPr>
          <w:spacing w:val="-2"/>
        </w:rPr>
        <w:t>团将其确认为负债：该义务是本集团承担的现时义务；该义务的履行很可能导致经济利益流出企业；该义务的金额能够可靠</w:t>
      </w:r>
      <w:r>
        <w:rPr>
          <w:spacing w:val="-63"/>
        </w:rPr>
        <w:t> </w:t>
      </w:r>
      <w:r>
        <w:rPr>
          <w:spacing w:val="-63"/>
        </w:rPr>
      </w:r>
      <w:r>
        <w:rPr/>
        <w:t>地计量。</w:t>
      </w:r>
    </w:p>
    <w:p>
      <w:pPr>
        <w:spacing w:line="240" w:lineRule="auto" w:before="10"/>
        <w:rPr>
          <w:rFonts w:ascii="宋体" w:hAnsi="宋体" w:cs="宋体" w:eastAsia="宋体" w:hint="default"/>
          <w:sz w:val="19"/>
          <w:szCs w:val="19"/>
        </w:rPr>
      </w:pPr>
    </w:p>
    <w:p>
      <w:pPr>
        <w:pStyle w:val="BodyText"/>
        <w:spacing w:line="316" w:lineRule="auto"/>
        <w:ind w:right="1130" w:firstLine="360"/>
        <w:jc w:val="both"/>
      </w:pPr>
      <w:r>
        <w:rPr>
          <w:spacing w:val="-2"/>
        </w:rPr>
        <w:t>预计负债按照履行相关现时义务所需支出的最佳估计数进行初始计量，并综合考虑与或有事项有关的风险、不确定性和</w:t>
      </w:r>
      <w:r>
        <w:rPr/>
        <w:t> </w:t>
      </w:r>
      <w:r>
        <w:rPr>
          <w:spacing w:val="-2"/>
        </w:rPr>
        <w:t>货币时间价值等因素。货币时间价值影响重大的，通过对相关未来现金流出进行折现后确定最佳估计数。每个资产负债表日</w:t>
      </w:r>
      <w:r>
        <w:rPr>
          <w:spacing w:val="-63"/>
        </w:rPr>
        <w:t> </w:t>
      </w:r>
      <w:r>
        <w:rPr>
          <w:spacing w:val="-63"/>
        </w:rPr>
      </w:r>
      <w:r>
        <w:rPr/>
        <w:t>对预计负债的账面价值进行复核，如有改变则对账面价值进行调整以反映当前最佳估计数。</w:t>
      </w:r>
    </w:p>
    <w:p>
      <w:pPr>
        <w:spacing w:after="0" w:line="316" w:lineRule="auto"/>
        <w:jc w:val="both"/>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37、股份支付" w:id="223"/>
      <w:bookmarkEnd w:id="223"/>
      <w:r>
        <w:rPr>
          <w:b w:val="0"/>
          <w:bCs w:val="0"/>
        </w:rPr>
      </w:r>
      <w:r>
        <w:rPr>
          <w:rFonts w:ascii="Times New Roman" w:hAnsi="Times New Roman" w:cs="Times New Roman" w:eastAsia="Times New Roman" w:hint="default"/>
        </w:rPr>
        <w:t>37</w:t>
      </w:r>
      <w:r>
        <w:rPr/>
        <w:t>、股份支付</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32" w:firstLine="360"/>
        <w:jc w:val="both"/>
      </w:pPr>
      <w:r>
        <w:rPr>
          <w:spacing w:val="-2"/>
        </w:rPr>
        <w:t>用以换取职工提供服务的以权益结算的股份支付，以授予职工权益工具在授予日的公允价值计量。该公允价值的金额在</w:t>
      </w:r>
      <w:r>
        <w:rPr/>
        <w:t> </w:t>
      </w:r>
      <w:r>
        <w:rPr>
          <w:spacing w:val="-2"/>
        </w:rPr>
        <w:t>完成等待期内的服务或达到规定业绩条件才可行权的情况下，在等待期内以对可行权权益工具数量的最佳估计为基础，按直</w:t>
      </w:r>
      <w:r>
        <w:rPr>
          <w:spacing w:val="-64"/>
        </w:rPr>
        <w:t> </w:t>
      </w:r>
      <w:r>
        <w:rPr>
          <w:spacing w:val="-64"/>
        </w:rPr>
      </w:r>
      <w:r>
        <w:rPr/>
        <w:t>线法计算计入相关成本或费用，相应增加资本公积。</w:t>
      </w:r>
    </w:p>
    <w:p>
      <w:pPr>
        <w:spacing w:line="240" w:lineRule="auto" w:before="10"/>
        <w:rPr>
          <w:rFonts w:ascii="宋体" w:hAnsi="宋体" w:cs="宋体" w:eastAsia="宋体" w:hint="default"/>
          <w:sz w:val="19"/>
          <w:szCs w:val="19"/>
        </w:rPr>
      </w:pPr>
    </w:p>
    <w:p>
      <w:pPr>
        <w:pStyle w:val="BodyText"/>
        <w:spacing w:line="316" w:lineRule="auto"/>
        <w:ind w:right="1034" w:firstLine="360"/>
        <w:jc w:val="left"/>
      </w:pPr>
      <w:r>
        <w:rPr>
          <w:spacing w:val="-2"/>
        </w:rPr>
        <w:t>以现金结算的股份支付，按照本集团承担的以股份或其他权益工具为基础确定的负债的公允价值计量。如授予后立即可</w:t>
      </w:r>
      <w:r>
        <w:rPr/>
        <w:t> </w:t>
      </w:r>
      <w:r>
        <w:rPr>
          <w:spacing w:val="-2"/>
        </w:rPr>
        <w:t>行权，在授予日以承担负债的公允价值计入相关成本或费用，相应增加负债；如需完成等待期内的服务或达到规定业绩条件</w:t>
      </w:r>
      <w:r>
        <w:rPr>
          <w:spacing w:val="-66"/>
        </w:rPr>
        <w:t> </w:t>
      </w:r>
      <w:r>
        <w:rPr>
          <w:spacing w:val="-66"/>
        </w:rPr>
      </w:r>
      <w:r>
        <w:rPr/>
        <w:t>以后才可行权，在等待期的每个资产负债表日，以对可行权情况的最佳估计为基础，按照本集团承担负债的公允价值金额， 将当期取得的服务计入成本或费用，相应调整负债。</w:t>
      </w:r>
    </w:p>
    <w:p>
      <w:pPr>
        <w:pStyle w:val="BodyText"/>
        <w:spacing w:line="552" w:lineRule="exact" w:before="27"/>
        <w:ind w:left="513" w:right="0"/>
        <w:jc w:val="left"/>
      </w:pPr>
      <w:r>
        <w:rPr/>
        <w:t>在相关负债结算前的每个资产负债表日以及结算日，对负债的公允价值重新计量，其变动计入当期损益。 </w:t>
      </w:r>
      <w:r>
        <w:rPr>
          <w:spacing w:val="-2"/>
        </w:rPr>
        <w:t>本集团在等待期内取消所授予权益工具的（因未满足可行权条件而被取消的除外），作为加速行权处理，即视同剩余等</w:t>
      </w:r>
    </w:p>
    <w:p>
      <w:pPr>
        <w:pStyle w:val="BodyText"/>
        <w:spacing w:line="227" w:lineRule="exact"/>
        <w:ind w:right="1133"/>
        <w:jc w:val="left"/>
      </w:pPr>
      <w:r>
        <w:rPr/>
        <w:t>待期内的股权支付计划已经全部满足可行权条件，在取消所授予权益工具的当期确认剩余等待期内的所有费用。</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38、优先股、永续债等其他金融工具" w:id="224"/>
      <w:bookmarkEnd w:id="224"/>
      <w:r>
        <w:rPr>
          <w:b w:val="0"/>
          <w:bCs w:val="0"/>
        </w:rPr>
      </w:r>
      <w:r>
        <w:rPr>
          <w:rFonts w:ascii="Times New Roman" w:hAnsi="Times New Roman" w:cs="Times New Roman" w:eastAsia="Times New Roman" w:hint="default"/>
        </w:rPr>
        <w:t>38</w:t>
      </w:r>
      <w:r>
        <w:rPr/>
        <w:t>、优先股、永续债等其他金融工具</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39、收入" w:id="225"/>
      <w:bookmarkEnd w:id="225"/>
      <w:r>
        <w:rPr>
          <w:b w:val="0"/>
          <w:bCs w:val="0"/>
        </w:rPr>
      </w:r>
      <w:r>
        <w:rPr>
          <w:rFonts w:ascii="Times New Roman" w:hAnsi="Times New Roman" w:cs="Times New Roman" w:eastAsia="Times New Roman" w:hint="default"/>
        </w:rPr>
        <w:t>39</w:t>
      </w:r>
      <w:r>
        <w:rPr/>
        <w:t>、收入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是否已执行新收入准则</w:t>
      </w:r>
    </w:p>
    <w:p>
      <w:pPr>
        <w:pStyle w:val="BodyText"/>
        <w:spacing w:line="340" w:lineRule="auto" w:before="115"/>
        <w:ind w:right="80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收入确认和计量所采用的会计政策</w:t>
      </w:r>
    </w:p>
    <w:p>
      <w:pPr>
        <w:spacing w:line="240" w:lineRule="auto" w:before="8"/>
        <w:rPr>
          <w:rFonts w:ascii="宋体" w:hAnsi="宋体" w:cs="宋体" w:eastAsia="宋体" w:hint="default"/>
          <w:sz w:val="18"/>
          <w:szCs w:val="18"/>
        </w:rPr>
      </w:pPr>
    </w:p>
    <w:p>
      <w:pPr>
        <w:pStyle w:val="BodyText"/>
        <w:spacing w:line="240" w:lineRule="auto"/>
        <w:ind w:left="513" w:right="1133"/>
        <w:jc w:val="left"/>
      </w:pPr>
      <w:r>
        <w:rPr/>
        <w:t>（</w:t>
      </w:r>
      <w:r>
        <w:rPr>
          <w:rFonts w:ascii="Times New Roman" w:hAnsi="Times New Roman" w:cs="Times New Roman" w:eastAsia="Times New Roman" w:hint="default"/>
        </w:rPr>
        <w:t>1</w:t>
      </w:r>
      <w:r>
        <w:rPr/>
        <w:t>）本集团的营业收入主要包括销售商品收入、提供劳务收入、让渡资产使用权收入，收入确认政策如下：</w:t>
      </w:r>
    </w:p>
    <w:p>
      <w:pPr>
        <w:spacing w:line="240" w:lineRule="auto" w:before="13"/>
        <w:rPr>
          <w:rFonts w:ascii="宋体" w:hAnsi="宋体" w:cs="宋体" w:eastAsia="宋体" w:hint="default"/>
          <w:sz w:val="22"/>
          <w:szCs w:val="22"/>
        </w:rPr>
      </w:pPr>
    </w:p>
    <w:p>
      <w:pPr>
        <w:pStyle w:val="BodyText"/>
        <w:spacing w:line="309" w:lineRule="auto"/>
        <w:ind w:right="1131" w:firstLine="360"/>
        <w:jc w:val="both"/>
      </w:pPr>
      <w:r>
        <w:rPr>
          <w:rFonts w:ascii="Times New Roman" w:hAnsi="Times New Roman" w:cs="Times New Roman" w:eastAsia="Times New Roman" w:hint="default"/>
        </w:rPr>
        <w:t>1</w:t>
      </w:r>
      <w:r>
        <w:rPr/>
        <w:t>）销售商品收入：本集团在已将商品所有权上的主要风险和报酬转移给购货方、本集团既没有保留通常与所有权相联 </w:t>
      </w:r>
      <w:r>
        <w:rPr>
          <w:spacing w:val="-2"/>
        </w:rPr>
        <w:t>系的继续管理权、也没有对已售出的商品实施有效控制、收入的金额能够可靠地计量、相关的经济利益很可能流入企业、相</w:t>
      </w:r>
      <w:r>
        <w:rPr>
          <w:spacing w:val="-64"/>
        </w:rPr>
        <w:t> </w:t>
      </w:r>
      <w:r>
        <w:rPr>
          <w:spacing w:val="-64"/>
        </w:rPr>
      </w:r>
      <w:r>
        <w:rPr/>
        <w:t>关的已发生或将发生的成本能够可靠地计量时，确认销售商品收入的实现。</w:t>
      </w:r>
    </w:p>
    <w:p>
      <w:pPr>
        <w:spacing w:line="240" w:lineRule="auto" w:before="3"/>
        <w:rPr>
          <w:rFonts w:ascii="宋体" w:hAnsi="宋体" w:cs="宋体" w:eastAsia="宋体" w:hint="default"/>
          <w:sz w:val="20"/>
          <w:szCs w:val="20"/>
        </w:rPr>
      </w:pPr>
    </w:p>
    <w:p>
      <w:pPr>
        <w:pStyle w:val="BodyText"/>
        <w:spacing w:line="240" w:lineRule="auto"/>
        <w:ind w:left="513" w:right="1133"/>
        <w:jc w:val="left"/>
      </w:pPr>
      <w:r>
        <w:rPr/>
        <w:t>对于模具产品销售收入，以模具在客户处安装调试合格并取得客户签署的验收报告时确认销售收入。</w:t>
      </w:r>
    </w:p>
    <w:p>
      <w:pPr>
        <w:spacing w:line="240" w:lineRule="auto" w:before="2"/>
        <w:rPr>
          <w:rFonts w:ascii="宋体" w:hAnsi="宋体" w:cs="宋体" w:eastAsia="宋体" w:hint="default"/>
          <w:sz w:val="24"/>
          <w:szCs w:val="24"/>
        </w:rPr>
      </w:pPr>
    </w:p>
    <w:p>
      <w:pPr>
        <w:pStyle w:val="BodyText"/>
        <w:spacing w:line="314" w:lineRule="auto"/>
        <w:ind w:right="1034" w:firstLine="360"/>
        <w:jc w:val="left"/>
      </w:pPr>
      <w:r>
        <w:rPr>
          <w:rFonts w:ascii="Times New Roman" w:hAnsi="Times New Roman" w:cs="Times New Roman" w:eastAsia="Times New Roman" w:hint="default"/>
        </w:rPr>
        <w:t>2</w:t>
      </w:r>
      <w:r>
        <w:rPr/>
        <w:t>）提供劳务收入：提供劳务交易的结果在资产负债表日能够可靠估计的（同时满足收入的金额能够可靠地计量、相关 </w:t>
      </w:r>
      <w:r>
        <w:rPr>
          <w:spacing w:val="-2"/>
        </w:rPr>
        <w:t>经济利益很可能流入、交易的完工进度能够可靠地确定、交易中已发生和将发生的成本能够可靠地计量），采用完工百分比</w:t>
      </w:r>
      <w:r>
        <w:rPr>
          <w:spacing w:val="-64"/>
        </w:rPr>
        <w:t> </w:t>
      </w:r>
      <w:r>
        <w:rPr>
          <w:spacing w:val="-64"/>
        </w:rPr>
      </w:r>
      <w:r>
        <w:rPr>
          <w:spacing w:val="-2"/>
        </w:rPr>
        <w:t>法确认提供劳务的收入，并按已经发生的成本占估计总成本的比例确定提供劳务交易的完工进度。提供劳务交易的结果在资</w:t>
      </w:r>
      <w:r>
        <w:rPr>
          <w:spacing w:val="-64"/>
        </w:rPr>
        <w:t> </w:t>
      </w:r>
      <w:r>
        <w:rPr>
          <w:spacing w:val="-64"/>
        </w:rPr>
      </w:r>
      <w:r>
        <w:rPr/>
        <w:t>产负债表日不能够可靠估计的，若已经发生的劳务成本预计能够得到补偿，按已经发生的劳务成本金额确认提供劳务收入， </w:t>
      </w:r>
      <w:r>
        <w:rPr>
          <w:spacing w:val="-2"/>
        </w:rPr>
        <w:t>并按相同金额结转劳务成本；若已经发生的劳务成本预计不能够得到补偿，将已经发生的劳务成本计入当期损益，不确认劳</w:t>
      </w:r>
      <w:r>
        <w:rPr>
          <w:spacing w:val="-62"/>
        </w:rPr>
        <w:t> </w:t>
      </w:r>
      <w:r>
        <w:rPr>
          <w:spacing w:val="-62"/>
        </w:rPr>
      </w:r>
      <w:r>
        <w:rPr/>
        <w:t>务收入。</w:t>
      </w:r>
    </w:p>
    <w:p>
      <w:pPr>
        <w:spacing w:line="240" w:lineRule="auto" w:before="12"/>
        <w:rPr>
          <w:rFonts w:ascii="宋体" w:hAnsi="宋体" w:cs="宋体" w:eastAsia="宋体" w:hint="default"/>
          <w:sz w:val="19"/>
          <w:szCs w:val="19"/>
        </w:rPr>
      </w:pPr>
    </w:p>
    <w:p>
      <w:pPr>
        <w:pStyle w:val="BodyText"/>
        <w:spacing w:line="300" w:lineRule="auto"/>
        <w:ind w:right="1124" w:firstLine="360"/>
        <w:jc w:val="left"/>
      </w:pPr>
      <w:r>
        <w:rPr>
          <w:rFonts w:ascii="Times New Roman" w:hAnsi="Times New Roman" w:cs="Times New Roman" w:eastAsia="Times New Roman" w:hint="default"/>
        </w:rPr>
        <w:t>3</w:t>
      </w:r>
      <w:r>
        <w:rPr/>
        <w:t>）让渡资产使用权收入：与交易相关的经济利益很可能流入本集团、收入的金额能够可靠地计量时，确认让渡资产使 用权收入的实现。分别下列情况确定让渡资产使用权收入金额：</w:t>
      </w:r>
    </w:p>
    <w:p>
      <w:pPr>
        <w:spacing w:line="240" w:lineRule="auto" w:before="10"/>
        <w:rPr>
          <w:rFonts w:ascii="宋体" w:hAnsi="宋体" w:cs="宋体" w:eastAsia="宋体" w:hint="default"/>
          <w:sz w:val="20"/>
          <w:szCs w:val="20"/>
        </w:rPr>
      </w:pPr>
    </w:p>
    <w:p>
      <w:pPr>
        <w:pStyle w:val="BodyText"/>
        <w:spacing w:line="300" w:lineRule="auto"/>
        <w:ind w:left="513" w:right="4323"/>
        <w:jc w:val="left"/>
      </w:pPr>
      <w:r>
        <w:rPr>
          <w:rFonts w:ascii="Times New Roman" w:hAnsi="Times New Roman" w:cs="Times New Roman" w:eastAsia="Times New Roman" w:hint="default"/>
        </w:rPr>
        <w:t>A</w:t>
      </w:r>
      <w:r>
        <w:rPr/>
        <w:t>利息收入金额，按照他人使用本集团货币资金的时间和实际利率计算确定。 </w:t>
      </w:r>
      <w:r>
        <w:rPr>
          <w:rFonts w:ascii="Times New Roman" w:hAnsi="Times New Roman" w:cs="Times New Roman" w:eastAsia="Times New Roman" w:hint="default"/>
        </w:rPr>
        <w:t>B</w:t>
      </w:r>
      <w:r>
        <w:rPr/>
        <w:t>使用费收入金额，按照有关合同或协议约定的收费时间和方法计算确定。</w:t>
      </w:r>
    </w:p>
    <w:p>
      <w:pPr>
        <w:spacing w:after="0" w:line="30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513" w:right="1133"/>
        <w:jc w:val="left"/>
      </w:pPr>
      <w:r>
        <w:rPr/>
        <w:t>（</w:t>
      </w:r>
      <w:r>
        <w:rPr>
          <w:rFonts w:ascii="Times New Roman" w:hAnsi="Times New Roman" w:cs="Times New Roman" w:eastAsia="Times New Roman" w:hint="default"/>
        </w:rPr>
        <w:t>2</w:t>
      </w:r>
      <w:r>
        <w:rPr/>
        <w:t>）本公司及其子公司（除联动优势科技有限公司及其子公司）收入确认具体政策：</w:t>
      </w:r>
    </w:p>
    <w:p>
      <w:pPr>
        <w:spacing w:line="240" w:lineRule="auto" w:before="2"/>
        <w:rPr>
          <w:rFonts w:ascii="宋体" w:hAnsi="宋体" w:cs="宋体" w:eastAsia="宋体" w:hint="default"/>
          <w:sz w:val="23"/>
          <w:szCs w:val="23"/>
        </w:rPr>
      </w:pPr>
    </w:p>
    <w:p>
      <w:pPr>
        <w:pStyle w:val="BodyText"/>
        <w:spacing w:line="300" w:lineRule="auto"/>
        <w:ind w:right="1124" w:firstLine="360"/>
        <w:jc w:val="left"/>
      </w:pPr>
      <w:r>
        <w:rPr/>
        <w:t>本公司对客户实施信用等级管理，根据客户资质及规模确定信用额度，并划分为</w:t>
      </w:r>
      <w:r>
        <w:rPr>
          <w:rFonts w:ascii="Times New Roman" w:hAnsi="Times New Roman" w:cs="Times New Roman" w:eastAsia="Times New Roman" w:hint="default"/>
        </w:rPr>
        <w:t>A</w:t>
      </w:r>
      <w:r>
        <w:rPr/>
        <w:t>类、</w:t>
      </w:r>
      <w:r>
        <w:rPr>
          <w:rFonts w:ascii="Times New Roman" w:hAnsi="Times New Roman" w:cs="Times New Roman" w:eastAsia="Times New Roman" w:hint="default"/>
        </w:rPr>
        <w:t>B</w:t>
      </w:r>
      <w:r>
        <w:rPr/>
        <w:t>类、</w:t>
      </w:r>
      <w:r>
        <w:rPr>
          <w:rFonts w:ascii="Times New Roman" w:hAnsi="Times New Roman" w:cs="Times New Roman" w:eastAsia="Times New Roman" w:hint="default"/>
        </w:rPr>
        <w:t>C</w:t>
      </w:r>
      <w:r>
        <w:rPr/>
        <w:t>类、</w:t>
      </w:r>
      <w:r>
        <w:rPr>
          <w:rFonts w:ascii="Times New Roman" w:hAnsi="Times New Roman" w:cs="Times New Roman" w:eastAsia="Times New Roman" w:hint="default"/>
        </w:rPr>
        <w:t>D</w:t>
      </w:r>
      <w:r>
        <w:rPr/>
        <w:t>类。对</w:t>
      </w:r>
      <w:r>
        <w:rPr>
          <w:rFonts w:ascii="Times New Roman" w:hAnsi="Times New Roman" w:cs="Times New Roman" w:eastAsia="Times New Roman" w:hint="default"/>
        </w:rPr>
        <w:t>A</w:t>
      </w:r>
      <w:r>
        <w:rPr/>
        <w:t>类客户销 售方式以赊销为主，对</w:t>
      </w:r>
      <w:r>
        <w:rPr>
          <w:rFonts w:ascii="Times New Roman" w:hAnsi="Times New Roman" w:cs="Times New Roman" w:eastAsia="Times New Roman" w:hint="default"/>
        </w:rPr>
        <w:t>B</w:t>
      </w:r>
      <w:r>
        <w:rPr/>
        <w:t>类及</w:t>
      </w:r>
      <w:r>
        <w:rPr>
          <w:rFonts w:ascii="Times New Roman" w:hAnsi="Times New Roman" w:cs="Times New Roman" w:eastAsia="Times New Roman" w:hint="default"/>
        </w:rPr>
        <w:t>C</w:t>
      </w:r>
      <w:r>
        <w:rPr/>
        <w:t>类客户销售方式以现款为主，预收款项为辅，对</w:t>
      </w:r>
      <w:r>
        <w:rPr>
          <w:rFonts w:ascii="Times New Roman" w:hAnsi="Times New Roman" w:cs="Times New Roman" w:eastAsia="Times New Roman" w:hint="default"/>
        </w:rPr>
        <w:t>D</w:t>
      </w:r>
      <w:r>
        <w:rPr/>
        <w:t>类客户销售方式以预收款项为主。</w:t>
      </w:r>
    </w:p>
    <w:p>
      <w:pPr>
        <w:pStyle w:val="BodyText"/>
        <w:spacing w:line="240" w:lineRule="auto" w:before="13"/>
        <w:ind w:left="513" w:right="1133"/>
        <w:jc w:val="left"/>
      </w:pPr>
      <w:r>
        <w:rPr>
          <w:rFonts w:ascii="宋体" w:hAnsi="宋体" w:cs="宋体" w:eastAsia="宋体" w:hint="default"/>
        </w:rPr>
        <w:t>1</w:t>
      </w:r>
      <w:r>
        <w:rPr/>
        <w:t>）采取赊销方式的，本公司于客户验收货物并与客户对账获取确认文件或登录客户匹配端口查证后确认收入；</w:t>
      </w:r>
    </w:p>
    <w:p>
      <w:pPr>
        <w:pStyle w:val="BodyText"/>
        <w:spacing w:line="240" w:lineRule="auto" w:before="76"/>
        <w:ind w:left="513" w:right="1133"/>
        <w:jc w:val="left"/>
      </w:pPr>
      <w:r>
        <w:rPr>
          <w:rFonts w:ascii="宋体" w:hAnsi="宋体" w:cs="宋体" w:eastAsia="宋体" w:hint="default"/>
        </w:rPr>
        <w:t>2</w:t>
      </w:r>
      <w:r>
        <w:rPr/>
        <w:t>）采取现款销售方式的，本公司于收到货款同时发出货物并经客户签收提</w:t>
      </w:r>
      <w:r>
        <w:rPr>
          <w:rFonts w:ascii="宋体" w:hAnsi="宋体" w:cs="宋体" w:eastAsia="宋体" w:hint="default"/>
        </w:rPr>
        <w:t>/</w:t>
      </w:r>
      <w:r>
        <w:rPr/>
        <w:t>送</w:t>
      </w:r>
      <w:r>
        <w:rPr>
          <w:rFonts w:ascii="宋体" w:hAnsi="宋体" w:cs="宋体" w:eastAsia="宋体" w:hint="default"/>
        </w:rPr>
        <w:t>/</w:t>
      </w:r>
      <w:r>
        <w:rPr/>
        <w:t>发货单时确认收入；</w:t>
      </w:r>
    </w:p>
    <w:p>
      <w:pPr>
        <w:pStyle w:val="BodyText"/>
        <w:spacing w:line="240" w:lineRule="auto" w:before="76"/>
        <w:ind w:left="513" w:right="1133"/>
        <w:jc w:val="left"/>
      </w:pPr>
      <w:r>
        <w:rPr>
          <w:rFonts w:ascii="宋体" w:hAnsi="宋体" w:cs="宋体" w:eastAsia="宋体" w:hint="default"/>
        </w:rPr>
        <w:t>3</w:t>
      </w:r>
      <w:r>
        <w:rPr/>
        <w:t>）采取预收货款销售方式的，本公司于货物发出并经客户签收提</w:t>
      </w:r>
      <w:r>
        <w:rPr>
          <w:rFonts w:ascii="宋体" w:hAnsi="宋体" w:cs="宋体" w:eastAsia="宋体" w:hint="default"/>
        </w:rPr>
        <w:t>/</w:t>
      </w:r>
      <w:r>
        <w:rPr/>
        <w:t>送</w:t>
      </w:r>
      <w:r>
        <w:rPr>
          <w:rFonts w:ascii="宋体" w:hAnsi="宋体" w:cs="宋体" w:eastAsia="宋体" w:hint="default"/>
        </w:rPr>
        <w:t>/</w:t>
      </w:r>
      <w:r>
        <w:rPr/>
        <w:t>发货单时确认收入；</w:t>
      </w:r>
    </w:p>
    <w:p>
      <w:pPr>
        <w:pStyle w:val="BodyText"/>
        <w:spacing w:line="240" w:lineRule="auto" w:before="76"/>
        <w:ind w:left="513" w:right="1133"/>
        <w:jc w:val="left"/>
      </w:pPr>
      <w:r>
        <w:rPr>
          <w:rFonts w:ascii="宋体" w:hAnsi="宋体" w:cs="宋体" w:eastAsia="宋体" w:hint="default"/>
        </w:rPr>
        <w:t>4</w:t>
      </w:r>
      <w:r>
        <w:rPr/>
        <w:t>）直接出口业务按合同或协议约定完成出口报关手续并交运后确认收入。</w:t>
      </w:r>
    </w:p>
    <w:p>
      <w:pPr>
        <w:pStyle w:val="BodyText"/>
        <w:spacing w:line="540" w:lineRule="atLeast" w:before="25"/>
        <w:ind w:left="513" w:right="0"/>
        <w:jc w:val="left"/>
      </w:pPr>
      <w:r>
        <w:rPr/>
        <w:t>（</w:t>
      </w:r>
      <w:r>
        <w:rPr>
          <w:rFonts w:ascii="Times New Roman" w:hAnsi="Times New Roman" w:cs="Times New Roman" w:eastAsia="Times New Roman" w:hint="default"/>
        </w:rPr>
        <w:t>3</w:t>
      </w:r>
      <w:r>
        <w:rPr/>
        <w:t>）联动优势科技及其子公司收入确认具体政策： </w:t>
      </w:r>
      <w:r>
        <w:rPr>
          <w:spacing w:val="-2"/>
        </w:rPr>
        <w:t>公司的收入主要包括：移动运营商计费结算服务收入、移动信息服务收入、第三方支付服务收入、智慧互联营销业务收</w:t>
      </w:r>
    </w:p>
    <w:p>
      <w:pPr>
        <w:pStyle w:val="BodyText"/>
        <w:spacing w:line="564" w:lineRule="auto" w:before="76"/>
        <w:ind w:left="513" w:right="6074" w:hanging="361"/>
        <w:jc w:val="left"/>
      </w:pPr>
      <w:r>
        <w:rPr/>
        <w:t>入、数字科技业务收入、其他业务收入。具体确认方法为： </w:t>
      </w:r>
      <w:r>
        <w:rPr>
          <w:rFonts w:ascii="宋体" w:hAnsi="宋体" w:cs="宋体" w:eastAsia="宋体" w:hint="default"/>
        </w:rPr>
        <w:t>1</w:t>
      </w:r>
      <w:r>
        <w:rPr/>
        <w:t>）移动运营商计费结算服务收入</w:t>
      </w:r>
    </w:p>
    <w:p>
      <w:pPr>
        <w:pStyle w:val="BodyText"/>
        <w:spacing w:line="316" w:lineRule="auto" w:before="73"/>
        <w:ind w:right="0" w:firstLine="360"/>
        <w:jc w:val="left"/>
      </w:pPr>
      <w:r>
        <w:rPr>
          <w:spacing w:val="-2"/>
        </w:rPr>
        <w:t>移动运营商计费结算服务是指中国移动通信集团有限公司用户通过发送短信、网站或手机下单等方式购买商品时，采用</w:t>
      </w:r>
      <w:r>
        <w:rPr/>
        <w:t> </w:t>
      </w:r>
      <w:r>
        <w:rPr>
          <w:spacing w:val="-2"/>
        </w:rPr>
        <w:t>手机话费等支付商品交易款项，中国移动通信集团有限公司将用户的商品交易款项收取后，将交易款扣除合同约定的比例后</w:t>
      </w:r>
      <w:r>
        <w:rPr>
          <w:spacing w:val="-64"/>
        </w:rPr>
        <w:t> </w:t>
      </w:r>
      <w:r>
        <w:rPr>
          <w:spacing w:val="-64"/>
        </w:rPr>
      </w:r>
      <w:r>
        <w:rPr>
          <w:spacing w:val="-2"/>
        </w:rPr>
        <w:t>支付给公司，公司根据协议约定比例向各商户结算；对于在整个交易中，公司仅提供款项收付及结算服务，不承担商品风险</w:t>
      </w:r>
      <w:r>
        <w:rPr>
          <w:spacing w:val="-65"/>
        </w:rPr>
        <w:t> </w:t>
      </w:r>
      <w:r>
        <w:rPr>
          <w:spacing w:val="-65"/>
        </w:rPr>
      </w:r>
      <w:r>
        <w:rPr>
          <w:spacing w:val="-2"/>
        </w:rPr>
        <w:t>的交易，公司按照应收取的交易款减去应支付给各商户的结算款之后的净额确认收入；对于公司需预先支付给商户款项以及</w:t>
      </w:r>
      <w:r>
        <w:rPr>
          <w:spacing w:val="-64"/>
        </w:rPr>
        <w:t> </w:t>
      </w:r>
      <w:r>
        <w:rPr>
          <w:spacing w:val="-64"/>
        </w:rPr>
      </w:r>
      <w:r>
        <w:rPr>
          <w:spacing w:val="-4"/>
        </w:rPr>
        <w:t>本公司直接外购商品在平台销售的交易，由于公司承担了交易的相关风险，因此公司按照商品购销业务全额确认收入和成本；</w:t>
      </w:r>
      <w:r>
        <w:rPr>
          <w:spacing w:val="-44"/>
        </w:rPr>
        <w:t> </w:t>
      </w:r>
      <w:r>
        <w:rPr>
          <w:spacing w:val="-44"/>
        </w:rPr>
      </w:r>
      <w:r>
        <w:rPr/>
        <w:t>本公司根据与客户签订的合同约定，移动运营商计费结算服务费在结算月根据上述原则确认收入。</w:t>
      </w:r>
    </w:p>
    <w:p>
      <w:pPr>
        <w:spacing w:line="240" w:lineRule="auto" w:before="10"/>
        <w:rPr>
          <w:rFonts w:ascii="宋体" w:hAnsi="宋体" w:cs="宋体" w:eastAsia="宋体" w:hint="default"/>
          <w:sz w:val="19"/>
          <w:szCs w:val="19"/>
        </w:rPr>
      </w:pPr>
    </w:p>
    <w:p>
      <w:pPr>
        <w:pStyle w:val="BodyText"/>
        <w:spacing w:line="532" w:lineRule="auto"/>
        <w:ind w:left="513" w:right="2983"/>
        <w:jc w:val="left"/>
      </w:pPr>
      <w:r>
        <w:rPr>
          <w:rFonts w:ascii="Times New Roman" w:hAnsi="Times New Roman" w:cs="Times New Roman" w:eastAsia="Times New Roman" w:hint="default"/>
        </w:rPr>
        <w:t>2</w:t>
      </w:r>
      <w:r>
        <w:rPr/>
        <w:t>）移动信息服务收入 移动信息服务包括公司为中国移动通信集团有限公司提供</w:t>
      </w:r>
      <w:r>
        <w:rPr>
          <w:rFonts w:ascii="Times New Roman" w:hAnsi="Times New Roman" w:cs="Times New Roman" w:eastAsia="Times New Roman" w:hint="default"/>
        </w:rPr>
        <w:t>MAS</w:t>
      </w:r>
      <w:r>
        <w:rPr/>
        <w:t>运营支撑服务以及联信通业务。</w:t>
      </w:r>
    </w:p>
    <w:p>
      <w:pPr>
        <w:pStyle w:val="BodyText"/>
        <w:spacing w:line="300" w:lineRule="auto" w:before="59"/>
        <w:ind w:right="1128" w:firstLine="360"/>
        <w:jc w:val="both"/>
      </w:pPr>
      <w:r>
        <w:rPr>
          <w:rFonts w:ascii="Times New Roman" w:hAnsi="Times New Roman" w:cs="Times New Roman" w:eastAsia="Times New Roman" w:hint="default"/>
        </w:rPr>
        <w:t>MAS</w:t>
      </w:r>
      <w:r>
        <w:rPr/>
        <w:t>运营支撑服务收入确认原则：根据与中国移动通信集团有限公司的合同约定，</w:t>
      </w:r>
      <w:r>
        <w:rPr>
          <w:rFonts w:ascii="Times New Roman" w:hAnsi="Times New Roman" w:cs="Times New Roman" w:eastAsia="Times New Roman" w:hint="default"/>
        </w:rPr>
        <w:t>MAS</w:t>
      </w:r>
      <w:r>
        <w:rPr/>
        <w:t>运营支撑服务费用中的</w:t>
      </w:r>
      <w:r>
        <w:rPr>
          <w:rFonts w:ascii="Times New Roman" w:hAnsi="Times New Roman" w:cs="Times New Roman" w:eastAsia="Times New Roman" w:hint="default"/>
        </w:rPr>
        <w:t>80%</w:t>
      </w:r>
      <w:r>
        <w:rPr/>
        <w:t>为 </w:t>
      </w:r>
      <w:r>
        <w:rPr>
          <w:spacing w:val="-2"/>
        </w:rPr>
        <w:t>基本支撑费，按月进行结算，</w:t>
      </w:r>
      <w:r>
        <w:rPr>
          <w:rFonts w:ascii="Times New Roman" w:hAnsi="Times New Roman" w:cs="Times New Roman" w:eastAsia="Times New Roman" w:hint="default"/>
          <w:spacing w:val="-2"/>
        </w:rPr>
        <w:t>20%</w:t>
      </w:r>
      <w:r>
        <w:rPr>
          <w:spacing w:val="-2"/>
        </w:rPr>
        <w:t>部分为考核支撑费，根据季度考核得分情况，计算季度考核支撑费，并按季度结算。公司</w:t>
      </w:r>
      <w:r>
        <w:rPr>
          <w:spacing w:val="-37"/>
        </w:rPr>
        <w:t> </w:t>
      </w:r>
      <w:r>
        <w:rPr>
          <w:spacing w:val="-37"/>
        </w:rPr>
      </w:r>
      <w:r>
        <w:rPr/>
        <w:t>将基本支撑费部分在合同期内按月确认收入，考核支撑费用部分在考核确认后再确认收入。</w:t>
      </w:r>
    </w:p>
    <w:p>
      <w:pPr>
        <w:spacing w:line="240" w:lineRule="auto" w:before="10"/>
        <w:rPr>
          <w:rFonts w:ascii="宋体" w:hAnsi="宋体" w:cs="宋体" w:eastAsia="宋体" w:hint="default"/>
          <w:sz w:val="20"/>
          <w:szCs w:val="20"/>
        </w:rPr>
      </w:pPr>
    </w:p>
    <w:p>
      <w:pPr>
        <w:pStyle w:val="BodyText"/>
        <w:spacing w:line="552" w:lineRule="auto"/>
        <w:ind w:left="513" w:right="1133"/>
        <w:jc w:val="left"/>
      </w:pPr>
      <w:r>
        <w:rPr/>
        <w:t>联信通业务收入确认原则：联信通业务是公司为客户提供短信发送服务，在服务提供后确认收入。 </w:t>
      </w:r>
      <w:r>
        <w:rPr>
          <w:rFonts w:ascii="Times New Roman" w:hAnsi="Times New Roman" w:cs="Times New Roman" w:eastAsia="Times New Roman" w:hint="default"/>
        </w:rPr>
        <w:t>3</w:t>
      </w:r>
      <w:r>
        <w:rPr/>
        <w:t>）第三方支付服务收入 公司在提供第三方支付服务时，向客户收取的支付服务费用，于支付业务服务提供后确认收入。 </w:t>
      </w:r>
      <w:r>
        <w:rPr>
          <w:rFonts w:ascii="Times New Roman" w:hAnsi="Times New Roman" w:cs="Times New Roman" w:eastAsia="Times New Roman" w:hint="default"/>
        </w:rPr>
        <w:t>4</w:t>
      </w:r>
      <w:r>
        <w:rPr/>
        <w:t>）智慧互联营销业务收入</w:t>
      </w:r>
    </w:p>
    <w:p>
      <w:pPr>
        <w:pStyle w:val="BodyText"/>
        <w:spacing w:line="309" w:lineRule="auto" w:before="44"/>
        <w:ind w:right="1131" w:firstLine="360"/>
        <w:jc w:val="both"/>
      </w:pPr>
      <w:r>
        <w:rPr>
          <w:spacing w:val="-2"/>
        </w:rPr>
        <w:t>智慧互联营销业务是面向电信运营商、银行及其他金融机构、互联网行业提供涵盖一站式</w:t>
      </w:r>
      <w:r>
        <w:rPr>
          <w:rFonts w:ascii="Times New Roman" w:hAnsi="Times New Roman" w:cs="Times New Roman" w:eastAsia="Times New Roman" w:hint="default"/>
          <w:spacing w:val="-2"/>
        </w:rPr>
        <w:t>O2O</w:t>
      </w:r>
      <w:r>
        <w:rPr>
          <w:spacing w:val="-2"/>
        </w:rPr>
        <w:t>消费场景接入、服务多种</w:t>
      </w:r>
      <w:r>
        <w:rPr/>
        <w:t> </w:t>
      </w:r>
      <w:r>
        <w:rPr>
          <w:spacing w:val="-2"/>
        </w:rPr>
        <w:t>业务场景（积分兑换、会员激励等）的全消费场景互联营销服务。本公司根据与客户签订的合同约定，在提供服务后确认收</w:t>
      </w:r>
      <w:r>
        <w:rPr>
          <w:spacing w:val="-67"/>
        </w:rPr>
        <w:t> </w:t>
      </w:r>
      <w:r>
        <w:rPr>
          <w:spacing w:val="-67"/>
        </w:rPr>
      </w:r>
      <w:r>
        <w:rPr/>
        <w:t>入。</w:t>
      </w:r>
    </w:p>
    <w:p>
      <w:pPr>
        <w:pStyle w:val="BodyText"/>
        <w:spacing w:line="552" w:lineRule="exact" w:before="33"/>
        <w:ind w:left="513" w:right="0"/>
        <w:jc w:val="left"/>
      </w:pPr>
      <w:r>
        <w:rPr>
          <w:rFonts w:ascii="Times New Roman" w:hAnsi="Times New Roman" w:cs="Times New Roman" w:eastAsia="Times New Roman" w:hint="default"/>
        </w:rPr>
        <w:t>5</w:t>
      </w:r>
      <w:r>
        <w:rPr/>
        <w:t>）数字科技业务收入 </w:t>
      </w:r>
      <w:r>
        <w:rPr>
          <w:spacing w:val="-2"/>
        </w:rPr>
        <w:t>数字科技业务是公司利用自身资源及平台，为客户提供数据分析服务。数字科技业务收入确认原则：数字科技业务是公</w:t>
      </w:r>
    </w:p>
    <w:p>
      <w:pPr>
        <w:pStyle w:val="BodyText"/>
        <w:spacing w:line="227" w:lineRule="exact"/>
        <w:ind w:right="1133"/>
        <w:jc w:val="left"/>
      </w:pPr>
      <w:r>
        <w:rPr/>
        <w:t>司为客户提供数据分析服务，在服务提供后确认收入。</w:t>
      </w:r>
    </w:p>
    <w:p>
      <w:pPr>
        <w:spacing w:after="0" w:line="227" w:lineRule="exact"/>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532" w:lineRule="auto" w:before="44"/>
        <w:ind w:left="513" w:right="4273"/>
        <w:jc w:val="left"/>
      </w:pPr>
      <w:r>
        <w:rPr>
          <w:rFonts w:ascii="Times New Roman" w:hAnsi="Times New Roman" w:cs="Times New Roman" w:eastAsia="Times New Roman" w:hint="default"/>
        </w:rPr>
        <w:t>6</w:t>
      </w:r>
      <w:r>
        <w:rPr/>
        <w:t>）其他业务收入 其他业务收入，按照企业会计准则及其应用指南和准则解释的规定进行确认。</w:t>
      </w:r>
    </w:p>
    <w:p>
      <w:pPr>
        <w:pStyle w:val="Heading3"/>
        <w:spacing w:line="240" w:lineRule="auto" w:before="136"/>
        <w:ind w:right="1133"/>
        <w:jc w:val="left"/>
        <w:rPr>
          <w:b w:val="0"/>
          <w:bCs w:val="0"/>
        </w:rPr>
      </w:pPr>
      <w:bookmarkStart w:name="40、政府补助" w:id="226"/>
      <w:bookmarkEnd w:id="226"/>
      <w:r>
        <w:rPr>
          <w:b w:val="0"/>
          <w:bCs w:val="0"/>
        </w:rPr>
      </w:r>
      <w:r>
        <w:rPr>
          <w:rFonts w:ascii="Times New Roman" w:hAnsi="Times New Roman" w:cs="Times New Roman" w:eastAsia="Times New Roman" w:hint="default"/>
        </w:rPr>
        <w:t>40</w:t>
      </w:r>
      <w:r>
        <w:rPr/>
        <w:t>、政府补助</w:t>
      </w:r>
      <w:r>
        <w:rPr>
          <w:b w:val="0"/>
          <w:bCs w:val="0"/>
        </w:rPr>
      </w:r>
    </w:p>
    <w:p>
      <w:pPr>
        <w:pStyle w:val="BodyText"/>
        <w:spacing w:line="540" w:lineRule="atLeast" w:before="53"/>
        <w:ind w:left="513" w:right="1033"/>
        <w:jc w:val="left"/>
      </w:pPr>
      <w:r>
        <w:rPr/>
        <w:t>（</w:t>
      </w:r>
      <w:r>
        <w:rPr>
          <w:rFonts w:ascii="Times New Roman" w:hAnsi="Times New Roman" w:cs="Times New Roman" w:eastAsia="Times New Roman" w:hint="default"/>
        </w:rPr>
        <w:t>1</w:t>
      </w:r>
      <w:r>
        <w:rPr/>
        <w:t>）与资产相关的政府补助判断依据及会计处理方法 公司取得的、用于购建或以其他方式形成长期资产的政府补助划分为与资产相关的政府补助。与资产相关的政府补助，</w:t>
      </w:r>
    </w:p>
    <w:p>
      <w:pPr>
        <w:pStyle w:val="BodyText"/>
        <w:spacing w:line="316" w:lineRule="auto" w:before="76"/>
        <w:ind w:right="1130"/>
        <w:jc w:val="both"/>
      </w:pPr>
      <w:r>
        <w:rPr>
          <w:spacing w:val="-2"/>
        </w:rPr>
        <w:t>冲减相关资产的账面价值或确认为递延收益。与资产相关补助确认为递延收益的，在相关资产使用寿命内按照合理、系统的</w:t>
      </w:r>
      <w:r>
        <w:rPr>
          <w:spacing w:val="-63"/>
        </w:rPr>
        <w:t> </w:t>
      </w:r>
      <w:r>
        <w:rPr>
          <w:spacing w:val="-63"/>
        </w:rPr>
      </w:r>
      <w:r>
        <w:rPr>
          <w:spacing w:val="-2"/>
        </w:rPr>
        <w:t>方法分期计入损益。按照名义金额计量的政府补助，直接计入当期损益。相关资产在使用寿命结束前被出售、转让、报废或</w:t>
      </w:r>
      <w:r>
        <w:rPr>
          <w:spacing w:val="-67"/>
        </w:rPr>
        <w:t> </w:t>
      </w:r>
      <w:r>
        <w:rPr>
          <w:spacing w:val="-67"/>
        </w:rPr>
      </w:r>
      <w:r>
        <w:rPr/>
        <w:t>发生毁损的，将尚未分配的相关递延收益余额转入资产处置当期的损益。</w:t>
      </w:r>
    </w:p>
    <w:p>
      <w:pPr>
        <w:pStyle w:val="BodyText"/>
        <w:spacing w:line="552" w:lineRule="exact" w:before="28"/>
        <w:ind w:left="513" w:right="0"/>
        <w:jc w:val="left"/>
      </w:pPr>
      <w:r>
        <w:rPr/>
        <w:t>（</w:t>
      </w:r>
      <w:r>
        <w:rPr>
          <w:rFonts w:ascii="Times New Roman" w:hAnsi="Times New Roman" w:cs="Times New Roman" w:eastAsia="Times New Roman" w:hint="default"/>
        </w:rPr>
        <w:t>2</w:t>
      </w:r>
      <w:r>
        <w:rPr/>
        <w:t>）与收益相关的政府补助判断依据及会计处理方法 </w:t>
      </w:r>
      <w:r>
        <w:rPr>
          <w:spacing w:val="-2"/>
        </w:rPr>
        <w:t>除与资产相关的政府补助之外的政府补助划分为与收益相关的政府补助。对于同时包含与资产相关部分和与收益相关部</w:t>
      </w:r>
    </w:p>
    <w:p>
      <w:pPr>
        <w:pStyle w:val="BodyText"/>
        <w:spacing w:line="316" w:lineRule="auto"/>
        <w:ind w:right="0"/>
        <w:jc w:val="left"/>
      </w:pPr>
      <w:r>
        <w:rPr>
          <w:spacing w:val="-2"/>
        </w:rPr>
        <w:t>分的政府补助，难以区分与资产相关或与收益相关的，整体归类为与收益相关的政府补助。与收益相关的政府补助，用于补</w:t>
      </w:r>
      <w:r>
        <w:rPr>
          <w:spacing w:val="-63"/>
        </w:rPr>
        <w:t> </w:t>
      </w:r>
      <w:r>
        <w:rPr>
          <w:spacing w:val="-63"/>
        </w:rPr>
      </w:r>
      <w:r>
        <w:rPr>
          <w:spacing w:val="-4"/>
        </w:rPr>
        <w:t>偿以后期间的相关成本费用或损失的，确认为递延收益，在确认相关成本费用或损失的期间，计入当期损益或冲减相关成本；</w:t>
      </w:r>
      <w:r>
        <w:rPr>
          <w:spacing w:val="-44"/>
        </w:rPr>
        <w:t> </w:t>
      </w:r>
      <w:r>
        <w:rPr>
          <w:spacing w:val="-44"/>
        </w:rPr>
      </w:r>
      <w:r>
        <w:rPr/>
        <w:t>用于补偿已发生的相关成本费用或损失的，直接计入当期损益或冲减相关成本。</w:t>
      </w:r>
    </w:p>
    <w:p>
      <w:pPr>
        <w:spacing w:line="240" w:lineRule="auto" w:before="10"/>
        <w:rPr>
          <w:rFonts w:ascii="宋体" w:hAnsi="宋体" w:cs="宋体" w:eastAsia="宋体" w:hint="default"/>
          <w:sz w:val="19"/>
          <w:szCs w:val="19"/>
        </w:rPr>
      </w:pPr>
    </w:p>
    <w:p>
      <w:pPr>
        <w:pStyle w:val="BodyText"/>
        <w:spacing w:line="316" w:lineRule="auto"/>
        <w:ind w:right="0" w:firstLine="360"/>
        <w:jc w:val="left"/>
      </w:pPr>
      <w:r>
        <w:rPr>
          <w:spacing w:val="-2"/>
        </w:rPr>
        <w:t>与公司日常经营活动相关的政府补助，按照经济业务实质，计入其他收益或冲减相关成本费用。与公司日常活动无关的</w:t>
      </w:r>
      <w:r>
        <w:rPr/>
        <w:t> 政府补助，计入营业外收支。</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bookmarkStart w:name="41、递延所得税资产/递延所得税负债" w:id="227"/>
      <w:bookmarkEnd w:id="227"/>
      <w:r>
        <w:rPr>
          <w:b w:val="0"/>
          <w:bCs w:val="0"/>
        </w:rPr>
      </w:r>
      <w:r>
        <w:rPr>
          <w:rFonts w:ascii="Times New Roman" w:hAnsi="Times New Roman" w:cs="Times New Roman" w:eastAsia="Times New Roman" w:hint="default"/>
        </w:rPr>
        <w:t>41</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2"/>
        <w:rPr>
          <w:rFonts w:ascii="宋体" w:hAnsi="宋体" w:cs="宋体" w:eastAsia="宋体" w:hint="default"/>
          <w:b/>
          <w:bCs/>
          <w:sz w:val="26"/>
          <w:szCs w:val="26"/>
        </w:rPr>
      </w:pPr>
    </w:p>
    <w:p>
      <w:pPr>
        <w:pStyle w:val="BodyText"/>
        <w:spacing w:line="309" w:lineRule="auto"/>
        <w:ind w:right="1034" w:firstLine="360"/>
        <w:jc w:val="left"/>
      </w:pPr>
      <w:r>
        <w:rPr/>
        <w:t>本集团递延所得税资产和递延所得税负债根据资产和负债的计税基础与其账面价值的差额</w:t>
      </w:r>
      <w:r>
        <w:rPr>
          <w:rFonts w:ascii="Times New Roman" w:hAnsi="Times New Roman" w:cs="Times New Roman" w:eastAsia="Times New Roman" w:hint="default"/>
        </w:rPr>
        <w:t>(</w:t>
      </w:r>
      <w:r>
        <w:rPr/>
        <w:t>暂时性差异</w:t>
      </w:r>
      <w:r>
        <w:rPr>
          <w:rFonts w:ascii="Times New Roman" w:hAnsi="Times New Roman" w:cs="Times New Roman" w:eastAsia="Times New Roman" w:hint="default"/>
        </w:rPr>
        <w:t>)</w:t>
      </w:r>
      <w:r>
        <w:rPr/>
        <w:t>计算确认。对于 </w:t>
      </w:r>
      <w:r>
        <w:rPr>
          <w:spacing w:val="-2"/>
        </w:rPr>
        <w:t>按照税法规定能够于以后年度抵减应纳税所得额的可抵扣亏损，确认相应的递延所得税资产。对于商誉的初始确认产生的暂</w:t>
      </w:r>
      <w:r>
        <w:rPr>
          <w:spacing w:val="-64"/>
        </w:rPr>
        <w:t> </w:t>
      </w:r>
      <w:r>
        <w:rPr>
          <w:spacing w:val="-64"/>
        </w:rPr>
      </w:r>
      <w:r>
        <w:rPr/>
        <w:t>时性差异，不确认相应的递延所得税负债。对于既不影响会计利润也不影响应纳税所得额</w:t>
      </w:r>
      <w:r>
        <w:rPr>
          <w:rFonts w:ascii="Times New Roman" w:hAnsi="Times New Roman" w:cs="Times New Roman" w:eastAsia="Times New Roman" w:hint="default"/>
        </w:rPr>
        <w:t>(</w:t>
      </w:r>
      <w:r>
        <w:rPr/>
        <w:t>或可抵扣亏损</w:t>
      </w:r>
      <w:r>
        <w:rPr>
          <w:rFonts w:ascii="Times New Roman" w:hAnsi="Times New Roman" w:cs="Times New Roman" w:eastAsia="Times New Roman" w:hint="default"/>
        </w:rPr>
        <w:t>)</w:t>
      </w:r>
      <w:r>
        <w:rPr/>
        <w:t>的非企业合并的交 易中产生的资产或负债的初始确认形成的暂时性差异，不确认相应的递延所得税资产和递延所得税负债。于资产负债表日， 递延所得税资产和递延所得税负债，按照预期收回该资产或清偿该负债期间的适用税率计量。</w:t>
      </w:r>
    </w:p>
    <w:p>
      <w:pPr>
        <w:spacing w:line="240" w:lineRule="auto" w:before="10"/>
        <w:rPr>
          <w:rFonts w:ascii="宋体" w:hAnsi="宋体" w:cs="宋体" w:eastAsia="宋体" w:hint="default"/>
          <w:sz w:val="16"/>
          <w:szCs w:val="16"/>
        </w:rPr>
      </w:pPr>
    </w:p>
    <w:p>
      <w:pPr>
        <w:pStyle w:val="BodyText"/>
        <w:spacing w:line="240" w:lineRule="auto" w:before="44"/>
        <w:ind w:left="513" w:right="0"/>
        <w:jc w:val="left"/>
      </w:pPr>
      <w:r>
        <w:rPr/>
        <w:t>本集团以很可能取得用来抵扣可抵扣暂时性差异、可抵扣亏损和税款抵减的未来应纳税所得额为限，确认递延所得税资</w:t>
      </w:r>
    </w:p>
    <w:p>
      <w:pPr>
        <w:pStyle w:val="BodyText"/>
        <w:spacing w:line="240" w:lineRule="auto" w:before="76"/>
        <w:ind w:right="1133"/>
        <w:jc w:val="left"/>
      </w:pPr>
      <w:r>
        <w:rPr/>
        <w:t>产。</w:t>
      </w:r>
    </w:p>
    <w:p>
      <w:pPr>
        <w:spacing w:line="240" w:lineRule="auto" w:before="6"/>
        <w:rPr>
          <w:rFonts w:ascii="宋体" w:hAnsi="宋体" w:cs="宋体" w:eastAsia="宋体" w:hint="default"/>
          <w:sz w:val="24"/>
          <w:szCs w:val="24"/>
        </w:rPr>
      </w:pPr>
    </w:p>
    <w:p>
      <w:pPr>
        <w:pStyle w:val="Heading3"/>
        <w:spacing w:line="240" w:lineRule="auto" w:before="36"/>
        <w:ind w:right="1133"/>
        <w:jc w:val="left"/>
        <w:rPr>
          <w:b w:val="0"/>
          <w:bCs w:val="0"/>
        </w:rPr>
      </w:pPr>
      <w:bookmarkStart w:name="42、租赁" w:id="228"/>
      <w:bookmarkEnd w:id="228"/>
      <w:r>
        <w:rPr>
          <w:b w:val="0"/>
          <w:bCs w:val="0"/>
        </w:rPr>
      </w:r>
      <w:r>
        <w:rPr>
          <w:rFonts w:ascii="Times New Roman" w:hAnsi="Times New Roman" w:cs="Times New Roman" w:eastAsia="Times New Roman" w:hint="default"/>
        </w:rPr>
        <w:t>42</w:t>
      </w:r>
      <w:r>
        <w:rPr/>
        <w:t>、租赁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经营租赁的会计处理方法" w:id="229"/>
      <w:bookmarkEnd w:id="229"/>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pStyle w:val="BodyText"/>
        <w:spacing w:line="550" w:lineRule="atLeast" w:before="28"/>
        <w:ind w:left="513" w:right="0" w:firstLine="120"/>
        <w:jc w:val="left"/>
      </w:pPr>
      <w:r>
        <w:rPr/>
        <w:t>本集团的租赁业务包括经营租赁。 </w:t>
      </w:r>
      <w:r>
        <w:rPr>
          <w:spacing w:val="-2"/>
        </w:rPr>
        <w:t>经营租赁是指除融资租赁以外的其他租赁。本集团作为承租方的租金在租赁期内的各个期间按直线法计入相关资产成本</w:t>
      </w:r>
    </w:p>
    <w:p>
      <w:pPr>
        <w:pStyle w:val="BodyText"/>
        <w:spacing w:line="240" w:lineRule="auto" w:before="76"/>
        <w:ind w:right="1133"/>
        <w:jc w:val="left"/>
      </w:pPr>
      <w:r>
        <w:rPr/>
        <w:t>或当期损益，本集团作为出租方的租金在租赁期内的各个期间按直线法确认为收入。</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2）融资租赁的会计处理方法" w:id="230"/>
      <w:bookmarkEnd w:id="230"/>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both"/>
        <w:rPr>
          <w:b w:val="0"/>
          <w:bCs w:val="0"/>
        </w:rPr>
      </w:pPr>
      <w:bookmarkStart w:name="43、其他重要的会计政策和会计估计" w:id="231"/>
      <w:bookmarkEnd w:id="231"/>
      <w:r>
        <w:rPr>
          <w:b w:val="0"/>
          <w:bCs w:val="0"/>
        </w:rPr>
      </w:r>
      <w:r>
        <w:rPr>
          <w:rFonts w:ascii="Times New Roman" w:hAnsi="Times New Roman" w:cs="Times New Roman" w:eastAsia="Times New Roman" w:hint="default"/>
        </w:rPr>
        <w:t>43</w:t>
      </w:r>
      <w:r>
        <w:rPr/>
        <w:t>、其他重要的会计政策和会计估计</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0" w:firstLine="360"/>
        <w:jc w:val="left"/>
      </w:pPr>
      <w:r>
        <w:rPr>
          <w:spacing w:val="-2"/>
        </w:rPr>
        <w:t>编制财务报表时，本集团管理层需要运用估计和假设，这些估计和假设会对会计政策的应用及资产、负债、收入及费用</w:t>
      </w:r>
      <w:r>
        <w:rPr/>
        <w:t> </w:t>
      </w:r>
      <w:r>
        <w:rPr>
          <w:spacing w:val="-4"/>
        </w:rPr>
        <w:t>的金额产生影响。实际情况可能与这些估计不同。本集团管理层对估计涉及的关键假设和不确定性因素的判断进行持续评估。</w:t>
      </w:r>
      <w:r>
        <w:rPr>
          <w:spacing w:val="-43"/>
        </w:rPr>
        <w:t> </w:t>
      </w:r>
      <w:r>
        <w:rPr>
          <w:spacing w:val="-43"/>
        </w:rPr>
      </w:r>
      <w:r>
        <w:rPr/>
        <w:t>会计估计变更的影响在变更当期和未来期间予以确认。</w:t>
      </w:r>
    </w:p>
    <w:p>
      <w:pPr>
        <w:spacing w:line="240" w:lineRule="auto" w:before="10"/>
        <w:rPr>
          <w:rFonts w:ascii="宋体" w:hAnsi="宋体" w:cs="宋体" w:eastAsia="宋体" w:hint="default"/>
          <w:sz w:val="19"/>
          <w:szCs w:val="19"/>
        </w:rPr>
      </w:pPr>
    </w:p>
    <w:p>
      <w:pPr>
        <w:pStyle w:val="BodyText"/>
        <w:spacing w:line="240" w:lineRule="auto"/>
        <w:ind w:left="513" w:right="1133"/>
        <w:jc w:val="left"/>
      </w:pPr>
      <w:r>
        <w:rPr/>
        <w:t>下列会计估计及关键假设存在导致未来期间的资产及负债账面值发生重大调整的重要风险。</w:t>
      </w:r>
    </w:p>
    <w:p>
      <w:pPr>
        <w:pStyle w:val="BodyText"/>
        <w:spacing w:line="540" w:lineRule="atLeast" w:before="25"/>
        <w:ind w:left="513" w:right="0"/>
        <w:jc w:val="left"/>
      </w:pPr>
      <w:r>
        <w:rPr/>
        <w:t>（</w:t>
      </w:r>
      <w:r>
        <w:rPr>
          <w:rFonts w:ascii="Times New Roman" w:hAnsi="Times New Roman" w:cs="Times New Roman" w:eastAsia="Times New Roman" w:hint="default"/>
        </w:rPr>
        <w:t>1</w:t>
      </w:r>
      <w:r>
        <w:rPr/>
        <w:t>）应收款项减值 </w:t>
      </w:r>
      <w:r>
        <w:rPr>
          <w:spacing w:val="-2"/>
        </w:rPr>
        <w:t>本集团在资产负债表日按摊余成本计量的应收款项，以评估是否出现减值情況，并在出现减值情況时评估减值损失的具</w:t>
      </w:r>
    </w:p>
    <w:p>
      <w:pPr>
        <w:pStyle w:val="BodyText"/>
        <w:spacing w:line="319" w:lineRule="auto" w:before="76"/>
        <w:ind w:right="1131"/>
        <w:jc w:val="both"/>
      </w:pPr>
      <w:r>
        <w:rPr>
          <w:spacing w:val="-2"/>
        </w:rPr>
        <w:t>体金额。减值的客观证据包括显示个别或组合应收款项预计未来现金流量出现大幅下降的可判断数据，显示个别或组合应收</w:t>
      </w:r>
      <w:r>
        <w:rPr>
          <w:spacing w:val="-64"/>
        </w:rPr>
        <w:t> </w:t>
      </w:r>
      <w:r>
        <w:rPr>
          <w:spacing w:val="-64"/>
        </w:rPr>
      </w:r>
      <w:r>
        <w:rPr>
          <w:spacing w:val="-2"/>
        </w:rPr>
        <w:t>款项中债务人的财务状况出现重大负面的可判断数据等事项。如果有证据表明该应收款项价值已恢复，且客观上与确认该损</w:t>
      </w:r>
      <w:r>
        <w:rPr>
          <w:spacing w:val="-62"/>
        </w:rPr>
        <w:t> </w:t>
      </w:r>
      <w:r>
        <w:rPr>
          <w:spacing w:val="-62"/>
        </w:rPr>
      </w:r>
      <w:r>
        <w:rPr/>
        <w:t>失后发生的事项有关，则将原确认的减值损失予以转回。</w:t>
      </w:r>
    </w:p>
    <w:p>
      <w:pPr>
        <w:pStyle w:val="BodyText"/>
        <w:spacing w:line="552" w:lineRule="exact" w:before="25"/>
        <w:ind w:left="513" w:right="0"/>
        <w:jc w:val="left"/>
      </w:pPr>
      <w:r>
        <w:rPr/>
        <w:t>（</w:t>
      </w:r>
      <w:r>
        <w:rPr>
          <w:rFonts w:ascii="Times New Roman" w:hAnsi="Times New Roman" w:cs="Times New Roman" w:eastAsia="Times New Roman" w:hint="default"/>
        </w:rPr>
        <w:t>2</w:t>
      </w:r>
      <w:r>
        <w:rPr/>
        <w:t>）存货减值准备 </w:t>
      </w:r>
      <w:r>
        <w:rPr>
          <w:spacing w:val="-2"/>
        </w:rPr>
        <w:t>本集团定期估计存货的可变现净值，并对存货成本高于可变现净值的差额确认存货跌价损失。本集团在估计存货的可变</w:t>
      </w:r>
    </w:p>
    <w:p>
      <w:pPr>
        <w:pStyle w:val="BodyText"/>
        <w:spacing w:line="316" w:lineRule="auto"/>
        <w:ind w:right="1128"/>
        <w:jc w:val="both"/>
      </w:pPr>
      <w:r>
        <w:rPr>
          <w:spacing w:val="-2"/>
        </w:rPr>
        <w:t>现净值时，以同类货物的预计售价减去完工时将要发生的成本、销售费用以及相关税费后的金额确定。当实际售价或成本费</w:t>
      </w:r>
      <w:r>
        <w:rPr>
          <w:spacing w:val="-63"/>
        </w:rPr>
        <w:t> </w:t>
      </w:r>
      <w:r>
        <w:rPr>
          <w:spacing w:val="-63"/>
        </w:rPr>
      </w:r>
      <w:r>
        <w:rPr>
          <w:spacing w:val="-2"/>
        </w:rPr>
        <w:t>用与以前估计不同时，管理层将会对可变现净值进行相应的调整。因此根据现有经验进行估计的结果可能会与之后实际结果</w:t>
      </w:r>
      <w:r>
        <w:rPr>
          <w:spacing w:val="-64"/>
        </w:rPr>
        <w:t> </w:t>
      </w:r>
      <w:r>
        <w:rPr>
          <w:spacing w:val="-64"/>
        </w:rPr>
      </w:r>
      <w:r>
        <w:rPr>
          <w:spacing w:val="-2"/>
        </w:rPr>
        <w:t>有所不同，可能导致对资产负债表中的存货账面价值的调整。因此存货跌价准备的金额可能会随上述原因而发生变化。对存</w:t>
      </w:r>
      <w:r>
        <w:rPr>
          <w:spacing w:val="-61"/>
        </w:rPr>
        <w:t> </w:t>
      </w:r>
      <w:r>
        <w:rPr>
          <w:spacing w:val="-61"/>
        </w:rPr>
      </w:r>
      <w:r>
        <w:rPr/>
        <w:t>货跌价准备的调整将影响估计变更当期的损益。</w:t>
      </w:r>
    </w:p>
    <w:p>
      <w:pPr>
        <w:pStyle w:val="BodyText"/>
        <w:spacing w:line="552" w:lineRule="exact" w:before="27"/>
        <w:ind w:left="513" w:right="0"/>
        <w:jc w:val="left"/>
      </w:pPr>
      <w:r>
        <w:rPr/>
        <w:t>（</w:t>
      </w:r>
      <w:r>
        <w:rPr>
          <w:rFonts w:ascii="Times New Roman" w:hAnsi="Times New Roman" w:cs="Times New Roman" w:eastAsia="Times New Roman" w:hint="default"/>
        </w:rPr>
        <w:t>3</w:t>
      </w:r>
      <w:r>
        <w:rPr/>
        <w:t>）商誉减值准备的会计估计 </w:t>
      </w:r>
      <w:r>
        <w:rPr>
          <w:spacing w:val="-2"/>
        </w:rPr>
        <w:t>本集团每年对商誉进行减值测试。包含商誉的资产组和资产组组合的可收回金额为其预计未来现金流量的现值，其计算</w:t>
      </w:r>
    </w:p>
    <w:p>
      <w:pPr>
        <w:pStyle w:val="BodyText"/>
        <w:spacing w:line="227" w:lineRule="exact"/>
        <w:ind w:right="0"/>
        <w:jc w:val="both"/>
      </w:pPr>
      <w:r>
        <w:rPr/>
        <w:t>需要采用会计估计。</w:t>
      </w:r>
    </w:p>
    <w:p>
      <w:pPr>
        <w:spacing w:line="240" w:lineRule="auto" w:before="2"/>
        <w:rPr>
          <w:rFonts w:ascii="宋体" w:hAnsi="宋体" w:cs="宋体" w:eastAsia="宋体" w:hint="default"/>
          <w:sz w:val="24"/>
          <w:szCs w:val="24"/>
        </w:rPr>
      </w:pPr>
    </w:p>
    <w:p>
      <w:pPr>
        <w:pStyle w:val="BodyText"/>
        <w:spacing w:line="316" w:lineRule="auto"/>
        <w:ind w:right="1133" w:firstLine="360"/>
        <w:jc w:val="left"/>
      </w:pPr>
      <w:r>
        <w:rPr/>
        <w:t>如果管理层对资产组和资产组组合未来现金流量计算中采用的毛利率进行修订，修订后的毛利率低于目前采用的毛利</w:t>
      </w:r>
      <w:r>
        <w:rPr>
          <w:spacing w:val="2"/>
        </w:rPr>
        <w:t> </w:t>
      </w:r>
      <w:r>
        <w:rPr/>
        <w:t>率，本集团需对商誉增加计提减值准备。</w:t>
      </w:r>
    </w:p>
    <w:p>
      <w:pPr>
        <w:spacing w:line="240" w:lineRule="auto" w:before="10"/>
        <w:rPr>
          <w:rFonts w:ascii="宋体" w:hAnsi="宋体" w:cs="宋体" w:eastAsia="宋体" w:hint="default"/>
          <w:sz w:val="19"/>
          <w:szCs w:val="19"/>
        </w:rPr>
      </w:pPr>
    </w:p>
    <w:p>
      <w:pPr>
        <w:pStyle w:val="BodyText"/>
        <w:spacing w:line="316" w:lineRule="auto"/>
        <w:ind w:right="0" w:firstLine="360"/>
        <w:jc w:val="left"/>
      </w:pPr>
      <w:r>
        <w:rPr>
          <w:spacing w:val="-2"/>
        </w:rPr>
        <w:t>如果管理层对应用于现金流量折现的税前折现率进行重新修订，修订后的税前折现率高于目前采用的折现率，本集团需</w:t>
      </w:r>
      <w:r>
        <w:rPr/>
        <w:t> 对商誉增加计提减值准备。</w:t>
      </w:r>
    </w:p>
    <w:p>
      <w:pPr>
        <w:spacing w:line="240" w:lineRule="auto" w:before="10"/>
        <w:rPr>
          <w:rFonts w:ascii="宋体" w:hAnsi="宋体" w:cs="宋体" w:eastAsia="宋体" w:hint="default"/>
          <w:sz w:val="19"/>
          <w:szCs w:val="19"/>
        </w:rPr>
      </w:pPr>
    </w:p>
    <w:p>
      <w:pPr>
        <w:pStyle w:val="BodyText"/>
        <w:spacing w:line="240" w:lineRule="auto"/>
        <w:ind w:left="513" w:right="1133"/>
        <w:jc w:val="left"/>
      </w:pPr>
      <w:r>
        <w:rPr/>
        <w:t>如果实际毛利率或税前折现率高于或低于管理层的估计，本集团不能转回原已计提的商誉减值损失。</w:t>
      </w:r>
    </w:p>
    <w:p>
      <w:pPr>
        <w:pStyle w:val="BodyText"/>
        <w:spacing w:line="540" w:lineRule="atLeast" w:before="25"/>
        <w:ind w:left="513" w:right="0"/>
        <w:jc w:val="left"/>
      </w:pPr>
      <w:r>
        <w:rPr/>
        <w:t>（</w:t>
      </w:r>
      <w:r>
        <w:rPr>
          <w:rFonts w:ascii="Times New Roman" w:hAnsi="Times New Roman" w:cs="Times New Roman" w:eastAsia="Times New Roman" w:hint="default"/>
        </w:rPr>
        <w:t>4</w:t>
      </w:r>
      <w:r>
        <w:rPr/>
        <w:t>）固定资产减值准备的会计估计 </w:t>
      </w:r>
      <w:r>
        <w:rPr>
          <w:spacing w:val="-2"/>
        </w:rPr>
        <w:t>本集团在资产负债表日对存在减值迹象的房屋及建筑物、机器设备等固定资产进行减值测试。固定资产的可收回金额为</w:t>
      </w:r>
    </w:p>
    <w:p>
      <w:pPr>
        <w:pStyle w:val="BodyText"/>
        <w:spacing w:line="240" w:lineRule="auto" w:before="76"/>
        <w:ind w:right="0"/>
        <w:jc w:val="both"/>
      </w:pPr>
      <w:r>
        <w:rPr/>
        <w:t>其预计未来现金流量的现值和资产的公允价值减去处置费用后的净额中较高者，其计算需要采用会计估计。</w:t>
      </w:r>
    </w:p>
    <w:p>
      <w:pPr>
        <w:spacing w:line="240" w:lineRule="auto" w:before="2"/>
        <w:rPr>
          <w:rFonts w:ascii="宋体" w:hAnsi="宋体" w:cs="宋体" w:eastAsia="宋体" w:hint="default"/>
          <w:sz w:val="24"/>
          <w:szCs w:val="24"/>
        </w:rPr>
      </w:pPr>
    </w:p>
    <w:p>
      <w:pPr>
        <w:pStyle w:val="BodyText"/>
        <w:spacing w:line="316" w:lineRule="auto"/>
        <w:ind w:right="1133" w:firstLine="360"/>
        <w:jc w:val="left"/>
      </w:pPr>
      <w:r>
        <w:rPr/>
        <w:t>如果管理层对资产组和资产组组合未来现金流量计算中采用的毛利率进行修订，修订后的毛利率低于目前采用的毛利</w:t>
      </w:r>
      <w:r>
        <w:rPr>
          <w:spacing w:val="2"/>
        </w:rPr>
        <w:t> </w:t>
      </w:r>
      <w:r>
        <w:rPr/>
        <w:t>率，本集团需对固定资产增加计提减值准备。</w:t>
      </w:r>
    </w:p>
    <w:p>
      <w:pPr>
        <w:spacing w:line="240" w:lineRule="auto" w:before="10"/>
        <w:rPr>
          <w:rFonts w:ascii="宋体" w:hAnsi="宋体" w:cs="宋体" w:eastAsia="宋体" w:hint="default"/>
          <w:sz w:val="19"/>
          <w:szCs w:val="19"/>
        </w:rPr>
      </w:pPr>
    </w:p>
    <w:p>
      <w:pPr>
        <w:pStyle w:val="BodyText"/>
        <w:spacing w:line="316" w:lineRule="auto"/>
        <w:ind w:right="0" w:firstLine="360"/>
        <w:jc w:val="left"/>
      </w:pPr>
      <w:r>
        <w:rPr>
          <w:spacing w:val="-2"/>
        </w:rPr>
        <w:t>如果管理层对应用于现金流量折现的税前折现率进行重新修订，修订后的税前折现率高于目前采用的折现率，本集团需</w:t>
      </w:r>
      <w:r>
        <w:rPr/>
        <w:t> 对固定资产增加计提减值准备。</w:t>
      </w:r>
    </w:p>
    <w:p>
      <w:pPr>
        <w:spacing w:line="240" w:lineRule="auto" w:before="10"/>
        <w:rPr>
          <w:rFonts w:ascii="宋体" w:hAnsi="宋体" w:cs="宋体" w:eastAsia="宋体" w:hint="default"/>
          <w:sz w:val="19"/>
          <w:szCs w:val="19"/>
        </w:rPr>
      </w:pPr>
    </w:p>
    <w:p>
      <w:pPr>
        <w:pStyle w:val="BodyText"/>
        <w:spacing w:line="240" w:lineRule="auto"/>
        <w:ind w:left="513" w:right="1133"/>
        <w:jc w:val="left"/>
      </w:pPr>
      <w:r>
        <w:rPr/>
        <w:t>如果实际毛利率或税前折现率高于或低于管理层估计，本集团不能转回原已计提的固定资产减值准备。</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513" w:right="1133"/>
        <w:jc w:val="left"/>
      </w:pPr>
      <w:r>
        <w:rPr/>
        <w:t>（</w:t>
      </w:r>
      <w:r>
        <w:rPr>
          <w:rFonts w:ascii="Times New Roman" w:hAnsi="Times New Roman" w:cs="Times New Roman" w:eastAsia="Times New Roman" w:hint="default"/>
        </w:rPr>
        <w:t>5</w:t>
      </w:r>
      <w:r>
        <w:rPr/>
        <w:t>）递延所得税资产确认的会计估计</w:t>
      </w:r>
    </w:p>
    <w:p>
      <w:pPr>
        <w:spacing w:line="240" w:lineRule="auto" w:before="2"/>
        <w:rPr>
          <w:rFonts w:ascii="宋体" w:hAnsi="宋体" w:cs="宋体" w:eastAsia="宋体" w:hint="default"/>
          <w:sz w:val="23"/>
          <w:szCs w:val="23"/>
        </w:rPr>
      </w:pPr>
    </w:p>
    <w:p>
      <w:pPr>
        <w:pStyle w:val="BodyText"/>
        <w:spacing w:line="316" w:lineRule="auto"/>
        <w:ind w:right="1132" w:firstLine="360"/>
        <w:jc w:val="both"/>
      </w:pPr>
      <w:r>
        <w:rPr>
          <w:spacing w:val="-2"/>
        </w:rPr>
        <w:t>递延所得税资产的估计需要对未来各个年度的应纳税所得额及适用的税率进行估计，递延所得税资产的实现取决于集团</w:t>
      </w:r>
      <w:r>
        <w:rPr/>
        <w:t> </w:t>
      </w:r>
      <w:r>
        <w:rPr>
          <w:spacing w:val="-2"/>
        </w:rPr>
        <w:t>未来是否很可能获得足够的应纳税所得额。未来税率的变化和暂时性差异的转回时间也可能影响所得税费用（收益）以及递</w:t>
      </w:r>
      <w:r>
        <w:rPr>
          <w:spacing w:val="-66"/>
        </w:rPr>
        <w:t> </w:t>
      </w:r>
      <w:r>
        <w:rPr>
          <w:spacing w:val="-66"/>
        </w:rPr>
      </w:r>
      <w:r>
        <w:rPr/>
        <w:t>延所得税的余额。上述估计的变化可能导致对递延所得税的重要调整。</w:t>
      </w:r>
    </w:p>
    <w:p>
      <w:pPr>
        <w:pStyle w:val="BodyText"/>
        <w:spacing w:line="552" w:lineRule="exact" w:before="27"/>
        <w:ind w:left="513" w:right="0"/>
        <w:jc w:val="left"/>
      </w:pPr>
      <w:r>
        <w:rPr/>
        <w:t>（</w:t>
      </w:r>
      <w:r>
        <w:rPr>
          <w:rFonts w:ascii="Times New Roman" w:hAnsi="Times New Roman" w:cs="Times New Roman" w:eastAsia="Times New Roman" w:hint="default"/>
        </w:rPr>
        <w:t>6</w:t>
      </w:r>
      <w:r>
        <w:rPr/>
        <w:t>）固定资产、无形资产的可使用年限 </w:t>
      </w:r>
      <w:r>
        <w:rPr>
          <w:spacing w:val="-2"/>
        </w:rPr>
        <w:t>本集团至少于每年年度终了，对固定资产和无形资产的预计使用寿命进行复核。预计使用寿命是管理层基于同类资产历</w:t>
      </w:r>
    </w:p>
    <w:p>
      <w:pPr>
        <w:pStyle w:val="BodyText"/>
        <w:spacing w:line="316" w:lineRule="auto"/>
        <w:ind w:right="0"/>
        <w:jc w:val="left"/>
      </w:pPr>
      <w:r>
        <w:rPr>
          <w:spacing w:val="-2"/>
        </w:rPr>
        <w:t>史经验、参考同行业普遍所应用的估计并结合预期技术更新而决定的。当以往的估计发生重大变化时，则相应调整未来期间</w:t>
      </w:r>
      <w:r>
        <w:rPr>
          <w:spacing w:val="-63"/>
        </w:rPr>
        <w:t> </w:t>
      </w:r>
      <w:r>
        <w:rPr>
          <w:spacing w:val="-63"/>
        </w:rPr>
      </w:r>
      <w:r>
        <w:rPr/>
        <w:t>的折旧费用和摊销费用。</w:t>
      </w:r>
    </w:p>
    <w:p>
      <w:pPr>
        <w:spacing w:line="240" w:lineRule="auto" w:before="10"/>
        <w:rPr>
          <w:rFonts w:ascii="宋体" w:hAnsi="宋体" w:cs="宋体" w:eastAsia="宋体" w:hint="default"/>
          <w:sz w:val="19"/>
          <w:szCs w:val="19"/>
        </w:rPr>
      </w:pPr>
    </w:p>
    <w:p>
      <w:pPr>
        <w:pStyle w:val="BodyText"/>
        <w:spacing w:line="240" w:lineRule="auto"/>
        <w:ind w:left="513" w:right="1133"/>
        <w:jc w:val="left"/>
      </w:pPr>
      <w:r>
        <w:rPr/>
        <w:t>（</w:t>
      </w:r>
      <w:r>
        <w:rPr>
          <w:rFonts w:ascii="Times New Roman" w:hAnsi="Times New Roman" w:cs="Times New Roman" w:eastAsia="Times New Roman" w:hint="default"/>
        </w:rPr>
        <w:t>7</w:t>
      </w:r>
      <w:r>
        <w:rPr/>
        <w:t>）贷款损失准备</w:t>
      </w:r>
    </w:p>
    <w:p>
      <w:pPr>
        <w:spacing w:line="240" w:lineRule="auto" w:before="0"/>
        <w:rPr>
          <w:rFonts w:ascii="宋体" w:hAnsi="宋体" w:cs="宋体" w:eastAsia="宋体" w:hint="default"/>
          <w:sz w:val="18"/>
          <w:szCs w:val="18"/>
        </w:rPr>
      </w:pPr>
    </w:p>
    <w:p>
      <w:pPr>
        <w:pStyle w:val="BodyText"/>
        <w:spacing w:line="367" w:lineRule="auto" w:before="137"/>
        <w:ind w:right="1119" w:firstLine="360"/>
        <w:jc w:val="left"/>
      </w:pPr>
      <w:r>
        <w:rPr>
          <w:spacing w:val="-2"/>
        </w:rPr>
        <w:t>本集团贷款采用贷款风险分类法，把贷款分为正常、关注、次级、可疑和损失五类，结合现时情况确定坏账准备计提的</w:t>
      </w:r>
      <w:r>
        <w:rPr/>
        <w:t> 比例。</w:t>
      </w:r>
    </w:p>
    <w:p>
      <w:pPr>
        <w:spacing w:line="240" w:lineRule="auto" w:before="3"/>
        <w:rPr>
          <w:rFonts w:ascii="宋体" w:hAnsi="宋体" w:cs="宋体" w:eastAsia="宋体" w:hint="default"/>
          <w:sz w:val="18"/>
          <w:szCs w:val="18"/>
        </w:rPr>
      </w:pPr>
    </w:p>
    <w:p>
      <w:pPr>
        <w:pStyle w:val="Heading3"/>
        <w:spacing w:line="240" w:lineRule="auto"/>
        <w:ind w:right="1133"/>
        <w:jc w:val="left"/>
        <w:rPr>
          <w:b w:val="0"/>
          <w:bCs w:val="0"/>
        </w:rPr>
      </w:pPr>
      <w:bookmarkStart w:name="44、重要会计政策和会计估计变更" w:id="232"/>
      <w:bookmarkEnd w:id="232"/>
      <w:r>
        <w:rPr>
          <w:b w:val="0"/>
          <w:bCs w:val="0"/>
        </w:rPr>
      </w:r>
      <w:r>
        <w:rPr>
          <w:rFonts w:ascii="Times New Roman" w:hAnsi="Times New Roman" w:cs="Times New Roman" w:eastAsia="Times New Roman" w:hint="default"/>
        </w:rPr>
        <w:t>44</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重要会计政策变更" w:id="233"/>
      <w:bookmarkEnd w:id="233"/>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679"/>
        <w:gridCol w:w="2979"/>
        <w:gridCol w:w="1983"/>
      </w:tblGrid>
      <w:tr>
        <w:trPr>
          <w:trHeight w:val="401"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55"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2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340"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《企业会计准则第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w:t>
            </w:r>
            <w:r>
              <w:rPr>
                <w:rFonts w:ascii="宋体" w:hAnsi="宋体" w:cs="宋体" w:eastAsia="宋体" w:hint="default"/>
                <w:spacing w:val="-3"/>
                <w:sz w:val="18"/>
                <w:szCs w:val="18"/>
              </w:rPr>
              <w:t>融</w:t>
            </w:r>
            <w:r>
              <w:rPr>
                <w:rFonts w:ascii="宋体" w:hAnsi="宋体" w:cs="宋体" w:eastAsia="宋体" w:hint="default"/>
                <w:sz w:val="18"/>
                <w:szCs w:val="18"/>
              </w:rPr>
              <w:t>工具确认和计量</w:t>
            </w:r>
            <w:r>
              <w:rPr>
                <w:rFonts w:ascii="宋体" w:hAnsi="宋体" w:cs="宋体" w:eastAsia="宋体" w:hint="default"/>
                <w:spacing w:val="-92"/>
                <w:sz w:val="18"/>
                <w:szCs w:val="18"/>
              </w:rPr>
              <w:t>》</w:t>
            </w:r>
            <w:r>
              <w:rPr>
                <w:rFonts w:ascii="宋体" w:hAnsi="宋体" w:cs="宋体" w:eastAsia="宋体" w:hint="default"/>
                <w:spacing w:val="-180"/>
                <w:sz w:val="18"/>
                <w:szCs w:val="18"/>
              </w:rPr>
              <w:t>、</w:t>
            </w:r>
            <w:r>
              <w:rPr>
                <w:rFonts w:ascii="宋体" w:hAnsi="宋体" w:cs="宋体" w:eastAsia="宋体" w:hint="default"/>
                <w:sz w:val="18"/>
                <w:szCs w:val="18"/>
              </w:rPr>
              <w:t>《企业会计</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准则第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号</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金融资产转</w:t>
            </w:r>
            <w:r>
              <w:rPr>
                <w:rFonts w:ascii="宋体" w:hAnsi="宋体" w:cs="宋体" w:eastAsia="宋体" w:hint="default"/>
                <w:spacing w:val="-22"/>
                <w:sz w:val="18"/>
                <w:szCs w:val="18"/>
              </w:rPr>
              <w:t>移</w:t>
            </w:r>
            <w:r>
              <w:rPr>
                <w:rFonts w:ascii="宋体" w:hAnsi="宋体" w:cs="宋体" w:eastAsia="宋体" w:hint="default"/>
                <w:sz w:val="18"/>
                <w:szCs w:val="18"/>
              </w:rPr>
              <w:t>（修订</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pacing w:val="-113"/>
                <w:sz w:val="18"/>
                <w:szCs w:val="18"/>
              </w:rPr>
              <w:t>、</w:t>
            </w:r>
            <w:r>
              <w:rPr>
                <w:rFonts w:ascii="宋体" w:hAnsi="宋体" w:cs="宋体" w:eastAsia="宋体" w:hint="default"/>
                <w:sz w:val="18"/>
                <w:szCs w:val="18"/>
              </w:rPr>
              <w:t>《企业会计准则第</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24</w:t>
            </w:r>
            <w:r>
              <w:rPr>
                <w:rFonts w:ascii="Times New Roman" w:hAnsi="Times New Roman" w:cs="Times New Roman" w:eastAsia="Times New Roman" w:hint="default"/>
                <w:sz w:val="18"/>
                <w:szCs w:val="18"/>
              </w:rPr>
            </w:r>
          </w:p>
          <w:p>
            <w:pPr>
              <w:pStyle w:val="TableParagraph"/>
              <w:spacing w:line="300" w:lineRule="auto" w:before="63"/>
              <w:ind w:left="24" w:right="77"/>
              <w:jc w:val="left"/>
              <w:rPr>
                <w:rFonts w:ascii="宋体" w:hAnsi="宋体" w:cs="宋体" w:eastAsia="宋体" w:hint="default"/>
                <w:sz w:val="18"/>
                <w:szCs w:val="18"/>
              </w:rPr>
            </w:pP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套期会</w:t>
            </w:r>
            <w:r>
              <w:rPr>
                <w:rFonts w:ascii="宋体" w:hAnsi="宋体" w:cs="宋体" w:eastAsia="宋体" w:hint="default"/>
                <w:spacing w:val="-1"/>
                <w:sz w:val="18"/>
                <w:szCs w:val="18"/>
              </w:rPr>
              <w:t>计</w:t>
            </w:r>
            <w:r>
              <w:rPr>
                <w:rFonts w:ascii="宋体" w:hAnsi="宋体" w:cs="宋体" w:eastAsia="宋体" w:hint="default"/>
                <w:sz w:val="18"/>
                <w:szCs w:val="18"/>
              </w:rPr>
              <w:t>（修订</w:t>
            </w:r>
            <w:r>
              <w:rPr>
                <w:rFonts w:ascii="宋体" w:hAnsi="宋体" w:cs="宋体" w:eastAsia="宋体" w:hint="default"/>
                <w:spacing w:val="-92"/>
                <w:sz w:val="18"/>
                <w:szCs w:val="18"/>
              </w:rPr>
              <w:t>）</w:t>
            </w:r>
            <w:r>
              <w:rPr>
                <w:rFonts w:ascii="宋体" w:hAnsi="宋体" w:cs="宋体" w:eastAsia="宋体" w:hint="default"/>
                <w:sz w:val="18"/>
                <w:szCs w:val="18"/>
              </w:rPr>
              <w:t>》及《</w:t>
            </w:r>
            <w:r>
              <w:rPr>
                <w:rFonts w:ascii="宋体" w:hAnsi="宋体" w:cs="宋体" w:eastAsia="宋体" w:hint="default"/>
                <w:spacing w:val="2"/>
                <w:sz w:val="18"/>
                <w:szCs w:val="18"/>
              </w:rPr>
              <w:t>企</w:t>
            </w:r>
            <w:r>
              <w:rPr>
                <w:rFonts w:ascii="宋体" w:hAnsi="宋体" w:cs="宋体" w:eastAsia="宋体" w:hint="default"/>
                <w:sz w:val="18"/>
                <w:szCs w:val="18"/>
              </w:rPr>
              <w:t>业会计准则第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 具列报（修订</w:t>
            </w:r>
            <w:r>
              <w:rPr>
                <w:rFonts w:ascii="宋体" w:hAnsi="宋体" w:cs="宋体" w:eastAsia="宋体" w:hint="default"/>
                <w:spacing w:val="-92"/>
                <w:sz w:val="18"/>
                <w:szCs w:val="18"/>
              </w:rPr>
              <w:t>）》</w:t>
            </w:r>
            <w:r>
              <w:rPr>
                <w:rFonts w:ascii="宋体" w:hAnsi="宋体" w:cs="宋体" w:eastAsia="宋体" w:hint="default"/>
                <w:sz w:val="18"/>
                <w:szCs w:val="18"/>
              </w:rPr>
              <w:t>（统</w:t>
            </w:r>
            <w:r>
              <w:rPr>
                <w:rFonts w:ascii="宋体" w:hAnsi="宋体" w:cs="宋体" w:eastAsia="宋体" w:hint="default"/>
                <w:spacing w:val="2"/>
                <w:sz w:val="18"/>
                <w:szCs w:val="18"/>
              </w:rPr>
              <w:t>称</w:t>
            </w:r>
            <w:r>
              <w:rPr>
                <w:rFonts w:ascii="Times New Roman" w:hAnsi="Times New Roman" w:cs="Times New Roman" w:eastAsia="Times New Roman" w:hint="default"/>
                <w:spacing w:val="-2"/>
                <w:w w:val="99"/>
                <w:sz w:val="18"/>
                <w:szCs w:val="18"/>
              </w:rPr>
              <w:t>"</w:t>
            </w:r>
            <w:r>
              <w:rPr>
                <w:rFonts w:ascii="宋体" w:hAnsi="宋体" w:cs="宋体" w:eastAsia="宋体" w:hint="default"/>
                <w:sz w:val="18"/>
                <w:szCs w:val="18"/>
              </w:rPr>
              <w:t>新金</w:t>
            </w:r>
            <w:r>
              <w:rPr>
                <w:rFonts w:ascii="宋体" w:hAnsi="宋体" w:cs="宋体" w:eastAsia="宋体" w:hint="default"/>
                <w:spacing w:val="2"/>
                <w:sz w:val="18"/>
                <w:szCs w:val="18"/>
              </w:rPr>
              <w:t>融</w:t>
            </w:r>
            <w:r>
              <w:rPr>
                <w:rFonts w:ascii="宋体" w:hAnsi="宋体" w:cs="宋体" w:eastAsia="宋体" w:hint="default"/>
                <w:sz w:val="18"/>
                <w:szCs w:val="18"/>
              </w:rPr>
              <w:t>工具准则</w:t>
            </w:r>
            <w:r>
              <w:rPr>
                <w:rFonts w:ascii="Times New Roman" w:hAnsi="Times New Roman" w:cs="Times New Roman" w:eastAsia="Times New Roman" w:hint="default"/>
                <w:spacing w:val="-2"/>
                <w:w w:val="99"/>
                <w:sz w:val="18"/>
                <w:szCs w:val="18"/>
              </w:rPr>
              <w:t>"</w:t>
            </w:r>
            <w:r>
              <w:rPr>
                <w:rFonts w:ascii="宋体" w:hAnsi="宋体" w:cs="宋体" w:eastAsia="宋体" w:hint="default"/>
                <w:sz w:val="18"/>
                <w:szCs w:val="18"/>
              </w:rPr>
              <w:t>）</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63"/>
              <w:jc w:val="left"/>
              <w:rPr>
                <w:rFonts w:ascii="宋体" w:hAnsi="宋体" w:cs="宋体" w:eastAsia="宋体" w:hint="default"/>
                <w:sz w:val="18"/>
                <w:szCs w:val="18"/>
              </w:rPr>
            </w:pPr>
            <w:r>
              <w:rPr>
                <w:rFonts w:ascii="宋体" w:hAnsi="宋体" w:cs="宋体" w:eastAsia="宋体" w:hint="default"/>
                <w:sz w:val="18"/>
                <w:szCs w:val="18"/>
              </w:rPr>
              <w:t>相关会计政策变更已经本公司第四届 董事会第四次会议通过</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日起执行</w:t>
            </w:r>
          </w:p>
        </w:tc>
      </w:tr>
      <w:tr>
        <w:trPr>
          <w:trHeight w:val="713"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《关于修订印发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年度一般企业财务报表格式的通知》</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（财会〔</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3"/>
              <w:jc w:val="left"/>
              <w:rPr>
                <w:rFonts w:ascii="宋体" w:hAnsi="宋体" w:cs="宋体" w:eastAsia="宋体" w:hint="default"/>
                <w:sz w:val="18"/>
                <w:szCs w:val="18"/>
              </w:rPr>
            </w:pPr>
            <w:r>
              <w:rPr>
                <w:rFonts w:ascii="宋体" w:hAnsi="宋体" w:cs="宋体" w:eastAsia="宋体" w:hint="default"/>
                <w:sz w:val="18"/>
                <w:szCs w:val="18"/>
              </w:rPr>
              <w:t>相关会计政策变更已经本公司第四届 董事会第九次（临时）会议通过</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日起执行</w:t>
            </w:r>
          </w:p>
        </w:tc>
      </w:tr>
      <w:tr>
        <w:trPr>
          <w:trHeight w:val="715"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《企业会计准则第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pacing w:val="-13"/>
                <w:w w:val="99"/>
                <w:sz w:val="18"/>
                <w:szCs w:val="18"/>
              </w:rPr>
              <w:t>号</w:t>
            </w:r>
            <w:r>
              <w:rPr>
                <w:rFonts w:ascii="Times New Roman" w:hAnsi="Times New Roman" w:cs="Times New Roman" w:eastAsia="Times New Roman" w:hint="default"/>
                <w:spacing w:val="-13"/>
                <w:w w:val="99"/>
                <w:sz w:val="18"/>
                <w:szCs w:val="18"/>
              </w:rPr>
              <w:t>--</w:t>
            </w:r>
            <w:r>
              <w:rPr>
                <w:rFonts w:ascii="宋体" w:hAnsi="宋体" w:cs="宋体" w:eastAsia="宋体" w:hint="default"/>
                <w:spacing w:val="-13"/>
                <w:w w:val="99"/>
                <w:sz w:val="18"/>
                <w:szCs w:val="18"/>
              </w:rPr>
              <w:t>非货币性资产交换（修订）》（</w:t>
            </w:r>
            <w:r>
              <w:rPr>
                <w:rFonts w:ascii="Times New Roman" w:hAnsi="Times New Roman" w:cs="Times New Roman" w:eastAsia="Times New Roman" w:hint="default"/>
                <w:spacing w:val="-13"/>
                <w:w w:val="99"/>
                <w:sz w:val="18"/>
                <w:szCs w:val="18"/>
              </w:rPr>
              <w:t>"</w:t>
            </w:r>
            <w:r>
              <w:rPr>
                <w:rFonts w:ascii="宋体" w:hAnsi="宋体" w:cs="宋体" w:eastAsia="宋体" w:hint="default"/>
                <w:spacing w:val="-13"/>
                <w:w w:val="99"/>
                <w:sz w:val="18"/>
                <w:szCs w:val="18"/>
              </w:rPr>
              <w:t>新非</w:t>
            </w:r>
            <w:r>
              <w:rPr>
                <w:rFonts w:ascii="宋体" w:hAnsi="宋体" w:cs="宋体" w:eastAsia="宋体" w:hint="default"/>
                <w:sz w:val="18"/>
                <w:szCs w:val="18"/>
              </w:rPr>
              <w:t> 货币性资产交换准则</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3"/>
              <w:jc w:val="left"/>
              <w:rPr>
                <w:rFonts w:ascii="宋体" w:hAnsi="宋体" w:cs="宋体" w:eastAsia="宋体" w:hint="default"/>
                <w:sz w:val="18"/>
                <w:szCs w:val="18"/>
              </w:rPr>
            </w:pPr>
            <w:r>
              <w:rPr>
                <w:rFonts w:ascii="宋体" w:hAnsi="宋体" w:cs="宋体" w:eastAsia="宋体" w:hint="default"/>
                <w:sz w:val="18"/>
                <w:szCs w:val="18"/>
              </w:rPr>
              <w:t>相关会计政策变更已经本公司第四届 董事会第十一次（临时）会议通过</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日起执行</w:t>
            </w:r>
          </w:p>
        </w:tc>
      </w:tr>
      <w:tr>
        <w:trPr>
          <w:trHeight w:val="713"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38"/>
              <w:jc w:val="left"/>
              <w:rPr>
                <w:rFonts w:ascii="宋体" w:hAnsi="宋体" w:cs="宋体" w:eastAsia="宋体" w:hint="default"/>
                <w:sz w:val="18"/>
                <w:szCs w:val="18"/>
              </w:rPr>
            </w:pPr>
            <w:r>
              <w:rPr>
                <w:rFonts w:ascii="宋体" w:hAnsi="宋体" w:cs="宋体" w:eastAsia="宋体" w:hint="default"/>
                <w:sz w:val="18"/>
                <w:szCs w:val="18"/>
              </w:rPr>
              <w:t>《企业会计准则第</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pacing w:val="-10"/>
                <w:w w:val="99"/>
                <w:sz w:val="18"/>
                <w:szCs w:val="18"/>
              </w:rPr>
              <w:t>号</w:t>
            </w:r>
            <w:r>
              <w:rPr>
                <w:rFonts w:ascii="Times New Roman" w:hAnsi="Times New Roman" w:cs="Times New Roman" w:eastAsia="Times New Roman" w:hint="default"/>
                <w:spacing w:val="-10"/>
                <w:w w:val="99"/>
                <w:sz w:val="18"/>
                <w:szCs w:val="18"/>
              </w:rPr>
              <w:t>--</w:t>
            </w:r>
            <w:r>
              <w:rPr>
                <w:rFonts w:ascii="宋体" w:hAnsi="宋体" w:cs="宋体" w:eastAsia="宋体" w:hint="default"/>
                <w:spacing w:val="-10"/>
                <w:w w:val="99"/>
                <w:sz w:val="18"/>
                <w:szCs w:val="18"/>
              </w:rPr>
              <w:t>债务重组（修订）》（</w:t>
            </w:r>
            <w:r>
              <w:rPr>
                <w:rFonts w:ascii="Times New Roman" w:hAnsi="Times New Roman" w:cs="Times New Roman" w:eastAsia="Times New Roman" w:hint="default"/>
                <w:spacing w:val="-10"/>
                <w:w w:val="99"/>
                <w:sz w:val="18"/>
                <w:szCs w:val="18"/>
              </w:rPr>
              <w:t>"</w:t>
            </w:r>
            <w:r>
              <w:rPr>
                <w:rFonts w:ascii="宋体" w:hAnsi="宋体" w:cs="宋体" w:eastAsia="宋体" w:hint="default"/>
                <w:spacing w:val="-10"/>
                <w:w w:val="99"/>
                <w:sz w:val="18"/>
                <w:szCs w:val="18"/>
              </w:rPr>
              <w:t>新债务重组</w:t>
            </w:r>
            <w:r>
              <w:rPr>
                <w:rFonts w:ascii="宋体" w:hAnsi="宋体" w:cs="宋体" w:eastAsia="宋体" w:hint="default"/>
                <w:sz w:val="18"/>
                <w:szCs w:val="18"/>
              </w:rPr>
              <w:t> 准则</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3"/>
              <w:jc w:val="left"/>
              <w:rPr>
                <w:rFonts w:ascii="宋体" w:hAnsi="宋体" w:cs="宋体" w:eastAsia="宋体" w:hint="default"/>
                <w:sz w:val="18"/>
                <w:szCs w:val="18"/>
              </w:rPr>
            </w:pPr>
            <w:r>
              <w:rPr>
                <w:rFonts w:ascii="宋体" w:hAnsi="宋体" w:cs="宋体" w:eastAsia="宋体" w:hint="default"/>
                <w:sz w:val="18"/>
                <w:szCs w:val="18"/>
              </w:rPr>
              <w:t>相关会计政策变更已经本公司第四届 董事会第十一次（临时）会议通过</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日起执行</w:t>
            </w:r>
          </w:p>
        </w:tc>
      </w:tr>
    </w:tbl>
    <w:p>
      <w:pPr>
        <w:spacing w:line="240" w:lineRule="auto" w:before="5"/>
        <w:rPr>
          <w:rFonts w:ascii="宋体" w:hAnsi="宋体" w:cs="宋体" w:eastAsia="宋体" w:hint="default"/>
          <w:sz w:val="6"/>
          <w:szCs w:val="6"/>
        </w:rPr>
      </w:pPr>
    </w:p>
    <w:p>
      <w:pPr>
        <w:pStyle w:val="BodyText"/>
        <w:spacing w:line="240" w:lineRule="auto" w:before="44"/>
        <w:ind w:left="513" w:right="1133"/>
        <w:jc w:val="left"/>
      </w:pPr>
      <w:r>
        <w:rPr/>
        <w:t>①执行新金融工具准则</w:t>
      </w:r>
    </w:p>
    <w:p>
      <w:pPr>
        <w:spacing w:line="240" w:lineRule="auto" w:before="1"/>
        <w:rPr>
          <w:rFonts w:ascii="宋体" w:hAnsi="宋体" w:cs="宋体" w:eastAsia="宋体" w:hint="default"/>
          <w:sz w:val="15"/>
          <w:szCs w:val="15"/>
        </w:rPr>
      </w:pPr>
    </w:p>
    <w:p>
      <w:pPr>
        <w:pStyle w:val="BodyText"/>
        <w:spacing w:line="312" w:lineRule="auto"/>
        <w:ind w:right="1131" w:firstLine="360"/>
        <w:jc w:val="both"/>
      </w:pPr>
      <w:r>
        <w:rPr>
          <w:spacing w:val="-2"/>
        </w:rPr>
        <w:t>本公司于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日起执行财政部于</w:t>
      </w:r>
      <w:r>
        <w:rPr>
          <w:rFonts w:ascii="Times New Roman" w:hAnsi="Times New Roman" w:cs="Times New Roman" w:eastAsia="Times New Roman" w:hint="default"/>
          <w:spacing w:val="-2"/>
        </w:rPr>
        <w:t>2017</w:t>
      </w:r>
      <w:r>
        <w:rPr>
          <w:spacing w:val="-2"/>
        </w:rPr>
        <w:t>年修订的《企业会计准则第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金融工具确认和计量》、《企业会计准则</w:t>
      </w:r>
      <w:r>
        <w:rPr/>
        <w:t> </w:t>
      </w:r>
      <w:r>
        <w:rPr>
          <w:spacing w:val="-1"/>
        </w:rPr>
        <w:t>第</w:t>
      </w:r>
      <w:r>
        <w:rPr>
          <w:rFonts w:ascii="Times New Roman" w:hAnsi="Times New Roman" w:cs="Times New Roman" w:eastAsia="Times New Roman" w:hint="default"/>
          <w:spacing w:val="-1"/>
        </w:rPr>
        <w:t>23</w:t>
      </w:r>
      <w:r>
        <w:rPr>
          <w:spacing w:val="-1"/>
        </w:rPr>
        <w:t>号</w:t>
      </w:r>
      <w:r>
        <w:rPr>
          <w:rFonts w:ascii="Times New Roman" w:hAnsi="Times New Roman" w:cs="Times New Roman" w:eastAsia="Times New Roman" w:hint="default"/>
          <w:spacing w:val="-1"/>
        </w:rPr>
        <w:t>—</w:t>
      </w:r>
      <w:r>
        <w:rPr>
          <w:spacing w:val="-1"/>
        </w:rPr>
        <w:t>金融资产转移》、《企业会计准则第</w:t>
      </w:r>
      <w:r>
        <w:rPr>
          <w:rFonts w:ascii="Times New Roman" w:hAnsi="Times New Roman" w:cs="Times New Roman" w:eastAsia="Times New Roman" w:hint="default"/>
          <w:spacing w:val="-1"/>
        </w:rPr>
        <w:t>24</w:t>
      </w:r>
      <w:r>
        <w:rPr>
          <w:spacing w:val="-1"/>
        </w:rPr>
        <w:t>号</w:t>
      </w:r>
      <w:r>
        <w:rPr>
          <w:rFonts w:ascii="Times New Roman" w:hAnsi="Times New Roman" w:cs="Times New Roman" w:eastAsia="Times New Roman" w:hint="default"/>
          <w:spacing w:val="-1"/>
        </w:rPr>
        <w:t>—</w:t>
      </w:r>
      <w:r>
        <w:rPr>
          <w:spacing w:val="-1"/>
        </w:rPr>
        <w:t>套期会计》和《企业会计准则第</w:t>
      </w:r>
      <w:r>
        <w:rPr>
          <w:rFonts w:ascii="Times New Roman" w:hAnsi="Times New Roman" w:cs="Times New Roman" w:eastAsia="Times New Roman" w:hint="default"/>
          <w:spacing w:val="-1"/>
        </w:rPr>
        <w:t>37</w:t>
      </w:r>
      <w:r>
        <w:rPr>
          <w:spacing w:val="-1"/>
        </w:rPr>
        <w:t>号</w:t>
      </w:r>
      <w:r>
        <w:rPr>
          <w:rFonts w:ascii="Times New Roman" w:hAnsi="Times New Roman" w:cs="Times New Roman" w:eastAsia="Times New Roman" w:hint="default"/>
          <w:spacing w:val="-1"/>
        </w:rPr>
        <w:t>—</w:t>
      </w:r>
      <w:r>
        <w:rPr>
          <w:spacing w:val="-1"/>
        </w:rPr>
        <w:t>金融工具列报》</w:t>
      </w:r>
      <w:r>
        <w:rPr>
          <w:rFonts w:ascii="Times New Roman" w:hAnsi="Times New Roman" w:cs="Times New Roman" w:eastAsia="Times New Roman" w:hint="default"/>
          <w:spacing w:val="-1"/>
        </w:rPr>
        <w:t>(</w:t>
      </w:r>
      <w:r>
        <w:rPr>
          <w:spacing w:val="-1"/>
        </w:rPr>
        <w:t>以下简称</w:t>
      </w:r>
      <w:r>
        <w:rPr>
          <w:rFonts w:ascii="Times New Roman" w:hAnsi="Times New Roman" w:cs="Times New Roman" w:eastAsia="Times New Roman" w:hint="default"/>
          <w:spacing w:val="-1"/>
        </w:rPr>
        <w:t>“</w:t>
      </w:r>
      <w:r>
        <w:rPr>
          <w:spacing w:val="-1"/>
        </w:rPr>
        <w:t>新金</w:t>
      </w:r>
      <w:r>
        <w:rPr>
          <w:spacing w:val="-82"/>
        </w:rPr>
        <w:t> </w:t>
      </w:r>
      <w:r>
        <w:rPr>
          <w:spacing w:val="-1"/>
        </w:rPr>
        <w:t>融工具准则</w:t>
      </w:r>
      <w:r>
        <w:rPr>
          <w:rFonts w:ascii="Times New Roman" w:hAnsi="Times New Roman" w:cs="Times New Roman" w:eastAsia="Times New Roman" w:hint="default"/>
          <w:spacing w:val="-1"/>
        </w:rPr>
        <w:t>”</w:t>
      </w:r>
      <w:r>
        <w:rPr>
          <w:spacing w:val="-1"/>
        </w:rPr>
        <w:t>，修订前的金融工具准则简称</w:t>
      </w:r>
      <w:r>
        <w:rPr>
          <w:rFonts w:ascii="Times New Roman" w:hAnsi="Times New Roman" w:cs="Times New Roman" w:eastAsia="Times New Roman" w:hint="default"/>
          <w:spacing w:val="-1"/>
        </w:rPr>
        <w:t>“</w:t>
      </w:r>
      <w:r>
        <w:rPr>
          <w:spacing w:val="-1"/>
        </w:rPr>
        <w:t>原金融工具准则</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1"/>
        </w:rPr>
        <w:t>)</w:t>
      </w:r>
      <w:r>
        <w:rPr>
          <w:spacing w:val="-1"/>
        </w:rPr>
        <w:t>。金融资产分类与计量方面，新金融工具准则要求金融资产基</w:t>
      </w:r>
      <w:r>
        <w:rPr>
          <w:spacing w:val="-60"/>
        </w:rPr>
        <w:t> </w:t>
      </w:r>
      <w:r>
        <w:rPr>
          <w:spacing w:val="-60"/>
        </w:rPr>
      </w:r>
      <w:r>
        <w:rPr>
          <w:spacing w:val="-2"/>
          <w:w w:val="99"/>
        </w:rPr>
        <w:t>于合同现金流量特征及企业管理该等资产的业务模式分类为以摊余成本计量的金融资产、以公允价值计量且其变动计入其他</w:t>
      </w:r>
      <w:r>
        <w:rPr>
          <w:spacing w:val="-64"/>
          <w:w w:val="99"/>
        </w:rPr>
        <w:t> </w:t>
      </w:r>
      <w:r>
        <w:rPr>
          <w:spacing w:val="-64"/>
          <w:w w:val="99"/>
        </w:rPr>
      </w:r>
      <w:r>
        <w:rPr>
          <w:spacing w:val="-2"/>
        </w:rPr>
        <w:t>综合收益的金融资产和以公允价值计量且其变动计入当期损益的金融资产三大类别。取消了贷款和应收款项、持有至到期投</w:t>
      </w:r>
      <w:r>
        <w:rPr>
          <w:spacing w:val="-65"/>
        </w:rPr>
        <w:t> </w:t>
      </w:r>
      <w:r>
        <w:rPr>
          <w:spacing w:val="-65"/>
        </w:rPr>
      </w:r>
      <w:r>
        <w:rPr>
          <w:spacing w:val="-2"/>
        </w:rPr>
        <w:t>资和可供出售金融资产等原分类。权益工具投资一般分类为以公允价值计量且其变动计入当期损益的金融资产，也允许企业</w:t>
      </w:r>
      <w:r>
        <w:rPr>
          <w:spacing w:val="-65"/>
        </w:rPr>
        <w:t> </w:t>
      </w:r>
      <w:r>
        <w:rPr>
          <w:spacing w:val="-65"/>
        </w:rPr>
      </w:r>
      <w:r>
        <w:rPr>
          <w:spacing w:val="-2"/>
        </w:rPr>
        <w:t>将非交易性权益工具投资指定为以公允价值计量且其变动计入其他综合收益的金融资产，但该指定不可撤销，且在处置时不</w:t>
      </w:r>
      <w:r>
        <w:rPr>
          <w:spacing w:val="-64"/>
        </w:rPr>
        <w:t> </w:t>
      </w:r>
      <w:r>
        <w:rPr>
          <w:spacing w:val="-64"/>
        </w:rPr>
      </w:r>
      <w:r>
        <w:rPr>
          <w:spacing w:val="-2"/>
        </w:rPr>
        <w:t>得将原计入其他综合收益的累计公允价值变动额结转计入当期损益。金融资产减值方面，新金融工具准则有关减值的要求适</w:t>
      </w:r>
      <w:r>
        <w:rPr>
          <w:spacing w:val="-65"/>
        </w:rPr>
        <w:t> </w:t>
      </w:r>
      <w:r>
        <w:rPr>
          <w:spacing w:val="-65"/>
        </w:rPr>
      </w:r>
      <w:r>
        <w:rPr>
          <w:spacing w:val="-2"/>
          <w:w w:val="99"/>
        </w:rPr>
        <w:t>用于以摊余成本计量以及分类为以公允价值计量且其变动计入其他综合收益的债务工具投资、租赁应收款以及未提用的贷款</w:t>
      </w:r>
      <w:r>
        <w:rPr>
          <w:spacing w:val="-2"/>
        </w:rPr>
      </w:r>
    </w:p>
    <w:p>
      <w:pPr>
        <w:spacing w:after="0" w:line="312"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承诺和财务担保合同等。新金融工具准则要求采用预期信用损失模型以替代原先的已发生信用损失模型。</w:t>
      </w:r>
    </w:p>
    <w:p>
      <w:pPr>
        <w:spacing w:line="240" w:lineRule="auto" w:before="3"/>
        <w:rPr>
          <w:rFonts w:ascii="宋体" w:hAnsi="宋体" w:cs="宋体" w:eastAsia="宋体" w:hint="default"/>
          <w:sz w:val="24"/>
          <w:szCs w:val="24"/>
        </w:rPr>
      </w:pPr>
    </w:p>
    <w:p>
      <w:pPr>
        <w:pStyle w:val="BodyText"/>
        <w:spacing w:line="309" w:lineRule="auto"/>
        <w:ind w:right="1132" w:firstLine="360"/>
        <w:jc w:val="both"/>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日之前的金融工具确认和计量与新金融工具准则要求不一致的，本公司按照新金融工具准则的要求进行衔接</w:t>
      </w:r>
      <w:r>
        <w:rPr/>
        <w:t> </w:t>
      </w:r>
      <w:r>
        <w:rPr>
          <w:spacing w:val="-2"/>
        </w:rPr>
        <w:t>调整。涉及前期比较财务报表数据与新金融工具准则要求不一致的，本公司不进行调整。金融工具原账面价值和在新金融工</w:t>
      </w:r>
      <w:r>
        <w:rPr>
          <w:spacing w:val="-64"/>
        </w:rPr>
        <w:t> </w:t>
      </w:r>
      <w:r>
        <w:rPr>
          <w:spacing w:val="-64"/>
        </w:rPr>
      </w:r>
      <w:r>
        <w:rPr/>
        <w:t>具准则施行日的新账面价值之间的差额，计入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日的留存收益或其他综合收益。</w:t>
      </w:r>
    </w:p>
    <w:p>
      <w:pPr>
        <w:spacing w:line="240" w:lineRule="auto" w:before="9"/>
        <w:rPr>
          <w:rFonts w:ascii="宋体" w:hAnsi="宋体" w:cs="宋体" w:eastAsia="宋体" w:hint="default"/>
          <w:sz w:val="18"/>
          <w:szCs w:val="18"/>
        </w:rPr>
      </w:pPr>
    </w:p>
    <w:p>
      <w:pPr>
        <w:pStyle w:val="BodyText"/>
        <w:spacing w:line="240" w:lineRule="auto"/>
        <w:ind w:left="513" w:right="1133"/>
        <w:jc w:val="left"/>
      </w:pPr>
      <w:r>
        <w:rPr/>
        <w:t>②采用新的财务报表格式</w:t>
      </w:r>
    </w:p>
    <w:p>
      <w:pPr>
        <w:spacing w:line="240" w:lineRule="auto" w:before="0"/>
        <w:rPr>
          <w:rFonts w:ascii="宋体" w:hAnsi="宋体" w:cs="宋体" w:eastAsia="宋体" w:hint="default"/>
          <w:sz w:val="15"/>
          <w:szCs w:val="15"/>
        </w:rPr>
      </w:pPr>
    </w:p>
    <w:p>
      <w:pPr>
        <w:pStyle w:val="BodyText"/>
        <w:spacing w:line="304" w:lineRule="auto"/>
        <w:ind w:right="1124" w:firstLine="36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日，财政部发布了《关于修订印发</w:t>
      </w:r>
      <w:r>
        <w:rPr>
          <w:rFonts w:ascii="Times New Roman" w:hAnsi="Times New Roman" w:cs="Times New Roman" w:eastAsia="Times New Roman" w:hint="default"/>
        </w:rPr>
        <w:t>2019</w:t>
      </w:r>
      <w:r>
        <w:rPr/>
        <w:t>年度一般企业财务报表格式的通知》（财会〔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6</w:t>
      </w:r>
      <w:r>
        <w:rPr/>
        <w:t>号）。</w:t>
      </w:r>
      <w:r>
        <w:rPr>
          <w:rFonts w:ascii="Times New Roman" w:hAnsi="Times New Roman" w:cs="Times New Roman" w:eastAsia="Times New Roman" w:hint="default"/>
        </w:rPr>
        <w:t>2019 </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19</w:t>
      </w:r>
      <w:r>
        <w:rPr/>
        <w:t>日，财政部发布了《关于修订印发合并财务报表格式（</w:t>
      </w:r>
      <w:r>
        <w:rPr>
          <w:rFonts w:ascii="Times New Roman" w:hAnsi="Times New Roman" w:cs="Times New Roman" w:eastAsia="Times New Roman" w:hint="default"/>
        </w:rPr>
        <w:t>2019</w:t>
      </w:r>
      <w:r>
        <w:rPr/>
        <w:t>版）的通知》（财会〔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16</w:t>
      </w:r>
      <w:r>
        <w:rPr/>
        <w:t>号）。本公司</w:t>
      </w:r>
      <w:r>
        <w:rPr>
          <w:rFonts w:ascii="Times New Roman" w:hAnsi="Times New Roman" w:cs="Times New Roman" w:eastAsia="Times New Roman" w:hint="default"/>
        </w:rPr>
        <w:t>2019</w:t>
      </w:r>
      <w:r>
        <w:rPr/>
        <w:t>年属 </w:t>
      </w:r>
      <w:r>
        <w:rPr>
          <w:spacing w:val="-2"/>
        </w:rPr>
        <w:t>于执行新金融工具准则，但未执行新收入准则和新租赁准则情形，资产负债表、利润表、现金流量表及股东权益变动表列报</w:t>
      </w:r>
      <w:r>
        <w:rPr>
          <w:spacing w:val="-64"/>
        </w:rPr>
        <w:t> </w:t>
      </w:r>
      <w:r>
        <w:rPr>
          <w:spacing w:val="-64"/>
        </w:rPr>
      </w:r>
      <w:r>
        <w:rPr>
          <w:spacing w:val="-2"/>
        </w:rPr>
        <w:t>项目的变化，主要是执新金融工具准则导致的变化，在以下执行新金融工具准则中反映。财会〔</w:t>
      </w:r>
      <w:r>
        <w:rPr>
          <w:rFonts w:ascii="Times New Roman" w:hAnsi="Times New Roman" w:cs="Times New Roman" w:eastAsia="Times New Roman" w:hint="default"/>
          <w:spacing w:val="-2"/>
        </w:rPr>
        <w:t>2019</w:t>
      </w:r>
      <w:r>
        <w:rPr>
          <w:spacing w:val="-2"/>
        </w:rPr>
        <w:t>〕</w:t>
      </w:r>
      <w:r>
        <w:rPr>
          <w:rFonts w:ascii="Times New Roman" w:hAnsi="Times New Roman" w:cs="Times New Roman" w:eastAsia="Times New Roman" w:hint="default"/>
          <w:spacing w:val="-2"/>
        </w:rPr>
        <w:t>6</w:t>
      </w:r>
      <w:r>
        <w:rPr>
          <w:spacing w:val="-2"/>
        </w:rPr>
        <w:t>号中还将</w:t>
      </w:r>
      <w:r>
        <w:rPr>
          <w:rFonts w:ascii="Times New Roman" w:hAnsi="Times New Roman" w:cs="Times New Roman" w:eastAsia="Times New Roman" w:hint="default"/>
          <w:spacing w:val="-2"/>
        </w:rPr>
        <w:t>“</w:t>
      </w:r>
      <w:r>
        <w:rPr>
          <w:spacing w:val="-2"/>
        </w:rPr>
        <w:t>应收票据</w:t>
      </w:r>
      <w:r>
        <w:rPr>
          <w:spacing w:val="-51"/>
        </w:rPr>
        <w:t> </w:t>
      </w:r>
      <w:r>
        <w:rPr>
          <w:spacing w:val="-51"/>
        </w:rPr>
      </w:r>
      <w:r>
        <w:rPr/>
        <w:t>及应收账款</w:t>
      </w:r>
      <w:r>
        <w:rPr>
          <w:rFonts w:ascii="Times New Roman" w:hAnsi="Times New Roman" w:cs="Times New Roman" w:eastAsia="Times New Roman" w:hint="default"/>
        </w:rPr>
        <w:t>”</w:t>
      </w:r>
      <w:r>
        <w:rPr/>
        <w:t>拆分为</w:t>
      </w:r>
      <w:r>
        <w:rPr>
          <w:rFonts w:ascii="Times New Roman" w:hAnsi="Times New Roman" w:cs="Times New Roman" w:eastAsia="Times New Roman" w:hint="default"/>
        </w:rPr>
        <w:t>“</w:t>
      </w:r>
      <w:r>
        <w:rPr/>
        <w:t>应收票据</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应收账款</w:t>
      </w:r>
      <w:r>
        <w:rPr>
          <w:rFonts w:ascii="Times New Roman" w:hAnsi="Times New Roman" w:cs="Times New Roman" w:eastAsia="Times New Roman" w:hint="default"/>
        </w:rPr>
        <w:t>”</w:t>
      </w:r>
      <w:r>
        <w:rPr/>
        <w:t>，将</w:t>
      </w:r>
      <w:r>
        <w:rPr>
          <w:rFonts w:ascii="Times New Roman" w:hAnsi="Times New Roman" w:cs="Times New Roman" w:eastAsia="Times New Roman" w:hint="default"/>
        </w:rPr>
        <w:t>“</w:t>
      </w:r>
      <w:r>
        <w:rPr/>
        <w:t>应付票据及应付账款</w:t>
      </w:r>
      <w:r>
        <w:rPr>
          <w:rFonts w:ascii="Times New Roman" w:hAnsi="Times New Roman" w:cs="Times New Roman" w:eastAsia="Times New Roman" w:hint="default"/>
        </w:rPr>
        <w:t>”</w:t>
      </w:r>
      <w:r>
        <w:rPr/>
        <w:t>拆分为</w:t>
      </w:r>
      <w:r>
        <w:rPr>
          <w:rFonts w:ascii="Times New Roman" w:hAnsi="Times New Roman" w:cs="Times New Roman" w:eastAsia="Times New Roman" w:hint="default"/>
        </w:rPr>
        <w:t>“</w:t>
      </w:r>
      <w:r>
        <w:rPr/>
        <w:t>应付票据</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应付账款</w:t>
      </w:r>
      <w:r>
        <w:rPr>
          <w:rFonts w:ascii="Times New Roman" w:hAnsi="Times New Roman" w:cs="Times New Roman" w:eastAsia="Times New Roman" w:hint="default"/>
        </w:rPr>
        <w:t>”</w:t>
      </w:r>
      <w:r>
        <w:rPr/>
        <w:t>，分别列示。</w:t>
      </w:r>
    </w:p>
    <w:p>
      <w:pPr>
        <w:spacing w:line="240" w:lineRule="auto" w:before="1"/>
        <w:rPr>
          <w:rFonts w:ascii="宋体" w:hAnsi="宋体" w:cs="宋体" w:eastAsia="宋体" w:hint="default"/>
          <w:sz w:val="19"/>
          <w:szCs w:val="19"/>
        </w:rPr>
      </w:pPr>
    </w:p>
    <w:p>
      <w:pPr>
        <w:pStyle w:val="BodyText"/>
        <w:spacing w:line="240" w:lineRule="auto"/>
        <w:ind w:left="513" w:right="1133"/>
        <w:jc w:val="left"/>
      </w:pPr>
      <w:r>
        <w:rPr/>
        <w:t>③执行修订后的非货币性资产交换会计准则</w:t>
      </w:r>
    </w:p>
    <w:p>
      <w:pPr>
        <w:spacing w:line="240" w:lineRule="auto" w:before="2"/>
        <w:rPr>
          <w:rFonts w:ascii="宋体" w:hAnsi="宋体" w:cs="宋体" w:eastAsia="宋体" w:hint="default"/>
          <w:sz w:val="24"/>
          <w:szCs w:val="24"/>
        </w:rPr>
      </w:pPr>
    </w:p>
    <w:p>
      <w:pPr>
        <w:pStyle w:val="BodyText"/>
        <w:spacing w:line="300" w:lineRule="auto"/>
        <w:ind w:right="1124" w:firstLine="36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日，财政部发布了《关于印发修订</w:t>
      </w:r>
      <w:r>
        <w:rPr>
          <w:rFonts w:ascii="Times New Roman" w:hAnsi="Times New Roman" w:cs="Times New Roman" w:eastAsia="Times New Roman" w:hint="default"/>
        </w:rPr>
        <w:t>&lt;</w:t>
      </w:r>
      <w:r>
        <w:rPr/>
        <w:t>企业会计准则第</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w:t>
      </w:r>
      <w:r>
        <w:rPr/>
        <w:t>非货币性资产交换</w:t>
      </w:r>
      <w:r>
        <w:rPr>
          <w:rFonts w:ascii="Times New Roman" w:hAnsi="Times New Roman" w:cs="Times New Roman" w:eastAsia="Times New Roman" w:hint="default"/>
        </w:rPr>
        <w:t>&gt;</w:t>
      </w:r>
      <w:r>
        <w:rPr/>
        <w:t>的通知》（财会【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8 </w:t>
      </w:r>
      <w:r>
        <w:rPr/>
        <w:t>号），对非货币性资产交换的确认、计量和披露作出修订。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日至该准则施行日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10</w:t>
      </w:r>
      <w:r>
        <w:rPr/>
        <w:t>日之间发生的非货币</w:t>
      </w:r>
      <w:r>
        <w:rPr>
          <w:spacing w:val="-86"/>
        </w:rPr>
        <w:t> </w:t>
      </w:r>
      <w:r>
        <w:rPr/>
        <w:t>性资产交换，应根据该准则的规定进行调整；</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日之前发生的非货币性资产交换，不需进行追溯调整。</w:t>
      </w:r>
    </w:p>
    <w:p>
      <w:pPr>
        <w:spacing w:line="240" w:lineRule="auto" w:before="4"/>
        <w:rPr>
          <w:rFonts w:ascii="宋体" w:hAnsi="宋体" w:cs="宋体" w:eastAsia="宋体" w:hint="default"/>
          <w:sz w:val="19"/>
          <w:szCs w:val="19"/>
        </w:rPr>
      </w:pPr>
    </w:p>
    <w:p>
      <w:pPr>
        <w:pStyle w:val="BodyText"/>
        <w:spacing w:line="240" w:lineRule="auto"/>
        <w:ind w:left="513" w:right="1133"/>
        <w:jc w:val="left"/>
      </w:pPr>
      <w:r>
        <w:rPr/>
        <w:t>④执行修订后的债务重组会计准则</w:t>
      </w:r>
    </w:p>
    <w:p>
      <w:pPr>
        <w:spacing w:line="240" w:lineRule="auto" w:before="2"/>
        <w:rPr>
          <w:rFonts w:ascii="宋体" w:hAnsi="宋体" w:cs="宋体" w:eastAsia="宋体" w:hint="default"/>
          <w:sz w:val="24"/>
          <w:szCs w:val="24"/>
        </w:rPr>
      </w:pPr>
    </w:p>
    <w:p>
      <w:pPr>
        <w:pStyle w:val="BodyText"/>
        <w:spacing w:line="300" w:lineRule="auto"/>
        <w:ind w:right="1124" w:firstLine="36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日，财政部发布了《关于印发修订</w:t>
      </w:r>
      <w:r>
        <w:rPr>
          <w:rFonts w:ascii="Times New Roman" w:hAnsi="Times New Roman" w:cs="Times New Roman" w:eastAsia="Times New Roman" w:hint="default"/>
        </w:rPr>
        <w:t>&lt;</w:t>
      </w:r>
      <w:r>
        <w:rPr/>
        <w:t>企业会计准则第</w:t>
      </w:r>
      <w:r>
        <w:rPr>
          <w:rFonts w:ascii="Times New Roman" w:hAnsi="Times New Roman" w:cs="Times New Roman" w:eastAsia="Times New Roman" w:hint="default"/>
        </w:rPr>
        <w:t>12</w:t>
      </w:r>
      <w:r>
        <w:rPr/>
        <w:t>号</w:t>
      </w:r>
      <w:r>
        <w:rPr>
          <w:rFonts w:ascii="Times New Roman" w:hAnsi="Times New Roman" w:cs="Times New Roman" w:eastAsia="Times New Roman" w:hint="default"/>
        </w:rPr>
        <w:t>——</w:t>
      </w:r>
      <w:r>
        <w:rPr/>
        <w:t>债务重组</w:t>
      </w:r>
      <w:r>
        <w:rPr>
          <w:rFonts w:ascii="Times New Roman" w:hAnsi="Times New Roman" w:cs="Times New Roman" w:eastAsia="Times New Roman" w:hint="default"/>
        </w:rPr>
        <w:t>&gt;</w:t>
      </w:r>
      <w:r>
        <w:rPr/>
        <w:t>的通知》（财会【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9</w:t>
      </w:r>
      <w:r>
        <w:rPr/>
        <w:t>号）， 对债务重组的确认、计量和披露作出修订。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日至该准则施行日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17</w:t>
      </w:r>
      <w:r>
        <w:rPr/>
        <w:t>日之间发生的债务重组，应根据该准 则的规定进行调整；</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日之前发生的债务重组，不需进行追溯调整。</w:t>
      </w:r>
    </w:p>
    <w:p>
      <w:pPr>
        <w:spacing w:line="240" w:lineRule="auto" w:before="5"/>
        <w:rPr>
          <w:rFonts w:ascii="宋体" w:hAnsi="宋体" w:cs="宋体" w:eastAsia="宋体" w:hint="default"/>
          <w:sz w:val="19"/>
          <w:szCs w:val="19"/>
        </w:rPr>
      </w:pPr>
    </w:p>
    <w:p>
      <w:pPr>
        <w:pStyle w:val="BodyText"/>
        <w:spacing w:line="240" w:lineRule="auto"/>
        <w:ind w:left="513" w:right="1133"/>
        <w:jc w:val="left"/>
      </w:pPr>
      <w:r>
        <w:rPr/>
        <w:t>本集团根据新财务报表格式编制</w:t>
      </w:r>
      <w:r>
        <w:rPr>
          <w:rFonts w:ascii="Times New Roman" w:hAnsi="Times New Roman" w:cs="Times New Roman" w:eastAsia="Times New Roman" w:hint="default"/>
        </w:rPr>
        <w:t>2019</w:t>
      </w:r>
      <w:r>
        <w:rPr/>
        <w:t>年度财务报表和调整比较财务报表，调整相关财务报表列报如下</w:t>
      </w:r>
    </w:p>
    <w:p>
      <w:pPr>
        <w:spacing w:line="240" w:lineRule="auto" w:before="2"/>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2696"/>
        <w:gridCol w:w="2268"/>
        <w:gridCol w:w="2549"/>
        <w:gridCol w:w="2127"/>
      </w:tblGrid>
      <w:tr>
        <w:trPr>
          <w:trHeight w:val="348" w:hRule="exact"/>
        </w:trPr>
        <w:tc>
          <w:tcPr>
            <w:tcW w:w="2696"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799" w:right="0"/>
              <w:jc w:val="left"/>
              <w:rPr>
                <w:rFonts w:ascii="宋体" w:hAnsi="宋体" w:cs="宋体" w:eastAsia="宋体" w:hint="default"/>
                <w:sz w:val="18"/>
                <w:szCs w:val="18"/>
              </w:rPr>
            </w:pPr>
            <w:r>
              <w:rPr>
                <w:rFonts w:ascii="宋体" w:hAnsi="宋体" w:cs="宋体" w:eastAsia="宋体" w:hint="default"/>
                <w:b/>
                <w:bCs/>
                <w:sz w:val="18"/>
                <w:szCs w:val="18"/>
              </w:rPr>
              <w:t>受影响的项目</w:t>
            </w:r>
            <w:r>
              <w:rPr>
                <w:rFonts w:ascii="宋体" w:hAnsi="宋体" w:cs="宋体" w:eastAsia="宋体" w:hint="default"/>
                <w:sz w:val="18"/>
                <w:szCs w:val="18"/>
              </w:rPr>
            </w:r>
          </w:p>
        </w:tc>
        <w:tc>
          <w:tcPr>
            <w:tcW w:w="6944"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1723" w:right="0"/>
              <w:jc w:val="left"/>
              <w:rPr>
                <w:rFonts w:ascii="宋体" w:hAnsi="宋体" w:cs="宋体" w:eastAsia="宋体" w:hint="default"/>
                <w:sz w:val="18"/>
                <w:szCs w:val="18"/>
              </w:rPr>
            </w:pPr>
            <w:r>
              <w:rPr>
                <w:rFonts w:ascii="宋体" w:hAnsi="宋体" w:cs="宋体" w:eastAsia="宋体" w:hint="default"/>
                <w:b/>
                <w:bCs/>
                <w:sz w:val="18"/>
                <w:szCs w:val="18"/>
              </w:rPr>
              <w:t>合并财务报表（</w:t>
            </w:r>
            <w:r>
              <w:rPr>
                <w:rFonts w:ascii="Times New Roman" w:hAnsi="Times New Roman" w:cs="Times New Roman" w:eastAsia="Times New Roman" w:hint="default"/>
                <w:b/>
                <w:bCs/>
                <w:sz w:val="18"/>
                <w:szCs w:val="18"/>
              </w:rPr>
              <w:t>2018</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31</w:t>
            </w:r>
            <w:r>
              <w:rPr>
                <w:rFonts w:ascii="宋体" w:hAnsi="宋体" w:cs="宋体" w:eastAsia="宋体" w:hint="default"/>
                <w:b/>
                <w:bCs/>
                <w:sz w:val="18"/>
                <w:szCs w:val="18"/>
              </w:rPr>
              <w:t>日</w:t>
            </w:r>
            <w:r>
              <w:rPr>
                <w:rFonts w:ascii="Times New Roman" w:hAnsi="Times New Roman" w:cs="Times New Roman" w:eastAsia="Times New Roman" w:hint="default"/>
                <w:b/>
                <w:bCs/>
                <w:sz w:val="18"/>
                <w:szCs w:val="18"/>
              </w:rPr>
              <w:t>/2018</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346" w:hRule="exact"/>
        </w:trPr>
        <w:tc>
          <w:tcPr>
            <w:tcW w:w="2696" w:type="dxa"/>
            <w:vMerge/>
            <w:tcBorders>
              <w:left w:val="single" w:sz="6" w:space="0" w:color="000000"/>
              <w:bottom w:val="single" w:sz="6" w:space="0" w:color="000000"/>
              <w:right w:val="single" w:sz="6" w:space="0" w:color="000000"/>
            </w:tcBorders>
            <w:shd w:val="clear" w:color="auto" w:fill="D9D9D9"/>
          </w:tcPr>
          <w:p>
            <w:pPr/>
          </w:p>
        </w:tc>
        <w:tc>
          <w:tcPr>
            <w:tcW w:w="22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254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998" w:right="0"/>
              <w:jc w:val="left"/>
              <w:rPr>
                <w:rFonts w:ascii="宋体" w:hAnsi="宋体" w:cs="宋体" w:eastAsia="宋体" w:hint="default"/>
                <w:sz w:val="18"/>
                <w:szCs w:val="18"/>
              </w:rPr>
            </w:pPr>
            <w:r>
              <w:rPr>
                <w:rFonts w:ascii="宋体" w:hAnsi="宋体" w:cs="宋体" w:eastAsia="宋体" w:hint="default"/>
                <w:sz w:val="18"/>
                <w:szCs w:val="18"/>
              </w:rPr>
              <w:t>调整数</w:t>
            </w:r>
          </w:p>
        </w:tc>
        <w:tc>
          <w:tcPr>
            <w:tcW w:w="212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787"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348" w:hRule="exact"/>
        </w:trPr>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1,270,235,310.75</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-1,270,235,310.75</w:t>
            </w: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268" w:type="dxa"/>
            <w:tcBorders>
              <w:top w:val="single" w:sz="6" w:space="0" w:color="000000"/>
              <w:left w:val="single" w:sz="6" w:space="0" w:color="000000"/>
              <w:bottom w:val="single" w:sz="6" w:space="0" w:color="000000"/>
              <w:right w:val="single" w:sz="6" w:space="0" w:color="000000"/>
            </w:tcBorders>
          </w:tcPr>
          <w:p>
            <w:pP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343,711,117.06</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343,711,117.06</w:t>
            </w:r>
          </w:p>
        </w:tc>
      </w:tr>
      <w:tr>
        <w:trPr>
          <w:trHeight w:val="348" w:hRule="exact"/>
        </w:trPr>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68" w:type="dxa"/>
            <w:tcBorders>
              <w:top w:val="single" w:sz="6" w:space="0" w:color="000000"/>
              <w:left w:val="single" w:sz="6" w:space="0" w:color="000000"/>
              <w:bottom w:val="single" w:sz="6" w:space="0" w:color="000000"/>
              <w:right w:val="single" w:sz="6" w:space="0" w:color="000000"/>
            </w:tcBorders>
          </w:tcPr>
          <w:p>
            <w:pP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926,524,193.69</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926,524,193.69</w:t>
            </w:r>
          </w:p>
        </w:tc>
      </w:tr>
      <w:tr>
        <w:trPr>
          <w:trHeight w:val="346" w:hRule="exact"/>
        </w:trPr>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195,026,566.52</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-195,026,566.52</w:t>
            </w: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268" w:type="dxa"/>
            <w:tcBorders>
              <w:top w:val="single" w:sz="6" w:space="0" w:color="000000"/>
              <w:left w:val="single" w:sz="6" w:space="0" w:color="000000"/>
              <w:bottom w:val="single" w:sz="6" w:space="0" w:color="000000"/>
              <w:right w:val="single" w:sz="6" w:space="0" w:color="000000"/>
            </w:tcBorders>
          </w:tcPr>
          <w:p>
            <w:pP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195,026,566.52</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195,026,566.52</w:t>
            </w:r>
          </w:p>
        </w:tc>
      </w:tr>
      <w:tr>
        <w:trPr>
          <w:trHeight w:val="348" w:hRule="exact"/>
        </w:trPr>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1,083,430,096.90</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-1,083,430,096.90</w:t>
            </w: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268" w:type="dxa"/>
            <w:tcBorders>
              <w:top w:val="single" w:sz="6" w:space="0" w:color="000000"/>
              <w:left w:val="single" w:sz="6" w:space="0" w:color="000000"/>
              <w:bottom w:val="single" w:sz="6" w:space="0" w:color="000000"/>
              <w:right w:val="single" w:sz="6" w:space="0" w:color="000000"/>
            </w:tcBorders>
          </w:tcPr>
          <w:p>
            <w:pP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506,491,412.49</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506,491,412.49</w:t>
            </w:r>
          </w:p>
        </w:tc>
      </w:tr>
      <w:tr>
        <w:trPr>
          <w:trHeight w:val="349" w:hRule="exact"/>
        </w:trPr>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68" w:type="dxa"/>
            <w:tcBorders>
              <w:top w:val="single" w:sz="6" w:space="0" w:color="000000"/>
              <w:left w:val="single" w:sz="6" w:space="0" w:color="000000"/>
              <w:bottom w:val="single" w:sz="6" w:space="0" w:color="000000"/>
              <w:right w:val="single" w:sz="6" w:space="0" w:color="000000"/>
            </w:tcBorders>
          </w:tcPr>
          <w:p>
            <w:pP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576,938,684.41</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576,938,684.41</w:t>
            </w:r>
          </w:p>
        </w:tc>
      </w:tr>
      <w:tr>
        <w:trPr>
          <w:trHeight w:val="346" w:hRule="exact"/>
        </w:trPr>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减：资产减值损失</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324,539,651.43</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-324,539,651.43</w:t>
            </w: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加</w:t>
            </w:r>
            <w:r>
              <w:rPr>
                <w:rFonts w:ascii="宋体" w:hAnsi="宋体" w:cs="宋体" w:eastAsia="宋体" w:hint="default"/>
                <w:spacing w:val="-77"/>
                <w:sz w:val="18"/>
                <w:szCs w:val="18"/>
              </w:rPr>
              <w:t>：</w:t>
            </w:r>
            <w:r>
              <w:rPr>
                <w:rFonts w:ascii="宋体" w:hAnsi="宋体" w:cs="宋体" w:eastAsia="宋体" w:hint="default"/>
                <w:sz w:val="18"/>
                <w:szCs w:val="18"/>
              </w:rPr>
              <w:t>资产减值损</w:t>
            </w:r>
            <w:r>
              <w:rPr>
                <w:rFonts w:ascii="宋体" w:hAnsi="宋体" w:cs="宋体" w:eastAsia="宋体" w:hint="default"/>
                <w:spacing w:val="-77"/>
                <w:sz w:val="18"/>
                <w:szCs w:val="18"/>
              </w:rPr>
              <w:t>失</w:t>
            </w:r>
            <w:r>
              <w:rPr>
                <w:rFonts w:ascii="宋体" w:hAnsi="宋体" w:cs="宋体" w:eastAsia="宋体" w:hint="default"/>
                <w:sz w:val="18"/>
                <w:szCs w:val="18"/>
              </w:rPr>
              <w:t>（损失以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列示</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07" w:right="0"/>
              <w:jc w:val="left"/>
              <w:rPr>
                <w:rFonts w:ascii="宋体" w:hAnsi="宋体" w:cs="宋体" w:eastAsia="宋体" w:hint="default"/>
                <w:sz w:val="18"/>
                <w:szCs w:val="18"/>
              </w:rPr>
            </w:pPr>
            <w:r>
              <w:rPr>
                <w:rFonts w:ascii="宋体" w:hAnsi="宋体" w:cs="宋体" w:eastAsia="宋体" w:hint="default"/>
                <w:sz w:val="18"/>
                <w:szCs w:val="18"/>
              </w:rPr>
              <w:t>）</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-324,539,651.43</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-324,539,651.43</w:t>
            </w:r>
          </w:p>
        </w:tc>
      </w:tr>
      <w:tr>
        <w:trPr>
          <w:trHeight w:val="348" w:hRule="exact"/>
        </w:trPr>
        <w:tc>
          <w:tcPr>
            <w:tcW w:w="2696"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799" w:right="0"/>
              <w:jc w:val="left"/>
              <w:rPr>
                <w:rFonts w:ascii="宋体" w:hAnsi="宋体" w:cs="宋体" w:eastAsia="宋体" w:hint="default"/>
                <w:sz w:val="18"/>
                <w:szCs w:val="18"/>
              </w:rPr>
            </w:pPr>
            <w:r>
              <w:rPr>
                <w:rFonts w:ascii="宋体" w:hAnsi="宋体" w:cs="宋体" w:eastAsia="宋体" w:hint="default"/>
                <w:b/>
                <w:bCs/>
                <w:sz w:val="18"/>
                <w:szCs w:val="18"/>
              </w:rPr>
              <w:t>受影响的项目</w:t>
            </w:r>
            <w:r>
              <w:rPr>
                <w:rFonts w:ascii="宋体" w:hAnsi="宋体" w:cs="宋体" w:eastAsia="宋体" w:hint="default"/>
                <w:sz w:val="18"/>
                <w:szCs w:val="18"/>
              </w:rPr>
            </w:r>
          </w:p>
        </w:tc>
        <w:tc>
          <w:tcPr>
            <w:tcW w:w="6944"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1632" w:right="0"/>
              <w:jc w:val="left"/>
              <w:rPr>
                <w:rFonts w:ascii="宋体" w:hAnsi="宋体" w:cs="宋体" w:eastAsia="宋体" w:hint="default"/>
                <w:sz w:val="18"/>
                <w:szCs w:val="18"/>
              </w:rPr>
            </w:pPr>
            <w:r>
              <w:rPr>
                <w:rFonts w:ascii="宋体" w:hAnsi="宋体" w:cs="宋体" w:eastAsia="宋体" w:hint="default"/>
                <w:b/>
                <w:bCs/>
                <w:sz w:val="18"/>
                <w:szCs w:val="18"/>
              </w:rPr>
              <w:t>母公司财务报表（</w:t>
            </w:r>
            <w:r>
              <w:rPr>
                <w:rFonts w:ascii="Times New Roman" w:hAnsi="Times New Roman" w:cs="Times New Roman" w:eastAsia="Times New Roman" w:hint="default"/>
                <w:b/>
                <w:bCs/>
                <w:sz w:val="18"/>
                <w:szCs w:val="18"/>
              </w:rPr>
              <w:t>2018</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31</w:t>
            </w:r>
            <w:r>
              <w:rPr>
                <w:rFonts w:ascii="宋体" w:hAnsi="宋体" w:cs="宋体" w:eastAsia="宋体" w:hint="default"/>
                <w:b/>
                <w:bCs/>
                <w:sz w:val="18"/>
                <w:szCs w:val="18"/>
              </w:rPr>
              <w:t>日</w:t>
            </w:r>
            <w:r>
              <w:rPr>
                <w:rFonts w:ascii="Times New Roman" w:hAnsi="Times New Roman" w:cs="Times New Roman" w:eastAsia="Times New Roman" w:hint="default"/>
                <w:b/>
                <w:bCs/>
                <w:sz w:val="18"/>
                <w:szCs w:val="18"/>
              </w:rPr>
              <w:t>/2018</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346" w:hRule="exact"/>
        </w:trPr>
        <w:tc>
          <w:tcPr>
            <w:tcW w:w="2696" w:type="dxa"/>
            <w:vMerge/>
            <w:tcBorders>
              <w:left w:val="single" w:sz="6" w:space="0" w:color="000000"/>
              <w:bottom w:val="single" w:sz="6" w:space="0" w:color="000000"/>
              <w:right w:val="single" w:sz="6" w:space="0" w:color="000000"/>
            </w:tcBorders>
            <w:shd w:val="clear" w:color="auto" w:fill="D9D9D9"/>
          </w:tcPr>
          <w:p>
            <w:pPr/>
          </w:p>
        </w:tc>
        <w:tc>
          <w:tcPr>
            <w:tcW w:w="22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254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998" w:right="0"/>
              <w:jc w:val="left"/>
              <w:rPr>
                <w:rFonts w:ascii="宋体" w:hAnsi="宋体" w:cs="宋体" w:eastAsia="宋体" w:hint="default"/>
                <w:sz w:val="18"/>
                <w:szCs w:val="18"/>
              </w:rPr>
            </w:pPr>
            <w:r>
              <w:rPr>
                <w:rFonts w:ascii="宋体" w:hAnsi="宋体" w:cs="宋体" w:eastAsia="宋体" w:hint="default"/>
                <w:sz w:val="18"/>
                <w:szCs w:val="18"/>
              </w:rPr>
              <w:t>调整数</w:t>
            </w:r>
          </w:p>
        </w:tc>
        <w:tc>
          <w:tcPr>
            <w:tcW w:w="212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787"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348" w:hRule="exact"/>
        </w:trPr>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280,549,941.61</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-280,549,941.61</w:t>
            </w: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268" w:type="dxa"/>
            <w:tcBorders>
              <w:top w:val="single" w:sz="6" w:space="0" w:color="000000"/>
              <w:left w:val="single" w:sz="6" w:space="0" w:color="000000"/>
              <w:bottom w:val="single" w:sz="6" w:space="0" w:color="000000"/>
              <w:right w:val="single" w:sz="6" w:space="0" w:color="000000"/>
            </w:tcBorders>
          </w:tcPr>
          <w:p>
            <w:pP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85,812,409.06</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85,812,409.06</w:t>
            </w:r>
          </w:p>
        </w:tc>
      </w:tr>
      <w:tr>
        <w:trPr>
          <w:trHeight w:val="350" w:hRule="exact"/>
        </w:trPr>
        <w:tc>
          <w:tcPr>
            <w:tcW w:w="2696"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68" w:type="dxa"/>
            <w:tcBorders>
              <w:top w:val="single" w:sz="6" w:space="0" w:color="000000"/>
              <w:left w:val="single" w:sz="6" w:space="0" w:color="000000"/>
              <w:bottom w:val="single" w:sz="8" w:space="0" w:color="000000"/>
              <w:right w:val="single" w:sz="6" w:space="0" w:color="000000"/>
            </w:tcBorders>
          </w:tcPr>
          <w:p>
            <w:pPr/>
          </w:p>
        </w:tc>
        <w:tc>
          <w:tcPr>
            <w:tcW w:w="2549"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194,737,532.55</w:t>
            </w:r>
          </w:p>
        </w:tc>
        <w:tc>
          <w:tcPr>
            <w:tcW w:w="2127"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194,737,532.55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2696"/>
        <w:gridCol w:w="2268"/>
        <w:gridCol w:w="2549"/>
        <w:gridCol w:w="2127"/>
      </w:tblGrid>
      <w:tr>
        <w:trPr>
          <w:trHeight w:val="348" w:hRule="exact"/>
        </w:trPr>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153,200,000.00</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-153,200,000.00</w:t>
            </w: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268" w:type="dxa"/>
            <w:tcBorders>
              <w:top w:val="single" w:sz="6" w:space="0" w:color="000000"/>
              <w:left w:val="single" w:sz="6" w:space="0" w:color="000000"/>
              <w:bottom w:val="single" w:sz="6" w:space="0" w:color="000000"/>
              <w:right w:val="single" w:sz="6" w:space="0" w:color="000000"/>
            </w:tcBorders>
          </w:tcPr>
          <w:p>
            <w:pP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153,200,000.00</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153,200,000.00</w:t>
            </w:r>
          </w:p>
        </w:tc>
      </w:tr>
      <w:tr>
        <w:trPr>
          <w:trHeight w:val="348" w:hRule="exact"/>
        </w:trPr>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375,930,959.95</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-375,930,959.95</w:t>
            </w: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268" w:type="dxa"/>
            <w:tcBorders>
              <w:top w:val="single" w:sz="6" w:space="0" w:color="000000"/>
              <w:left w:val="single" w:sz="6" w:space="0" w:color="000000"/>
              <w:bottom w:val="single" w:sz="6" w:space="0" w:color="000000"/>
              <w:right w:val="single" w:sz="6" w:space="0" w:color="000000"/>
            </w:tcBorders>
          </w:tcPr>
          <w:p>
            <w:pP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319,259,761.22</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319,259,761.22</w:t>
            </w:r>
          </w:p>
        </w:tc>
      </w:tr>
      <w:tr>
        <w:trPr>
          <w:trHeight w:val="348" w:hRule="exact"/>
        </w:trPr>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68" w:type="dxa"/>
            <w:tcBorders>
              <w:top w:val="single" w:sz="6" w:space="0" w:color="000000"/>
              <w:left w:val="single" w:sz="6" w:space="0" w:color="000000"/>
              <w:bottom w:val="single" w:sz="6" w:space="0" w:color="000000"/>
              <w:right w:val="single" w:sz="6" w:space="0" w:color="000000"/>
            </w:tcBorders>
          </w:tcPr>
          <w:p>
            <w:pP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56,671,198.73</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56,671,198.73</w:t>
            </w:r>
          </w:p>
        </w:tc>
      </w:tr>
      <w:tr>
        <w:trPr>
          <w:trHeight w:val="348" w:hRule="exact"/>
        </w:trPr>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减：资产减值损失</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3,780,708.14</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-3,780,708.14</w:t>
            </w: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696"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加</w:t>
            </w:r>
            <w:r>
              <w:rPr>
                <w:rFonts w:ascii="宋体" w:hAnsi="宋体" w:cs="宋体" w:eastAsia="宋体" w:hint="default"/>
                <w:spacing w:val="-77"/>
                <w:sz w:val="18"/>
                <w:szCs w:val="18"/>
              </w:rPr>
              <w:t>：</w:t>
            </w:r>
            <w:r>
              <w:rPr>
                <w:rFonts w:ascii="宋体" w:hAnsi="宋体" w:cs="宋体" w:eastAsia="宋体" w:hint="default"/>
                <w:sz w:val="18"/>
                <w:szCs w:val="18"/>
              </w:rPr>
              <w:t>资产减值损</w:t>
            </w:r>
            <w:r>
              <w:rPr>
                <w:rFonts w:ascii="宋体" w:hAnsi="宋体" w:cs="宋体" w:eastAsia="宋体" w:hint="default"/>
                <w:spacing w:val="-77"/>
                <w:sz w:val="18"/>
                <w:szCs w:val="18"/>
              </w:rPr>
              <w:t>失</w:t>
            </w:r>
            <w:r>
              <w:rPr>
                <w:rFonts w:ascii="宋体" w:hAnsi="宋体" w:cs="宋体" w:eastAsia="宋体" w:hint="default"/>
                <w:sz w:val="18"/>
                <w:szCs w:val="18"/>
              </w:rPr>
              <w:t>（损失以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列示</w:t>
            </w:r>
          </w:p>
        </w:tc>
        <w:tc>
          <w:tcPr>
            <w:tcW w:w="2268"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7"/>
              <w:ind w:left="-107" w:right="0"/>
              <w:jc w:val="left"/>
              <w:rPr>
                <w:rFonts w:ascii="宋体" w:hAnsi="宋体" w:cs="宋体" w:eastAsia="宋体" w:hint="default"/>
                <w:sz w:val="18"/>
                <w:szCs w:val="18"/>
              </w:rPr>
            </w:pPr>
            <w:r>
              <w:rPr>
                <w:rFonts w:ascii="宋体" w:hAnsi="宋体" w:cs="宋体" w:eastAsia="宋体" w:hint="default"/>
                <w:sz w:val="18"/>
                <w:szCs w:val="18"/>
              </w:rPr>
              <w:t>）</w:t>
            </w:r>
          </w:p>
        </w:tc>
        <w:tc>
          <w:tcPr>
            <w:tcW w:w="2549"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-3,780,708.14</w:t>
            </w:r>
          </w:p>
        </w:tc>
        <w:tc>
          <w:tcPr>
            <w:tcW w:w="2127"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-3,780,708.14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重要会计估计变更" w:id="234"/>
      <w:bookmarkEnd w:id="234"/>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3"/>
        <w:spacing w:line="240" w:lineRule="auto"/>
        <w:ind w:right="0"/>
        <w:jc w:val="left"/>
        <w:rPr>
          <w:b w:val="0"/>
          <w:bCs w:val="0"/>
        </w:rPr>
      </w:pPr>
      <w:bookmarkStart w:name="（3）2019年起执行新金融工具准则、新收入准则或新租赁准则调整执行当年年初财务" w:id="235"/>
      <w:bookmarkEnd w:id="235"/>
      <w:r>
        <w:rPr>
          <w:b w:val="0"/>
          <w:bCs w:val="0"/>
        </w:rPr>
      </w: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5"/>
        </w:rPr>
        <w:t> </w:t>
      </w:r>
      <w:r>
        <w:rPr/>
        <w:t>年起执行新金融工具准则、新收入准则或新租赁准则调整执行当年年初财务报表相关项目情况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338"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1534" w:space="7387"/>
            <w:col w:w="2009"/>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1,749,565,293.91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1,749,565,293.91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920,918,712.08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920,918,712.08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343,711,117.06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343,711,117.06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926,524,193.69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926,524,193.69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288,067,926.96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288,067,926.96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99,918,405.03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99,918,405.03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707,762.49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707,762.49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650,186,022.13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650,186,022.13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14,572,247.06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14,572,247.06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395,490,828.69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395,490,828.69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5,388,954,746.61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5,388,954,746.61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195,026,566.52</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-195,026,566.52</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419,660.20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419,660.20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195,026,566.52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195,026,566.52</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22,414,831.55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22,414,831.55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972,791,151.27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972,791,151.27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90,935,722.47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90,935,722.47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389,290,344.82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389,290,344.82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2,212,366,211.92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2,212,366,211.92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55,749,381.18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55,749,381.18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37,492,317.59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37,492,317.59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68,149,715.56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68,149,715.56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4,044,635,903.08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4,044,635,903.08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9,433,590,649.69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9,433,590,649.69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270,502,200.00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270,502,200.00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506,491,412.49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506,491,412.49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576,938,684.41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576,938,684.41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120,134,125.72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120,134,125.72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79"/>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9"/>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25,535,550.90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25,535,550.90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45,315,134.78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45,315,134.78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144,083,481.31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144,083,481.31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1,697,440.50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1,697,440.50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11,000,000.00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971,045,125.79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971,045,125.79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2,671,045,715.40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2,671,045,715.40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88,000,000.00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88,000,000.00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15,346,224.20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15,346,224.20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35,546,181.35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35,546,181.35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138,892,405.55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138,892,405.55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2,809,938,120.95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2,809,938,120.95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1,247,335,239.00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1,247,335,239.00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4,673,593,452.49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4,673,593,452.49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475,861,413.21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475,861,413.21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784,605.57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784,605.57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99,437,184.92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99,437,184.92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982,064,442.16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982,064,442.16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6,527,353,510.93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6,527,353,510.93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96,299,017.81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96,299,017.81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6,623,652,528.74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6,623,652,528.74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9,433,590,649.69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9,433,590,649.69</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pStyle w:val="BodyText"/>
        <w:spacing w:line="357" w:lineRule="auto" w:before="49"/>
        <w:ind w:right="-20"/>
        <w:jc w:val="left"/>
      </w:pPr>
      <w:r>
        <w:rPr/>
        <w:t>调整情况说明 母公司资产负债表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1593" w:space="7327"/>
            <w:col w:w="201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984,790,119.41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984,790,119.41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85,812,409.06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85,812,409.06</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194,737,532.55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194,737,532.55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202,108,108.20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202,108,108.20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646,149,579.42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646,149,579.42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187,095,181.74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187,095,181.74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17,417,791.00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17,417,791.00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2,318,110,721.38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2,318,110,721.38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153,200,000.00</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-153,200,000.00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4,691,015,117.96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4,691,015,117.96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153,200,000.00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153,200,000.00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9,474,616.24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9,474,616.24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2,780,634.56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2,780,634.56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1,232,704.38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1,232,704.38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3,750,764.58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3,750,764.58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27,417,228.00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27,417,228.00</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4,888,871,065.72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4,888,871,065.72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7,206,981,787.10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7,206,981,787.10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291,052,200.00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291,052,200.00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319,259,761.22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319,259,761.22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56,671,198.73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56,671,198.73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33,038,463.81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33,038,463.81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629,104.24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629,104.24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8,590,950.73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8,590,950.73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115,159,506.84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115,159,506.84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9"/>
              <w:jc w:val="right"/>
              <w:rPr>
                <w:rFonts w:ascii="宋体" w:hAnsi="宋体" w:cs="宋体" w:eastAsia="宋体" w:hint="default"/>
                <w:sz w:val="18"/>
                <w:szCs w:val="18"/>
              </w:rPr>
            </w:pPr>
            <w:r>
              <w:rPr>
                <w:rFonts w:ascii="宋体" w:hAnsi="宋体" w:cs="宋体" w:eastAsia="宋体" w:hint="default"/>
                <w:sz w:val="18"/>
                <w:szCs w:val="18"/>
              </w:rPr>
              <w:t>其中：应付利息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2,557,159.11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2,557,159.11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9"/>
              <w:jc w:val="right"/>
              <w:rPr>
                <w:rFonts w:ascii="宋体" w:hAnsi="宋体" w:cs="宋体" w:eastAsia="宋体" w:hint="default"/>
                <w:sz w:val="18"/>
                <w:szCs w:val="18"/>
              </w:rPr>
            </w:pPr>
            <w:r>
              <w:rPr>
                <w:rFonts w:ascii="宋体" w:hAnsi="宋体" w:cs="宋体" w:eastAsia="宋体" w:hint="default"/>
                <w:sz w:val="18"/>
                <w:szCs w:val="18"/>
              </w:rPr>
              <w:t>应付股利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11,000,000.00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20,516,974.72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20,516,974.72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855,918,160.29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855,918,160.29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88,000,000.00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9"/>
              <w:jc w:val="righ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88,000,000.00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943,918,160.29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943,918,160.29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1,247,335,239.00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1,247,335,239.00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4,655,607,500.11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4,655,607,500.11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475,861,413.21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475,861,413.21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99,437,184.92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99,437,184.92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736,545,115.99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736,545,115.99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6,263,063,626.81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6,263,063,626.81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7,206,981,787.10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7,206,981,787.10</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bookmarkStart w:name="（4）2019年起执行新金融工具准则或新租赁准则追溯调整前期比较数据说明" w:id="236"/>
      <w:bookmarkEnd w:id="236"/>
      <w:r>
        <w:rPr>
          <w:b w:val="0"/>
          <w:bCs w:val="0"/>
        </w:rPr>
      </w: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年起执行新金融工具准则或新租赁准则追溯调整前期比较数据说明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9"/>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2279"/>
        <w:gridCol w:w="2399"/>
        <w:gridCol w:w="2693"/>
        <w:gridCol w:w="2269"/>
      </w:tblGrid>
      <w:tr>
        <w:trPr>
          <w:trHeight w:val="342" w:hRule="exact"/>
        </w:trPr>
        <w:tc>
          <w:tcPr>
            <w:tcW w:w="2279"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b/>
                <w:bCs/>
                <w:sz w:val="18"/>
                <w:szCs w:val="18"/>
              </w:rPr>
              <w:t>受影响的项目</w:t>
            </w:r>
            <w:r>
              <w:rPr>
                <w:rFonts w:ascii="宋体" w:hAnsi="宋体" w:cs="宋体" w:eastAsia="宋体" w:hint="default"/>
                <w:sz w:val="18"/>
                <w:szCs w:val="18"/>
              </w:rPr>
            </w:r>
          </w:p>
        </w:tc>
        <w:tc>
          <w:tcPr>
            <w:tcW w:w="7361"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left="1933" w:right="0"/>
              <w:jc w:val="left"/>
              <w:rPr>
                <w:rFonts w:ascii="宋体" w:hAnsi="宋体" w:cs="宋体" w:eastAsia="宋体" w:hint="default"/>
                <w:sz w:val="18"/>
                <w:szCs w:val="18"/>
              </w:rPr>
            </w:pPr>
            <w:r>
              <w:rPr>
                <w:rFonts w:ascii="宋体" w:hAnsi="宋体" w:cs="宋体" w:eastAsia="宋体" w:hint="default"/>
                <w:b/>
                <w:bCs/>
                <w:sz w:val="18"/>
                <w:szCs w:val="18"/>
              </w:rPr>
              <w:t>合并财务报表（</w:t>
            </w:r>
            <w:r>
              <w:rPr>
                <w:rFonts w:ascii="Times New Roman" w:hAnsi="Times New Roman" w:cs="Times New Roman" w:eastAsia="Times New Roman" w:hint="default"/>
                <w:b/>
                <w:bCs/>
                <w:sz w:val="18"/>
                <w:szCs w:val="18"/>
              </w:rPr>
              <w:t>2018</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31</w:t>
            </w:r>
            <w:r>
              <w:rPr>
                <w:rFonts w:ascii="宋体" w:hAnsi="宋体" w:cs="宋体" w:eastAsia="宋体" w:hint="default"/>
                <w:b/>
                <w:bCs/>
                <w:sz w:val="18"/>
                <w:szCs w:val="18"/>
              </w:rPr>
              <w:t>日</w:t>
            </w:r>
            <w:r>
              <w:rPr>
                <w:rFonts w:ascii="Times New Roman" w:hAnsi="Times New Roman" w:cs="Times New Roman" w:eastAsia="Times New Roman" w:hint="default"/>
                <w:b/>
                <w:bCs/>
                <w:sz w:val="18"/>
                <w:szCs w:val="18"/>
              </w:rPr>
              <w:t>/2018</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347" w:hRule="exact"/>
        </w:trPr>
        <w:tc>
          <w:tcPr>
            <w:tcW w:w="2279" w:type="dxa"/>
            <w:vMerge/>
            <w:tcBorders>
              <w:left w:val="single" w:sz="6" w:space="0" w:color="000000"/>
              <w:bottom w:val="single" w:sz="6" w:space="0" w:color="000000"/>
              <w:right w:val="single" w:sz="6" w:space="0" w:color="000000"/>
            </w:tcBorders>
            <w:shd w:val="clear" w:color="auto" w:fill="D9D9D9"/>
          </w:tcPr>
          <w:p>
            <w:pPr/>
          </w:p>
        </w:tc>
        <w:tc>
          <w:tcPr>
            <w:tcW w:w="239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9"/>
              <w:ind w:left="923"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269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9"/>
              <w:ind w:left="1070" w:right="0"/>
              <w:jc w:val="left"/>
              <w:rPr>
                <w:rFonts w:ascii="宋体" w:hAnsi="宋体" w:cs="宋体" w:eastAsia="宋体" w:hint="default"/>
                <w:sz w:val="18"/>
                <w:szCs w:val="18"/>
              </w:rPr>
            </w:pPr>
            <w:r>
              <w:rPr>
                <w:rFonts w:ascii="宋体" w:hAnsi="宋体" w:cs="宋体" w:eastAsia="宋体" w:hint="default"/>
                <w:sz w:val="18"/>
                <w:szCs w:val="18"/>
              </w:rPr>
              <w:t>调整数</w:t>
            </w:r>
          </w:p>
        </w:tc>
        <w:tc>
          <w:tcPr>
            <w:tcW w:w="22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9"/>
              <w:ind w:left="859"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398" w:hRule="exact"/>
        </w:trPr>
        <w:tc>
          <w:tcPr>
            <w:tcW w:w="227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1,270,235,310.75</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-1,270,235,310.75</w:t>
            </w:r>
          </w:p>
        </w:tc>
        <w:tc>
          <w:tcPr>
            <w:tcW w:w="2269"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27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399"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343,711,117.06</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343,711,117.06</w:t>
            </w:r>
          </w:p>
        </w:tc>
      </w:tr>
      <w:tr>
        <w:trPr>
          <w:trHeight w:val="346" w:hRule="exact"/>
        </w:trPr>
        <w:tc>
          <w:tcPr>
            <w:tcW w:w="227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99"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926,524,193.69</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926,524,193.69</w:t>
            </w:r>
          </w:p>
        </w:tc>
      </w:tr>
      <w:tr>
        <w:trPr>
          <w:trHeight w:val="348" w:hRule="exact"/>
        </w:trPr>
        <w:tc>
          <w:tcPr>
            <w:tcW w:w="227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195,026,566.52</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-195,026,566.52</w:t>
            </w:r>
          </w:p>
        </w:tc>
        <w:tc>
          <w:tcPr>
            <w:tcW w:w="2269"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27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399"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195,026,566.52</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195,026,566.52</w:t>
            </w:r>
          </w:p>
        </w:tc>
      </w:tr>
      <w:tr>
        <w:trPr>
          <w:trHeight w:val="346" w:hRule="exact"/>
        </w:trPr>
        <w:tc>
          <w:tcPr>
            <w:tcW w:w="227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1,083,430,096.90</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-1,083,430,096.90</w:t>
            </w:r>
          </w:p>
        </w:tc>
        <w:tc>
          <w:tcPr>
            <w:tcW w:w="2269"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27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399"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506,491,412.49</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506,491,412.49</w:t>
            </w:r>
          </w:p>
        </w:tc>
      </w:tr>
      <w:tr>
        <w:trPr>
          <w:trHeight w:val="352" w:hRule="exact"/>
        </w:trPr>
        <w:tc>
          <w:tcPr>
            <w:tcW w:w="227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9" w:type="dxa"/>
            <w:tcBorders>
              <w:top w:val="single" w:sz="6" w:space="0" w:color="000000"/>
              <w:left w:val="single" w:sz="6" w:space="0" w:color="000000"/>
              <w:bottom w:val="single" w:sz="11" w:space="0" w:color="000000"/>
              <w:right w:val="single" w:sz="6" w:space="0" w:color="000000"/>
            </w:tcBorders>
          </w:tcPr>
          <w:p>
            <w:pPr/>
          </w:p>
        </w:tc>
        <w:tc>
          <w:tcPr>
            <w:tcW w:w="2693" w:type="dxa"/>
            <w:tcBorders>
              <w:top w:val="single" w:sz="6" w:space="0" w:color="000000"/>
              <w:left w:val="single" w:sz="6" w:space="0" w:color="000000"/>
              <w:bottom w:val="single" w:sz="11"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576,938,684.41</w:t>
            </w:r>
          </w:p>
        </w:tc>
        <w:tc>
          <w:tcPr>
            <w:tcW w:w="2269" w:type="dxa"/>
            <w:tcBorders>
              <w:top w:val="single" w:sz="6" w:space="0" w:color="000000"/>
              <w:left w:val="single" w:sz="6" w:space="0" w:color="000000"/>
              <w:bottom w:val="single" w:sz="11"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576,938,684.41</w:t>
            </w:r>
          </w:p>
        </w:tc>
      </w:tr>
      <w:tr>
        <w:trPr>
          <w:trHeight w:val="343" w:hRule="exact"/>
        </w:trPr>
        <w:tc>
          <w:tcPr>
            <w:tcW w:w="2279"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b/>
                <w:bCs/>
                <w:sz w:val="18"/>
                <w:szCs w:val="18"/>
              </w:rPr>
              <w:t>受影响的项目</w:t>
            </w:r>
            <w:r>
              <w:rPr>
                <w:rFonts w:ascii="宋体" w:hAnsi="宋体" w:cs="宋体" w:eastAsia="宋体" w:hint="default"/>
                <w:sz w:val="18"/>
                <w:szCs w:val="18"/>
              </w:rPr>
            </w:r>
          </w:p>
        </w:tc>
        <w:tc>
          <w:tcPr>
            <w:tcW w:w="7361"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
              <w:ind w:left="1842" w:right="0"/>
              <w:jc w:val="left"/>
              <w:rPr>
                <w:rFonts w:ascii="宋体" w:hAnsi="宋体" w:cs="宋体" w:eastAsia="宋体" w:hint="default"/>
                <w:sz w:val="18"/>
                <w:szCs w:val="18"/>
              </w:rPr>
            </w:pPr>
            <w:r>
              <w:rPr>
                <w:rFonts w:ascii="宋体" w:hAnsi="宋体" w:cs="宋体" w:eastAsia="宋体" w:hint="default"/>
                <w:b/>
                <w:bCs/>
                <w:sz w:val="18"/>
                <w:szCs w:val="18"/>
              </w:rPr>
              <w:t>母公司财务报表（</w:t>
            </w:r>
            <w:r>
              <w:rPr>
                <w:rFonts w:ascii="Times New Roman" w:hAnsi="Times New Roman" w:cs="Times New Roman" w:eastAsia="Times New Roman" w:hint="default"/>
                <w:b/>
                <w:bCs/>
                <w:sz w:val="18"/>
                <w:szCs w:val="18"/>
              </w:rPr>
              <w:t>2018</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31</w:t>
            </w:r>
            <w:r>
              <w:rPr>
                <w:rFonts w:ascii="宋体" w:hAnsi="宋体" w:cs="宋体" w:eastAsia="宋体" w:hint="default"/>
                <w:b/>
                <w:bCs/>
                <w:sz w:val="18"/>
                <w:szCs w:val="18"/>
              </w:rPr>
              <w:t>日</w:t>
            </w:r>
            <w:r>
              <w:rPr>
                <w:rFonts w:ascii="Times New Roman" w:hAnsi="Times New Roman" w:cs="Times New Roman" w:eastAsia="Times New Roman" w:hint="default"/>
                <w:b/>
                <w:bCs/>
                <w:sz w:val="18"/>
                <w:szCs w:val="18"/>
              </w:rPr>
              <w:t>/2018</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347" w:hRule="exact"/>
        </w:trPr>
        <w:tc>
          <w:tcPr>
            <w:tcW w:w="2279" w:type="dxa"/>
            <w:vMerge/>
            <w:tcBorders>
              <w:left w:val="single" w:sz="6" w:space="0" w:color="000000"/>
              <w:bottom w:val="single" w:sz="6" w:space="0" w:color="000000"/>
              <w:right w:val="single" w:sz="6" w:space="0" w:color="000000"/>
            </w:tcBorders>
            <w:shd w:val="clear" w:color="auto" w:fill="D9D9D9"/>
          </w:tcPr>
          <w:p>
            <w:pPr/>
          </w:p>
        </w:tc>
        <w:tc>
          <w:tcPr>
            <w:tcW w:w="239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923"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269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1070" w:right="0"/>
              <w:jc w:val="left"/>
              <w:rPr>
                <w:rFonts w:ascii="宋体" w:hAnsi="宋体" w:cs="宋体" w:eastAsia="宋体" w:hint="default"/>
                <w:sz w:val="18"/>
                <w:szCs w:val="18"/>
              </w:rPr>
            </w:pPr>
            <w:r>
              <w:rPr>
                <w:rFonts w:ascii="宋体" w:hAnsi="宋体" w:cs="宋体" w:eastAsia="宋体" w:hint="default"/>
                <w:sz w:val="18"/>
                <w:szCs w:val="18"/>
              </w:rPr>
              <w:t>调整数</w:t>
            </w:r>
          </w:p>
        </w:tc>
        <w:tc>
          <w:tcPr>
            <w:tcW w:w="22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859"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347" w:hRule="exact"/>
        </w:trPr>
        <w:tc>
          <w:tcPr>
            <w:tcW w:w="227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9"/>
              <w:ind w:left="4"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280,549,941.61</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-280,549,941.61</w:t>
            </w:r>
          </w:p>
        </w:tc>
        <w:tc>
          <w:tcPr>
            <w:tcW w:w="2269"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27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399"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85,812,409.06</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85,812,409.06</w:t>
            </w:r>
          </w:p>
        </w:tc>
      </w:tr>
      <w:tr>
        <w:trPr>
          <w:trHeight w:val="346" w:hRule="exact"/>
        </w:trPr>
        <w:tc>
          <w:tcPr>
            <w:tcW w:w="227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99"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194,737,532.55</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194,737,532.55</w:t>
            </w:r>
          </w:p>
        </w:tc>
      </w:tr>
      <w:tr>
        <w:trPr>
          <w:trHeight w:val="348" w:hRule="exact"/>
        </w:trPr>
        <w:tc>
          <w:tcPr>
            <w:tcW w:w="227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153,200,000.00</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-153,200,000.00</w:t>
            </w:r>
          </w:p>
        </w:tc>
        <w:tc>
          <w:tcPr>
            <w:tcW w:w="2269"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27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399"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153,200,000.00</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153,200,000.00</w:t>
            </w:r>
          </w:p>
        </w:tc>
      </w:tr>
      <w:tr>
        <w:trPr>
          <w:trHeight w:val="348" w:hRule="exact"/>
        </w:trPr>
        <w:tc>
          <w:tcPr>
            <w:tcW w:w="227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375,930,959.95</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-375,930,959.95</w:t>
            </w:r>
          </w:p>
        </w:tc>
        <w:tc>
          <w:tcPr>
            <w:tcW w:w="2269"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2278"/>
        <w:gridCol w:w="2401"/>
        <w:gridCol w:w="2693"/>
        <w:gridCol w:w="2269"/>
      </w:tblGrid>
      <w:tr>
        <w:trPr>
          <w:trHeight w:val="348" w:hRule="exact"/>
        </w:trPr>
        <w:tc>
          <w:tcPr>
            <w:tcW w:w="22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01"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319,259,761.22</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319,259,761.22</w:t>
            </w:r>
          </w:p>
        </w:tc>
      </w:tr>
      <w:tr>
        <w:trPr>
          <w:trHeight w:val="346" w:hRule="exact"/>
        </w:trPr>
        <w:tc>
          <w:tcPr>
            <w:tcW w:w="22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01"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56,671,198.73</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56,671,198.73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45、其他" w:id="237"/>
      <w:bookmarkEnd w:id="237"/>
      <w:r>
        <w:rPr>
          <w:b w:val="0"/>
          <w:bCs w:val="0"/>
        </w:rPr>
      </w:r>
      <w:r>
        <w:rPr>
          <w:rFonts w:ascii="Times New Roman" w:hAnsi="Times New Roman" w:cs="Times New Roman" w:eastAsia="Times New Roman" w:hint="default"/>
        </w:rPr>
        <w:t>45</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3"/>
        <w:rPr>
          <w:rFonts w:ascii="宋体" w:hAnsi="宋体" w:cs="宋体" w:eastAsia="宋体" w:hint="default"/>
          <w:sz w:val="25"/>
          <w:szCs w:val="25"/>
        </w:rPr>
      </w:pPr>
    </w:p>
    <w:p>
      <w:pPr>
        <w:pStyle w:val="Heading2"/>
        <w:spacing w:line="240" w:lineRule="auto"/>
        <w:ind w:right="1133"/>
        <w:jc w:val="left"/>
        <w:rPr>
          <w:b w:val="0"/>
          <w:bCs w:val="0"/>
        </w:rPr>
      </w:pPr>
      <w:bookmarkStart w:name="六、税项" w:id="238"/>
      <w:bookmarkEnd w:id="238"/>
      <w:r>
        <w:rPr>
          <w:b w:val="0"/>
          <w:bCs w:val="0"/>
        </w:rPr>
      </w:r>
      <w:r>
        <w:rPr/>
        <w:t>六、税项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bookmarkStart w:name="1、主要税种及税率" w:id="239"/>
      <w:bookmarkEnd w:id="239"/>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1"/>
          <w:szCs w:val="21"/>
        </w:rPr>
      </w:pPr>
    </w:p>
    <w:p>
      <w:pPr>
        <w:pStyle w:val="BodyText"/>
        <w:spacing w:line="240" w:lineRule="auto" w:before="44"/>
        <w:ind w:left="0" w:right="1155"/>
        <w:jc w:val="right"/>
      </w:pPr>
      <w:r>
        <w:rPr/>
        <w:pict>
          <v:shape style="position:absolute;margin-left:57pt;margin-top:-36.398293pt;width:478.7pt;height:183.55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17" w:hRule="exact"/>
                    </w:trPr>
                    <w:tc>
                      <w:tcPr>
                        <w:tcW w:w="3168" w:type="dxa"/>
                        <w:tcBorders>
                          <w:top w:val="single" w:sz="4" w:space="0" w:color="000000"/>
                          <w:left w:val="single" w:sz="4" w:space="0" w:color="000000"/>
                          <w:bottom w:val="nil" w:sz="6" w:space="0" w:color="auto"/>
                          <w:right w:val="single" w:sz="4" w:space="0" w:color="000000"/>
                        </w:tcBorders>
                        <w:shd w:val="clear" w:color="auto" w:fill="D2D2D2"/>
                      </w:tcPr>
                      <w:p>
                        <w:pPr/>
                      </w:p>
                    </w:tc>
                    <w:tc>
                      <w:tcPr>
                        <w:tcW w:w="3201" w:type="dxa"/>
                        <w:vMerge w:val="restart"/>
                        <w:tcBorders>
                          <w:top w:val="single" w:sz="4" w:space="0" w:color="000000"/>
                          <w:left w:val="single" w:sz="9" w:space="0" w:color="D2D2D2"/>
                          <w:right w:val="single" w:sz="4" w:space="0" w:color="000000"/>
                        </w:tcBorders>
                      </w:tcPr>
                      <w:p>
                        <w:pPr>
                          <w:pStyle w:val="TableParagraph"/>
                          <w:spacing w:line="307" w:lineRule="auto" w:before="49"/>
                          <w:ind w:left="28" w:right="34"/>
                          <w:jc w:val="left"/>
                          <w:rPr>
                            <w:rFonts w:ascii="Times New Roman" w:hAnsi="Times New Roman" w:cs="Times New Roman" w:eastAsia="Times New Roman" w:hint="default"/>
                            <w:sz w:val="18"/>
                            <w:szCs w:val="18"/>
                          </w:rPr>
                        </w:pPr>
                        <w:r>
                          <w:rPr>
                            <w:rFonts w:ascii="宋体" w:hAnsi="宋体" w:cs="宋体" w:eastAsia="宋体" w:hint="default"/>
                            <w:sz w:val="18"/>
                            <w:szCs w:val="18"/>
                          </w:rPr>
                          <w:t>应纳税增值额</w:t>
                        </w:r>
                        <w:r>
                          <w:rPr>
                            <w:rFonts w:ascii="Times New Roman" w:hAnsi="Times New Roman" w:cs="Times New Roman" w:eastAsia="Times New Roman" w:hint="default"/>
                            <w:sz w:val="18"/>
                            <w:szCs w:val="18"/>
                          </w:rPr>
                          <w:t>(</w:t>
                        </w:r>
                        <w:r>
                          <w:rPr>
                            <w:rFonts w:ascii="宋体" w:hAnsi="宋体" w:cs="宋体" w:eastAsia="宋体" w:hint="default"/>
                            <w:sz w:val="18"/>
                            <w:szCs w:val="18"/>
                          </w:rPr>
                          <w:t>应纳税额按应纳税销售额 乘以适用税率扣除当期允许抵扣的进项 税后的余额计算</w:t>
                        </w:r>
                        <w:r>
                          <w:rPr>
                            <w:rFonts w:ascii="Times New Roman" w:hAnsi="Times New Roman" w:cs="Times New Roman" w:eastAsia="Times New Roman" w:hint="default"/>
                            <w:sz w:val="18"/>
                            <w:szCs w:val="18"/>
                          </w:rPr>
                          <w:t>)</w:t>
                        </w:r>
                      </w:p>
                    </w:tc>
                    <w:tc>
                      <w:tcPr>
                        <w:tcW w:w="3190" w:type="dxa"/>
                        <w:vMerge w:val="restart"/>
                        <w:tcBorders>
                          <w:top w:val="single" w:sz="4" w:space="0" w:color="000000"/>
                          <w:left w:val="single" w:sz="4" w:space="0" w:color="000000"/>
                          <w:right w:val="single" w:sz="4" w:space="0" w:color="000000"/>
                        </w:tcBorders>
                      </w:tcPr>
                      <w:p>
                        <w:pPr>
                          <w:pStyle w:val="TableParagraph"/>
                          <w:spacing w:line="300" w:lineRule="auto" w:before="49"/>
                          <w:ind w:left="23"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按</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的税率计 缴；出口货物享受</w:t>
                        </w:r>
                        <w:r>
                          <w:rPr>
                            <w:rFonts w:ascii="Times New Roman" w:hAnsi="Times New Roman" w:cs="Times New Roman" w:eastAsia="Times New Roman" w:hint="default"/>
                            <w:sz w:val="18"/>
                            <w:szCs w:val="18"/>
                          </w:rPr>
                          <w:t>"</w:t>
                        </w:r>
                        <w:r>
                          <w:rPr>
                            <w:rFonts w:ascii="宋体" w:hAnsi="宋体" w:cs="宋体" w:eastAsia="宋体" w:hint="default"/>
                            <w:sz w:val="18"/>
                            <w:szCs w:val="18"/>
                          </w:rPr>
                          <w:t>免、抵、退</w:t>
                        </w:r>
                        <w:r>
                          <w:rPr>
                            <w:rFonts w:ascii="Times New Roman" w:hAnsi="Times New Roman" w:cs="Times New Roman" w:eastAsia="Times New Roman" w:hint="default"/>
                            <w:sz w:val="18"/>
                            <w:szCs w:val="18"/>
                          </w:rPr>
                          <w:t>"</w:t>
                        </w:r>
                        <w:r>
                          <w:rPr>
                            <w:rFonts w:ascii="宋体" w:hAnsi="宋体" w:cs="宋体" w:eastAsia="宋体" w:hint="default"/>
                            <w:sz w:val="18"/>
                            <w:szCs w:val="18"/>
                          </w:rPr>
                          <w:t>税政策 退税率为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p>
                    </w:tc>
                  </w:tr>
                  <w:tr>
                    <w:trPr>
                      <w:trHeight w:val="391" w:hRule="exact"/>
                    </w:trPr>
                    <w:tc>
                      <w:tcPr>
                        <w:tcW w:w="31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1"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317" w:hRule="exact"/>
                    </w:trPr>
                    <w:tc>
                      <w:tcPr>
                        <w:tcW w:w="3168" w:type="dxa"/>
                        <w:tcBorders>
                          <w:top w:val="nil" w:sz="6" w:space="0" w:color="auto"/>
                          <w:left w:val="single" w:sz="4" w:space="0" w:color="000000"/>
                          <w:bottom w:val="single" w:sz="4" w:space="0" w:color="000000"/>
                          <w:right w:val="single" w:sz="4" w:space="0" w:color="000000"/>
                        </w:tcBorders>
                        <w:shd w:val="clear" w:color="auto" w:fill="D2D2D2"/>
                      </w:tcPr>
                      <w:p>
                        <w:pPr/>
                      </w:p>
                    </w:tc>
                    <w:tc>
                      <w:tcPr>
                        <w:tcW w:w="3201"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应交流转税税额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161" w:hRule="exact"/>
                    </w:trPr>
                    <w:tc>
                      <w:tcPr>
                        <w:tcW w:w="3168" w:type="dxa"/>
                        <w:tcBorders>
                          <w:top w:val="single" w:sz="4" w:space="0" w:color="000000"/>
                          <w:left w:val="single" w:sz="4" w:space="0" w:color="000000"/>
                          <w:bottom w:val="nil" w:sz="6" w:space="0" w:color="auto"/>
                          <w:right w:val="single" w:sz="4" w:space="0" w:color="000000"/>
                        </w:tcBorders>
                        <w:shd w:val="clear" w:color="auto" w:fill="D2D2D2"/>
                      </w:tcPr>
                      <w:p>
                        <w:pPr/>
                      </w:p>
                    </w:tc>
                    <w:tc>
                      <w:tcPr>
                        <w:tcW w:w="3201"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21%</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27%</w:t>
                        </w:r>
                      </w:p>
                    </w:tc>
                  </w:tr>
                  <w:tr>
                    <w:trPr>
                      <w:trHeight w:val="391" w:hRule="exact"/>
                    </w:trPr>
                    <w:tc>
                      <w:tcPr>
                        <w:tcW w:w="31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1"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68" w:type="dxa"/>
                        <w:tcBorders>
                          <w:top w:val="nil" w:sz="6" w:space="0" w:color="auto"/>
                          <w:left w:val="single" w:sz="4" w:space="0" w:color="000000"/>
                          <w:bottom w:val="single" w:sz="4" w:space="0" w:color="000000"/>
                          <w:right w:val="single" w:sz="4" w:space="0" w:color="000000"/>
                        </w:tcBorders>
                        <w:shd w:val="clear" w:color="auto" w:fill="D2D2D2"/>
                      </w:tcPr>
                      <w:p>
                        <w:pPr/>
                      </w:p>
                    </w:tc>
                    <w:tc>
                      <w:tcPr>
                        <w:tcW w:w="3201"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应交流转税税额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713" w:hRule="exact"/>
                    </w:trPr>
                    <w:tc>
                      <w:tcPr>
                        <w:tcW w:w="31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从价计征的，按房产原值一次减除</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30%</w:t>
                        </w:r>
                      </w:p>
                      <w:p>
                        <w:pPr>
                          <w:pStyle w:val="TableParagraph"/>
                          <w:spacing w:line="240" w:lineRule="auto" w:before="60"/>
                          <w:ind w:left="34" w:right="0"/>
                          <w:jc w:val="left"/>
                          <w:rPr>
                            <w:rFonts w:ascii="宋体" w:hAnsi="宋体" w:cs="宋体" w:eastAsia="宋体" w:hint="default"/>
                            <w:sz w:val="18"/>
                            <w:szCs w:val="18"/>
                          </w:rPr>
                        </w:pPr>
                        <w:r>
                          <w:rPr>
                            <w:rFonts w:ascii="宋体" w:hAnsi="宋体" w:cs="宋体" w:eastAsia="宋体" w:hint="default"/>
                            <w:sz w:val="18"/>
                            <w:szCs w:val="18"/>
                          </w:rPr>
                          <w:t>后的余额；从租计征的，以租金收入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BodyText"/>
        <w:spacing w:line="240" w:lineRule="auto" w:before="44"/>
        <w:ind w:right="1133"/>
        <w:jc w:val="left"/>
      </w:pPr>
      <w:r>
        <w:rPr/>
        <w:t>存在不同企业所得税税率纳税主体的，披露情况说明</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青岛海立达冲压件有限公司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青岛海立美达模具有限公司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枣庄海立美达模具有限公司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青岛海立美达电机有限公司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湖南海立美达钢板加工配送有限公司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宁波泰鸿机电有限公司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宁波泰鸿冲压件有限公司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宝鸡泰鸿机电有限公司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宁波海立美达汽车部件有限公司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上海海众实业发展有限公司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烟台海立美达精密钢制品有限公司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海立美达香港有限公司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湖北海立田汽车部件有限公司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湖北海立美达汽车有限公司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舟山陆泰石油化工有限公司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16"/>
              <w:jc w:val="righ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枣阳市海美房地产开发有限公司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16"/>
              <w:jc w:val="righ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青岛海立美达精密机械制造有限公司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16"/>
              <w:jc w:val="righ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江苏盛世通钢铁供应链管理有限公司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16"/>
              <w:jc w:val="righ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青岛中安美达技术有限公司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16"/>
              <w:jc w:val="righ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青岛海立美达科技有限公司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16"/>
              <w:jc w:val="righ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上海和达汽车配件有限公司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16"/>
              <w:jc w:val="righ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天津和达汽车配件有限公司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16"/>
              <w:jc w:val="righ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宁德和达汽车配件有限公司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16"/>
              <w:jc w:val="right"/>
              <w:rPr>
                <w:rFonts w:ascii="Times New Roman" w:hAnsi="Times New Roman" w:cs="Times New Roman" w:eastAsia="Times New Roman" w:hint="default"/>
                <w:sz w:val="18"/>
                <w:szCs w:val="18"/>
              </w:rPr>
            </w:pPr>
            <w:r>
              <w:rPr>
                <w:rFonts w:ascii="Times New Roman"/>
                <w:sz w:val="18"/>
              </w:rPr>
              <w:t>25%</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梅州和达汽车配件有限公司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16"/>
              <w:jc w:val="righ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联动优势科技有限公司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16"/>
              <w:jc w:val="right"/>
              <w:rPr>
                <w:rFonts w:ascii="Times New Roman" w:hAnsi="Times New Roman" w:cs="Times New Roman" w:eastAsia="Times New Roman" w:hint="default"/>
                <w:sz w:val="18"/>
                <w:szCs w:val="18"/>
              </w:rPr>
            </w:pPr>
            <w:r>
              <w:rPr>
                <w:rFonts w:ascii="Times New Roman"/>
                <w:sz w:val="18"/>
              </w:rPr>
              <w:t>10%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联保汇通</w:t>
            </w:r>
            <w:r>
              <w:rPr>
                <w:rFonts w:ascii="Times New Roman" w:hAnsi="Times New Roman" w:cs="Times New Roman" w:eastAsia="Times New Roman" w:hint="default"/>
                <w:sz w:val="18"/>
                <w:szCs w:val="18"/>
              </w:rPr>
              <w:t>(</w:t>
            </w:r>
            <w:r>
              <w:rPr>
                <w:rFonts w:ascii="宋体" w:hAnsi="宋体" w:cs="宋体" w:eastAsia="宋体" w:hint="default"/>
                <w:sz w:val="18"/>
                <w:szCs w:val="18"/>
              </w:rPr>
              <w:t>汕头</w:t>
            </w:r>
            <w:r>
              <w:rPr>
                <w:rFonts w:ascii="Times New Roman" w:hAnsi="Times New Roman" w:cs="Times New Roman" w:eastAsia="Times New Roman" w:hint="default"/>
                <w:sz w:val="18"/>
                <w:szCs w:val="18"/>
              </w:rPr>
              <w:t>)</w:t>
            </w:r>
            <w:r>
              <w:rPr>
                <w:rFonts w:ascii="宋体" w:hAnsi="宋体" w:cs="宋体" w:eastAsia="宋体" w:hint="default"/>
                <w:sz w:val="18"/>
                <w:szCs w:val="18"/>
              </w:rPr>
              <w:t>保险代理有限公司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16"/>
              <w:jc w:val="righ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蜜小蜂智慧</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16"/>
              <w:jc w:val="righ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联动优势电子商务有限公司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16"/>
              <w:jc w:val="right"/>
              <w:rPr>
                <w:rFonts w:ascii="Times New Roman" w:hAnsi="Times New Roman" w:cs="Times New Roman" w:eastAsia="Times New Roman" w:hint="default"/>
                <w:sz w:val="18"/>
                <w:szCs w:val="18"/>
              </w:rPr>
            </w:pPr>
            <w:r>
              <w:rPr>
                <w:rFonts w:ascii="Times New Roman"/>
                <w:sz w:val="18"/>
              </w:rPr>
              <w:t>10%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哈尔滨迪达能化科技有限公司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16"/>
              <w:jc w:val="righ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青岛中金卓越保理有限公司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16"/>
              <w:jc w:val="righ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青岛万金通达经济信息服务有限公司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16"/>
              <w:jc w:val="righ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安派国际控股有限公司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53"/>
              <w:jc w:val="right"/>
              <w:rPr>
                <w:rFonts w:ascii="Times New Roman" w:hAnsi="Times New Roman" w:cs="Times New Roman" w:eastAsia="Times New Roman" w:hint="default"/>
                <w:sz w:val="18"/>
                <w:szCs w:val="18"/>
              </w:rPr>
            </w:pPr>
            <w:r>
              <w:rPr>
                <w:rFonts w:ascii="Times New Roman"/>
                <w:sz w:val="18"/>
              </w:rPr>
              <w:t>16.5%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安派国际美国有限责任公司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16"/>
              <w:jc w:val="right"/>
              <w:rPr>
                <w:rFonts w:ascii="Times New Roman" w:hAnsi="Times New Roman" w:cs="Times New Roman" w:eastAsia="Times New Roman" w:hint="default"/>
                <w:sz w:val="18"/>
                <w:szCs w:val="18"/>
              </w:rPr>
            </w:pPr>
            <w:r>
              <w:rPr>
                <w:rFonts w:ascii="Times New Roman"/>
                <w:sz w:val="18"/>
              </w:rPr>
              <w:t>21%</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北京玖联金通科技有限责任公司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16"/>
              <w:jc w:val="righ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辉海（上海）科技服务有限公司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16"/>
              <w:jc w:val="righ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联动优势科技（加拿大）有限公司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16"/>
              <w:jc w:val="right"/>
              <w:rPr>
                <w:rFonts w:ascii="Times New Roman" w:hAnsi="Times New Roman" w:cs="Times New Roman" w:eastAsia="Times New Roman" w:hint="default"/>
                <w:sz w:val="18"/>
                <w:szCs w:val="18"/>
              </w:rPr>
            </w:pPr>
            <w:r>
              <w:rPr>
                <w:rFonts w:ascii="Times New Roman"/>
                <w:sz w:val="18"/>
              </w:rPr>
              <w:t>27%</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天津奥美林生物科技有限公司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16"/>
              <w:jc w:val="righ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九州环球国际融资租赁</w:t>
            </w:r>
            <w:r>
              <w:rPr>
                <w:rFonts w:ascii="Times New Roman" w:hAnsi="Times New Roman" w:cs="Times New Roman" w:eastAsia="Times New Roman" w:hint="default"/>
                <w:sz w:val="18"/>
                <w:szCs w:val="18"/>
              </w:rPr>
              <w:t>(</w:t>
            </w:r>
            <w:r>
              <w:rPr>
                <w:rFonts w:ascii="宋体" w:hAnsi="宋体" w:cs="宋体" w:eastAsia="宋体" w:hint="default"/>
                <w:sz w:val="18"/>
                <w:szCs w:val="18"/>
              </w:rPr>
              <w:t>天津</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16"/>
              <w:jc w:val="righ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ZhonghengConstructionGroupCo.,Limited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53"/>
              <w:jc w:val="right"/>
              <w:rPr>
                <w:rFonts w:ascii="Times New Roman" w:hAnsi="Times New Roman" w:cs="Times New Roman" w:eastAsia="Times New Roman" w:hint="default"/>
                <w:sz w:val="18"/>
                <w:szCs w:val="18"/>
              </w:rPr>
            </w:pPr>
            <w:r>
              <w:rPr>
                <w:rFonts w:ascii="Times New Roman"/>
                <w:sz w:val="18"/>
              </w:rPr>
              <w:t>16.5%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海联金汇</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金融科技有限公司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16"/>
              <w:jc w:val="righ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济南广盈商业保理有限公司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16"/>
              <w:jc w:val="right"/>
              <w:rPr>
                <w:rFonts w:ascii="Times New Roman" w:hAnsi="Times New Roman" w:cs="Times New Roman" w:eastAsia="Times New Roman" w:hint="default"/>
                <w:sz w:val="18"/>
                <w:szCs w:val="18"/>
              </w:rPr>
            </w:pPr>
            <w:r>
              <w:rPr>
                <w:rFonts w:ascii="Times New Roman"/>
                <w:sz w:val="18"/>
              </w:rPr>
              <w:t>25%</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联动优势数字（北京）科技有限公司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16"/>
              <w:jc w:val="righ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北京金玉联汇科技有限公司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16"/>
              <w:jc w:val="right"/>
              <w:rPr>
                <w:rFonts w:ascii="Times New Roman" w:hAnsi="Times New Roman" w:cs="Times New Roman" w:eastAsia="Times New Roman" w:hint="default"/>
                <w:sz w:val="18"/>
                <w:szCs w:val="18"/>
              </w:rPr>
            </w:pPr>
            <w:r>
              <w:rPr>
                <w:rFonts w:ascii="Times New Roman"/>
                <w:sz w:val="18"/>
              </w:rPr>
              <w:t>25%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税收优惠" w:id="240"/>
      <w:bookmarkEnd w:id="240"/>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131" w:firstLine="360"/>
        <w:jc w:val="both"/>
      </w:pPr>
      <w:r>
        <w:rPr/>
        <w:t>青岛海立达冲压件有限公司于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28</w:t>
      </w:r>
      <w:r>
        <w:rPr/>
        <w:t>日获得编号为</w:t>
      </w:r>
      <w:r>
        <w:rPr>
          <w:rFonts w:ascii="Times New Roman" w:hAnsi="Times New Roman" w:cs="Times New Roman" w:eastAsia="Times New Roman" w:hint="default"/>
        </w:rPr>
        <w:t>GR201937100202</w:t>
      </w:r>
      <w:r>
        <w:rPr/>
        <w:t>的《高新技术企业证书》，根据《中华人民 </w:t>
      </w:r>
      <w:r>
        <w:rPr>
          <w:spacing w:val="-1"/>
        </w:rPr>
        <w:t>共和国企业所得税法》第二十八条的规定，青岛海立达冲压件有限公司</w:t>
      </w:r>
      <w:r>
        <w:rPr>
          <w:rFonts w:ascii="Times New Roman" w:hAnsi="Times New Roman" w:cs="Times New Roman" w:eastAsia="Times New Roman" w:hint="default"/>
          <w:spacing w:val="-1"/>
        </w:rPr>
        <w:t>2019</w:t>
      </w:r>
      <w:r>
        <w:rPr>
          <w:spacing w:val="-1"/>
        </w:rPr>
        <w:t>年度享受高新技术企业减按</w:t>
      </w:r>
      <w:r>
        <w:rPr>
          <w:rFonts w:ascii="Times New Roman" w:hAnsi="Times New Roman" w:cs="Times New Roman" w:eastAsia="Times New Roman" w:hint="default"/>
          <w:spacing w:val="-1"/>
        </w:rPr>
        <w:t>15%</w:t>
      </w:r>
      <w:r>
        <w:rPr>
          <w:spacing w:val="-1"/>
        </w:rPr>
        <w:t>税率优惠征收企</w:t>
      </w:r>
      <w:r>
        <w:rPr>
          <w:spacing w:val="-88"/>
        </w:rPr>
        <w:t> </w:t>
      </w:r>
      <w:r>
        <w:rPr/>
        <w:t>业所得税的政策。</w:t>
      </w:r>
    </w:p>
    <w:p>
      <w:pPr>
        <w:spacing w:after="0" w:line="300"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126" w:firstLine="360"/>
        <w:jc w:val="both"/>
      </w:pPr>
      <w:r>
        <w:rPr>
          <w:spacing w:val="-2"/>
        </w:rPr>
        <w:t>青岛海立美达模具有限公司于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4</w:t>
      </w:r>
      <w:r>
        <w:rPr>
          <w:spacing w:val="-2"/>
        </w:rPr>
        <w:t>日获得编号为</w:t>
      </w:r>
      <w:r>
        <w:rPr>
          <w:rFonts w:ascii="Times New Roman" w:hAnsi="Times New Roman" w:cs="Times New Roman" w:eastAsia="Times New Roman" w:hint="default"/>
          <w:spacing w:val="-2"/>
        </w:rPr>
        <w:t>GR201737100707</w:t>
      </w:r>
      <w:r>
        <w:rPr>
          <w:spacing w:val="-2"/>
        </w:rPr>
        <w:t>的《高新技术企业证书》，根据《中华人民共</w:t>
      </w:r>
      <w:r>
        <w:rPr/>
        <w:t> </w:t>
      </w:r>
      <w:r>
        <w:rPr>
          <w:spacing w:val="-1"/>
        </w:rPr>
        <w:t>和国企业所得税法》第二十八条的规定，青岛海立美达模具有限公司</w:t>
      </w:r>
      <w:r>
        <w:rPr>
          <w:rFonts w:ascii="Times New Roman" w:hAnsi="Times New Roman" w:cs="Times New Roman" w:eastAsia="Times New Roman" w:hint="default"/>
          <w:spacing w:val="-1"/>
        </w:rPr>
        <w:t>2019</w:t>
      </w:r>
      <w:r>
        <w:rPr>
          <w:spacing w:val="-1"/>
        </w:rPr>
        <w:t>年度享受高新技术企业减按</w:t>
      </w:r>
      <w:r>
        <w:rPr>
          <w:rFonts w:ascii="Times New Roman" w:hAnsi="Times New Roman" w:cs="Times New Roman" w:eastAsia="Times New Roman" w:hint="default"/>
          <w:spacing w:val="-1"/>
        </w:rPr>
        <w:t>15%</w:t>
      </w:r>
      <w:r>
        <w:rPr>
          <w:spacing w:val="-1"/>
        </w:rPr>
        <w:t>税率优惠征收企业</w:t>
      </w:r>
      <w:r>
        <w:rPr>
          <w:spacing w:val="-88"/>
        </w:rPr>
        <w:t> </w:t>
      </w:r>
      <w:r>
        <w:rPr/>
        <w:t>所得税的政策。</w:t>
      </w:r>
    </w:p>
    <w:p>
      <w:pPr>
        <w:spacing w:line="240" w:lineRule="auto" w:before="10"/>
        <w:rPr>
          <w:rFonts w:ascii="宋体" w:hAnsi="宋体" w:cs="宋体" w:eastAsia="宋体" w:hint="default"/>
          <w:sz w:val="20"/>
          <w:szCs w:val="20"/>
        </w:rPr>
      </w:pPr>
    </w:p>
    <w:p>
      <w:pPr>
        <w:pStyle w:val="BodyText"/>
        <w:spacing w:line="300" w:lineRule="auto"/>
        <w:ind w:right="1128" w:firstLine="360"/>
        <w:jc w:val="both"/>
      </w:pPr>
      <w:r>
        <w:rPr>
          <w:spacing w:val="-1"/>
        </w:rPr>
        <w:t>根据财政部、海关总署、国家税务总局颁布的财税</w:t>
      </w:r>
      <w:r>
        <w:rPr>
          <w:rFonts w:ascii="Times New Roman" w:hAnsi="Times New Roman" w:cs="Times New Roman" w:eastAsia="Times New Roman" w:hint="default"/>
          <w:spacing w:val="-1"/>
        </w:rPr>
        <w:t>[2011]58</w:t>
      </w:r>
      <w:r>
        <w:rPr>
          <w:spacing w:val="-1"/>
        </w:rPr>
        <w:t>号文规定，自</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日至</w:t>
      </w:r>
      <w:r>
        <w:rPr>
          <w:rFonts w:ascii="Times New Roman" w:hAnsi="Times New Roman" w:cs="Times New Roman" w:eastAsia="Times New Roman" w:hint="default"/>
          <w:spacing w:val="-1"/>
        </w:rPr>
        <w:t>2020</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日，对设在西部</w:t>
      </w:r>
      <w:r>
        <w:rPr/>
        <w:t> </w:t>
      </w:r>
      <w:r>
        <w:rPr>
          <w:spacing w:val="-1"/>
        </w:rPr>
        <w:t>地区的鼓励类产业企业减按</w:t>
      </w:r>
      <w:r>
        <w:rPr>
          <w:rFonts w:ascii="Times New Roman" w:hAnsi="Times New Roman" w:cs="Times New Roman" w:eastAsia="Times New Roman" w:hint="default"/>
          <w:spacing w:val="-1"/>
        </w:rPr>
        <w:t>15%</w:t>
      </w:r>
      <w:r>
        <w:rPr>
          <w:spacing w:val="-1"/>
        </w:rPr>
        <w:t>的税率征收企业所得税。宝鸡泰鸿机电有限公司符合上述优惠条件，</w:t>
      </w:r>
      <w:r>
        <w:rPr>
          <w:rFonts w:ascii="Times New Roman" w:hAnsi="Times New Roman" w:cs="Times New Roman" w:eastAsia="Times New Roman" w:hint="default"/>
          <w:spacing w:val="-1"/>
        </w:rPr>
        <w:t>2019</w:t>
      </w:r>
      <w:r>
        <w:rPr>
          <w:spacing w:val="-1"/>
        </w:rPr>
        <w:t>年度享受减按</w:t>
      </w:r>
      <w:r>
        <w:rPr>
          <w:rFonts w:ascii="Times New Roman" w:hAnsi="Times New Roman" w:cs="Times New Roman" w:eastAsia="Times New Roman" w:hint="default"/>
          <w:spacing w:val="-1"/>
        </w:rPr>
        <w:t>15%</w:t>
      </w:r>
      <w:r>
        <w:rPr>
          <w:rFonts w:ascii="Times New Roman" w:hAnsi="Times New Roman" w:cs="Times New Roman" w:eastAsia="Times New Roman" w:hint="default"/>
          <w:spacing w:val="-11"/>
        </w:rPr>
        <w:t> </w:t>
      </w:r>
      <w:r>
        <w:rPr>
          <w:rFonts w:ascii="Times New Roman" w:hAnsi="Times New Roman" w:cs="Times New Roman" w:eastAsia="Times New Roman" w:hint="default"/>
          <w:spacing w:val="-11"/>
        </w:rPr>
      </w:r>
      <w:r>
        <w:rPr/>
        <w:t>税率优惠征收企业所得税的政策。</w:t>
      </w:r>
    </w:p>
    <w:p>
      <w:pPr>
        <w:spacing w:line="240" w:lineRule="auto" w:before="10"/>
        <w:rPr>
          <w:rFonts w:ascii="宋体" w:hAnsi="宋体" w:cs="宋体" w:eastAsia="宋体" w:hint="default"/>
          <w:sz w:val="20"/>
          <w:szCs w:val="20"/>
        </w:rPr>
      </w:pPr>
    </w:p>
    <w:p>
      <w:pPr>
        <w:pStyle w:val="BodyText"/>
        <w:spacing w:line="316" w:lineRule="auto"/>
        <w:ind w:right="1134" w:firstLine="360"/>
        <w:jc w:val="both"/>
      </w:pPr>
      <w:r>
        <w:rPr>
          <w:spacing w:val="-2"/>
        </w:rPr>
        <w:t>根据《香港特别行政区税务条例》有关规定，若客户以离岸方式进行公司运营，所有业务均不在香港本地产生，所产生</w:t>
      </w:r>
      <w:r>
        <w:rPr/>
        <w:t> 利润无需交税。海立美达香港有限公司企业所得税率为</w:t>
      </w:r>
      <w:r>
        <w:rPr>
          <w:rFonts w:ascii="Times New Roman" w:hAnsi="Times New Roman" w:cs="Times New Roman" w:eastAsia="Times New Roman" w:hint="default"/>
        </w:rPr>
        <w:t>0%</w:t>
      </w:r>
      <w:r>
        <w:rPr/>
        <w:t>。</w:t>
      </w:r>
    </w:p>
    <w:p>
      <w:pPr>
        <w:spacing w:line="240" w:lineRule="auto" w:before="3"/>
        <w:rPr>
          <w:rFonts w:ascii="宋体" w:hAnsi="宋体" w:cs="宋体" w:eastAsia="宋体" w:hint="default"/>
          <w:sz w:val="18"/>
          <w:szCs w:val="18"/>
        </w:rPr>
      </w:pPr>
    </w:p>
    <w:p>
      <w:pPr>
        <w:pStyle w:val="BodyText"/>
        <w:spacing w:line="300" w:lineRule="auto"/>
        <w:ind w:right="1131" w:firstLine="360"/>
        <w:jc w:val="both"/>
      </w:pPr>
      <w:r>
        <w:rPr/>
        <w:t>上海和达汽车配件有限公司于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23</w:t>
      </w:r>
      <w:r>
        <w:rPr/>
        <w:t>日获得编号为</w:t>
      </w:r>
      <w:r>
        <w:rPr>
          <w:rFonts w:ascii="Times New Roman" w:hAnsi="Times New Roman" w:cs="Times New Roman" w:eastAsia="Times New Roman" w:hint="default"/>
        </w:rPr>
        <w:t>GR201731000001</w:t>
      </w:r>
      <w:r>
        <w:rPr/>
        <w:t>的《高新技术企业证书》，根据《中华人民 </w:t>
      </w:r>
      <w:r>
        <w:rPr>
          <w:spacing w:val="-1"/>
        </w:rPr>
        <w:t>共和国企业所得税法》第二十八条的规定，上海和达汽车配件有限公司</w:t>
      </w:r>
      <w:r>
        <w:rPr>
          <w:rFonts w:ascii="Times New Roman" w:hAnsi="Times New Roman" w:cs="Times New Roman" w:eastAsia="Times New Roman" w:hint="default"/>
          <w:spacing w:val="-1"/>
        </w:rPr>
        <w:t>2019</w:t>
      </w:r>
      <w:r>
        <w:rPr>
          <w:spacing w:val="-1"/>
        </w:rPr>
        <w:t>年度享受高新技术企业减按</w:t>
      </w:r>
      <w:r>
        <w:rPr>
          <w:rFonts w:ascii="Times New Roman" w:hAnsi="Times New Roman" w:cs="Times New Roman" w:eastAsia="Times New Roman" w:hint="default"/>
          <w:spacing w:val="-1"/>
        </w:rPr>
        <w:t>15%</w:t>
      </w:r>
      <w:r>
        <w:rPr>
          <w:spacing w:val="-1"/>
        </w:rPr>
        <w:t>税率优惠征收企</w:t>
      </w:r>
      <w:r>
        <w:rPr>
          <w:spacing w:val="-88"/>
        </w:rPr>
        <w:t> </w:t>
      </w:r>
      <w:r>
        <w:rPr/>
        <w:t>业所得税的政策。</w:t>
      </w:r>
    </w:p>
    <w:p>
      <w:pPr>
        <w:spacing w:line="240" w:lineRule="auto" w:before="10"/>
        <w:rPr>
          <w:rFonts w:ascii="宋体" w:hAnsi="宋体" w:cs="宋体" w:eastAsia="宋体" w:hint="default"/>
          <w:sz w:val="20"/>
          <w:szCs w:val="20"/>
        </w:rPr>
      </w:pPr>
    </w:p>
    <w:p>
      <w:pPr>
        <w:pStyle w:val="BodyText"/>
        <w:spacing w:line="309" w:lineRule="auto"/>
        <w:ind w:right="1132" w:firstLine="360"/>
        <w:jc w:val="both"/>
      </w:pPr>
      <w:r>
        <w:rPr>
          <w:spacing w:val="-2"/>
        </w:rPr>
        <w:t>联动优势科技有限公司是重点软件企业，根据《财政部、国家税务总局关于进一步鼓励软件产业和集成电路产业发展企</w:t>
      </w:r>
      <w:r>
        <w:rPr/>
        <w:t> </w:t>
      </w:r>
      <w:r>
        <w:rPr>
          <w:spacing w:val="-1"/>
        </w:rPr>
        <w:t>业所得税政策的通知》</w:t>
      </w:r>
      <w:r>
        <w:rPr>
          <w:rFonts w:ascii="Times New Roman" w:hAnsi="Times New Roman" w:cs="Times New Roman" w:eastAsia="Times New Roman" w:hint="default"/>
          <w:spacing w:val="-1"/>
        </w:rPr>
        <w:t>(</w:t>
      </w:r>
      <w:r>
        <w:rPr>
          <w:spacing w:val="-1"/>
        </w:rPr>
        <w:t>财税〔</w:t>
      </w:r>
      <w:r>
        <w:rPr>
          <w:rFonts w:ascii="Times New Roman" w:hAnsi="Times New Roman" w:cs="Times New Roman" w:eastAsia="Times New Roman" w:hint="default"/>
          <w:spacing w:val="-1"/>
        </w:rPr>
        <w:t>2012</w:t>
      </w:r>
      <w:r>
        <w:rPr>
          <w:spacing w:val="-1"/>
        </w:rPr>
        <w:t>〕</w:t>
      </w:r>
      <w:r>
        <w:rPr>
          <w:rFonts w:ascii="Times New Roman" w:hAnsi="Times New Roman" w:cs="Times New Roman" w:eastAsia="Times New Roman" w:hint="default"/>
          <w:spacing w:val="-1"/>
        </w:rPr>
        <w:t>27</w:t>
      </w:r>
      <w:r>
        <w:rPr>
          <w:spacing w:val="-1"/>
        </w:rPr>
        <w:t>号</w:t>
      </w:r>
      <w:r>
        <w:rPr>
          <w:rFonts w:ascii="Times New Roman" w:hAnsi="Times New Roman" w:cs="Times New Roman" w:eastAsia="Times New Roman" w:hint="default"/>
          <w:spacing w:val="-1"/>
        </w:rPr>
        <w:t>)</w:t>
      </w:r>
      <w:r>
        <w:rPr>
          <w:spacing w:val="-1"/>
        </w:rPr>
        <w:t>第四条规定，国家规划布局内的重点软件和集成电路设计，如当年未享受免税优</w:t>
      </w:r>
      <w:r>
        <w:rPr>
          <w:spacing w:val="-59"/>
        </w:rPr>
        <w:t> </w:t>
      </w:r>
      <w:r>
        <w:rPr>
          <w:spacing w:val="-59"/>
        </w:rPr>
      </w:r>
      <w:r>
        <w:rPr/>
        <w:t>惠的、可减按</w:t>
      </w:r>
      <w:r>
        <w:rPr>
          <w:rFonts w:ascii="Times New Roman" w:hAnsi="Times New Roman" w:cs="Times New Roman" w:eastAsia="Times New Roman" w:hint="default"/>
        </w:rPr>
        <w:t>10%</w:t>
      </w:r>
      <w:r>
        <w:rPr/>
        <w:t>的税率征收企业所得税。联动优势科技有限公司</w:t>
      </w:r>
      <w:r>
        <w:rPr>
          <w:rFonts w:ascii="Times New Roman" w:hAnsi="Times New Roman" w:cs="Times New Roman" w:eastAsia="Times New Roman" w:hint="default"/>
        </w:rPr>
        <w:t>2019</w:t>
      </w:r>
      <w:r>
        <w:rPr/>
        <w:t>年度减按</w:t>
      </w:r>
      <w:r>
        <w:rPr>
          <w:rFonts w:ascii="Times New Roman" w:hAnsi="Times New Roman" w:cs="Times New Roman" w:eastAsia="Times New Roman" w:hint="default"/>
        </w:rPr>
        <w:t>10%</w:t>
      </w:r>
      <w:r>
        <w:rPr/>
        <w:t>的税率征收企业所得税。</w:t>
      </w:r>
    </w:p>
    <w:p>
      <w:pPr>
        <w:spacing w:line="240" w:lineRule="auto" w:before="9"/>
        <w:rPr>
          <w:rFonts w:ascii="宋体" w:hAnsi="宋体" w:cs="宋体" w:eastAsia="宋体" w:hint="default"/>
          <w:sz w:val="18"/>
          <w:szCs w:val="18"/>
        </w:rPr>
      </w:pPr>
    </w:p>
    <w:p>
      <w:pPr>
        <w:pStyle w:val="BodyText"/>
        <w:spacing w:line="309" w:lineRule="auto"/>
        <w:ind w:right="1131" w:firstLine="360"/>
        <w:jc w:val="both"/>
      </w:pPr>
      <w:r>
        <w:rPr>
          <w:spacing w:val="-2"/>
        </w:rPr>
        <w:t>联动优势电子商务有限公司是重点软件企业，根据《财政部、国家税务总局关于进一步鼓励软件产业和集成电路产业发</w:t>
      </w:r>
      <w:r>
        <w:rPr/>
        <w:t> </w:t>
      </w:r>
      <w:r>
        <w:rPr>
          <w:spacing w:val="-1"/>
        </w:rPr>
        <w:t>展企业所得税政策的通知》</w:t>
      </w:r>
      <w:r>
        <w:rPr>
          <w:rFonts w:ascii="Times New Roman" w:hAnsi="Times New Roman" w:cs="Times New Roman" w:eastAsia="Times New Roman" w:hint="default"/>
          <w:spacing w:val="-1"/>
        </w:rPr>
        <w:t>(</w:t>
      </w:r>
      <w:r>
        <w:rPr>
          <w:spacing w:val="-1"/>
        </w:rPr>
        <w:t>财税〔</w:t>
      </w:r>
      <w:r>
        <w:rPr>
          <w:rFonts w:ascii="Times New Roman" w:hAnsi="Times New Roman" w:cs="Times New Roman" w:eastAsia="Times New Roman" w:hint="default"/>
          <w:spacing w:val="-1"/>
        </w:rPr>
        <w:t>2012</w:t>
      </w:r>
      <w:r>
        <w:rPr>
          <w:spacing w:val="-1"/>
        </w:rPr>
        <w:t>〕</w:t>
      </w:r>
      <w:r>
        <w:rPr>
          <w:rFonts w:ascii="Times New Roman" w:hAnsi="Times New Roman" w:cs="Times New Roman" w:eastAsia="Times New Roman" w:hint="default"/>
          <w:spacing w:val="-1"/>
        </w:rPr>
        <w:t>27</w:t>
      </w:r>
      <w:r>
        <w:rPr>
          <w:spacing w:val="-1"/>
        </w:rPr>
        <w:t>号</w:t>
      </w:r>
      <w:r>
        <w:rPr>
          <w:rFonts w:ascii="Times New Roman" w:hAnsi="Times New Roman" w:cs="Times New Roman" w:eastAsia="Times New Roman" w:hint="default"/>
          <w:spacing w:val="-1"/>
        </w:rPr>
        <w:t>)</w:t>
      </w:r>
      <w:r>
        <w:rPr>
          <w:spacing w:val="-1"/>
        </w:rPr>
        <w:t>第四条规定，国家规划布局内的重点软件和集成电路设计，如当年未享受免</w:t>
      </w:r>
      <w:r>
        <w:rPr>
          <w:spacing w:val="-56"/>
        </w:rPr>
        <w:t> </w:t>
      </w:r>
      <w:r>
        <w:rPr>
          <w:spacing w:val="-56"/>
        </w:rPr>
      </w:r>
      <w:r>
        <w:rPr/>
        <w:t>税优惠的、可减按</w:t>
      </w:r>
      <w:r>
        <w:rPr>
          <w:rFonts w:ascii="Times New Roman" w:hAnsi="Times New Roman" w:cs="Times New Roman" w:eastAsia="Times New Roman" w:hint="default"/>
        </w:rPr>
        <w:t>10%</w:t>
      </w:r>
      <w:r>
        <w:rPr/>
        <w:t>的税率征收企业所得税。联动优势电子商务有限公司</w:t>
      </w:r>
      <w:r>
        <w:rPr>
          <w:rFonts w:ascii="Times New Roman" w:hAnsi="Times New Roman" w:cs="Times New Roman" w:eastAsia="Times New Roman" w:hint="default"/>
        </w:rPr>
        <w:t>2019</w:t>
      </w:r>
      <w:r>
        <w:rPr/>
        <w:t>年度减按</w:t>
      </w:r>
      <w:r>
        <w:rPr>
          <w:rFonts w:ascii="Times New Roman" w:hAnsi="Times New Roman" w:cs="Times New Roman" w:eastAsia="Times New Roman" w:hint="default"/>
        </w:rPr>
        <w:t>10%</w:t>
      </w:r>
      <w:r>
        <w:rPr/>
        <w:t>的税率征收企业所得税。</w:t>
      </w:r>
    </w:p>
    <w:p>
      <w:pPr>
        <w:spacing w:line="240" w:lineRule="auto" w:before="10"/>
        <w:rPr>
          <w:rFonts w:ascii="宋体" w:hAnsi="宋体" w:cs="宋体" w:eastAsia="宋体" w:hint="default"/>
          <w:sz w:val="19"/>
          <w:szCs w:val="19"/>
        </w:rPr>
      </w:pPr>
    </w:p>
    <w:p>
      <w:pPr>
        <w:pStyle w:val="Heading2"/>
        <w:spacing w:line="240" w:lineRule="auto"/>
        <w:ind w:right="1133"/>
        <w:jc w:val="left"/>
        <w:rPr>
          <w:b w:val="0"/>
          <w:bCs w:val="0"/>
        </w:rPr>
      </w:pPr>
      <w:bookmarkStart w:name="七、合并财务报表项目注释" w:id="241"/>
      <w:bookmarkEnd w:id="241"/>
      <w:r>
        <w:rPr>
          <w:b w:val="0"/>
          <w:bCs w:val="0"/>
        </w:rPr>
      </w:r>
      <w:r>
        <w:rPr/>
        <w:t>七、合并财务报表项目注释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货币资金" w:id="242"/>
      <w:bookmarkEnd w:id="242"/>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87,437.24</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1,154,536,512.21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1,700,267,560.93</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90,495,413.31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49,210,295.74</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1,245,031,925.52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1,749,565,293.91</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56,517,876.85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46,737,606.92</w:t>
            </w:r>
          </w:p>
        </w:tc>
      </w:tr>
    </w:tbl>
    <w:p>
      <w:pPr>
        <w:pStyle w:val="BodyText"/>
        <w:spacing w:line="240" w:lineRule="auto" w:before="49"/>
        <w:ind w:right="1133"/>
        <w:jc w:val="left"/>
      </w:pPr>
      <w:r>
        <w:rPr/>
        <w:t>其他说明</w:t>
      </w:r>
    </w:p>
    <w:p>
      <w:pPr>
        <w:spacing w:line="240" w:lineRule="auto" w:before="2"/>
        <w:rPr>
          <w:rFonts w:ascii="宋体" w:hAnsi="宋体" w:cs="宋体" w:eastAsia="宋体" w:hint="default"/>
          <w:sz w:val="24"/>
          <w:szCs w:val="24"/>
        </w:rPr>
      </w:pPr>
    </w:p>
    <w:p>
      <w:pPr>
        <w:pStyle w:val="BodyText"/>
        <w:spacing w:line="300" w:lineRule="auto"/>
        <w:ind w:right="1124" w:firstLine="360"/>
        <w:jc w:val="left"/>
      </w:pPr>
      <w:r>
        <w:rPr/>
        <w:t>注：截止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日，其他货币资金中</w:t>
      </w:r>
      <w:r>
        <w:rPr>
          <w:rFonts w:ascii="Times New Roman" w:hAnsi="Times New Roman" w:cs="Times New Roman" w:eastAsia="Times New Roman" w:hint="default"/>
        </w:rPr>
        <w:t>58,647,506.40</w:t>
      </w:r>
      <w:r>
        <w:rPr/>
        <w:t>元为银行承兑汇票、贷款等保证金；另外，</w:t>
      </w:r>
      <w:r>
        <w:rPr>
          <w:rFonts w:ascii="Times New Roman" w:hAnsi="Times New Roman" w:cs="Times New Roman" w:eastAsia="Times New Roman" w:hint="default"/>
        </w:rPr>
        <w:t>31,847,906.91</w:t>
      </w:r>
      <w:r>
        <w:rPr/>
        <w:t>元为 支付需要而存入</w:t>
      </w:r>
      <w:r>
        <w:rPr>
          <w:rFonts w:ascii="Times New Roman" w:hAnsi="Times New Roman" w:cs="Times New Roman" w:eastAsia="Times New Roman" w:hint="default"/>
        </w:rPr>
        <w:t>U</w:t>
      </w:r>
      <w:r>
        <w:rPr/>
        <w:t>付账户、惠商付账户等的资金。</w:t>
      </w:r>
    </w:p>
    <w:p>
      <w:pPr>
        <w:spacing w:line="240" w:lineRule="auto" w:before="4"/>
        <w:rPr>
          <w:rFonts w:ascii="宋体" w:hAnsi="宋体" w:cs="宋体" w:eastAsia="宋体" w:hint="default"/>
          <w:sz w:val="22"/>
          <w:szCs w:val="22"/>
        </w:rPr>
      </w:pPr>
    </w:p>
    <w:p>
      <w:pPr>
        <w:pStyle w:val="Heading3"/>
        <w:spacing w:line="240" w:lineRule="auto"/>
        <w:ind w:right="1133"/>
        <w:jc w:val="left"/>
        <w:rPr>
          <w:b w:val="0"/>
          <w:bCs w:val="0"/>
        </w:rPr>
      </w:pPr>
      <w:bookmarkStart w:name="2、交易性金融资产" w:id="243"/>
      <w:bookmarkEnd w:id="243"/>
      <w:r>
        <w:rPr>
          <w:b w:val="0"/>
          <w:bCs w:val="0"/>
        </w:rPr>
      </w:r>
      <w:r>
        <w:rPr>
          <w:rFonts w:ascii="Times New Roman" w:hAnsi="Times New Roman" w:cs="Times New Roman" w:eastAsia="Times New Roman" w:hint="default"/>
        </w:rPr>
        <w:t>2</w:t>
      </w:r>
      <w:r>
        <w:rPr/>
        <w:t>、交易性金融资产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无</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3、衍生金融资产" w:id="244"/>
      <w:bookmarkEnd w:id="244"/>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4、应收票据" w:id="245"/>
      <w:bookmarkEnd w:id="245"/>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应收票据分类列示" w:id="246"/>
      <w:bookmarkEnd w:id="246"/>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171,520,262.81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309,197,915.76</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23,818,046.79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34,513,201.30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195,338,309.60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343,711,117.06</w:t>
            </w:r>
          </w:p>
        </w:tc>
      </w:tr>
    </w:tbl>
    <w:p>
      <w:pPr>
        <w:pStyle w:val="BodyText"/>
        <w:spacing w:line="240" w:lineRule="auto" w:before="49"/>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917"/>
        <w:gridCol w:w="610"/>
        <w:gridCol w:w="950"/>
        <w:gridCol w:w="574"/>
        <w:gridCol w:w="790"/>
        <w:gridCol w:w="905"/>
        <w:gridCol w:w="566"/>
        <w:gridCol w:w="1136"/>
        <w:gridCol w:w="566"/>
        <w:gridCol w:w="919"/>
      </w:tblGrid>
      <w:tr>
        <w:trPr>
          <w:trHeight w:val="396"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7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0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8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19"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2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71" w:type="dxa"/>
            <w:gridSpan w:val="2"/>
            <w:vMerge/>
            <w:tcBorders>
              <w:left w:val="single" w:sz="4" w:space="0" w:color="000000"/>
              <w:bottom w:val="single" w:sz="4" w:space="0" w:color="000000"/>
              <w:right w:val="single" w:sz="4" w:space="0" w:color="000000"/>
            </w:tcBorders>
            <w:shd w:val="clear" w:color="auto" w:fill="D2D2D2"/>
          </w:tcPr>
          <w:p>
            <w:pPr/>
          </w:p>
        </w:tc>
        <w:tc>
          <w:tcPr>
            <w:tcW w:w="1702" w:type="dxa"/>
            <w:gridSpan w:val="2"/>
            <w:vMerge/>
            <w:tcBorders>
              <w:left w:val="single" w:sz="4" w:space="0" w:color="000000"/>
              <w:bottom w:val="single" w:sz="4" w:space="0" w:color="000000"/>
              <w:right w:val="single" w:sz="4" w:space="0" w:color="000000"/>
            </w:tcBorders>
            <w:shd w:val="clear" w:color="auto" w:fill="D2D2D2"/>
          </w:tcPr>
          <w:p>
            <w:pPr/>
          </w:p>
        </w:tc>
        <w:tc>
          <w:tcPr>
            <w:tcW w:w="919"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917"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610"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950"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57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03" w:right="98"/>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905"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98" w:right="96"/>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9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96"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917"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7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10"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2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50"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9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74"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90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6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3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566" w:type="dxa"/>
            <w:vMerge/>
            <w:tcBorders>
              <w:left w:val="single" w:sz="4" w:space="0" w:color="000000"/>
              <w:right w:val="single" w:sz="4" w:space="0" w:color="000000"/>
            </w:tcBorders>
            <w:shd w:val="clear" w:color="auto" w:fill="D2D2D2"/>
          </w:tcPr>
          <w:p>
            <w:pPr/>
          </w:p>
        </w:tc>
        <w:tc>
          <w:tcPr>
            <w:tcW w:w="919"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635" w:type="dxa"/>
            <w:vMerge/>
            <w:tcBorders>
              <w:left w:val="single" w:sz="4" w:space="0" w:color="000000"/>
              <w:right w:val="single" w:sz="4" w:space="0" w:color="000000"/>
            </w:tcBorders>
            <w:shd w:val="clear" w:color="auto" w:fill="D2D2D2"/>
          </w:tcPr>
          <w:p>
            <w:pPr/>
          </w:p>
        </w:tc>
        <w:tc>
          <w:tcPr>
            <w:tcW w:w="917" w:type="dxa"/>
            <w:vMerge/>
            <w:tcBorders>
              <w:left w:val="single" w:sz="4" w:space="0" w:color="000000"/>
              <w:bottom w:val="nil" w:sz="6" w:space="0" w:color="auto"/>
              <w:right w:val="single" w:sz="4" w:space="0" w:color="000000"/>
            </w:tcBorders>
            <w:shd w:val="clear" w:color="auto" w:fill="D2D2D2"/>
          </w:tcPr>
          <w:p>
            <w:pPr/>
          </w:p>
        </w:tc>
        <w:tc>
          <w:tcPr>
            <w:tcW w:w="610" w:type="dxa"/>
            <w:vMerge/>
            <w:tcBorders>
              <w:left w:val="single" w:sz="4" w:space="0" w:color="000000"/>
              <w:bottom w:val="nil" w:sz="6" w:space="0" w:color="auto"/>
              <w:right w:val="single" w:sz="4" w:space="0" w:color="000000"/>
            </w:tcBorders>
            <w:shd w:val="clear" w:color="auto" w:fill="D2D2D2"/>
          </w:tcPr>
          <w:p>
            <w:pPr/>
          </w:p>
        </w:tc>
        <w:tc>
          <w:tcPr>
            <w:tcW w:w="950"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905"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1136"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919"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917" w:type="dxa"/>
            <w:tcBorders>
              <w:top w:val="nil" w:sz="6" w:space="0" w:color="auto"/>
              <w:left w:val="single" w:sz="4" w:space="0" w:color="000000"/>
              <w:bottom w:val="single" w:sz="4" w:space="0" w:color="000000"/>
              <w:right w:val="single" w:sz="4" w:space="0" w:color="000000"/>
            </w:tcBorders>
            <w:shd w:val="clear" w:color="auto" w:fill="D2D2D2"/>
          </w:tcPr>
          <w:p>
            <w:pPr/>
          </w:p>
        </w:tc>
        <w:tc>
          <w:tcPr>
            <w:tcW w:w="610" w:type="dxa"/>
            <w:tcBorders>
              <w:top w:val="nil" w:sz="6" w:space="0" w:color="auto"/>
              <w:left w:val="single" w:sz="4" w:space="0" w:color="000000"/>
              <w:bottom w:val="single" w:sz="4" w:space="0" w:color="000000"/>
              <w:right w:val="single" w:sz="4" w:space="0" w:color="000000"/>
            </w:tcBorders>
            <w:shd w:val="clear" w:color="auto" w:fill="D2D2D2"/>
          </w:tcPr>
          <w:p>
            <w:pPr/>
          </w:p>
        </w:tc>
        <w:tc>
          <w:tcPr>
            <w:tcW w:w="950"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905"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91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0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1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按组合计提坏账准 备的应收票据</w:t>
            </w:r>
          </w:p>
        </w:tc>
        <w:tc>
          <w:tcPr>
            <w:tcW w:w="9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196,074,95</w:t>
            </w:r>
          </w:p>
          <w:p>
            <w:pPr>
              <w:pStyle w:val="TableParagraph"/>
              <w:spacing w:line="240" w:lineRule="auto" w:before="105"/>
              <w:ind w:left="563" w:right="0"/>
              <w:jc w:val="left"/>
              <w:rPr>
                <w:rFonts w:ascii="Times New Roman" w:hAnsi="Times New Roman" w:cs="Times New Roman" w:eastAsia="Times New Roman" w:hint="default"/>
                <w:sz w:val="18"/>
                <w:szCs w:val="18"/>
              </w:rPr>
            </w:pPr>
            <w:r>
              <w:rPr>
                <w:rFonts w:ascii="Times New Roman"/>
                <w:sz w:val="18"/>
              </w:rPr>
              <w:t>0.23</w:t>
            </w:r>
          </w:p>
        </w:tc>
        <w:tc>
          <w:tcPr>
            <w:tcW w:w="610"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736,640.63</w:t>
            </w:r>
          </w:p>
        </w:tc>
        <w:tc>
          <w:tcPr>
            <w:tcW w:w="574"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195,338,3</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09.60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344,769,25</w:t>
            </w:r>
          </w:p>
          <w:p>
            <w:pPr>
              <w:pStyle w:val="TableParagraph"/>
              <w:spacing w:line="240" w:lineRule="auto" w:before="105"/>
              <w:ind w:left="559" w:right="0"/>
              <w:jc w:val="left"/>
              <w:rPr>
                <w:rFonts w:ascii="Times New Roman" w:hAnsi="Times New Roman" w:cs="Times New Roman" w:eastAsia="Times New Roman" w:hint="default"/>
                <w:sz w:val="18"/>
                <w:szCs w:val="18"/>
              </w:rPr>
            </w:pPr>
            <w:r>
              <w:rPr>
                <w:rFonts w:ascii="Times New Roman"/>
                <w:sz w:val="18"/>
              </w:rPr>
              <w:t>7.31</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1,058,140.25</w:t>
            </w:r>
          </w:p>
        </w:tc>
        <w:tc>
          <w:tcPr>
            <w:tcW w:w="56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343,711,11</w:t>
            </w:r>
          </w:p>
          <w:p>
            <w:pPr>
              <w:pStyle w:val="TableParagraph"/>
              <w:spacing w:line="240" w:lineRule="auto" w:before="105"/>
              <w:ind w:left="573" w:right="0"/>
              <w:jc w:val="left"/>
              <w:rPr>
                <w:rFonts w:ascii="Times New Roman" w:hAnsi="Times New Roman" w:cs="Times New Roman" w:eastAsia="Times New Roman" w:hint="default"/>
                <w:sz w:val="18"/>
                <w:szCs w:val="18"/>
              </w:rPr>
            </w:pPr>
            <w:r>
              <w:rPr>
                <w:rFonts w:ascii="Times New Roman"/>
                <w:sz w:val="18"/>
              </w:rPr>
              <w:t>7.06</w:t>
            </w:r>
          </w:p>
        </w:tc>
      </w:tr>
      <w:tr>
        <w:trPr>
          <w:trHeight w:val="404"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0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1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5"/>
                <w:sz w:val="18"/>
                <w:szCs w:val="18"/>
              </w:rPr>
              <w:t>其中：商业承兑汇票</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24,554,687.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42</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736,640.63</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3.00%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23,818,04</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6.79</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35,571,341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10.32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1,058,140.25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3.00%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34,513,201.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30</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171,520,26</w:t>
            </w:r>
          </w:p>
          <w:p>
            <w:pPr>
              <w:pStyle w:val="TableParagraph"/>
              <w:spacing w:line="240" w:lineRule="auto" w:before="105"/>
              <w:ind w:left="571" w:right="0"/>
              <w:jc w:val="left"/>
              <w:rPr>
                <w:rFonts w:ascii="Times New Roman" w:hAnsi="Times New Roman" w:cs="Times New Roman" w:eastAsia="Times New Roman" w:hint="default"/>
                <w:sz w:val="18"/>
                <w:szCs w:val="18"/>
              </w:rPr>
            </w:pPr>
            <w:r>
              <w:rPr>
                <w:rFonts w:ascii="Times New Roman"/>
                <w:sz w:val="18"/>
              </w:rPr>
              <w:t>2.81</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0"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171,520,2</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62.81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309,197,91</w:t>
            </w:r>
          </w:p>
          <w:p>
            <w:pPr>
              <w:pStyle w:val="TableParagraph"/>
              <w:spacing w:line="240" w:lineRule="auto" w:before="105"/>
              <w:ind w:left="559" w:right="0"/>
              <w:jc w:val="left"/>
              <w:rPr>
                <w:rFonts w:ascii="Times New Roman" w:hAnsi="Times New Roman" w:cs="Times New Roman" w:eastAsia="Times New Roman" w:hint="default"/>
                <w:sz w:val="18"/>
                <w:szCs w:val="18"/>
              </w:rPr>
            </w:pPr>
            <w:r>
              <w:rPr>
                <w:rFonts w:ascii="Times New Roman"/>
                <w:sz w:val="18"/>
              </w:rPr>
              <w:t>5.76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89.68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309,197,91</w:t>
            </w:r>
          </w:p>
          <w:p>
            <w:pPr>
              <w:pStyle w:val="TableParagraph"/>
              <w:spacing w:line="240" w:lineRule="auto" w:before="105"/>
              <w:ind w:left="573" w:right="0"/>
              <w:jc w:val="left"/>
              <w:rPr>
                <w:rFonts w:ascii="Times New Roman" w:hAnsi="Times New Roman" w:cs="Times New Roman" w:eastAsia="Times New Roman" w:hint="default"/>
                <w:sz w:val="18"/>
                <w:szCs w:val="18"/>
              </w:rPr>
            </w:pPr>
            <w:r>
              <w:rPr>
                <w:rFonts w:ascii="Times New Roman"/>
                <w:sz w:val="18"/>
              </w:rPr>
              <w:t>5.76</w:t>
            </w: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196,074,95</w:t>
            </w:r>
          </w:p>
          <w:p>
            <w:pPr>
              <w:pStyle w:val="TableParagraph"/>
              <w:spacing w:line="240" w:lineRule="auto" w:before="105"/>
              <w:ind w:left="571" w:right="0"/>
              <w:jc w:val="left"/>
              <w:rPr>
                <w:rFonts w:ascii="Times New Roman" w:hAnsi="Times New Roman" w:cs="Times New Roman" w:eastAsia="Times New Roman" w:hint="default"/>
                <w:sz w:val="18"/>
                <w:szCs w:val="18"/>
              </w:rPr>
            </w:pPr>
            <w:r>
              <w:rPr>
                <w:rFonts w:ascii="Times New Roman"/>
                <w:sz w:val="18"/>
              </w:rPr>
              <w:t>0.23</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736,640.63</w:t>
            </w:r>
          </w:p>
        </w:tc>
        <w:tc>
          <w:tcPr>
            <w:tcW w:w="574"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195,338,3</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09.60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344,769,25</w:t>
            </w:r>
          </w:p>
          <w:p>
            <w:pPr>
              <w:pStyle w:val="TableParagraph"/>
              <w:spacing w:line="240" w:lineRule="auto" w:before="105"/>
              <w:ind w:left="559" w:right="0"/>
              <w:jc w:val="left"/>
              <w:rPr>
                <w:rFonts w:ascii="Times New Roman" w:hAnsi="Times New Roman" w:cs="Times New Roman" w:eastAsia="Times New Roman" w:hint="default"/>
                <w:sz w:val="18"/>
                <w:szCs w:val="18"/>
              </w:rPr>
            </w:pPr>
            <w:r>
              <w:rPr>
                <w:rFonts w:ascii="Times New Roman"/>
                <w:sz w:val="18"/>
              </w:rPr>
              <w:t>7.31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1,058,140.25</w:t>
            </w:r>
          </w:p>
        </w:tc>
        <w:tc>
          <w:tcPr>
            <w:tcW w:w="56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343,711,11</w:t>
            </w:r>
          </w:p>
          <w:p>
            <w:pPr>
              <w:pStyle w:val="TableParagraph"/>
              <w:spacing w:line="240" w:lineRule="auto" w:before="105"/>
              <w:ind w:left="573" w:right="0"/>
              <w:jc w:val="left"/>
              <w:rPr>
                <w:rFonts w:ascii="Times New Roman" w:hAnsi="Times New Roman" w:cs="Times New Roman" w:eastAsia="Times New Roman" w:hint="default"/>
                <w:sz w:val="18"/>
                <w:szCs w:val="18"/>
              </w:rPr>
            </w:pPr>
            <w:r>
              <w:rPr>
                <w:rFonts w:ascii="Times New Roman"/>
                <w:sz w:val="18"/>
              </w:rPr>
              <w:t>7.06</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pStyle w:val="BodyText"/>
        <w:spacing w:line="360" w:lineRule="auto" w:before="49"/>
        <w:ind w:right="1021"/>
        <w:jc w:val="left"/>
      </w:pPr>
      <w:r>
        <w:rPr/>
        <w:t>按单项计提坏账准备： 无</w:t>
      </w:r>
    </w:p>
    <w:p>
      <w:pPr>
        <w:pStyle w:val="BodyText"/>
        <w:spacing w:line="240" w:lineRule="auto" w:before="25"/>
        <w:ind w:right="-16"/>
        <w:jc w:val="left"/>
      </w:pPr>
      <w:r>
        <w:rPr/>
        <w:t>按组合计提坏账准备：</w:t>
      </w:r>
      <w:r>
        <w:rPr>
          <w:rFonts w:ascii="Times New Roman" w:hAnsi="Times New Roman" w:cs="Times New Roman" w:eastAsia="Times New Roman" w:hint="default"/>
        </w:rPr>
        <w:t>736,640.63</w:t>
      </w:r>
      <w:r>
        <w:rPr>
          <w:rFonts w:ascii="Times New Roman" w:hAnsi="Times New Roman" w:cs="Times New Roman" w:eastAsia="Times New Roman" w:hint="default"/>
          <w:spacing w:val="2"/>
        </w:rPr>
        <w:t> </w:t>
      </w:r>
      <w:r>
        <w:rPr/>
        <w:t>元</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2994" w:space="5836"/>
            <w:col w:w="210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24,554,687.42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736,640.63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24,554,687.42</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736,640.63</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right="8954"/>
        <w:jc w:val="left"/>
      </w:pPr>
      <w:r>
        <w:rPr/>
        <w:t>按组合计提坏账准备： 无</w:t>
      </w:r>
    </w:p>
    <w:p>
      <w:pPr>
        <w:spacing w:after="0" w:line="357" w:lineRule="auto"/>
        <w:jc w:val="left"/>
        <w:sectPr>
          <w:type w:val="continuous"/>
          <w:pgSz w:w="11910" w:h="16840"/>
          <w:pgMar w:top="1060" w:bottom="1160" w:left="980" w:right="0"/>
        </w:sectPr>
      </w:pPr>
    </w:p>
    <w:p>
      <w:pPr>
        <w:spacing w:line="240" w:lineRule="auto" w:before="9"/>
        <w:rPr>
          <w:rFonts w:ascii="宋体" w:hAnsi="宋体" w:cs="宋体" w:eastAsia="宋体" w:hint="default"/>
          <w:sz w:val="25"/>
          <w:szCs w:val="25"/>
        </w:rPr>
      </w:pPr>
    </w:p>
    <w:p>
      <w:pPr>
        <w:pStyle w:val="BodyText"/>
        <w:spacing w:line="360" w:lineRule="auto" w:before="44"/>
        <w:ind w:right="1754"/>
        <w:jc w:val="left"/>
      </w:pPr>
      <w:r>
        <w:rPr/>
        <w:t>确定该组合依据的说明： 如是按照预期信用损失一般模型计提应收票据坏账准备，请参照其他应收款的披露方式披露坏账准备的相关信息：</w:t>
      </w:r>
    </w:p>
    <w:p>
      <w:pPr>
        <w:pStyle w:val="BodyText"/>
        <w:spacing w:line="240" w:lineRule="auto" w:before="2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2）本期计提、收回或转回的坏账准备情况" w:id="247"/>
      <w:bookmarkEnd w:id="247"/>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本期计提坏账准备情况：</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1,058,140.25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321,499.62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736,640.63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1,058,140.25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321,499.62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736,640.63</w:t>
            </w:r>
          </w:p>
        </w:tc>
      </w:tr>
    </w:tbl>
    <w:p>
      <w:pPr>
        <w:pStyle w:val="BodyText"/>
        <w:spacing w:line="240" w:lineRule="auto" w:before="49"/>
        <w:ind w:right="1133"/>
        <w:jc w:val="left"/>
      </w:pPr>
      <w:r>
        <w:rPr/>
        <w:t>其中本期坏账准备收回或转回金额重要的：</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bookmarkStart w:name="（3）期末公司已质押的应收票据" w:id="248"/>
      <w:bookmarkEnd w:id="248"/>
      <w:r>
        <w:rPr>
          <w:b w:val="0"/>
          <w:bCs w:val="0"/>
        </w:rPr>
      </w:r>
      <w:r>
        <w:rPr/>
        <w:t>（</w:t>
      </w:r>
      <w:r>
        <w:rPr>
          <w:rFonts w:ascii="Times New Roman" w:hAnsi="Times New Roman" w:cs="Times New Roman" w:eastAsia="Times New Roman" w:hint="default"/>
        </w:rPr>
        <w:t>3</w:t>
      </w:r>
      <w:r>
        <w:rPr/>
        <w:t>）期末公司已质押的应收票据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73"/>
        <w:gridCol w:w="4785"/>
      </w:tblGrid>
      <w:tr>
        <w:trPr>
          <w:trHeight w:val="402" w:hRule="exact"/>
        </w:trPr>
        <w:tc>
          <w:tcPr>
            <w:tcW w:w="4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402" w:hRule="exact"/>
        </w:trPr>
        <w:tc>
          <w:tcPr>
            <w:tcW w:w="4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78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171,520,262.81</w:t>
            </w:r>
          </w:p>
        </w:tc>
      </w:tr>
      <w:tr>
        <w:trPr>
          <w:trHeight w:val="403" w:hRule="exact"/>
        </w:trPr>
        <w:tc>
          <w:tcPr>
            <w:tcW w:w="4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171,520,262.81</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4）期末公司已背书或贴现且在资产负债表日尚未到期的应收票据" w:id="249"/>
      <w:bookmarkEnd w:id="249"/>
      <w:r>
        <w:rPr>
          <w:b w:val="0"/>
          <w:bCs w:val="0"/>
        </w:rPr>
      </w:r>
      <w:r>
        <w:rPr/>
        <w:t>（</w:t>
      </w:r>
      <w:r>
        <w:rPr>
          <w:rFonts w:ascii="Times New Roman" w:hAnsi="Times New Roman" w:cs="Times New Roman" w:eastAsia="Times New Roman" w:hint="default"/>
        </w:rPr>
        <w:t>4</w:t>
      </w:r>
      <w:r>
        <w:rPr/>
        <w:t>）期末公司已背书或贴现且在资产负债表日尚未到期的应收票据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14,032,583.39</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14,032,583.39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5）期末公司因出票人未履约而将其转应收账款的票据" w:id="250"/>
      <w:bookmarkEnd w:id="250"/>
      <w:r>
        <w:rPr>
          <w:b w:val="0"/>
          <w:bCs w:val="0"/>
        </w:rPr>
      </w:r>
      <w:r>
        <w:rPr/>
        <w:t>（</w:t>
      </w:r>
      <w:r>
        <w:rPr>
          <w:rFonts w:ascii="Times New Roman" w:hAnsi="Times New Roman" w:cs="Times New Roman" w:eastAsia="Times New Roman" w:hint="default"/>
        </w:rPr>
        <w:t>5</w:t>
      </w:r>
      <w:r>
        <w:rPr/>
        <w:t>）期末公司因出票人未履约而将其转应收账款的票据</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6）本期实际核销的应收票据情况" w:id="251"/>
      <w:bookmarkEnd w:id="251"/>
      <w:r>
        <w:rPr>
          <w:b w:val="0"/>
          <w:bCs w:val="0"/>
        </w:rPr>
      </w:r>
      <w:r>
        <w:rPr/>
        <w:t>（</w:t>
      </w:r>
      <w:r>
        <w:rPr>
          <w:rFonts w:ascii="Times New Roman" w:hAnsi="Times New Roman" w:cs="Times New Roman" w:eastAsia="Times New Roman" w:hint="default"/>
        </w:rPr>
        <w:t>6</w:t>
      </w:r>
      <w:r>
        <w:rPr/>
        <w:t>）本期实际核销的应收票据情况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5、应收账款" w:id="252"/>
      <w:bookmarkEnd w:id="252"/>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应收账款分类披露" w:id="253"/>
      <w:bookmarkEnd w:id="253"/>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4"/>
        <w:gridCol w:w="761"/>
        <w:gridCol w:w="763"/>
        <w:gridCol w:w="790"/>
        <w:gridCol w:w="775"/>
        <w:gridCol w:w="797"/>
        <w:gridCol w:w="800"/>
        <w:gridCol w:w="790"/>
        <w:gridCol w:w="931"/>
      </w:tblGrid>
      <w:tr>
        <w:trPr>
          <w:trHeight w:val="396"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5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类别</w:t>
            </w:r>
          </w:p>
        </w:tc>
        <w:tc>
          <w:tcPr>
            <w:tcW w:w="152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572" w:type="dxa"/>
            <w:gridSpan w:val="2"/>
            <w:vMerge/>
            <w:tcBorders>
              <w:left w:val="single" w:sz="4" w:space="0" w:color="000000"/>
              <w:bottom w:val="single" w:sz="4" w:space="0" w:color="000000"/>
              <w:right w:val="single" w:sz="4" w:space="0" w:color="000000"/>
            </w:tcBorders>
            <w:shd w:val="clear" w:color="auto" w:fill="D2D2D2"/>
          </w:tcPr>
          <w:p>
            <w:pPr/>
          </w:p>
        </w:tc>
        <w:tc>
          <w:tcPr>
            <w:tcW w:w="1589"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9"/>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7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41,968,0</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17.89</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27,187,4</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02.89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64.78%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14,780,61</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5.00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1,603,846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0.16%</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1,603,846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7" w:hRule="exact"/>
        </w:trPr>
        <w:tc>
          <w:tcPr>
            <w:tcW w:w="16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12" w:right="159"/>
              <w:jc w:val="both"/>
              <w:rPr>
                <w:rFonts w:ascii="宋体" w:hAnsi="宋体" w:cs="宋体" w:eastAsia="宋体" w:hint="default"/>
                <w:sz w:val="18"/>
                <w:szCs w:val="18"/>
              </w:rPr>
            </w:pPr>
            <w:r>
              <w:rPr>
                <w:rFonts w:ascii="宋体" w:hAnsi="宋体" w:cs="宋体" w:eastAsia="宋体" w:hint="default"/>
                <w:sz w:val="18"/>
                <w:szCs w:val="18"/>
              </w:rPr>
              <w:t>单项金额重大并单 项计提坏账准备的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34,484,2</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23.86</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19,703,6</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08.86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57.14%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14,780,61</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5.00</w:t>
            </w:r>
          </w:p>
        </w:tc>
        <w:tc>
          <w:tcPr>
            <w:tcW w:w="77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6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12" w:right="159"/>
              <w:jc w:val="both"/>
              <w:rPr>
                <w:rFonts w:ascii="宋体" w:hAnsi="宋体" w:cs="宋体" w:eastAsia="宋体" w:hint="default"/>
                <w:sz w:val="18"/>
                <w:szCs w:val="18"/>
              </w:rPr>
            </w:pPr>
            <w:r>
              <w:rPr>
                <w:rFonts w:ascii="宋体" w:hAnsi="宋体" w:cs="宋体" w:eastAsia="宋体" w:hint="default"/>
                <w:sz w:val="18"/>
                <w:szCs w:val="18"/>
              </w:rPr>
              <w:t>单项金额不重大但 单项计提坏账准备 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7,483,79</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4.03</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7,483,79</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4.03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1,603,846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0.16%</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1,603,846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9"/>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1,069,93</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5,705.69</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96.23%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46,266,7</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09.46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1,023,668</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,996.23</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973,493,2</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21.26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99.84%</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46,969,02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7.57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926,524,19</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3.69</w:t>
            </w:r>
          </w:p>
        </w:tc>
      </w:tr>
      <w:tr>
        <w:trPr>
          <w:trHeight w:val="401"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6" w:hRule="exact"/>
        </w:trPr>
        <w:tc>
          <w:tcPr>
            <w:tcW w:w="16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1,069,93</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5,705.69</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96.23%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46,266,7</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09.46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1,023,668</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,996.23</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973,493,2</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21.26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99.84%</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46,969,02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7.57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926,524,19</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3.69</w:t>
            </w:r>
          </w:p>
        </w:tc>
      </w:tr>
      <w:tr>
        <w:trPr>
          <w:trHeight w:val="713"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1,111,903</w:t>
            </w:r>
          </w:p>
          <w:p>
            <w:pPr>
              <w:pStyle w:val="TableParagraph"/>
              <w:spacing w:line="240" w:lineRule="auto" w:before="105"/>
              <w:ind w:left="170" w:right="0"/>
              <w:jc w:val="center"/>
              <w:rPr>
                <w:rFonts w:ascii="Times New Roman" w:hAnsi="Times New Roman" w:cs="Times New Roman" w:eastAsia="Times New Roman" w:hint="default"/>
                <w:sz w:val="18"/>
                <w:szCs w:val="18"/>
              </w:rPr>
            </w:pPr>
            <w:r>
              <w:rPr>
                <w:rFonts w:ascii="Times New Roman"/>
                <w:sz w:val="18"/>
              </w:rPr>
              <w:t>,723.58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73,454,1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12.35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1,038,449</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,611.23</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975,097,0</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67.64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48,572,87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3.95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926,524,19</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3.69</w:t>
            </w:r>
          </w:p>
        </w:tc>
      </w:tr>
    </w:tbl>
    <w:p>
      <w:pPr>
        <w:pStyle w:val="BodyText"/>
        <w:spacing w:line="240" w:lineRule="auto" w:before="49"/>
        <w:ind w:right="1133"/>
        <w:jc w:val="left"/>
      </w:pPr>
      <w:r>
        <w:rPr/>
        <w:t>按单项计提坏账准备：</w:t>
      </w:r>
      <w:r>
        <w:rPr>
          <w:rFonts w:ascii="Times New Roman" w:hAnsi="Times New Roman" w:cs="Times New Roman" w:eastAsia="Times New Roman" w:hint="default"/>
        </w:rPr>
        <w:t>19,703,608.86</w:t>
      </w:r>
      <w:r>
        <w:rPr>
          <w:rFonts w:ascii="Times New Roman" w:hAnsi="Times New Roman" w:cs="Times New Roman" w:eastAsia="Times New Roman" w:hint="default"/>
          <w:spacing w:val="2"/>
        </w:rPr>
        <w:t> </w:t>
      </w:r>
      <w:r>
        <w:rPr/>
        <w:t>元</w:t>
      </w:r>
    </w:p>
    <w:p>
      <w:pPr>
        <w:pStyle w:val="BodyText"/>
        <w:spacing w:line="240" w:lineRule="auto" w:before="103"/>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29,561,230.01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14,780,615.01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诉讼执行中</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4,922,993.85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4,922,993.85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预计不能收回</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34,484,223.86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19,703,608.86</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按单项计提坏账准备：</w:t>
      </w:r>
      <w:r>
        <w:rPr>
          <w:rFonts w:ascii="Times New Roman" w:hAnsi="Times New Roman" w:cs="Times New Roman" w:eastAsia="Times New Roman" w:hint="default"/>
        </w:rPr>
        <w:t>7,483,794.03 </w:t>
      </w:r>
      <w:r>
        <w:rPr/>
        <w:t>元</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1,455,973.17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1,455,973.17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1,425,182.94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1,425,182.94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1,552,531.88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1,552,531.88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2,517,639.13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2,517,639.13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384,593.70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384,593.70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147,873.21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147,873.21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7,483,794.03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7,483,794.03</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pStyle w:val="BodyText"/>
        <w:spacing w:line="357" w:lineRule="auto" w:before="49"/>
        <w:ind w:right="1246"/>
        <w:jc w:val="left"/>
      </w:pPr>
      <w:r>
        <w:rPr/>
        <w:t>按单项计提坏账准备： 无。</w:t>
      </w:r>
    </w:p>
    <w:p>
      <w:pPr>
        <w:pStyle w:val="BodyText"/>
        <w:spacing w:line="240" w:lineRule="auto" w:before="29"/>
        <w:ind w:right="-16"/>
        <w:jc w:val="left"/>
      </w:pPr>
      <w:r>
        <w:rPr/>
        <w:t>按组合计提坏账准备：</w:t>
      </w:r>
      <w:r>
        <w:rPr>
          <w:rFonts w:ascii="Times New Roman" w:hAnsi="Times New Roman" w:cs="Times New Roman" w:eastAsia="Times New Roman" w:hint="default"/>
        </w:rPr>
        <w:t>46,266,709.46</w:t>
      </w:r>
      <w:r>
        <w:rPr>
          <w:rFonts w:ascii="Times New Roman" w:hAnsi="Times New Roman" w:cs="Times New Roman" w:eastAsia="Times New Roman" w:hint="default"/>
          <w:spacing w:val="2"/>
        </w:rPr>
        <w:t> </w:t>
      </w:r>
      <w:r>
        <w:rPr/>
        <w:t>元</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0"/>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219" w:space="5610"/>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w:t>
            </w:r>
            <w:r>
              <w:rPr>
                <w:rFonts w:ascii="宋体" w:hAnsi="宋体" w:cs="宋体" w:eastAsia="宋体" w:hint="default"/>
                <w:sz w:val="18"/>
                <w:szCs w:val="18"/>
              </w:rPr>
              <w:t>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1,019,104,658.30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32,110,359.57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3.15%</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38,491,054.44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6,050,242.29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15.72%</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3,946,008.00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1,186,873.42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30.08%</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年（含）</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1,280,504.05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640,252.03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年（含）</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5,435,090.44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4,600,591.69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84.65%</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1,678,390.46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1,678,390.46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1,069,935,705.69</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46,266,709.46</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right="8774"/>
        <w:jc w:val="left"/>
      </w:pPr>
      <w:r>
        <w:rPr/>
        <w:t>确定该组合依据的说明： 该组合为账龄组合。</w:t>
      </w:r>
    </w:p>
    <w:p>
      <w:pPr>
        <w:pStyle w:val="BodyText"/>
        <w:spacing w:line="240" w:lineRule="auto" w:before="29"/>
        <w:ind w:right="1133"/>
        <w:jc w:val="left"/>
      </w:pPr>
      <w:r>
        <w:rPr/>
        <w:t>如是按照预期信用损失一般模型计提应收账款坏账准备，请参照其他应收款的披露方式披露坏账准备的相关信息：</w:t>
      </w:r>
    </w:p>
    <w:p>
      <w:pPr>
        <w:pStyle w:val="BodyText"/>
        <w:spacing w:line="340" w:lineRule="auto" w:before="115"/>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pStyle w:val="BodyText"/>
        <w:spacing w:line="240" w:lineRule="auto" w:before="41"/>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1,019,770,667.73</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47,202,803.57</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33,507,238.01</w:t>
            </w:r>
          </w:p>
        </w:tc>
      </w:tr>
      <w:tr>
        <w:trPr>
          <w:trHeight w:val="40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11,423,014.27</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1,280,504.05</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8,464,119.76</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1,678,390.46</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1,111,903,723.58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2）本期计提、收回或转回的坏账准备情况" w:id="254"/>
      <w:bookmarkEnd w:id="254"/>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本期计提坏账准备情况：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72"/>
              <w:jc w:val="both"/>
              <w:rPr>
                <w:rFonts w:ascii="宋体" w:hAnsi="宋体" w:cs="宋体" w:eastAsia="宋体" w:hint="default"/>
                <w:sz w:val="18"/>
                <w:szCs w:val="18"/>
              </w:rPr>
            </w:pPr>
            <w:r>
              <w:rPr>
                <w:rFonts w:ascii="宋体" w:hAnsi="宋体" w:cs="宋体" w:eastAsia="宋体" w:hint="default"/>
                <w:sz w:val="18"/>
                <w:szCs w:val="18"/>
              </w:rPr>
              <w:t>单项金额重大并 单项计提坏账准 备的应收账款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6,175,294.69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13,528,314.17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19,703,608.86</w:t>
            </w:r>
          </w:p>
        </w:tc>
      </w:tr>
      <w:tr>
        <w:trPr>
          <w:trHeight w:val="1028"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备的应收账款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40,793,732.88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5,472,976.58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46,266,709.46</w:t>
            </w: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72"/>
              <w:jc w:val="both"/>
              <w:rPr>
                <w:rFonts w:ascii="宋体" w:hAnsi="宋体" w:cs="宋体" w:eastAsia="宋体" w:hint="default"/>
                <w:sz w:val="18"/>
                <w:szCs w:val="18"/>
              </w:rPr>
            </w:pPr>
            <w:r>
              <w:rPr>
                <w:rFonts w:ascii="宋体" w:hAnsi="宋体" w:cs="宋体" w:eastAsia="宋体" w:hint="default"/>
                <w:sz w:val="18"/>
                <w:szCs w:val="18"/>
              </w:rPr>
              <w:t>单项金额不重大 但单项计提坏账 准备的应收账款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1,603,846.38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5,879,947.65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7,483,794.03</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48,572,873.95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24,881,238.40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73,454,112.35</w:t>
            </w:r>
          </w:p>
        </w:tc>
      </w:tr>
    </w:tbl>
    <w:p>
      <w:pPr>
        <w:pStyle w:val="BodyText"/>
        <w:spacing w:line="357" w:lineRule="auto" w:before="49"/>
        <w:ind w:right="7334"/>
        <w:jc w:val="left"/>
      </w:pPr>
      <w:r>
        <w:rPr/>
        <w:t>其中本期坏账准备收回或转回金额重要的： 无。</w:t>
      </w:r>
    </w:p>
    <w:p>
      <w:pPr>
        <w:spacing w:line="240" w:lineRule="auto" w:before="6"/>
        <w:rPr>
          <w:rFonts w:ascii="宋体" w:hAnsi="宋体" w:cs="宋体" w:eastAsia="宋体" w:hint="default"/>
          <w:sz w:val="20"/>
          <w:szCs w:val="20"/>
        </w:rPr>
      </w:pPr>
    </w:p>
    <w:p>
      <w:pPr>
        <w:pStyle w:val="Heading3"/>
        <w:spacing w:line="240" w:lineRule="auto"/>
        <w:ind w:right="1133"/>
        <w:jc w:val="left"/>
        <w:rPr>
          <w:b w:val="0"/>
          <w:bCs w:val="0"/>
        </w:rPr>
      </w:pPr>
      <w:bookmarkStart w:name="（3）本期实际核销的应收账款情况" w:id="255"/>
      <w:bookmarkEnd w:id="255"/>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4）按欠款方归集的期末余额前五名的应收账款情况" w:id="256"/>
      <w:bookmarkEnd w:id="256"/>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79"/>
        <w:gridCol w:w="2530"/>
        <w:gridCol w:w="2530"/>
        <w:gridCol w:w="2528"/>
      </w:tblGrid>
      <w:tr>
        <w:trPr>
          <w:trHeight w:val="715" w:hRule="exact"/>
        </w:trPr>
        <w:tc>
          <w:tcPr>
            <w:tcW w:w="1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80" w:right="89" w:hanging="992"/>
              <w:jc w:val="left"/>
              <w:rPr>
                <w:rFonts w:ascii="宋体" w:hAnsi="宋体" w:cs="宋体" w:eastAsia="宋体" w:hint="default"/>
                <w:sz w:val="18"/>
                <w:szCs w:val="18"/>
              </w:rPr>
            </w:pPr>
            <w:r>
              <w:rPr>
                <w:rFonts w:ascii="宋体" w:hAnsi="宋体" w:cs="宋体" w:eastAsia="宋体" w:hint="default"/>
                <w:sz w:val="18"/>
                <w:szCs w:val="18"/>
              </w:rPr>
              <w:t>占应收账款期末余额合计数的 比例</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9"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19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118,154,421.43</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10.63%</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3,544,632.64</w:t>
            </w:r>
          </w:p>
        </w:tc>
      </w:tr>
      <w:tr>
        <w:trPr>
          <w:trHeight w:val="403" w:hRule="exact"/>
        </w:trPr>
        <w:tc>
          <w:tcPr>
            <w:tcW w:w="19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63,773,584.31</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5.74%</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3,562,852.38</w:t>
            </w:r>
          </w:p>
        </w:tc>
      </w:tr>
      <w:tr>
        <w:trPr>
          <w:trHeight w:val="401" w:hRule="exact"/>
        </w:trPr>
        <w:tc>
          <w:tcPr>
            <w:tcW w:w="19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60,358,530.44</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5.43%</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301,950.89</w:t>
            </w:r>
          </w:p>
        </w:tc>
      </w:tr>
      <w:tr>
        <w:trPr>
          <w:trHeight w:val="404" w:hRule="exact"/>
        </w:trPr>
        <w:tc>
          <w:tcPr>
            <w:tcW w:w="19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46,875,248.91</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4.22%</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1,406,257.46</w:t>
            </w:r>
          </w:p>
        </w:tc>
      </w:tr>
      <w:tr>
        <w:trPr>
          <w:trHeight w:val="401" w:hRule="exact"/>
        </w:trPr>
        <w:tc>
          <w:tcPr>
            <w:tcW w:w="19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36,560,820.19</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3.29%</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1,096,824.61</w:t>
            </w:r>
          </w:p>
        </w:tc>
      </w:tr>
      <w:tr>
        <w:trPr>
          <w:trHeight w:val="403" w:hRule="exact"/>
        </w:trPr>
        <w:tc>
          <w:tcPr>
            <w:tcW w:w="1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325,722,605.28</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29.31%</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5）因金融资产转移而终止确认的应收账款" w:id="257"/>
      <w:bookmarkEnd w:id="257"/>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无。</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6）转移应收账款且继续涉入形成的资产、负债金额" w:id="258"/>
      <w:bookmarkEnd w:id="258"/>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6、应收款项融资" w:id="259"/>
      <w:bookmarkEnd w:id="259"/>
      <w:r>
        <w:rPr>
          <w:b w:val="0"/>
          <w:bCs w:val="0"/>
        </w:rPr>
      </w:r>
      <w:r>
        <w:rPr>
          <w:rFonts w:ascii="Times New Roman" w:hAnsi="Times New Roman" w:cs="Times New Roman" w:eastAsia="Times New Roman" w:hint="default"/>
        </w:rPr>
        <w:t>6</w:t>
      </w:r>
      <w:r>
        <w:rPr/>
        <w:t>、应收款项融资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178,721,069.94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178,721,069.94</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应收款项融资本期增减变动及公允价值变动情况</w:t>
      </w:r>
    </w:p>
    <w:p>
      <w:pPr>
        <w:pStyle w:val="BodyText"/>
        <w:spacing w:line="338" w:lineRule="auto" w:before="118"/>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如是按照预期信用损失一般模型计提应收款项融资减值准备，请参照其他应收款的披露方式披露减值准备的相关信息：</w:t>
      </w:r>
    </w:p>
    <w:p>
      <w:pPr>
        <w:pStyle w:val="BodyText"/>
        <w:spacing w:line="240" w:lineRule="auto" w:before="43"/>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7、预付款项" w:id="260"/>
      <w:bookmarkEnd w:id="260"/>
      <w:r>
        <w:rPr>
          <w:b w:val="0"/>
          <w:bCs w:val="0"/>
        </w:rPr>
      </w:r>
      <w:r>
        <w:rPr>
          <w:rFonts w:ascii="Times New Roman" w:hAnsi="Times New Roman" w:cs="Times New Roman" w:eastAsia="Times New Roman" w:hint="default"/>
        </w:rPr>
        <w:t>7</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预付款项按账龄列示" w:id="261"/>
      <w:bookmarkEnd w:id="261"/>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3"/>
        <w:gridCol w:w="1915"/>
        <w:gridCol w:w="1916"/>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7"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520,272,516.34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97.35%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287,370,241.17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99.76%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14,011,967.57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555,396.88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0.19%</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59,288.60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142,288.91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0.05%</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92,113.85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534,435,886.36</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288,067,926.96</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按预付对象归集的期末余额前五名的预付款情况" w:id="262"/>
      <w:bookmarkEnd w:id="262"/>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3546"/>
        <w:gridCol w:w="2268"/>
        <w:gridCol w:w="1843"/>
        <w:gridCol w:w="1983"/>
      </w:tblGrid>
      <w:tr>
        <w:trPr>
          <w:trHeight w:val="659" w:hRule="exact"/>
        </w:trPr>
        <w:tc>
          <w:tcPr>
            <w:tcW w:w="35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2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184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8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17"/>
              <w:ind w:left="398" w:right="83" w:hanging="315"/>
              <w:jc w:val="left"/>
              <w:rPr>
                <w:rFonts w:ascii="Times New Roman" w:hAnsi="Times New Roman" w:cs="Times New Roman" w:eastAsia="Times New Roman" w:hint="default"/>
                <w:sz w:val="18"/>
                <w:szCs w:val="18"/>
              </w:rPr>
            </w:pPr>
            <w:r>
              <w:rPr>
                <w:rFonts w:ascii="宋体" w:hAnsi="宋体" w:cs="宋体" w:eastAsia="宋体" w:hint="default"/>
                <w:sz w:val="18"/>
                <w:szCs w:val="18"/>
              </w:rPr>
              <w:t>占预付款项年末余额合 计数的比例</w:t>
            </w:r>
            <w:r>
              <w:rPr>
                <w:rFonts w:ascii="Times New Roman" w:hAnsi="Times New Roman" w:cs="Times New Roman" w:eastAsia="Times New Roman" w:hint="default"/>
                <w:sz w:val="18"/>
                <w:szCs w:val="18"/>
              </w:rPr>
              <w:t>(%)</w:t>
            </w:r>
          </w:p>
        </w:tc>
      </w:tr>
      <w:tr>
        <w:trPr>
          <w:trHeight w:val="428" w:hRule="exact"/>
        </w:trPr>
        <w:tc>
          <w:tcPr>
            <w:tcW w:w="35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9"/>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204,055,040.02</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38.18</w:t>
            </w:r>
          </w:p>
        </w:tc>
      </w:tr>
      <w:tr>
        <w:trPr>
          <w:trHeight w:val="425" w:hRule="exact"/>
        </w:trPr>
        <w:tc>
          <w:tcPr>
            <w:tcW w:w="35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59,072,048.39</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11.05</w:t>
            </w:r>
          </w:p>
        </w:tc>
      </w:tr>
      <w:tr>
        <w:trPr>
          <w:trHeight w:val="427" w:hRule="exact"/>
        </w:trPr>
        <w:tc>
          <w:tcPr>
            <w:tcW w:w="35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49,819,949.94</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9.32</w:t>
            </w:r>
          </w:p>
        </w:tc>
      </w:tr>
      <w:tr>
        <w:trPr>
          <w:trHeight w:val="427" w:hRule="exact"/>
        </w:trPr>
        <w:tc>
          <w:tcPr>
            <w:tcW w:w="35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37,703,515.27</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7.05</w:t>
            </w:r>
          </w:p>
        </w:tc>
      </w:tr>
      <w:tr>
        <w:trPr>
          <w:trHeight w:val="427" w:hRule="exact"/>
        </w:trPr>
        <w:tc>
          <w:tcPr>
            <w:tcW w:w="35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19,263,992.97</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3.60</w:t>
            </w:r>
          </w:p>
        </w:tc>
      </w:tr>
      <w:tr>
        <w:trPr>
          <w:trHeight w:val="348" w:hRule="exact"/>
        </w:trPr>
        <w:tc>
          <w:tcPr>
            <w:tcW w:w="35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369,914,546.59</w:t>
            </w:r>
          </w:p>
        </w:tc>
        <w:tc>
          <w:tcPr>
            <w:tcW w:w="184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69.20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b/>
          <w:bCs/>
          <w:sz w:val="24"/>
          <w:szCs w:val="24"/>
        </w:rPr>
      </w:pPr>
    </w:p>
    <w:p>
      <w:pPr>
        <w:pStyle w:val="Heading3"/>
        <w:spacing w:line="240" w:lineRule="auto" w:before="36"/>
        <w:ind w:right="1133"/>
        <w:jc w:val="left"/>
        <w:rPr>
          <w:b w:val="0"/>
          <w:bCs w:val="0"/>
        </w:rPr>
      </w:pPr>
      <w:bookmarkStart w:name="8、其他应收款" w:id="263"/>
      <w:bookmarkEnd w:id="263"/>
      <w:r>
        <w:rPr>
          <w:b w:val="0"/>
          <w:bCs w:val="0"/>
        </w:rPr>
      </w:r>
      <w:r>
        <w:rPr>
          <w:rFonts w:ascii="Times New Roman" w:hAnsi="Times New Roman" w:cs="Times New Roman" w:eastAsia="Times New Roman" w:hint="default"/>
        </w:rPr>
        <w:t>8</w:t>
      </w:r>
      <w:r>
        <w:rPr/>
        <w:t>、其他应收款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7,961.77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707,762.49</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257,346,705.65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99,210,642.54</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257,354,667.42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99,918,405.03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1）应收利息" w:id="264"/>
      <w:bookmarkEnd w:id="264"/>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应收利息分类" w:id="265"/>
      <w:bookmarkEnd w:id="265"/>
      <w:r>
        <w:rPr>
          <w:b w:val="0"/>
          <w:bCs w:val="0"/>
        </w:rPr>
      </w:r>
      <w:r>
        <w:rPr>
          <w:rFonts w:ascii="Times New Roman" w:hAnsi="Times New Roman" w:cs="Times New Roman" w:eastAsia="Times New Roman" w:hint="default"/>
        </w:rPr>
        <w:t>1</w:t>
      </w:r>
      <w:r>
        <w:rPr/>
        <w:t>）应收利息分类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信托业务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7,961.77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707,762.49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7,961.77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707,762.49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重要逾期利息" w:id="266"/>
      <w:bookmarkEnd w:id="266"/>
      <w:r>
        <w:rPr>
          <w:b w:val="0"/>
          <w:bCs w:val="0"/>
        </w:rPr>
      </w:r>
      <w:r>
        <w:rPr>
          <w:rFonts w:ascii="Times New Roman" w:hAnsi="Times New Roman" w:cs="Times New Roman" w:eastAsia="Times New Roman" w:hint="default"/>
        </w:rPr>
        <w:t>2</w:t>
      </w:r>
      <w:r>
        <w:rPr/>
        <w:t>）重要逾期利息</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3）坏账准备计提情况" w:id="267"/>
      <w:bookmarkEnd w:id="267"/>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2）应收股利" w:id="268"/>
      <w:bookmarkEnd w:id="268"/>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3）其他应收款" w:id="269"/>
      <w:bookmarkEnd w:id="269"/>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其他应收款按款项性质分类情况" w:id="270"/>
      <w:bookmarkEnd w:id="270"/>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25,400,576.35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35,048,095.38</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资金往来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36,695,434.80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7,801,204.69</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709,733.50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1,870,257.73</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代垫款项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71,034,644.18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76,242,999.94</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退伙款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98,523.37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275,689.06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333,938,912.20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121,238,246.80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坏账准备计提情况" w:id="271"/>
      <w:bookmarkEnd w:id="271"/>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3"/>
        <w:gridCol w:w="1663"/>
        <w:gridCol w:w="2098"/>
        <w:gridCol w:w="2101"/>
        <w:gridCol w:w="1805"/>
      </w:tblGrid>
      <w:tr>
        <w:trPr>
          <w:trHeight w:val="403" w:hRule="exact"/>
        </w:trPr>
        <w:tc>
          <w:tcPr>
            <w:tcW w:w="18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3" w:hRule="exact"/>
        </w:trPr>
        <w:tc>
          <w:tcPr>
            <w:tcW w:w="18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58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560"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717"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0" w:hRule="exact"/>
        </w:trPr>
        <w:tc>
          <w:tcPr>
            <w:tcW w:w="18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3"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1" w:type="dxa"/>
            <w:vMerge/>
            <w:tcBorders>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16,006,479.51</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6,021,124.75</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36" w:right="0"/>
              <w:jc w:val="left"/>
              <w:rPr>
                <w:rFonts w:ascii="Times New Roman" w:hAnsi="Times New Roman" w:cs="Times New Roman" w:eastAsia="Times New Roman" w:hint="default"/>
                <w:sz w:val="18"/>
                <w:szCs w:val="18"/>
              </w:rPr>
            </w:pPr>
            <w:r>
              <w:rPr>
                <w:rFonts w:ascii="Times New Roman"/>
                <w:sz w:val="18"/>
              </w:rPr>
              <w:t>22,027,604.26</w:t>
            </w:r>
          </w:p>
        </w:tc>
      </w:tr>
      <w:tr>
        <w:trPr>
          <w:trHeight w:val="161" w:hRule="exact"/>
        </w:trPr>
        <w:tc>
          <w:tcPr>
            <w:tcW w:w="189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893" w:type="dxa"/>
            <w:vMerge/>
            <w:tcBorders>
              <w:left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7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1" w:hRule="exact"/>
        </w:trPr>
        <w:tc>
          <w:tcPr>
            <w:tcW w:w="1893" w:type="dxa"/>
            <w:vMerge/>
            <w:tcBorders>
              <w:left w:val="single" w:sz="4" w:space="0" w:color="000000"/>
              <w:bottom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1,839,296.88</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52,725,305.41</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36" w:right="0"/>
              <w:jc w:val="left"/>
              <w:rPr>
                <w:rFonts w:ascii="Times New Roman" w:hAnsi="Times New Roman" w:cs="Times New Roman" w:eastAsia="Times New Roman" w:hint="default"/>
                <w:sz w:val="18"/>
                <w:szCs w:val="18"/>
              </w:rPr>
            </w:pPr>
            <w:r>
              <w:rPr>
                <w:rFonts w:ascii="Times New Roman"/>
                <w:sz w:val="18"/>
              </w:rPr>
              <w:t>54,564,602.29</w:t>
            </w: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17,845,776.39</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58,746,430.16</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6" w:right="0"/>
              <w:jc w:val="left"/>
              <w:rPr>
                <w:rFonts w:ascii="Times New Roman" w:hAnsi="Times New Roman" w:cs="Times New Roman" w:eastAsia="Times New Roman" w:hint="default"/>
                <w:sz w:val="18"/>
                <w:szCs w:val="18"/>
              </w:rPr>
            </w:pPr>
            <w:r>
              <w:rPr>
                <w:rFonts w:ascii="Times New Roman"/>
                <w:sz w:val="18"/>
              </w:rPr>
              <w:t>76,592,206.55</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pStyle w:val="BodyText"/>
        <w:spacing w:line="240" w:lineRule="auto" w:before="49"/>
        <w:ind w:right="-20"/>
        <w:jc w:val="left"/>
      </w:pPr>
      <w:r>
        <w:rPr/>
        <w:t>损失准备本期变动金额重大的账面余额变动情况</w:t>
      </w:r>
    </w:p>
    <w:p>
      <w:pPr>
        <w:pStyle w:val="BodyText"/>
        <w:spacing w:line="340" w:lineRule="auto" w:before="115"/>
        <w:ind w:right="1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0"/>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933" w:space="4896"/>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301,300,255.85</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15,282,651.62</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4,227,913.74</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13,128,090.99</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7,722,768.79</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385,390.00</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5,019,932.20</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333,938,912.20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本期计提、收回或转回的坏账准备情况" w:id="272"/>
      <w:bookmarkEnd w:id="272"/>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t>本期计提坏账准备情况：</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16"/>
        <w:gridCol w:w="1097"/>
        <w:gridCol w:w="1196"/>
        <w:gridCol w:w="1303"/>
        <w:gridCol w:w="1092"/>
        <w:gridCol w:w="1736"/>
        <w:gridCol w:w="1730"/>
      </w:tblGrid>
      <w:tr>
        <w:trPr>
          <w:trHeight w:val="402" w:hRule="exact"/>
        </w:trPr>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7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416" w:type="dxa"/>
            <w:vMerge/>
            <w:tcBorders>
              <w:left w:val="single" w:sz="4" w:space="0" w:color="000000"/>
              <w:bottom w:val="single" w:sz="4" w:space="0" w:color="000000"/>
              <w:right w:val="single" w:sz="4" w:space="0" w:color="000000"/>
            </w:tcBorders>
            <w:shd w:val="clear" w:color="auto" w:fill="D2D2D2"/>
          </w:tcPr>
          <w:p>
            <w:pPr/>
          </w:p>
        </w:tc>
        <w:tc>
          <w:tcPr>
            <w:tcW w:w="1097"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730"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4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处于第一阶段的 其他应收款</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16,006,479.51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16" w:right="0"/>
              <w:jc w:val="left"/>
              <w:rPr>
                <w:rFonts w:ascii="Times New Roman" w:hAnsi="Times New Roman" w:cs="Times New Roman" w:eastAsia="Times New Roman" w:hint="default"/>
                <w:sz w:val="18"/>
                <w:szCs w:val="18"/>
              </w:rPr>
            </w:pPr>
            <w:r>
              <w:rPr>
                <w:rFonts w:ascii="Times New Roman"/>
                <w:sz w:val="18"/>
              </w:rPr>
              <w:t>1,839,296.88</w:t>
            </w:r>
          </w:p>
        </w:tc>
        <w:tc>
          <w:tcPr>
            <w:tcW w:w="130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62" w:right="0"/>
              <w:jc w:val="left"/>
              <w:rPr>
                <w:rFonts w:ascii="Times New Roman" w:hAnsi="Times New Roman" w:cs="Times New Roman" w:eastAsia="Times New Roman" w:hint="default"/>
                <w:sz w:val="18"/>
                <w:szCs w:val="18"/>
              </w:rPr>
            </w:pPr>
            <w:r>
              <w:rPr>
                <w:rFonts w:ascii="Times New Roman"/>
                <w:sz w:val="18"/>
              </w:rPr>
              <w:t>17,845,776.39</w:t>
            </w:r>
          </w:p>
        </w:tc>
      </w:tr>
      <w:tr>
        <w:trPr>
          <w:trHeight w:val="403" w:hRule="exact"/>
        </w:trPr>
        <w:tc>
          <w:tcPr>
            <w:tcW w:w="14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处于第二阶段的</w:t>
            </w:r>
          </w:p>
        </w:tc>
        <w:tc>
          <w:tcPr>
            <w:tcW w:w="10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15"/>
        <w:gridCol w:w="1097"/>
        <w:gridCol w:w="1196"/>
        <w:gridCol w:w="1303"/>
        <w:gridCol w:w="1092"/>
        <w:gridCol w:w="1736"/>
        <w:gridCol w:w="1730"/>
      </w:tblGrid>
      <w:tr>
        <w:trPr>
          <w:trHeight w:val="363" w:hRule="exact"/>
        </w:trPr>
        <w:tc>
          <w:tcPr>
            <w:tcW w:w="141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0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120"/>
              <w:jc w:val="left"/>
              <w:rPr>
                <w:rFonts w:ascii="宋体" w:hAnsi="宋体" w:cs="宋体" w:eastAsia="宋体" w:hint="default"/>
                <w:sz w:val="18"/>
                <w:szCs w:val="18"/>
              </w:rPr>
            </w:pPr>
            <w:r>
              <w:rPr>
                <w:rFonts w:ascii="宋体" w:hAnsi="宋体" w:cs="宋体" w:eastAsia="宋体" w:hint="default"/>
                <w:sz w:val="18"/>
                <w:szCs w:val="18"/>
              </w:rPr>
              <w:t>处于第三阶段的 其他应收款</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6,021,124.75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2" w:right="0"/>
              <w:jc w:val="center"/>
              <w:rPr>
                <w:rFonts w:ascii="Times New Roman" w:hAnsi="Times New Roman" w:cs="Times New Roman" w:eastAsia="Times New Roman" w:hint="default"/>
                <w:sz w:val="18"/>
                <w:szCs w:val="18"/>
              </w:rPr>
            </w:pPr>
            <w:r>
              <w:rPr>
                <w:rFonts w:ascii="Times New Roman"/>
                <w:sz w:val="18"/>
              </w:rPr>
              <w:t>52,725,305.41</w:t>
            </w:r>
          </w:p>
        </w:tc>
        <w:tc>
          <w:tcPr>
            <w:tcW w:w="130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58,746,430.16</w:t>
            </w:r>
          </w:p>
        </w:tc>
      </w:tr>
      <w:tr>
        <w:trPr>
          <w:trHeight w:val="40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22,027,604.26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center"/>
              <w:rPr>
                <w:rFonts w:ascii="Times New Roman" w:hAnsi="Times New Roman" w:cs="Times New Roman" w:eastAsia="Times New Roman" w:hint="default"/>
                <w:sz w:val="18"/>
                <w:szCs w:val="18"/>
              </w:rPr>
            </w:pPr>
            <w:r>
              <w:rPr>
                <w:rFonts w:ascii="Times New Roman"/>
                <w:sz w:val="18"/>
              </w:rPr>
              <w:t>54,564,602.29</w:t>
            </w:r>
          </w:p>
        </w:tc>
        <w:tc>
          <w:tcPr>
            <w:tcW w:w="130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76,592,206.55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4）本期实际核销的其他应收款情况" w:id="273"/>
      <w:bookmarkEnd w:id="273"/>
      <w:r>
        <w:rPr>
          <w:b w:val="0"/>
          <w:bCs w:val="0"/>
        </w:rPr>
      </w:r>
      <w:r>
        <w:rPr>
          <w:rFonts w:ascii="Times New Roman" w:hAnsi="Times New Roman" w:cs="Times New Roman" w:eastAsia="Times New Roman" w:hint="default"/>
        </w:rPr>
        <w:t>4</w:t>
      </w:r>
      <w:r>
        <w:rPr/>
        <w:t>）本期实际核销的其他应收款情况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5）按欠款方归集的期末余额前五名的其他应收款情况" w:id="274"/>
      <w:bookmarkEnd w:id="274"/>
      <w:r>
        <w:rPr>
          <w:b w:val="0"/>
          <w:bCs w:val="0"/>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6"/>
      </w:tblGrid>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退伙款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59.89%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代垫款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45,300,000.00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13.57%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45,300,000.00</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代垫款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6,527,070.69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6,527,070.69</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信托款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6,133,605.30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606,872.97</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2,436,283.75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243,628.38</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260,396,959.74</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77.98%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58,677,572.04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6）涉及政府补助的应收款项" w:id="275"/>
      <w:bookmarkEnd w:id="275"/>
      <w:r>
        <w:rPr>
          <w:b w:val="0"/>
          <w:bCs w:val="0"/>
        </w:rPr>
      </w:r>
      <w:r>
        <w:rPr>
          <w:rFonts w:ascii="Times New Roman" w:hAnsi="Times New Roman" w:cs="Times New Roman" w:eastAsia="Times New Roman" w:hint="default"/>
        </w:rPr>
        <w:t>6</w:t>
      </w:r>
      <w:r>
        <w:rPr/>
        <w:t>）涉及政府补助的应收款项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7）因金融资产转移而终止确认的其他应收款" w:id="276"/>
      <w:bookmarkEnd w:id="276"/>
      <w:r>
        <w:rPr>
          <w:b w:val="0"/>
          <w:bCs w:val="0"/>
        </w:rPr>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8）转移其他应收款且继续涉入形成的资产、负债金额" w:id="277"/>
      <w:bookmarkEnd w:id="277"/>
      <w:r>
        <w:rPr>
          <w:b w:val="0"/>
          <w:bCs w:val="0"/>
        </w:rPr>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1"/>
        <w:ind w:right="1133"/>
        <w:jc w:val="left"/>
        <w:rPr>
          <w:b w:val="0"/>
          <w:bCs w:val="0"/>
        </w:rPr>
      </w:pPr>
      <w:bookmarkStart w:name="9、存货" w:id="278"/>
      <w:bookmarkEnd w:id="278"/>
      <w:r>
        <w:rPr>
          <w:b w:val="0"/>
          <w:bCs w:val="0"/>
        </w:rPr>
      </w:r>
      <w:r>
        <w:rPr>
          <w:rFonts w:ascii="Times New Roman" w:hAnsi="Times New Roman" w:cs="Times New Roman" w:eastAsia="Times New Roman" w:hint="default"/>
        </w:rPr>
        <w:t>9</w:t>
      </w:r>
      <w:r>
        <w:rPr/>
        <w:t>、存货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是否已执行新收入准则</w:t>
      </w:r>
    </w:p>
    <w:p>
      <w:pPr>
        <w:pStyle w:val="BodyText"/>
        <w:spacing w:line="240" w:lineRule="auto" w:before="115"/>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1）存货分类" w:id="279"/>
      <w:bookmarkEnd w:id="279"/>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58"/>
        <w:gridCol w:w="1379"/>
        <w:gridCol w:w="1368"/>
        <w:gridCol w:w="1366"/>
        <w:gridCol w:w="1368"/>
        <w:gridCol w:w="1366"/>
        <w:gridCol w:w="1368"/>
      </w:tblGrid>
      <w:tr>
        <w:trPr>
          <w:trHeight w:val="206" w:hRule="exact"/>
        </w:trPr>
        <w:tc>
          <w:tcPr>
            <w:tcW w:w="135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5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58"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310,297,080.78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1,761,923.05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308,535,157.73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326,310,708.16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395,324.04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325,915,384.12</w:t>
            </w:r>
          </w:p>
        </w:tc>
      </w:tr>
      <w:tr>
        <w:trPr>
          <w:trHeight w:val="403"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112,667,330.58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8,170,885.27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104,496,445.31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105,429,279.56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878,035.62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104,551,243.94</w:t>
            </w:r>
          </w:p>
        </w:tc>
      </w:tr>
      <w:tr>
        <w:trPr>
          <w:trHeight w:val="401"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305,050,916.06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36,950,583.73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268,100,332.33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196,454,134.18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5,645,479.36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190,808,654.82</w:t>
            </w:r>
          </w:p>
        </w:tc>
      </w:tr>
      <w:tr>
        <w:trPr>
          <w:trHeight w:val="403"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528,043.68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528,043.68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3,433,487.34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3,433,487.34</w:t>
            </w:r>
          </w:p>
        </w:tc>
      </w:tr>
      <w:tr>
        <w:trPr>
          <w:trHeight w:val="401" w:hRule="exact"/>
        </w:trPr>
        <w:tc>
          <w:tcPr>
            <w:tcW w:w="13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22,819,951.61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22,819,951.61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25,477,251.91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25,477,251.91</w:t>
            </w:r>
          </w:p>
        </w:tc>
      </w:tr>
      <w:tr>
        <w:trPr>
          <w:trHeight w:val="403"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751,363,322.71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46,883,392.05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704,479,930.66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657,104,861.15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6,918,839.02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650,186,022.13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存货跌价准备" w:id="280"/>
      <w:bookmarkEnd w:id="280"/>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8"/>
        <w:gridCol w:w="1366"/>
        <w:gridCol w:w="1368"/>
        <w:gridCol w:w="1366"/>
        <w:gridCol w:w="1368"/>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7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395,324.04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1,441,382.53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74,783.52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1,761,923.05</w:t>
            </w: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878,035.62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8,314,625.10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1,021,775.45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8,170,885.27</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5,645,479.36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35,006,054.37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3,700,950.00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36,950,583.73</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6,918,839.02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44,762,062.00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4,797,508.97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46,883,392.05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存货期末余额含有借款费用资本化金额的说明" w:id="281"/>
      <w:bookmarkEnd w:id="281"/>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4）期末建造合同形成的已完工未结算资产情况" w:id="282"/>
      <w:bookmarkEnd w:id="282"/>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10、合同资产" w:id="283"/>
      <w:bookmarkEnd w:id="283"/>
      <w:r>
        <w:rPr>
          <w:b w:val="0"/>
          <w:bCs w:val="0"/>
        </w:rPr>
      </w:r>
      <w:r>
        <w:rPr>
          <w:rFonts w:ascii="Times New Roman" w:hAnsi="Times New Roman" w:cs="Times New Roman" w:eastAsia="Times New Roman" w:hint="default"/>
        </w:rPr>
        <w:t>10</w:t>
      </w:r>
      <w:r>
        <w:rPr/>
        <w:t>、合同资产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如是按照预期信用损失一般模型计提合同资产坏账准备，请参照其他应收款的披露方式披露坏账准备的相关信息：</w:t>
      </w:r>
    </w:p>
    <w:p>
      <w:pPr>
        <w:spacing w:line="547" w:lineRule="auto" w:before="117"/>
        <w:ind w:left="152" w:right="906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 </w:t>
      </w:r>
      <w:bookmarkStart w:name="11、持有待售资产" w:id="284"/>
      <w:bookmarkEnd w:id="284"/>
      <w:r>
        <w:rPr>
          <w:rFonts w:ascii="宋体" w:hAnsi="宋体" w:cs="宋体" w:eastAsia="宋体" w:hint="default"/>
          <w:sz w:val="18"/>
          <w:szCs w:val="18"/>
        </w:rPr>
      </w: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、持有待售资产</w:t>
      </w:r>
      <w:r>
        <w:rPr>
          <w:rFonts w:ascii="宋体" w:hAnsi="宋体" w:cs="宋体" w:eastAsia="宋体" w:hint="default"/>
          <w:b/>
          <w:bCs/>
          <w:w w:val="100"/>
          <w:sz w:val="21"/>
          <w:szCs w:val="21"/>
        </w:rPr>
        <w:t> </w:t>
      </w:r>
      <w:r>
        <w:rPr>
          <w:rFonts w:ascii="宋体" w:hAnsi="宋体" w:cs="宋体" w:eastAsia="宋体" w:hint="default"/>
          <w:sz w:val="18"/>
          <w:szCs w:val="18"/>
        </w:rPr>
        <w:t>无。</w:t>
      </w:r>
    </w:p>
    <w:p>
      <w:pPr>
        <w:pStyle w:val="Heading3"/>
        <w:spacing w:line="240" w:lineRule="auto" w:before="125"/>
        <w:ind w:right="1133"/>
        <w:jc w:val="left"/>
        <w:rPr>
          <w:b w:val="0"/>
          <w:bCs w:val="0"/>
        </w:rPr>
      </w:pPr>
      <w:bookmarkStart w:name="12、一年内到期的非流动资产" w:id="285"/>
      <w:bookmarkEnd w:id="285"/>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13、其他流动资产" w:id="286"/>
      <w:bookmarkEnd w:id="286"/>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before="44"/>
        <w:ind w:right="-20"/>
        <w:jc w:val="left"/>
      </w:pPr>
      <w:r>
        <w:rPr/>
        <w:t>是否已执行新收入准则</w:t>
      </w:r>
    </w:p>
    <w:p>
      <w:pPr>
        <w:pStyle w:val="BodyText"/>
        <w:spacing w:line="240" w:lineRule="auto" w:before="11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待抵扣增值税进项税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83,998,216.33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88,394,087.88</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运营商计费代收款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32,891,383.12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57,502,975.15</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惠商</w:t>
            </w:r>
            <w:r>
              <w:rPr>
                <w:rFonts w:ascii="Times New Roman" w:hAnsi="Times New Roman" w:cs="Times New Roman" w:eastAsia="Times New Roman" w:hint="default"/>
                <w:sz w:val="18"/>
                <w:szCs w:val="18"/>
              </w:rPr>
              <w:t>+</w:t>
            </w:r>
            <w:r>
              <w:rPr>
                <w:rFonts w:ascii="宋体" w:hAnsi="宋体" w:cs="宋体" w:eastAsia="宋体" w:hint="default"/>
                <w:sz w:val="18"/>
                <w:szCs w:val="18"/>
              </w:rPr>
              <w:t>代收款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18,492,477.80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50,039,371.75</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预交所得税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17,495,139.48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5,762,134.92</w:t>
            </w:r>
          </w:p>
        </w:tc>
      </w:tr>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预付房租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14,471,292.44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16,366,872.52</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SI </w:t>
            </w:r>
            <w:r>
              <w:rPr>
                <w:rFonts w:ascii="宋体" w:hAnsi="宋体" w:cs="宋体" w:eastAsia="宋体" w:hint="default"/>
                <w:sz w:val="18"/>
                <w:szCs w:val="18"/>
              </w:rPr>
              <w:t>代收代付</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3,841,762.15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2,238,640.37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发放贷款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1,706,021.35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174,977,392.46</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清结算代收款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1,602,317.83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180,659.33</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预交其他税费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154,840.06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28,694.31</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预付服务费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331,170.25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174,984,620.81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395,490,828.69</w:t>
            </w:r>
          </w:p>
        </w:tc>
      </w:tr>
    </w:tbl>
    <w:p>
      <w:pPr>
        <w:pStyle w:val="BodyText"/>
        <w:spacing w:line="240" w:lineRule="auto" w:before="49"/>
        <w:ind w:right="1133"/>
        <w:jc w:val="left"/>
      </w:pPr>
      <w:r>
        <w:rPr/>
        <w:t>其他说明：</w:t>
      </w:r>
    </w:p>
    <w:p>
      <w:pPr>
        <w:spacing w:line="240" w:lineRule="auto" w:before="2"/>
        <w:rPr>
          <w:rFonts w:ascii="宋体" w:hAnsi="宋体" w:cs="宋体" w:eastAsia="宋体" w:hint="default"/>
          <w:sz w:val="24"/>
          <w:szCs w:val="24"/>
        </w:rPr>
      </w:pPr>
    </w:p>
    <w:p>
      <w:pPr>
        <w:pStyle w:val="BodyText"/>
        <w:spacing w:line="316" w:lineRule="auto"/>
        <w:ind w:right="1131" w:firstLine="360"/>
        <w:jc w:val="both"/>
      </w:pPr>
      <w:r>
        <w:rPr>
          <w:spacing w:val="-2"/>
        </w:rPr>
        <w:t>注：本公司全资子公司联动优势科技有限公司以自有资金委托云南国际信托有限公司对公司联动优势科技有限公司自有</w:t>
      </w:r>
      <w:r>
        <w:rPr/>
        <w:t> </w:t>
      </w:r>
      <w:r>
        <w:rPr>
          <w:spacing w:val="-2"/>
        </w:rPr>
        <w:t>业务平台进行消费金融服务时发生的消费分期购物及信用卡账单分期场景下指定的合格借款人提供贷款，截至年末，发放贷</w:t>
      </w:r>
      <w:r>
        <w:rPr>
          <w:spacing w:val="-62"/>
        </w:rPr>
        <w:t> </w:t>
      </w:r>
      <w:r>
        <w:rPr>
          <w:spacing w:val="-62"/>
        </w:rPr>
      </w:r>
      <w:r>
        <w:rPr/>
        <w:t>款余额</w:t>
      </w:r>
      <w:r>
        <w:rPr>
          <w:rFonts w:ascii="Times New Roman" w:hAnsi="Times New Roman" w:cs="Times New Roman" w:eastAsia="Times New Roman" w:hint="default"/>
        </w:rPr>
        <w:t>70,240,768.15</w:t>
      </w:r>
      <w:r>
        <w:rPr/>
        <w:t>元，计提贷款损失准备</w:t>
      </w:r>
      <w:r>
        <w:rPr>
          <w:rFonts w:ascii="Times New Roman" w:hAnsi="Times New Roman" w:cs="Times New Roman" w:eastAsia="Times New Roman" w:hint="default"/>
        </w:rPr>
        <w:t>68,534,746.80</w:t>
      </w:r>
      <w:r>
        <w:rPr/>
        <w:t>元。</w:t>
      </w:r>
    </w:p>
    <w:p>
      <w:pPr>
        <w:spacing w:line="240" w:lineRule="auto" w:before="4"/>
        <w:rPr>
          <w:rFonts w:ascii="宋体" w:hAnsi="宋体" w:cs="宋体" w:eastAsia="宋体" w:hint="default"/>
          <w:sz w:val="21"/>
          <w:szCs w:val="21"/>
        </w:rPr>
      </w:pPr>
    </w:p>
    <w:p>
      <w:pPr>
        <w:pStyle w:val="Heading3"/>
        <w:spacing w:line="240" w:lineRule="auto"/>
        <w:ind w:right="1133"/>
        <w:jc w:val="left"/>
        <w:rPr>
          <w:b w:val="0"/>
          <w:bCs w:val="0"/>
        </w:rPr>
      </w:pPr>
      <w:bookmarkStart w:name="14、债权投资" w:id="287"/>
      <w:bookmarkEnd w:id="287"/>
      <w:r>
        <w:rPr>
          <w:b w:val="0"/>
          <w:bCs w:val="0"/>
        </w:rPr>
      </w:r>
      <w:r>
        <w:rPr>
          <w:rFonts w:ascii="Times New Roman" w:hAnsi="Times New Roman" w:cs="Times New Roman" w:eastAsia="Times New Roman" w:hint="default"/>
        </w:rPr>
        <w:t>14</w:t>
      </w:r>
      <w:r>
        <w:rPr/>
        <w:t>、债权投资</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损失准备本期变动金额重大的账面余额变动情况</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bookmarkStart w:name="15、其他债权投资" w:id="288"/>
      <w:bookmarkEnd w:id="288"/>
      <w:r>
        <w:rPr>
          <w:b w:val="0"/>
          <w:bCs w:val="0"/>
        </w:rPr>
      </w:r>
      <w:r>
        <w:rPr>
          <w:rFonts w:ascii="Times New Roman" w:hAnsi="Times New Roman" w:cs="Times New Roman" w:eastAsia="Times New Roman" w:hint="default"/>
        </w:rPr>
        <w:t>15</w:t>
      </w:r>
      <w:r>
        <w:rPr/>
        <w:t>、其他债权投资</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损失准备本期变动金额重大的账面余额变动情况</w:t>
      </w:r>
    </w:p>
    <w:p>
      <w:pPr>
        <w:pStyle w:val="BodyText"/>
        <w:spacing w:line="240" w:lineRule="auto" w:before="118"/>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bookmarkStart w:name="16、长期应收款" w:id="289"/>
      <w:bookmarkEnd w:id="289"/>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长期应收款情况" w:id="290"/>
      <w:bookmarkEnd w:id="290"/>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损失准备本期变动金额重大的账面余额变动情况</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2）因金融资产转移而终止确认的长期应收款" w:id="291"/>
      <w:bookmarkEnd w:id="291"/>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3）转移长期应收款且继续涉入形成的资产、负债金额" w:id="292"/>
      <w:bookmarkEnd w:id="292"/>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17、长期股权投资" w:id="293"/>
      <w:bookmarkEnd w:id="293"/>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401"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302" w:right="32"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7" w:lineRule="auto"/>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7" w:lineRule="auto"/>
              <w:ind w:left="33" w:right="3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7"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649" w:hRule="exact"/>
        </w:trPr>
        <w:tc>
          <w:tcPr>
            <w:tcW w:w="7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2" w:lineRule="auto" w:before="49"/>
              <w:ind w:left="24" w:right="41"/>
              <w:jc w:val="left"/>
              <w:rPr>
                <w:rFonts w:ascii="Times New Roman" w:hAnsi="Times New Roman" w:cs="Times New Roman" w:eastAsia="Times New Roman" w:hint="default"/>
                <w:sz w:val="18"/>
                <w:szCs w:val="18"/>
              </w:rPr>
            </w:pPr>
            <w:r>
              <w:rPr>
                <w:rFonts w:ascii="宋体" w:hAnsi="宋体" w:cs="宋体" w:eastAsia="宋体" w:hint="default"/>
                <w:sz w:val="18"/>
                <w:szCs w:val="18"/>
              </w:rPr>
              <w:t>河北雄安 泽兴股权 投资基金 </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 伙</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419,660.2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18,111.88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437,772.0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419,660.2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18,111.88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437,772.0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419,660.2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18,111.88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437,772.0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8</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18、其他权益工具投资" w:id="294"/>
      <w:bookmarkEnd w:id="294"/>
      <w:r>
        <w:rPr>
          <w:b w:val="0"/>
          <w:bCs w:val="0"/>
        </w:rPr>
      </w:r>
      <w:r>
        <w:rPr>
          <w:rFonts w:ascii="Times New Roman" w:hAnsi="Times New Roman" w:cs="Times New Roman" w:eastAsia="Times New Roman" w:hint="default"/>
        </w:rPr>
        <w:t>18</w:t>
      </w:r>
      <w:r>
        <w:rPr/>
        <w:t>、其他权益工具投资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pict>
          <v:group style="position:absolute;margin-left:217.490005pt;margin-top:39.981720pt;width:156.75pt;height:19.6pt;mso-position-horizontal-relative:page;mso-position-vertical-relative:paragraph;z-index:-1713856" coordorigin="4350,800" coordsize="3135,392">
            <v:shape style="position:absolute;left:4350;top:800;width:3135;height:392" coordorigin="4350,800" coordsize="3135,392" path="m4350,1191l7485,1191,7485,800,4350,800,4350,1191xe" filled="true" fillcolor="#ffffff" stroked="false">
              <v:path arrowok="t"/>
              <v:fill type="solid"/>
            </v:shape>
            <w10:wrap type="none"/>
          </v:group>
        </w:pict>
      </w: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1095"/>
        <w:gridCol w:w="2097"/>
        <w:gridCol w:w="3190"/>
      </w:tblGrid>
      <w:tr>
        <w:trPr>
          <w:trHeight w:val="398"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3187" w:type="dxa"/>
            <w:tcBorders>
              <w:top w:val="single" w:sz="4" w:space="0" w:color="000000"/>
              <w:left w:val="single" w:sz="4" w:space="0" w:color="000000"/>
              <w:bottom w:val="single" w:sz="4" w:space="0" w:color="000000"/>
              <w:right w:val="single" w:sz="13" w:space="0" w:color="FFFFFF"/>
            </w:tcBorders>
            <w:shd w:val="clear" w:color="auto" w:fill="D9D9D9"/>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青岛高创澳海创业投资企业（有限合伙</w:t>
            </w:r>
          </w:p>
        </w:tc>
        <w:tc>
          <w:tcPr>
            <w:tcW w:w="1095" w:type="dxa"/>
            <w:tcBorders>
              <w:top w:val="single" w:sz="4" w:space="0" w:color="000000"/>
              <w:left w:val="single" w:sz="13" w:space="0" w:color="FFFFFF"/>
              <w:bottom w:val="single" w:sz="4" w:space="0" w:color="000000"/>
              <w:right w:val="nil" w:sz="6" w:space="0" w:color="auto"/>
            </w:tcBorders>
          </w:tcPr>
          <w:p>
            <w:pPr>
              <w:pStyle w:val="TableParagraph"/>
              <w:spacing w:line="240" w:lineRule="auto" w:before="53"/>
              <w:ind w:left="-136" w:right="0"/>
              <w:jc w:val="left"/>
              <w:rPr>
                <w:rFonts w:ascii="宋体" w:hAnsi="宋体" w:cs="宋体" w:eastAsia="宋体" w:hint="default"/>
                <w:sz w:val="18"/>
                <w:szCs w:val="18"/>
              </w:rPr>
            </w:pPr>
            <w:r>
              <w:rPr>
                <w:rFonts w:ascii="宋体" w:hAnsi="宋体" w:cs="宋体" w:eastAsia="宋体" w:hint="default"/>
                <w:sz w:val="18"/>
                <w:szCs w:val="18"/>
              </w:rPr>
              <w:t>）</w:t>
            </w:r>
          </w:p>
        </w:tc>
        <w:tc>
          <w:tcPr>
            <w:tcW w:w="2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6"/>
              <w:ind w:left="1033" w:right="0"/>
              <w:jc w:val="left"/>
              <w:rPr>
                <w:rFonts w:ascii="Times New Roman" w:hAnsi="Times New Roman" w:cs="Times New Roman" w:eastAsia="Times New Roman" w:hint="default"/>
                <w:sz w:val="18"/>
                <w:szCs w:val="18"/>
              </w:rPr>
            </w:pPr>
            <w:r>
              <w:rPr>
                <w:rFonts w:ascii="Times New Roman"/>
                <w:sz w:val="18"/>
              </w:rPr>
              <w:t>10,000,000.00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715"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北京智科产业投资控股集团股份有限公 司</w:t>
            </w:r>
          </w:p>
        </w:tc>
        <w:tc>
          <w:tcPr>
            <w:tcW w:w="31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青岛高创澳海股权投资管理有限公司</w:t>
            </w:r>
          </w:p>
        </w:tc>
        <w:tc>
          <w:tcPr>
            <w:tcW w:w="31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北京同润网络科技有限公司</w:t>
            </w:r>
          </w:p>
        </w:tc>
        <w:tc>
          <w:tcPr>
            <w:tcW w:w="3192" w:type="dxa"/>
            <w:gridSpan w:val="2"/>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715"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92"/>
              <w:jc w:val="left"/>
              <w:rPr>
                <w:rFonts w:ascii="宋体" w:hAnsi="宋体" w:cs="宋体" w:eastAsia="宋体" w:hint="default"/>
                <w:sz w:val="18"/>
                <w:szCs w:val="18"/>
              </w:rPr>
            </w:pPr>
            <w:r>
              <w:rPr>
                <w:rFonts w:ascii="宋体" w:hAnsi="宋体" w:cs="宋体" w:eastAsia="宋体" w:hint="default"/>
                <w:sz w:val="18"/>
                <w:szCs w:val="18"/>
              </w:rPr>
              <w:t>宁波产融创享股权投资合伙企业（有限 合伙）</w:t>
            </w:r>
          </w:p>
        </w:tc>
        <w:tc>
          <w:tcPr>
            <w:tcW w:w="3192" w:type="dxa"/>
            <w:gridSpan w:val="2"/>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中国浦发机械工业股份有限公司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2,026,566.52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2,026,566.52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网联清算有限公司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39,800,000.00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39,800,000.00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西藏大川信息科技有限公司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55,326,566.52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195,026,566.52</w:t>
            </w:r>
          </w:p>
        </w:tc>
      </w:tr>
    </w:tbl>
    <w:p>
      <w:pPr>
        <w:pStyle w:val="BodyText"/>
        <w:spacing w:line="240" w:lineRule="auto" w:before="49"/>
        <w:ind w:right="1133"/>
        <w:jc w:val="left"/>
      </w:pPr>
      <w:r>
        <w:rPr/>
        <w:t>其他说明：</w:t>
      </w:r>
    </w:p>
    <w:p>
      <w:pPr>
        <w:spacing w:line="240" w:lineRule="auto" w:before="2"/>
        <w:rPr>
          <w:rFonts w:ascii="宋体" w:hAnsi="宋体" w:cs="宋体" w:eastAsia="宋体" w:hint="default"/>
          <w:sz w:val="24"/>
          <w:szCs w:val="24"/>
        </w:rPr>
      </w:pPr>
    </w:p>
    <w:p>
      <w:pPr>
        <w:pStyle w:val="BodyText"/>
        <w:spacing w:line="300" w:lineRule="auto"/>
        <w:ind w:right="1124" w:firstLine="360"/>
        <w:jc w:val="left"/>
      </w:pPr>
      <w:r>
        <w:rPr/>
        <w:t>注：北京同润网络科技有限公司期末余额为</w:t>
      </w:r>
      <w:r>
        <w:rPr>
          <w:rFonts w:ascii="Times New Roman" w:hAnsi="Times New Roman" w:cs="Times New Roman" w:eastAsia="Times New Roman" w:hint="default"/>
        </w:rPr>
        <w:t>20,000,000.00</w:t>
      </w:r>
      <w:r>
        <w:rPr/>
        <w:t>元，其公允价值变动</w:t>
      </w:r>
      <w:r>
        <w:rPr>
          <w:rFonts w:ascii="Times New Roman" w:hAnsi="Times New Roman" w:cs="Times New Roman" w:eastAsia="Times New Roman" w:hint="default"/>
        </w:rPr>
        <w:t>20,000,000.00</w:t>
      </w:r>
      <w:r>
        <w:rPr/>
        <w:t>元计入其他综合收益，年末 账面价值为</w:t>
      </w:r>
      <w:r>
        <w:rPr>
          <w:rFonts w:ascii="Times New Roman" w:hAnsi="Times New Roman" w:cs="Times New Roman" w:eastAsia="Times New Roman" w:hint="default"/>
        </w:rPr>
        <w:t>0</w:t>
      </w:r>
      <w:r>
        <w:rPr/>
        <w:t>。</w:t>
      </w:r>
    </w:p>
    <w:p>
      <w:pPr>
        <w:spacing w:line="240" w:lineRule="auto" w:before="4"/>
        <w:rPr>
          <w:rFonts w:ascii="宋体" w:hAnsi="宋体" w:cs="宋体" w:eastAsia="宋体" w:hint="default"/>
          <w:sz w:val="22"/>
          <w:szCs w:val="22"/>
        </w:rPr>
      </w:pPr>
    </w:p>
    <w:p>
      <w:pPr>
        <w:pStyle w:val="Heading3"/>
        <w:spacing w:line="240" w:lineRule="auto"/>
        <w:ind w:right="1133"/>
        <w:jc w:val="left"/>
        <w:rPr>
          <w:b w:val="0"/>
          <w:bCs w:val="0"/>
        </w:rPr>
      </w:pPr>
      <w:bookmarkStart w:name="19、其他非流动金融资产" w:id="295"/>
      <w:bookmarkEnd w:id="295"/>
      <w:r>
        <w:rPr>
          <w:b w:val="0"/>
          <w:bCs w:val="0"/>
        </w:rPr>
      </w:r>
      <w:r>
        <w:rPr>
          <w:rFonts w:ascii="Times New Roman" w:hAnsi="Times New Roman" w:cs="Times New Roman" w:eastAsia="Times New Roman" w:hint="default"/>
        </w:rPr>
        <w:t>19</w:t>
      </w:r>
      <w:r>
        <w:rPr/>
        <w:t>、其他非流动金融资产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20、投资性房地产" w:id="296"/>
      <w:bookmarkEnd w:id="296"/>
      <w:r>
        <w:rPr>
          <w:b w:val="0"/>
          <w:bCs w:val="0"/>
        </w:rPr>
      </w:r>
      <w:r>
        <w:rPr>
          <w:rFonts w:ascii="Times New Roman" w:hAnsi="Times New Roman" w:cs="Times New Roman" w:eastAsia="Times New Roman" w:hint="default"/>
        </w:rPr>
        <w:t>20</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采用成本计量模式的投资性房地产" w:id="297"/>
      <w:bookmarkEnd w:id="297"/>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26,181,081.00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12,470,300.00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38,651,381.00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5,888,802.57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5,888,802.57</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1"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）其他转入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5,888,802.57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5,888,802.57</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26,181,081.00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12,470,300.00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38,651,381.00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26,181,081.00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12,470,300.00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38,651,381.00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5,888,802.57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5,888,802.57</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13,493,083.85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2,743,465.60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16,236,549.45</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139,808.70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139,808.70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139,808.70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139,808.70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13,493,083.85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2,743,465.60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16,236,549.45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13,493,083.85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2,743,465.60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16,236,549.45</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139,808.70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139,808.70</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5,748,993.87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5,748,993.87</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12,687,997.15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9,726,834.40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22,414,831.55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采用公允价值计量模式的投资性房地产" w:id="298"/>
      <w:bookmarkEnd w:id="298"/>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bookmarkStart w:name="（3）未办妥产权证书的投资性房地产情况" w:id="299"/>
      <w:bookmarkEnd w:id="299"/>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21、固定资产" w:id="300"/>
      <w:bookmarkEnd w:id="300"/>
      <w:r>
        <w:rPr>
          <w:b w:val="0"/>
          <w:bCs w:val="0"/>
        </w:rPr>
      </w:r>
      <w:r>
        <w:rPr>
          <w:rFonts w:ascii="Times New Roman" w:hAnsi="Times New Roman" w:cs="Times New Roman" w:eastAsia="Times New Roman" w:hint="default"/>
        </w:rPr>
        <w:t>21</w:t>
      </w:r>
      <w:r>
        <w:rPr/>
        <w:t>、固定资产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960,060,892.64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972,791,151.27</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960,060,892.64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972,791,151.27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1）固定资产情况" w:id="301"/>
      <w:bookmarkEnd w:id="301"/>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6"/>
        <w:gridCol w:w="1368"/>
        <w:gridCol w:w="1369"/>
        <w:gridCol w:w="1366"/>
      </w:tblGrid>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1"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8"/>
              <w:jc w:val="right"/>
              <w:rPr>
                <w:rFonts w:ascii="宋体" w:hAnsi="宋体" w:cs="宋体" w:eastAsia="宋体" w:hint="default"/>
                <w:sz w:val="18"/>
                <w:szCs w:val="18"/>
              </w:rPr>
            </w:pPr>
            <w:r>
              <w:rPr>
                <w:rFonts w:ascii="宋体" w:hAnsi="宋体" w:cs="宋体" w:eastAsia="宋体" w:hint="default"/>
                <w:sz w:val="18"/>
                <w:szCs w:val="18"/>
              </w:rPr>
              <w:t>办公设备及其他</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模具</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8"/>
              <w:jc w:val="center"/>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452,888,487.59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696,786,440.84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23,721,828.40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245,164,844.65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177,094,389.31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1,595,655,990.79</w:t>
            </w: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2"/>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75,194,231.70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108,003,675.37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3,186,158.82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37,868,208.37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71,113,505.55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295,365,779.81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10,465,898.32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2,844,749.65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35,369,346.75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47,397,107.44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96,077,102.16</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9"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w:t>
            </w:r>
            <w:r>
              <w:rPr>
                <w:rFonts w:ascii="宋体" w:hAnsi="宋体" w:cs="宋体" w:eastAsia="宋体" w:hint="default"/>
                <w:sz w:val="18"/>
                <w:szCs w:val="18"/>
              </w:rPr>
              <w:t> 程转入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49,013,150.70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97,537,777.05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341,409.17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2,498,861.62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23,716,398.11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173,107,596.65</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9"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w:t>
            </w:r>
            <w:r>
              <w:rPr>
                <w:rFonts w:ascii="宋体" w:hAnsi="宋体" w:cs="宋体" w:eastAsia="宋体" w:hint="default"/>
                <w:sz w:val="18"/>
                <w:szCs w:val="18"/>
              </w:rPr>
              <w:t> 并增加</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4</w:t>
            </w:r>
            <w:r>
              <w:rPr>
                <w:rFonts w:ascii="宋体" w:hAnsi="宋体" w:cs="宋体" w:eastAsia="宋体" w:hint="default"/>
                <w:spacing w:val="-9"/>
                <w:sz w:val="18"/>
                <w:szCs w:val="18"/>
              </w:rPr>
              <w:t>）其他</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转入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26,181,081.00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26,181,081.00</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7,735,889.48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46,633,957.28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3,702,362.42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101,393,385.16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1,124,309.70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160,589,904.04</w:t>
            </w:r>
          </w:p>
        </w:tc>
      </w:tr>
      <w:tr>
        <w:trPr>
          <w:trHeight w:val="71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9"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7,678,828.00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46,429,721.06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3,170,681.99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3,056,888.86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1,124,309.70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61,460,429.61</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5" w:right="0"/>
              <w:jc w:val="left"/>
              <w:rPr>
                <w:rFonts w:ascii="宋体" w:hAnsi="宋体" w:cs="宋体" w:eastAsia="宋体" w:hint="default"/>
                <w:sz w:val="18"/>
                <w:szCs w:val="18"/>
              </w:rPr>
            </w:pP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）其他</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转出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57,061.48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204,236.22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531,680.43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98,336,496.30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99,129,474.43</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520,346,829.81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758,156,158.93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23,205,624.80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181,639,667.86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247,083,585.16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1,730,431,866.56</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105,612,727.65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283,873,197.49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13,638,166.98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152,733,734.99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67,007,012.41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622,864,839.52</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37,078,436.30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62,817,930.31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3,267,626.37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14,616,848.49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58,408,417.56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176,189,259.03</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23,585,352.45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62,817,930.31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3,267,626.37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14,616,848.49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58,408,417.56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162,696,175.18</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5" w:right="0"/>
              <w:jc w:val="left"/>
              <w:rPr>
                <w:rFonts w:ascii="宋体" w:hAnsi="宋体" w:cs="宋体" w:eastAsia="宋体" w:hint="default"/>
                <w:sz w:val="18"/>
                <w:szCs w:val="18"/>
              </w:rPr>
            </w:pP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）其他</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转入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13,493,083.85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13,493,083.85</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1,703,582.02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18,953,376.03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2,819,312.34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8,060,014.14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842,452.79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32,378,737.32</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9"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1,697,348.27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17,545,784.91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2,735,516.55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3,497,021.69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840,270.47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26,315,941.89</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）其他</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转出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6,233.75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1,407,591.12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83,795.79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4,562,992.45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2,182.32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6,062,795.43</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140,987,581.93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327,737,751.77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14,086,481.01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159,290,569.34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124,572,977.18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766,675,361.23</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420,615.71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3,274,996.98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3,695,612.69</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420,615.71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3,274,996.98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3,695,612.69</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9"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420,615.71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3,274,996.98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3,695,612.69</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379,359,247.88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429,997,791.45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9,119,143.79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22,349,098.52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119,235,611.00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960,060,892.64</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347,275,759.94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412,913,243.35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10,083,661.42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92,431,109.66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110,087,376.90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972,791,151.27</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bookmarkStart w:name="（2）暂时闲置的固定资产情况" w:id="302"/>
      <w:bookmarkEnd w:id="302"/>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14,772,031.39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9,415,870.80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420,615.70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4,935,544.89</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模具</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9,989,646.52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5,640,662.39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3,274,996.99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1,073,987.14</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24,761,677.91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15,056,533.19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3,695,612.69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6,009,532.03</w:t>
            </w: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通过融资租赁租入的固定资产情况" w:id="303"/>
      <w:bookmarkEnd w:id="303"/>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4）通过经营租赁租出的固定资产" w:id="304"/>
      <w:bookmarkEnd w:id="304"/>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5）未办妥产权证书的固定资产情况" w:id="305"/>
      <w:bookmarkEnd w:id="305"/>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复兴大道办公楼及车间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42" w:right="0"/>
              <w:jc w:val="left"/>
              <w:rPr>
                <w:rFonts w:ascii="Times New Roman" w:hAnsi="Times New Roman" w:cs="Times New Roman" w:eastAsia="Times New Roman" w:hint="default"/>
                <w:sz w:val="18"/>
                <w:szCs w:val="18"/>
              </w:rPr>
            </w:pPr>
            <w:r>
              <w:rPr>
                <w:rFonts w:ascii="Times New Roman"/>
                <w:sz w:val="18"/>
              </w:rPr>
              <w:t>112,435,917.33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6）固定资产清理" w:id="306"/>
      <w:bookmarkEnd w:id="306"/>
      <w:r>
        <w:rPr>
          <w:b w:val="0"/>
          <w:bCs w:val="0"/>
        </w:rPr>
      </w:r>
      <w:r>
        <w:rPr/>
        <w:t>（</w:t>
      </w:r>
      <w:r>
        <w:rPr>
          <w:rFonts w:ascii="Times New Roman" w:hAnsi="Times New Roman" w:cs="Times New Roman" w:eastAsia="Times New Roman" w:hint="default"/>
        </w:rPr>
        <w:t>6</w:t>
      </w:r>
      <w:r>
        <w:rPr/>
        <w:t>）固定资产清理</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22、在建工程" w:id="307"/>
      <w:bookmarkEnd w:id="307"/>
      <w:r>
        <w:rPr>
          <w:b w:val="0"/>
          <w:bCs w:val="0"/>
        </w:rPr>
      </w:r>
      <w:r>
        <w:rPr>
          <w:rFonts w:ascii="Times New Roman" w:hAnsi="Times New Roman" w:cs="Times New Roman" w:eastAsia="Times New Roman" w:hint="default"/>
        </w:rPr>
        <w:t>22</w:t>
      </w:r>
      <w:r>
        <w:rPr/>
        <w:t>、在建工程</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70,792,554.53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90,935,722.47</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70,792,554.53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90,935,722.47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1）在建工程情况" w:id="308"/>
      <w:bookmarkEnd w:id="308"/>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1,418,756.96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1,418,756.96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19,835,107.67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19,835,107.67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待安装设备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34,192,999.78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34,192,999.78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46,188,593.76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46,188,593.76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模具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35,180,797.79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35,180,797.79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24,912,021.04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24,912,021.04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70,792,554.53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70,792,554.53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90,935,722.47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90,935,722.47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重要在建工程项目本期变动情况" w:id="309"/>
      <w:bookmarkEnd w:id="309"/>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1337"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71"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93" w:right="92"/>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150M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5,695,82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0.69</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2,609,74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1.12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807,612.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04</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1,802,12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9.08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46.00%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离心浇 铸机</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3,539,82</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3.00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2,654,86</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7.25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2,654,86</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7.25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75.00%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75.00%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座椅骨 架</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6,453,69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9.70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1,715,30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4.51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251,354.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1,966,65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8.86</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NL-3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11,952,5</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33.58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3,838,41</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4.48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7,856,59</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9.92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7,067,82</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0.08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4,058,43</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5.35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568,758.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97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98.00%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98.00%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FE-6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9,687,14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7.30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8,388,34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4.88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1,296,31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8,928,62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2.84</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756,037.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长城</w:t>
            </w:r>
          </w:p>
          <w:p>
            <w:pPr>
              <w:pStyle w:val="TableParagraph"/>
              <w:spacing w:line="240" w:lineRule="auto" w:before="116"/>
              <w:ind w:left="24" w:right="0"/>
              <w:jc w:val="left"/>
              <w:rPr>
                <w:rFonts w:ascii="Times New Roman" w:hAnsi="Times New Roman" w:cs="Times New Roman" w:eastAsia="Times New Roman" w:hint="default"/>
                <w:sz w:val="18"/>
                <w:szCs w:val="18"/>
              </w:rPr>
            </w:pPr>
            <w:r>
              <w:rPr>
                <w:rFonts w:ascii="Times New Roman"/>
                <w:sz w:val="18"/>
              </w:rPr>
              <w:t>ES11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16,135,9</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29.22</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5,177,46</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0.17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5,177,46</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0.17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32.00%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32.00%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涂装车 间</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19,130,0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13,577,1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80.33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1,469,03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7.14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15,046,2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17.47</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3"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72,594,9</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53.49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27,519,2</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44.20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21,315,3</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74.95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33,816,9</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31.29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4,058,43</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5.35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10,959,2</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52.51</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本期计提在建工程减值准备情况" w:id="310"/>
      <w:bookmarkEnd w:id="310"/>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after="0" w:line="240" w:lineRule="auto"/>
        <w:jc w:val="left"/>
        <w:sectPr>
          <w:footerReference w:type="default" r:id="rId22"/>
          <w:pgSz w:w="11910" w:h="16840"/>
          <w:pgMar w:footer="980" w:header="745"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4）工程物资" w:id="311"/>
      <w:bookmarkEnd w:id="311"/>
      <w:r>
        <w:rPr>
          <w:b w:val="0"/>
          <w:bCs w:val="0"/>
        </w:rPr>
      </w:r>
      <w:r>
        <w:rPr/>
        <w:t>（</w:t>
      </w:r>
      <w:r>
        <w:rPr>
          <w:rFonts w:ascii="Times New Roman" w:hAnsi="Times New Roman" w:cs="Times New Roman" w:eastAsia="Times New Roman" w:hint="default"/>
        </w:rPr>
        <w:t>4</w:t>
      </w:r>
      <w:r>
        <w:rPr/>
        <w:t>）工程物资</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23、生产性生物资产" w:id="312"/>
      <w:bookmarkEnd w:id="312"/>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采用成本计量模式的生产性生物资产" w:id="313"/>
      <w:bookmarkEnd w:id="313"/>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bookmarkStart w:name="（2）采用公允价值计量模式的生产性生物资产" w:id="314"/>
      <w:bookmarkEnd w:id="314"/>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3"/>
        <w:spacing w:line="240" w:lineRule="auto"/>
        <w:ind w:right="1133"/>
        <w:jc w:val="left"/>
        <w:rPr>
          <w:b w:val="0"/>
          <w:bCs w:val="0"/>
        </w:rPr>
      </w:pPr>
      <w:bookmarkStart w:name="24、油气资产" w:id="315"/>
      <w:bookmarkEnd w:id="315"/>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4"/>
        <w:rPr>
          <w:rFonts w:ascii="宋体" w:hAnsi="宋体" w:cs="宋体" w:eastAsia="宋体" w:hint="default"/>
          <w:b/>
          <w:bCs/>
          <w:sz w:val="26"/>
          <w:szCs w:val="26"/>
        </w:rPr>
      </w:pPr>
    </w:p>
    <w:p>
      <w:pPr>
        <w:spacing w:line="544" w:lineRule="auto" w:before="0"/>
        <w:ind w:left="152" w:right="927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bookmarkStart w:name="25、使用权资产" w:id="316"/>
      <w:bookmarkEnd w:id="316"/>
      <w:r>
        <w:rPr>
          <w:rFonts w:ascii="宋体" w:hAnsi="宋体" w:cs="宋体" w:eastAsia="宋体" w:hint="default"/>
          <w:sz w:val="18"/>
          <w:szCs w:val="18"/>
        </w:rPr>
      </w: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、使用权资产</w:t>
      </w:r>
      <w:r>
        <w:rPr>
          <w:rFonts w:ascii="宋体" w:hAnsi="宋体" w:cs="宋体" w:eastAsia="宋体" w:hint="default"/>
          <w:b/>
          <w:bCs/>
          <w:w w:val="100"/>
          <w:sz w:val="21"/>
          <w:szCs w:val="21"/>
        </w:rPr>
        <w:t> </w:t>
      </w:r>
      <w:r>
        <w:rPr>
          <w:rFonts w:ascii="宋体" w:hAnsi="宋体" w:cs="宋体" w:eastAsia="宋体" w:hint="default"/>
          <w:sz w:val="18"/>
          <w:szCs w:val="18"/>
        </w:rPr>
        <w:t>无。</w:t>
      </w:r>
    </w:p>
    <w:p>
      <w:pPr>
        <w:pStyle w:val="Heading3"/>
        <w:spacing w:line="240" w:lineRule="auto" w:before="127"/>
        <w:ind w:right="1133"/>
        <w:jc w:val="left"/>
        <w:rPr>
          <w:b w:val="0"/>
          <w:bCs w:val="0"/>
        </w:rPr>
      </w:pPr>
      <w:bookmarkStart w:name="26、无形资产" w:id="317"/>
      <w:bookmarkEnd w:id="317"/>
      <w:r>
        <w:rPr>
          <w:b w:val="0"/>
          <w:bCs w:val="0"/>
        </w:rPr>
      </w:r>
      <w:r>
        <w:rPr>
          <w:rFonts w:ascii="Times New Roman" w:hAnsi="Times New Roman" w:cs="Times New Roman" w:eastAsia="Times New Roman" w:hint="default"/>
        </w:rPr>
        <w:t>26</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无形资产情况" w:id="318"/>
      <w:bookmarkEnd w:id="318"/>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0"/>
        <w:gridCol w:w="1383"/>
        <w:gridCol w:w="1368"/>
        <w:gridCol w:w="1366"/>
        <w:gridCol w:w="1368"/>
        <w:gridCol w:w="1369"/>
        <w:gridCol w:w="1366"/>
      </w:tblGrid>
      <w:tr>
        <w:trPr>
          <w:trHeight w:val="401" w:hRule="exact"/>
        </w:trPr>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特许权</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83"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8"/>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251,958,031.01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73,085,147.25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18,473,925.96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10,000,000.00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164,281,113.28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517,798,217.50</w:t>
            </w:r>
          </w:p>
        </w:tc>
      </w:tr>
      <w:tr>
        <w:trPr>
          <w:trHeight w:val="715" w:hRule="exact"/>
        </w:trPr>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50,643,476.89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1,268,590.06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31,199,567.22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83,111,634.17</w:t>
            </w:r>
          </w:p>
        </w:tc>
      </w:tr>
      <w:tr>
        <w:trPr>
          <w:trHeight w:val="401" w:hRule="exact"/>
        </w:trPr>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）购置</w:t>
            </w:r>
          </w:p>
        </w:tc>
        <w:tc>
          <w:tcPr>
            <w:tcW w:w="13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38,173,176.89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4,535,410.99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42,708,587.88</w:t>
            </w:r>
          </w:p>
        </w:tc>
      </w:tr>
      <w:tr>
        <w:trPr>
          <w:trHeight w:val="716" w:hRule="exact"/>
        </w:trPr>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3"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）内部</w:t>
            </w:r>
          </w:p>
          <w:p>
            <w:pPr>
              <w:pStyle w:val="TableParagraph"/>
              <w:spacing w:line="240" w:lineRule="auto" w:before="61"/>
              <w:ind w:left="12"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383"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1,268,590.06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26,664,156.23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27,932,746.29</w:t>
            </w:r>
          </w:p>
        </w:tc>
      </w:tr>
      <w:tr>
        <w:trPr>
          <w:trHeight w:val="713" w:hRule="exact"/>
        </w:trPr>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2" w:firstLine="52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w:t>
            </w:r>
            <w:r>
              <w:rPr>
                <w:rFonts w:ascii="宋体" w:hAnsi="宋体" w:cs="宋体" w:eastAsia="宋体" w:hint="default"/>
                <w:sz w:val="18"/>
                <w:szCs w:val="18"/>
              </w:rPr>
              <w:t> 合并增加</w:t>
            </w:r>
          </w:p>
        </w:tc>
        <w:tc>
          <w:tcPr>
            <w:tcW w:w="1383"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40"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83" w:type="dxa"/>
            <w:tcBorders>
              <w:top w:val="single" w:sz="4" w:space="0" w:color="000000"/>
              <w:left w:val="single" w:sz="23" w:space="0" w:color="FFFFFF"/>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12,470,300.00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12,470,300.00</w:t>
            </w:r>
          </w:p>
        </w:tc>
      </w:tr>
      <w:tr>
        <w:trPr>
          <w:trHeight w:val="713" w:hRule="exact"/>
        </w:trPr>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13,923,936.14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4,854,368.95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18,778,305.09</w:t>
            </w:r>
          </w:p>
        </w:tc>
      </w:tr>
      <w:tr>
        <w:trPr>
          <w:trHeight w:val="403" w:hRule="exact"/>
        </w:trPr>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w:t>
            </w:r>
          </w:p>
        </w:tc>
        <w:tc>
          <w:tcPr>
            <w:tcW w:w="13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13,923,936.14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13,923,936.14</w:t>
            </w:r>
          </w:p>
        </w:tc>
      </w:tr>
    </w:tbl>
    <w:p>
      <w:pPr>
        <w:spacing w:after="0" w:line="240" w:lineRule="auto"/>
        <w:jc w:val="right"/>
        <w:rPr>
          <w:rFonts w:ascii="Times New Roman" w:hAnsi="Times New Roman" w:cs="Times New Roman" w:eastAsia="Times New Roman" w:hint="default"/>
          <w:sz w:val="18"/>
          <w:szCs w:val="18"/>
        </w:rPr>
        <w:sectPr>
          <w:footerReference w:type="default" r:id="rId23"/>
          <w:pgSz w:w="11910" w:h="16840"/>
          <w:pgMar w:footer="980" w:header="745" w:top="1060" w:bottom="1160" w:left="980" w:right="0"/>
          <w:pgNumType w:start="201"/>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713" w:hRule="exact"/>
        </w:trPr>
        <w:tc>
          <w:tcPr>
            <w:tcW w:w="1367"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49"/>
              <w:ind w:right="-25"/>
              <w:jc w:val="righ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其他转出</w:t>
            </w:r>
          </w:p>
        </w:tc>
        <w:tc>
          <w:tcPr>
            <w:tcW w:w="1366" w:type="dxa"/>
            <w:tcBorders>
              <w:top w:val="single" w:sz="4" w:space="0" w:color="000000"/>
              <w:left w:val="single" w:sz="10" w:space="0" w:color="FF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4,854,368.95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4,854,368.95</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288,677,571.76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73,085,147.25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19,742,516.02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190,626,311.55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582,131,546.58</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31,080,180.63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22,022,259.54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1,719,725.46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6,749,999.75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63,685,707.05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125,257,872.43</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10,834,694.98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2,508,318.59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14,928,858.99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17,425,387.85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45,697,260.41</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8,091,229.38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2,508,318.59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14,928,858.99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17,425,387.85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42,953,794.81</w:t>
            </w:r>
          </w:p>
        </w:tc>
      </w:tr>
      <w:tr>
        <w:trPr>
          <w:trHeight w:val="713" w:hRule="exact"/>
        </w:trPr>
        <w:tc>
          <w:tcPr>
            <w:tcW w:w="1367"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49"/>
              <w:ind w:right="-25"/>
              <w:jc w:val="righ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其他转入</w:t>
            </w:r>
          </w:p>
        </w:tc>
        <w:tc>
          <w:tcPr>
            <w:tcW w:w="1366"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2,743,465.60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2,743,465.60</w:t>
            </w:r>
          </w:p>
        </w:tc>
      </w:tr>
      <w:tr>
        <w:trPr>
          <w:trHeight w:val="71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1,090,452.21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40,453.07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1,130,905.28</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1,090,452.21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1,090,452.21</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）其他</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转出</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40,453.07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40,453.07</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40,824,423.40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24,530,578.13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16,648,584.45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6,749,999.75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81,070,641.83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169,824,227.56</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3,250,000.25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3,250,000.25</w:t>
            </w:r>
          </w:p>
        </w:tc>
      </w:tr>
      <w:tr>
        <w:trPr>
          <w:trHeight w:val="71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3,250,000.25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3,250,000.25</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247,853,148.36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48,554,569.12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3,093,931.57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109,555,669.72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409,057,318.77</w:t>
            </w:r>
          </w:p>
        </w:tc>
      </w:tr>
      <w:tr>
        <w:trPr>
          <w:trHeight w:val="71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220,877,850.38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51,062,887.71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16,754,200.50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100,595,406.23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389,290,344.82</w:t>
            </w:r>
          </w:p>
        </w:tc>
      </w:tr>
    </w:tbl>
    <w:p>
      <w:pPr>
        <w:pStyle w:val="BodyText"/>
        <w:spacing w:line="240" w:lineRule="auto" w:before="49"/>
        <w:ind w:right="1133"/>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6.52%</w:t>
      </w:r>
      <w:r>
        <w:rPr/>
        <w:t>。</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bookmarkStart w:name="（2）未办妥产权证书的土地使用权情况" w:id="319"/>
      <w:bookmarkEnd w:id="319"/>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汽车城土地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37,918,689.04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正在办理中</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27、开发支出" w:id="320"/>
      <w:bookmarkEnd w:id="320"/>
      <w:r>
        <w:rPr>
          <w:b w:val="0"/>
          <w:bCs w:val="0"/>
        </w:rPr>
      </w:r>
      <w:r>
        <w:rPr>
          <w:rFonts w:ascii="Times New Roman" w:hAnsi="Times New Roman" w:cs="Times New Roman" w:eastAsia="Times New Roman" w:hint="default"/>
        </w:rPr>
        <w:t>27</w:t>
      </w:r>
      <w:r>
        <w:rPr/>
        <w:t>、开发支出</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28、商誉" w:id="321"/>
      <w:bookmarkEnd w:id="321"/>
      <w:r>
        <w:rPr>
          <w:b w:val="0"/>
          <w:bCs w:val="0"/>
        </w:rPr>
      </w:r>
      <w:r>
        <w:rPr>
          <w:rFonts w:ascii="Times New Roman" w:hAnsi="Times New Roman" w:cs="Times New Roman" w:eastAsia="Times New Roman" w:hint="default"/>
        </w:rPr>
        <w:t>28</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商誉账面原值" w:id="322"/>
      <w:bookmarkEnd w:id="322"/>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6"/>
        <w:gridCol w:w="1368"/>
        <w:gridCol w:w="1369"/>
        <w:gridCol w:w="1366"/>
      </w:tblGrid>
      <w:tr>
        <w:trPr>
          <w:trHeight w:val="317" w:hRule="exact"/>
        </w:trPr>
        <w:tc>
          <w:tcPr>
            <w:tcW w:w="134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6"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42" w:hRule="exact"/>
        </w:trPr>
        <w:tc>
          <w:tcPr>
            <w:tcW w:w="1344" w:type="dxa"/>
            <w:vMerge/>
            <w:tcBorders>
              <w:left w:val="single" w:sz="4" w:space="0" w:color="000000"/>
              <w:right w:val="single" w:sz="4" w:space="0" w:color="000000"/>
            </w:tcBorders>
            <w:shd w:val="clear" w:color="auto" w:fill="D2D2D2"/>
          </w:tcPr>
          <w:p>
            <w:pPr/>
          </w:p>
        </w:tc>
        <w:tc>
          <w:tcPr>
            <w:tcW w:w="13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c>
          <w:tcPr>
            <w:tcW w:w="13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52" w:hRule="exact"/>
        </w:trPr>
        <w:tc>
          <w:tcPr>
            <w:tcW w:w="1344" w:type="dxa"/>
            <w:vMerge/>
            <w:tcBorders>
              <w:left w:val="single" w:sz="4" w:space="0" w:color="000000"/>
              <w:right w:val="single" w:sz="4" w:space="0" w:color="000000"/>
            </w:tcBorders>
            <w:shd w:val="clear" w:color="auto" w:fill="D2D2D2"/>
          </w:tcPr>
          <w:p>
            <w:pPr/>
          </w:p>
        </w:tc>
        <w:tc>
          <w:tcPr>
            <w:tcW w:w="137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47"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6" w:type="dxa"/>
            <w:vMerge w:val="restart"/>
            <w:tcBorders>
              <w:top w:val="single" w:sz="4" w:space="0" w:color="000000"/>
              <w:left w:val="single" w:sz="4" w:space="0" w:color="000000"/>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vMerge w:val="restart"/>
            <w:tcBorders>
              <w:top w:val="single" w:sz="4" w:space="0" w:color="000000"/>
              <w:left w:val="single" w:sz="4" w:space="0" w:color="000000"/>
              <w:right w:val="single" w:sz="4" w:space="0" w:color="000000"/>
            </w:tcBorders>
            <w:shd w:val="clear" w:color="auto" w:fill="D2D2D2"/>
          </w:tcPr>
          <w:p>
            <w:pPr/>
          </w:p>
        </w:tc>
        <w:tc>
          <w:tcPr>
            <w:tcW w:w="1366"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44" w:type="dxa"/>
            <w:vMerge/>
            <w:tcBorders>
              <w:left w:val="single" w:sz="4" w:space="0" w:color="000000"/>
              <w:bottom w:val="single" w:sz="4" w:space="0" w:color="000000"/>
              <w:right w:val="single" w:sz="4" w:space="0" w:color="000000"/>
            </w:tcBorders>
            <w:shd w:val="clear" w:color="auto" w:fill="D2D2D2"/>
          </w:tcPr>
          <w:p>
            <w:pPr/>
          </w:p>
        </w:tc>
        <w:tc>
          <w:tcPr>
            <w:tcW w:w="1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0"/>
              <w:jc w:val="left"/>
              <w:rPr>
                <w:rFonts w:ascii="宋体" w:hAnsi="宋体" w:cs="宋体" w:eastAsia="宋体" w:hint="default"/>
                <w:sz w:val="18"/>
                <w:szCs w:val="18"/>
              </w:rPr>
            </w:pPr>
            <w:r>
              <w:rPr>
                <w:rFonts w:ascii="宋体" w:hAnsi="宋体" w:cs="宋体" w:eastAsia="宋体" w:hint="default"/>
                <w:sz w:val="18"/>
                <w:szCs w:val="18"/>
              </w:rPr>
              <w:t>联动优势科技有 限公司</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2,483,064,273.45</w:t>
            </w:r>
          </w:p>
        </w:tc>
        <w:tc>
          <w:tcPr>
            <w:tcW w:w="1368" w:type="dxa"/>
            <w:tcBorders>
              <w:top w:val="single" w:sz="44" w:space="0" w:color="D2D2D2"/>
              <w:left w:val="single" w:sz="4" w:space="0" w:color="000000"/>
              <w:bottom w:val="single" w:sz="4" w:space="0" w:color="000000"/>
              <w:right w:val="single" w:sz="4" w:space="0" w:color="000000"/>
            </w:tcBorders>
          </w:tcPr>
          <w:p>
            <w:pPr/>
          </w:p>
        </w:tc>
        <w:tc>
          <w:tcPr>
            <w:tcW w:w="1366" w:type="dxa"/>
            <w:tcBorders>
              <w:top w:val="single" w:sz="44" w:space="0" w:color="D2D2D2"/>
              <w:left w:val="single" w:sz="4" w:space="0" w:color="000000"/>
              <w:bottom w:val="single" w:sz="4" w:space="0" w:color="000000"/>
              <w:right w:val="single" w:sz="4" w:space="0" w:color="000000"/>
            </w:tcBorders>
          </w:tcPr>
          <w:p>
            <w:pPr/>
          </w:p>
        </w:tc>
        <w:tc>
          <w:tcPr>
            <w:tcW w:w="1368" w:type="dxa"/>
            <w:tcBorders>
              <w:top w:val="single" w:sz="44" w:space="0" w:color="D2D2D2"/>
              <w:left w:val="single" w:sz="4" w:space="0" w:color="000000"/>
              <w:bottom w:val="single" w:sz="4" w:space="0" w:color="000000"/>
              <w:right w:val="single" w:sz="4" w:space="0" w:color="000000"/>
            </w:tcBorders>
          </w:tcPr>
          <w:p>
            <w:pPr/>
          </w:p>
        </w:tc>
        <w:tc>
          <w:tcPr>
            <w:tcW w:w="1369" w:type="dxa"/>
            <w:tcBorders>
              <w:top w:val="single" w:sz="44" w:space="0" w:color="D2D2D2"/>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2,483,064,273.45</w:t>
            </w:r>
          </w:p>
        </w:tc>
      </w:tr>
      <w:tr>
        <w:trPr>
          <w:trHeight w:val="715"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0"/>
              <w:jc w:val="left"/>
              <w:rPr>
                <w:rFonts w:ascii="宋体" w:hAnsi="宋体" w:cs="宋体" w:eastAsia="宋体" w:hint="default"/>
                <w:sz w:val="18"/>
                <w:szCs w:val="18"/>
              </w:rPr>
            </w:pPr>
            <w:r>
              <w:rPr>
                <w:rFonts w:ascii="宋体" w:hAnsi="宋体" w:cs="宋体" w:eastAsia="宋体" w:hint="default"/>
                <w:sz w:val="18"/>
                <w:szCs w:val="18"/>
              </w:rPr>
              <w:t>湖北海立美达汽 车有限公司</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19,254,876.57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19,254,876.57</w:t>
            </w: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0"/>
              <w:jc w:val="left"/>
              <w:rPr>
                <w:rFonts w:ascii="宋体" w:hAnsi="宋体" w:cs="宋体" w:eastAsia="宋体" w:hint="default"/>
                <w:sz w:val="18"/>
                <w:szCs w:val="18"/>
              </w:rPr>
            </w:pPr>
            <w:r>
              <w:rPr>
                <w:rFonts w:ascii="宋体" w:hAnsi="宋体" w:cs="宋体" w:eastAsia="宋体" w:hint="default"/>
                <w:sz w:val="18"/>
                <w:szCs w:val="18"/>
              </w:rPr>
              <w:t>哈尔滨迪达能化 科技有限公司</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450,499.72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450,499.72</w:t>
            </w: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2,502,769,649.74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2,502,769,649.74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商誉减值准备" w:id="323"/>
      <w:bookmarkEnd w:id="323"/>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6"/>
        <w:gridCol w:w="1368"/>
        <w:gridCol w:w="1369"/>
        <w:gridCol w:w="1366"/>
      </w:tblGrid>
      <w:tr>
        <w:trPr>
          <w:trHeight w:val="317" w:hRule="exact"/>
        </w:trPr>
        <w:tc>
          <w:tcPr>
            <w:tcW w:w="134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6"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42" w:hRule="exact"/>
        </w:trPr>
        <w:tc>
          <w:tcPr>
            <w:tcW w:w="1344" w:type="dxa"/>
            <w:vMerge/>
            <w:tcBorders>
              <w:left w:val="single" w:sz="4" w:space="0" w:color="000000"/>
              <w:right w:val="single" w:sz="4" w:space="0" w:color="000000"/>
            </w:tcBorders>
            <w:shd w:val="clear" w:color="auto" w:fill="D2D2D2"/>
          </w:tcPr>
          <w:p>
            <w:pPr/>
          </w:p>
        </w:tc>
        <w:tc>
          <w:tcPr>
            <w:tcW w:w="13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c>
          <w:tcPr>
            <w:tcW w:w="13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52" w:hRule="exact"/>
        </w:trPr>
        <w:tc>
          <w:tcPr>
            <w:tcW w:w="1344" w:type="dxa"/>
            <w:vMerge/>
            <w:tcBorders>
              <w:left w:val="single" w:sz="4" w:space="0" w:color="000000"/>
              <w:right w:val="single" w:sz="4" w:space="0" w:color="000000"/>
            </w:tcBorders>
            <w:shd w:val="clear" w:color="auto" w:fill="D2D2D2"/>
          </w:tcPr>
          <w:p>
            <w:pPr/>
          </w:p>
        </w:tc>
        <w:tc>
          <w:tcPr>
            <w:tcW w:w="137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vMerge w:val="restart"/>
            <w:tcBorders>
              <w:top w:val="single" w:sz="4" w:space="0" w:color="000000"/>
              <w:left w:val="single" w:sz="4" w:space="0" w:color="000000"/>
              <w:right w:val="single" w:sz="4" w:space="0" w:color="000000"/>
            </w:tcBorders>
            <w:shd w:val="clear" w:color="auto" w:fill="D2D2D2"/>
          </w:tcPr>
          <w:p>
            <w:pPr/>
          </w:p>
        </w:tc>
        <w:tc>
          <w:tcPr>
            <w:tcW w:w="1366"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44" w:type="dxa"/>
            <w:vMerge/>
            <w:tcBorders>
              <w:left w:val="single" w:sz="4" w:space="0" w:color="000000"/>
              <w:bottom w:val="single" w:sz="4" w:space="0" w:color="000000"/>
              <w:right w:val="single" w:sz="4" w:space="0" w:color="000000"/>
            </w:tcBorders>
            <w:shd w:val="clear" w:color="auto" w:fill="D2D2D2"/>
          </w:tcPr>
          <w:p>
            <w:pPr/>
          </w:p>
        </w:tc>
        <w:tc>
          <w:tcPr>
            <w:tcW w:w="1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60"/>
              <w:jc w:val="left"/>
              <w:rPr>
                <w:rFonts w:ascii="宋体" w:hAnsi="宋体" w:cs="宋体" w:eastAsia="宋体" w:hint="default"/>
                <w:sz w:val="18"/>
                <w:szCs w:val="18"/>
              </w:rPr>
            </w:pPr>
            <w:r>
              <w:rPr>
                <w:rFonts w:ascii="宋体" w:hAnsi="宋体" w:cs="宋体" w:eastAsia="宋体" w:hint="default"/>
                <w:sz w:val="18"/>
                <w:szCs w:val="18"/>
              </w:rPr>
              <w:t>联动优势科技有 限公司</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270,698,061.53</w:t>
            </w:r>
          </w:p>
        </w:tc>
        <w:tc>
          <w:tcPr>
            <w:tcW w:w="1368" w:type="dxa"/>
            <w:tcBorders>
              <w:top w:val="single" w:sz="49" w:space="0" w:color="D2D2D2"/>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2,069,389,995.44</w:t>
            </w:r>
          </w:p>
        </w:tc>
        <w:tc>
          <w:tcPr>
            <w:tcW w:w="1366" w:type="dxa"/>
            <w:tcBorders>
              <w:top w:val="single" w:sz="49" w:space="0" w:color="D2D2D2"/>
              <w:left w:val="single" w:sz="4" w:space="0" w:color="000000"/>
              <w:bottom w:val="single" w:sz="4" w:space="0" w:color="000000"/>
              <w:right w:val="single" w:sz="4" w:space="0" w:color="000000"/>
            </w:tcBorders>
          </w:tcPr>
          <w:p>
            <w:pPr/>
          </w:p>
        </w:tc>
        <w:tc>
          <w:tcPr>
            <w:tcW w:w="1368" w:type="dxa"/>
            <w:tcBorders>
              <w:top w:val="single" w:sz="49" w:space="0" w:color="D2D2D2"/>
              <w:left w:val="single" w:sz="4" w:space="0" w:color="000000"/>
              <w:bottom w:val="single" w:sz="4" w:space="0" w:color="000000"/>
              <w:right w:val="single" w:sz="4" w:space="0" w:color="000000"/>
            </w:tcBorders>
          </w:tcPr>
          <w:p>
            <w:pPr/>
          </w:p>
        </w:tc>
        <w:tc>
          <w:tcPr>
            <w:tcW w:w="1369" w:type="dxa"/>
            <w:tcBorders>
              <w:top w:val="single" w:sz="49" w:space="0" w:color="D2D2D2"/>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2,340,088,056.97</w:t>
            </w:r>
          </w:p>
        </w:tc>
      </w:tr>
      <w:tr>
        <w:trPr>
          <w:trHeight w:val="715"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0"/>
              <w:jc w:val="left"/>
              <w:rPr>
                <w:rFonts w:ascii="宋体" w:hAnsi="宋体" w:cs="宋体" w:eastAsia="宋体" w:hint="default"/>
                <w:sz w:val="18"/>
                <w:szCs w:val="18"/>
              </w:rPr>
            </w:pPr>
            <w:r>
              <w:rPr>
                <w:rFonts w:ascii="宋体" w:hAnsi="宋体" w:cs="宋体" w:eastAsia="宋体" w:hint="default"/>
                <w:sz w:val="18"/>
                <w:szCs w:val="18"/>
              </w:rPr>
              <w:t>湖北海立美达汽 车有限公司</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19,254,876.57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19,254,876.57</w:t>
            </w: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60"/>
              <w:jc w:val="left"/>
              <w:rPr>
                <w:rFonts w:ascii="宋体" w:hAnsi="宋体" w:cs="宋体" w:eastAsia="宋体" w:hint="default"/>
                <w:sz w:val="18"/>
                <w:szCs w:val="18"/>
              </w:rPr>
            </w:pPr>
            <w:r>
              <w:rPr>
                <w:rFonts w:ascii="宋体" w:hAnsi="宋体" w:cs="宋体" w:eastAsia="宋体" w:hint="default"/>
                <w:sz w:val="18"/>
                <w:szCs w:val="18"/>
              </w:rPr>
              <w:t>哈尔滨迪达能化 科技有限公司</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450,499.72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450,499.72</w:t>
            </w:r>
          </w:p>
        </w:tc>
      </w:tr>
      <w:tr>
        <w:trPr>
          <w:trHeight w:val="40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290,403,437.82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2,069,389,995.44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2,359,793,433.26</w:t>
            </w:r>
          </w:p>
        </w:tc>
      </w:tr>
    </w:tbl>
    <w:p>
      <w:pPr>
        <w:pStyle w:val="BodyText"/>
        <w:spacing w:line="240" w:lineRule="auto" w:before="49"/>
        <w:ind w:right="1133"/>
        <w:jc w:val="left"/>
      </w:pPr>
      <w:r>
        <w:rPr/>
        <w:t>商誉所在资产组或资产组组合的相关信息</w:t>
      </w:r>
    </w:p>
    <w:p>
      <w:pPr>
        <w:spacing w:line="240" w:lineRule="auto" w:before="2"/>
        <w:rPr>
          <w:rFonts w:ascii="宋体" w:hAnsi="宋体" w:cs="宋体" w:eastAsia="宋体" w:hint="default"/>
          <w:sz w:val="24"/>
          <w:szCs w:val="24"/>
        </w:rPr>
      </w:pPr>
    </w:p>
    <w:p>
      <w:pPr>
        <w:pStyle w:val="BodyText"/>
        <w:spacing w:line="300" w:lineRule="auto"/>
        <w:ind w:right="1129" w:firstLine="360"/>
        <w:jc w:val="both"/>
      </w:pPr>
      <w:r>
        <w:rPr/>
        <w:t>本公司的商誉金额</w:t>
      </w:r>
      <w:r>
        <w:rPr>
          <w:rFonts w:ascii="Times New Roman" w:hAnsi="Times New Roman" w:cs="Times New Roman" w:eastAsia="Times New Roman" w:hint="default"/>
        </w:rPr>
        <w:t>250,276.96</w:t>
      </w:r>
      <w:r>
        <w:rPr/>
        <w:t>万元，由联动优势科技有限公司、湖北海立美达汽车有限公司、哈尔滨迪达商誉构成，其 </w:t>
      </w:r>
      <w:r>
        <w:rPr>
          <w:spacing w:val="-5"/>
        </w:rPr>
        <w:t>中联动优势商誉原值</w:t>
      </w:r>
      <w:r>
        <w:rPr>
          <w:rFonts w:ascii="Times New Roman" w:hAnsi="Times New Roman" w:cs="Times New Roman" w:eastAsia="Times New Roman" w:hint="default"/>
          <w:spacing w:val="-5"/>
        </w:rPr>
        <w:t>248,306.43</w:t>
      </w:r>
      <w:r>
        <w:rPr>
          <w:spacing w:val="-5"/>
        </w:rPr>
        <w:t>万元。联动优势科技有限公司包含商誉的资产组为</w:t>
      </w:r>
      <w:r>
        <w:rPr>
          <w:rFonts w:ascii="Times New Roman" w:hAnsi="Times New Roman" w:cs="Times New Roman" w:eastAsia="Times New Roman" w:hint="default"/>
          <w:spacing w:val="-5"/>
        </w:rPr>
        <w:t>2</w:t>
      </w:r>
      <w:r>
        <w:rPr>
          <w:spacing w:val="-5"/>
        </w:rPr>
        <w:t>个，联动优势科技有限公司资产组组合（简</w:t>
      </w:r>
      <w:r>
        <w:rPr>
          <w:spacing w:val="-49"/>
        </w:rPr>
        <w:t> </w:t>
      </w:r>
      <w:r>
        <w:rPr>
          <w:spacing w:val="-49"/>
        </w:rPr>
      </w:r>
      <w:r>
        <w:rPr/>
        <w:t>称组合</w:t>
      </w:r>
      <w:r>
        <w:rPr>
          <w:rFonts w:ascii="Times New Roman" w:hAnsi="Times New Roman" w:cs="Times New Roman" w:eastAsia="Times New Roman" w:hint="default"/>
        </w:rPr>
        <w:t>1</w:t>
      </w:r>
      <w:r>
        <w:rPr/>
        <w:t>）及联动优势电子商务有限公司资产组（简称组合</w:t>
      </w:r>
      <w:r>
        <w:rPr>
          <w:rFonts w:ascii="Times New Roman" w:hAnsi="Times New Roman" w:cs="Times New Roman" w:eastAsia="Times New Roman" w:hint="default"/>
        </w:rPr>
        <w:t>2</w:t>
      </w: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日，资产组账面价值如下：</w:t>
      </w:r>
    </w:p>
    <w:tbl>
      <w:tblPr>
        <w:tblW w:w="0" w:type="auto"/>
        <w:jc w:val="left"/>
        <w:tblInd w:w="145" w:type="dxa"/>
        <w:tblLayout w:type="fixed"/>
        <w:tblCellMar>
          <w:top w:w="0" w:type="dxa"/>
          <w:left w:w="0" w:type="dxa"/>
          <w:bottom w:w="0" w:type="dxa"/>
          <w:right w:w="0" w:type="dxa"/>
        </w:tblCellMar>
        <w:tblLook w:val="01E0"/>
      </w:tblPr>
      <w:tblGrid>
        <w:gridCol w:w="1762"/>
        <w:gridCol w:w="2067"/>
        <w:gridCol w:w="2127"/>
        <w:gridCol w:w="1985"/>
        <w:gridCol w:w="1699"/>
      </w:tblGrid>
      <w:tr>
        <w:trPr>
          <w:trHeight w:val="659" w:hRule="exact"/>
        </w:trPr>
        <w:tc>
          <w:tcPr>
            <w:tcW w:w="17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425" w:right="0"/>
              <w:jc w:val="left"/>
              <w:rPr>
                <w:rFonts w:ascii="宋体" w:hAnsi="宋体" w:cs="宋体" w:eastAsia="宋体" w:hint="default"/>
                <w:sz w:val="18"/>
                <w:szCs w:val="18"/>
              </w:rPr>
            </w:pPr>
            <w:r>
              <w:rPr>
                <w:rFonts w:ascii="宋体" w:hAnsi="宋体" w:cs="宋体" w:eastAsia="宋体" w:hint="default"/>
                <w:sz w:val="18"/>
                <w:szCs w:val="18"/>
              </w:rPr>
              <w:t>资产组名称</w:t>
            </w:r>
          </w:p>
        </w:tc>
        <w:tc>
          <w:tcPr>
            <w:tcW w:w="206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19"/>
              <w:ind w:left="667" w:right="32" w:hanging="629"/>
              <w:jc w:val="left"/>
              <w:rPr>
                <w:rFonts w:ascii="宋体" w:hAnsi="宋体" w:cs="宋体" w:eastAsia="宋体" w:hint="default"/>
                <w:sz w:val="18"/>
                <w:szCs w:val="18"/>
              </w:rPr>
            </w:pPr>
            <w:r>
              <w:rPr>
                <w:rFonts w:ascii="宋体" w:hAnsi="宋体" w:cs="宋体" w:eastAsia="宋体" w:hint="default"/>
                <w:sz w:val="18"/>
                <w:szCs w:val="18"/>
              </w:rPr>
              <w:t>归属于母公司股东的商誉 账面价值</w:t>
            </w:r>
          </w:p>
        </w:tc>
        <w:tc>
          <w:tcPr>
            <w:tcW w:w="212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全部商誉账面价值</w:t>
            </w:r>
          </w:p>
        </w:tc>
        <w:tc>
          <w:tcPr>
            <w:tcW w:w="198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19"/>
              <w:ind w:left="263" w:right="86" w:hanging="180"/>
              <w:jc w:val="left"/>
              <w:rPr>
                <w:rFonts w:ascii="宋体" w:hAnsi="宋体" w:cs="宋体" w:eastAsia="宋体" w:hint="default"/>
                <w:sz w:val="18"/>
                <w:szCs w:val="18"/>
              </w:rPr>
            </w:pPr>
            <w:r>
              <w:rPr>
                <w:rFonts w:ascii="宋体" w:hAnsi="宋体" w:cs="宋体" w:eastAsia="宋体" w:hint="default"/>
                <w:sz w:val="18"/>
                <w:szCs w:val="18"/>
              </w:rPr>
              <w:t>资产组或资产组组合内 其他资产账面价值</w:t>
            </w:r>
          </w:p>
        </w:tc>
        <w:tc>
          <w:tcPr>
            <w:tcW w:w="169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19"/>
              <w:ind w:left="31" w:right="31"/>
              <w:jc w:val="left"/>
              <w:rPr>
                <w:rFonts w:ascii="宋体" w:hAnsi="宋体" w:cs="宋体" w:eastAsia="宋体" w:hint="default"/>
                <w:sz w:val="18"/>
                <w:szCs w:val="18"/>
              </w:rPr>
            </w:pPr>
            <w:r>
              <w:rPr>
                <w:rFonts w:ascii="宋体" w:hAnsi="宋体" w:cs="宋体" w:eastAsia="宋体" w:hint="default"/>
                <w:sz w:val="18"/>
                <w:szCs w:val="18"/>
              </w:rPr>
              <w:t>包含商誉的资产组或 资产组组合账面价值</w:t>
            </w:r>
          </w:p>
        </w:tc>
      </w:tr>
      <w:tr>
        <w:trPr>
          <w:trHeight w:val="348" w:hRule="exact"/>
        </w:trPr>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1</w:t>
            </w:r>
          </w:p>
        </w:tc>
        <w:tc>
          <w:tcPr>
            <w:tcW w:w="2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791" w:right="0"/>
              <w:jc w:val="left"/>
              <w:rPr>
                <w:rFonts w:ascii="Times New Roman" w:hAnsi="Times New Roman" w:cs="Times New Roman" w:eastAsia="Times New Roman" w:hint="default"/>
                <w:sz w:val="18"/>
                <w:szCs w:val="18"/>
              </w:rPr>
            </w:pPr>
            <w:r>
              <w:rPr>
                <w:rFonts w:ascii="Times New Roman"/>
                <w:sz w:val="18"/>
              </w:rPr>
              <w:t>1,612,088,394.69</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852" w:right="0"/>
              <w:jc w:val="left"/>
              <w:rPr>
                <w:rFonts w:ascii="Times New Roman" w:hAnsi="Times New Roman" w:cs="Times New Roman" w:eastAsia="Times New Roman" w:hint="default"/>
                <w:sz w:val="18"/>
                <w:szCs w:val="18"/>
              </w:rPr>
            </w:pPr>
            <w:r>
              <w:rPr>
                <w:rFonts w:ascii="Times New Roman"/>
                <w:sz w:val="18"/>
              </w:rPr>
              <w:t>1,612,088,394.69</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840" w:right="0"/>
              <w:jc w:val="left"/>
              <w:rPr>
                <w:rFonts w:ascii="Times New Roman" w:hAnsi="Times New Roman" w:cs="Times New Roman" w:eastAsia="Times New Roman" w:hint="default"/>
                <w:sz w:val="18"/>
                <w:szCs w:val="18"/>
              </w:rPr>
            </w:pPr>
            <w:r>
              <w:rPr>
                <w:rFonts w:ascii="Times New Roman"/>
                <w:sz w:val="18"/>
              </w:rPr>
              <w:t>103,823,783.52</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22" w:right="0"/>
              <w:jc w:val="left"/>
              <w:rPr>
                <w:rFonts w:ascii="Times New Roman" w:hAnsi="Times New Roman" w:cs="Times New Roman" w:eastAsia="Times New Roman" w:hint="default"/>
                <w:sz w:val="18"/>
                <w:szCs w:val="18"/>
              </w:rPr>
            </w:pPr>
            <w:r>
              <w:rPr>
                <w:rFonts w:ascii="Times New Roman"/>
                <w:sz w:val="18"/>
              </w:rPr>
              <w:t>1,715,912,178.21</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1762"/>
        <w:gridCol w:w="2067"/>
        <w:gridCol w:w="2127"/>
        <w:gridCol w:w="1985"/>
        <w:gridCol w:w="1699"/>
      </w:tblGrid>
      <w:tr>
        <w:trPr>
          <w:trHeight w:val="348" w:hRule="exact"/>
        </w:trPr>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2</w:t>
            </w:r>
          </w:p>
        </w:tc>
        <w:tc>
          <w:tcPr>
            <w:tcW w:w="2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926" w:right="0"/>
              <w:jc w:val="left"/>
              <w:rPr>
                <w:rFonts w:ascii="Times New Roman" w:hAnsi="Times New Roman" w:cs="Times New Roman" w:eastAsia="Times New Roman" w:hint="default"/>
                <w:sz w:val="18"/>
                <w:szCs w:val="18"/>
              </w:rPr>
            </w:pPr>
            <w:r>
              <w:rPr>
                <w:rFonts w:ascii="Times New Roman"/>
                <w:sz w:val="18"/>
              </w:rPr>
              <w:t>600,277,817.23</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986" w:right="0"/>
              <w:jc w:val="left"/>
              <w:rPr>
                <w:rFonts w:ascii="Times New Roman" w:hAnsi="Times New Roman" w:cs="Times New Roman" w:eastAsia="Times New Roman" w:hint="default"/>
                <w:sz w:val="18"/>
                <w:szCs w:val="18"/>
              </w:rPr>
            </w:pPr>
            <w:r>
              <w:rPr>
                <w:rFonts w:ascii="Times New Roman"/>
                <w:sz w:val="18"/>
              </w:rPr>
              <w:t>600,277,817.23</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931" w:right="0"/>
              <w:jc w:val="left"/>
              <w:rPr>
                <w:rFonts w:ascii="Times New Roman" w:hAnsi="Times New Roman" w:cs="Times New Roman" w:eastAsia="Times New Roman" w:hint="default"/>
                <w:sz w:val="18"/>
                <w:szCs w:val="18"/>
              </w:rPr>
            </w:pPr>
            <w:r>
              <w:rPr>
                <w:rFonts w:ascii="Times New Roman"/>
                <w:sz w:val="18"/>
              </w:rPr>
              <w:t>30,622,719.24</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56" w:right="0"/>
              <w:jc w:val="left"/>
              <w:rPr>
                <w:rFonts w:ascii="Times New Roman" w:hAnsi="Times New Roman" w:cs="Times New Roman" w:eastAsia="Times New Roman" w:hint="default"/>
                <w:sz w:val="18"/>
                <w:szCs w:val="18"/>
              </w:rPr>
            </w:pPr>
            <w:r>
              <w:rPr>
                <w:rFonts w:ascii="Times New Roman"/>
                <w:sz w:val="18"/>
              </w:rPr>
              <w:t>630,900,536.47</w:t>
            </w:r>
          </w:p>
        </w:tc>
      </w:tr>
    </w:tbl>
    <w:p>
      <w:pPr>
        <w:spacing w:line="240" w:lineRule="auto" w:before="7"/>
        <w:rPr>
          <w:rFonts w:ascii="宋体" w:hAnsi="宋体" w:cs="宋体" w:eastAsia="宋体" w:hint="default"/>
          <w:sz w:val="15"/>
          <w:szCs w:val="15"/>
        </w:rPr>
      </w:pPr>
    </w:p>
    <w:p>
      <w:pPr>
        <w:pStyle w:val="BodyText"/>
        <w:spacing w:line="328" w:lineRule="auto" w:before="44"/>
        <w:ind w:right="1133" w:firstLine="360"/>
        <w:jc w:val="left"/>
      </w:pPr>
      <w:r>
        <w:rPr/>
        <w:t>组合</w:t>
      </w:r>
      <w:r>
        <w:rPr>
          <w:rFonts w:ascii="Times New Roman" w:hAnsi="Times New Roman" w:cs="Times New Roman" w:eastAsia="Times New Roman" w:hint="default"/>
        </w:rPr>
        <w:t>1</w:t>
      </w:r>
      <w:r>
        <w:rPr/>
        <w:t>、组合</w:t>
      </w:r>
      <w:r>
        <w:rPr>
          <w:rFonts w:ascii="Times New Roman" w:hAnsi="Times New Roman" w:cs="Times New Roman" w:eastAsia="Times New Roman" w:hint="default"/>
        </w:rPr>
        <w:t>2</w:t>
      </w:r>
      <w:r>
        <w:rPr/>
        <w:t>业务板块范围与购买日、以前年度商誉减值测试所确定的资产组相比无变化。 </w:t>
      </w:r>
      <w:r>
        <w:rPr>
          <w:spacing w:val="-2"/>
        </w:rPr>
        <w:t>说明商誉减值测试过程、关键参数（如预计未来现金流量现值时的预测期增长率、稳定期增长率、利润率、折现率、预测期</w:t>
      </w:r>
      <w:r>
        <w:rPr>
          <w:spacing w:val="-69"/>
        </w:rPr>
        <w:t> </w:t>
      </w:r>
      <w:r>
        <w:rPr>
          <w:spacing w:val="-69"/>
        </w:rPr>
      </w:r>
      <w:r>
        <w:rPr/>
        <w:t>等）及商誉减值损失的确认方法：</w:t>
      </w:r>
    </w:p>
    <w:p>
      <w:pPr>
        <w:spacing w:line="240" w:lineRule="auto" w:before="4"/>
        <w:rPr>
          <w:rFonts w:ascii="宋体" w:hAnsi="宋体" w:cs="宋体" w:eastAsia="宋体" w:hint="default"/>
          <w:sz w:val="19"/>
          <w:szCs w:val="19"/>
        </w:rPr>
      </w:pPr>
    </w:p>
    <w:p>
      <w:pPr>
        <w:pStyle w:val="BodyText"/>
        <w:spacing w:line="240" w:lineRule="auto"/>
        <w:ind w:left="513" w:right="1133"/>
        <w:jc w:val="left"/>
      </w:pPr>
      <w:r>
        <w:rPr/>
        <w:t>本公司商誉减值测试采用收益法进行评估，未来现金流现值测试过程如下：</w:t>
      </w:r>
    </w:p>
    <w:p>
      <w:pPr>
        <w:spacing w:line="240" w:lineRule="auto" w:before="2"/>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888"/>
        <w:gridCol w:w="893"/>
        <w:gridCol w:w="1261"/>
        <w:gridCol w:w="1070"/>
        <w:gridCol w:w="991"/>
        <w:gridCol w:w="852"/>
        <w:gridCol w:w="1133"/>
        <w:gridCol w:w="1277"/>
        <w:gridCol w:w="1274"/>
      </w:tblGrid>
      <w:tr>
        <w:trPr>
          <w:trHeight w:val="659" w:hRule="exact"/>
        </w:trPr>
        <w:tc>
          <w:tcPr>
            <w:tcW w:w="88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19"/>
              <w:ind w:left="348" w:right="75" w:hanging="272"/>
              <w:jc w:val="left"/>
              <w:rPr>
                <w:rFonts w:ascii="宋体" w:hAnsi="宋体" w:cs="宋体" w:eastAsia="宋体" w:hint="default"/>
                <w:sz w:val="18"/>
                <w:szCs w:val="18"/>
              </w:rPr>
            </w:pPr>
            <w:r>
              <w:rPr>
                <w:rFonts w:ascii="宋体" w:hAnsi="宋体" w:cs="宋体" w:eastAsia="宋体" w:hint="default"/>
                <w:sz w:val="18"/>
                <w:szCs w:val="18"/>
              </w:rPr>
              <w:t>资产组名 称</w:t>
            </w:r>
          </w:p>
        </w:tc>
        <w:tc>
          <w:tcPr>
            <w:tcW w:w="89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预测期间</w:t>
            </w:r>
          </w:p>
        </w:tc>
        <w:tc>
          <w:tcPr>
            <w:tcW w:w="12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预测期净利润</w:t>
            </w:r>
          </w:p>
        </w:tc>
        <w:tc>
          <w:tcPr>
            <w:tcW w:w="107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稳定期间</w:t>
            </w:r>
          </w:p>
        </w:tc>
        <w:tc>
          <w:tcPr>
            <w:tcW w:w="99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19"/>
              <w:ind w:left="40" w:right="35"/>
              <w:jc w:val="left"/>
              <w:rPr>
                <w:rFonts w:ascii="宋体" w:hAnsi="宋体" w:cs="宋体" w:eastAsia="宋体" w:hint="default"/>
                <w:sz w:val="18"/>
                <w:szCs w:val="18"/>
              </w:rPr>
            </w:pPr>
            <w:r>
              <w:rPr>
                <w:rFonts w:ascii="宋体" w:hAnsi="宋体" w:cs="宋体" w:eastAsia="宋体" w:hint="default"/>
                <w:sz w:val="18"/>
                <w:szCs w:val="18"/>
              </w:rPr>
              <w:t>稳定期营业 收入增长率</w:t>
            </w:r>
          </w:p>
        </w:tc>
        <w:tc>
          <w:tcPr>
            <w:tcW w:w="85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19"/>
              <w:ind w:left="240" w:right="55" w:hanging="180"/>
              <w:jc w:val="left"/>
              <w:rPr>
                <w:rFonts w:ascii="宋体" w:hAnsi="宋体" w:cs="宋体" w:eastAsia="宋体" w:hint="default"/>
                <w:sz w:val="18"/>
                <w:szCs w:val="18"/>
              </w:rPr>
            </w:pPr>
            <w:r>
              <w:rPr>
                <w:rFonts w:ascii="宋体" w:hAnsi="宋体" w:cs="宋体" w:eastAsia="宋体" w:hint="default"/>
                <w:sz w:val="18"/>
                <w:szCs w:val="18"/>
              </w:rPr>
              <w:t>稳定期利 润率</w:t>
            </w:r>
          </w:p>
        </w:tc>
        <w:tc>
          <w:tcPr>
            <w:tcW w:w="113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稳定期净利润</w:t>
            </w:r>
          </w:p>
        </w:tc>
        <w:tc>
          <w:tcPr>
            <w:tcW w:w="12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折现率</w:t>
            </w:r>
          </w:p>
        </w:tc>
        <w:tc>
          <w:tcPr>
            <w:tcW w:w="127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19"/>
              <w:ind w:left="91" w:right="86"/>
              <w:jc w:val="left"/>
              <w:rPr>
                <w:rFonts w:ascii="宋体" w:hAnsi="宋体" w:cs="宋体" w:eastAsia="宋体" w:hint="default"/>
                <w:sz w:val="18"/>
                <w:szCs w:val="18"/>
              </w:rPr>
            </w:pPr>
            <w:r>
              <w:rPr>
                <w:rFonts w:ascii="宋体" w:hAnsi="宋体" w:cs="宋体" w:eastAsia="宋体" w:hint="default"/>
                <w:sz w:val="18"/>
                <w:szCs w:val="18"/>
              </w:rPr>
              <w:t>预计未来现金 净流量的现值</w:t>
            </w:r>
          </w:p>
        </w:tc>
      </w:tr>
      <w:tr>
        <w:trPr>
          <w:trHeight w:val="660" w:hRule="exact"/>
        </w:trPr>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168" w:right="75" w:hanging="92"/>
              <w:jc w:val="left"/>
              <w:rPr>
                <w:rFonts w:ascii="宋体" w:hAnsi="宋体" w:cs="宋体" w:eastAsia="宋体" w:hint="default"/>
                <w:sz w:val="18"/>
                <w:szCs w:val="18"/>
              </w:rPr>
            </w:pPr>
            <w:r>
              <w:rPr>
                <w:rFonts w:ascii="宋体" w:hAnsi="宋体" w:cs="宋体" w:eastAsia="宋体" w:hint="default"/>
                <w:sz w:val="18"/>
                <w:szCs w:val="18"/>
              </w:rPr>
              <w:t>联动科技 资产组</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p>
          <w:p>
            <w:pPr>
              <w:pStyle w:val="TableParagraph"/>
              <w:spacing w:line="240" w:lineRule="auto" w:before="63"/>
              <w:ind w:left="13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宋体" w:hAnsi="宋体" w:cs="宋体" w:eastAsia="宋体" w:hint="default"/>
                <w:sz w:val="18"/>
                <w:szCs w:val="18"/>
              </w:rPr>
              <w:t>年</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2,021.60</w:t>
            </w:r>
            <w:r>
              <w:rPr>
                <w:rFonts w:ascii="宋体" w:hAnsi="宋体" w:cs="宋体" w:eastAsia="宋体" w:hint="default"/>
                <w:sz w:val="18"/>
                <w:szCs w:val="18"/>
              </w:rPr>
              <w:t>万元</w:t>
            </w:r>
          </w:p>
          <w:p>
            <w:pPr>
              <w:pStyle w:val="TableParagraph"/>
              <w:spacing w:line="240" w:lineRule="auto" w:before="63"/>
              <w:ind w:left="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~6,966.52</w:t>
            </w:r>
            <w:r>
              <w:rPr>
                <w:rFonts w:ascii="宋体" w:hAnsi="宋体" w:cs="宋体" w:eastAsia="宋体" w:hint="default"/>
                <w:sz w:val="18"/>
                <w:szCs w:val="18"/>
              </w:rPr>
              <w:t>万元</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36" w:right="74"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2025</w:t>
            </w:r>
            <w:r>
              <w:rPr>
                <w:rFonts w:ascii="宋体" w:hAnsi="宋体" w:cs="宋体" w:eastAsia="宋体" w:hint="default"/>
                <w:sz w:val="18"/>
                <w:szCs w:val="18"/>
              </w:rPr>
              <w:t>年及以 后</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0.00%</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6.22%</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6,966.52</w:t>
            </w:r>
            <w:r>
              <w:rPr>
                <w:rFonts w:ascii="宋体" w:hAnsi="宋体" w:cs="宋体" w:eastAsia="宋体" w:hint="default"/>
                <w:sz w:val="18"/>
                <w:szCs w:val="18"/>
              </w:rPr>
              <w:t>万元</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11.70%~12.70%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84"/>
              <w:jc w:val="right"/>
              <w:rPr>
                <w:rFonts w:ascii="宋体" w:hAnsi="宋体" w:cs="宋体" w:eastAsia="宋体" w:hint="default"/>
                <w:sz w:val="18"/>
                <w:szCs w:val="18"/>
              </w:rPr>
            </w:pPr>
            <w:r>
              <w:rPr>
                <w:rFonts w:ascii="Times New Roman" w:hAnsi="Times New Roman" w:cs="Times New Roman" w:eastAsia="Times New Roman" w:hint="default"/>
                <w:sz w:val="18"/>
                <w:szCs w:val="18"/>
              </w:rPr>
              <w:t>24,680.00</w:t>
            </w:r>
            <w:r>
              <w:rPr>
                <w:rFonts w:ascii="宋体" w:hAnsi="宋体" w:cs="宋体" w:eastAsia="宋体" w:hint="default"/>
                <w:sz w:val="18"/>
                <w:szCs w:val="18"/>
              </w:rPr>
              <w:t>万元</w:t>
            </w:r>
          </w:p>
        </w:tc>
      </w:tr>
      <w:tr>
        <w:trPr>
          <w:trHeight w:val="658" w:hRule="exact"/>
        </w:trPr>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168" w:right="74" w:hanging="92"/>
              <w:jc w:val="left"/>
              <w:rPr>
                <w:rFonts w:ascii="宋体" w:hAnsi="宋体" w:cs="宋体" w:eastAsia="宋体" w:hint="default"/>
                <w:sz w:val="18"/>
                <w:szCs w:val="18"/>
              </w:rPr>
            </w:pPr>
            <w:r>
              <w:rPr>
                <w:rFonts w:ascii="宋体" w:hAnsi="宋体" w:cs="宋体" w:eastAsia="宋体" w:hint="default"/>
                <w:sz w:val="18"/>
                <w:szCs w:val="18"/>
              </w:rPr>
              <w:t>联动商务 资产组</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p>
          <w:p>
            <w:pPr>
              <w:pStyle w:val="TableParagraph"/>
              <w:spacing w:line="240" w:lineRule="auto" w:before="63"/>
              <w:ind w:left="13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宋体" w:hAnsi="宋体" w:cs="宋体" w:eastAsia="宋体" w:hint="default"/>
                <w:sz w:val="18"/>
                <w:szCs w:val="18"/>
              </w:rPr>
              <w:t>年</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-6,539.30</w:t>
            </w:r>
            <w:r>
              <w:rPr>
                <w:rFonts w:ascii="宋体" w:hAnsi="宋体" w:cs="宋体" w:eastAsia="宋体" w:hint="default"/>
                <w:sz w:val="18"/>
                <w:szCs w:val="18"/>
              </w:rPr>
              <w:t>万元</w:t>
            </w:r>
          </w:p>
          <w:p>
            <w:pPr>
              <w:pStyle w:val="TableParagraph"/>
              <w:spacing w:line="240" w:lineRule="auto" w:before="63"/>
              <w:ind w:left="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~2,284.01</w:t>
            </w:r>
            <w:r>
              <w:rPr>
                <w:rFonts w:ascii="宋体" w:hAnsi="宋体" w:cs="宋体" w:eastAsia="宋体" w:hint="default"/>
                <w:sz w:val="18"/>
                <w:szCs w:val="18"/>
              </w:rPr>
              <w:t>万元</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36" w:right="74"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2025</w:t>
            </w:r>
            <w:r>
              <w:rPr>
                <w:rFonts w:ascii="宋体" w:hAnsi="宋体" w:cs="宋体" w:eastAsia="宋体" w:hint="default"/>
                <w:sz w:val="18"/>
                <w:szCs w:val="18"/>
              </w:rPr>
              <w:t>年及以 后</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0.00%</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3.22%</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2,284.01</w:t>
            </w:r>
            <w:r>
              <w:rPr>
                <w:rFonts w:ascii="宋体" w:hAnsi="宋体" w:cs="宋体" w:eastAsia="宋体" w:hint="default"/>
                <w:sz w:val="18"/>
                <w:szCs w:val="18"/>
              </w:rPr>
              <w:t>万元</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12.20%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27"/>
              <w:jc w:val="right"/>
              <w:rPr>
                <w:rFonts w:ascii="宋体" w:hAnsi="宋体" w:cs="宋体" w:eastAsia="宋体" w:hint="default"/>
                <w:sz w:val="18"/>
                <w:szCs w:val="18"/>
              </w:rPr>
            </w:pPr>
            <w:r>
              <w:rPr>
                <w:rFonts w:ascii="Times New Roman" w:hAnsi="Times New Roman" w:cs="Times New Roman" w:eastAsia="Times New Roman" w:hint="default"/>
                <w:sz w:val="18"/>
                <w:szCs w:val="18"/>
              </w:rPr>
              <w:t>3,070.00</w:t>
            </w:r>
            <w:r>
              <w:rPr>
                <w:rFonts w:ascii="宋体" w:hAnsi="宋体" w:cs="宋体" w:eastAsia="宋体" w:hint="default"/>
                <w:sz w:val="18"/>
                <w:szCs w:val="18"/>
              </w:rPr>
              <w:t>万元</w:t>
            </w:r>
          </w:p>
        </w:tc>
      </w:tr>
    </w:tbl>
    <w:p>
      <w:pPr>
        <w:spacing w:line="240" w:lineRule="auto" w:before="2"/>
        <w:rPr>
          <w:rFonts w:ascii="宋体" w:hAnsi="宋体" w:cs="宋体" w:eastAsia="宋体" w:hint="default"/>
          <w:sz w:val="24"/>
          <w:szCs w:val="24"/>
        </w:rPr>
      </w:pPr>
    </w:p>
    <w:p>
      <w:pPr>
        <w:pStyle w:val="BodyText"/>
        <w:spacing w:line="240" w:lineRule="auto" w:before="44"/>
        <w:ind w:right="1133"/>
        <w:jc w:val="left"/>
      </w:pPr>
      <w:r>
        <w:rPr/>
        <w:t>商誉减值测试的影响</w:t>
      </w:r>
    </w:p>
    <w:p>
      <w:pPr>
        <w:spacing w:line="240" w:lineRule="auto" w:before="5"/>
        <w:rPr>
          <w:rFonts w:ascii="宋体" w:hAnsi="宋体" w:cs="宋体" w:eastAsia="宋体" w:hint="default"/>
          <w:sz w:val="24"/>
          <w:szCs w:val="24"/>
        </w:rPr>
      </w:pPr>
    </w:p>
    <w:p>
      <w:pPr>
        <w:pStyle w:val="BodyText"/>
        <w:spacing w:line="304" w:lineRule="auto"/>
        <w:ind w:right="1131" w:firstLine="360"/>
        <w:jc w:val="both"/>
      </w:pPr>
      <w:r>
        <w:rPr>
          <w:spacing w:val="-2"/>
        </w:rPr>
        <w:t>公司聘请上海东洲资产评估有限公司对收购联动优势科技有限公司股权形成的商誉进行商誉减值测试，依据上海东洲资</w:t>
      </w:r>
      <w:r>
        <w:rPr/>
        <w:t> 产评估有限公司于</w:t>
      </w:r>
      <w:r>
        <w:rPr>
          <w:spacing w:val="-1"/>
        </w:rPr>
        <w:t> </w:t>
      </w:r>
      <w:r>
        <w:rPr>
          <w:rFonts w:ascii="Times New Roman" w:hAnsi="Times New Roman" w:cs="Times New Roman" w:eastAsia="Times New Roman" w:hint="default"/>
        </w:rPr>
        <w:t>2020</w:t>
      </w:r>
      <w:r>
        <w:rPr>
          <w:rFonts w:ascii="Times New Roman" w:hAnsi="Times New Roman" w:cs="Times New Roman" w:eastAsia="Times New Roman" w:hint="default"/>
          <w:spacing w:val="41"/>
        </w:rPr>
        <w:t> </w:t>
      </w:r>
      <w:r>
        <w:rPr/>
        <w:t>年</w:t>
      </w:r>
      <w:r>
        <w:rPr>
          <w:spacing w:val="-3"/>
        </w:rPr>
        <w:t> </w:t>
      </w:r>
      <w:r>
        <w:rPr>
          <w:rFonts w:ascii="Times New Roman" w:hAnsi="Times New Roman" w:cs="Times New Roman" w:eastAsia="Times New Roman" w:hint="default"/>
        </w:rPr>
        <w:t>4</w:t>
      </w:r>
      <w:r>
        <w:rPr>
          <w:rFonts w:ascii="Times New Roman" w:hAnsi="Times New Roman" w:cs="Times New Roman" w:eastAsia="Times New Roman" w:hint="default"/>
          <w:spacing w:val="41"/>
        </w:rPr>
        <w:t> </w:t>
      </w:r>
      <w:r>
        <w:rPr/>
        <w:t>月</w:t>
      </w:r>
      <w:r>
        <w:rPr>
          <w:rFonts w:ascii="Times New Roman" w:hAnsi="Times New Roman" w:cs="Times New Roman" w:eastAsia="Times New Roman" w:hint="default"/>
        </w:rPr>
        <w:t>23</w:t>
      </w:r>
      <w:r>
        <w:rPr/>
        <w:t>日出具的《海联金汇科技股份有限公司以商誉减值测试为目的涉及联动优势科技有限公</w:t>
      </w:r>
      <w:r>
        <w:rPr>
          <w:spacing w:val="-86"/>
        </w:rPr>
        <w:t> </w:t>
      </w:r>
      <w:r>
        <w:rPr>
          <w:spacing w:val="-86"/>
        </w:rPr>
      </w:r>
      <w:r>
        <w:rPr>
          <w:spacing w:val="-2"/>
        </w:rPr>
        <w:t>司、联动优势电子商务有限公司相关资产组组合可回收价值资产评估报告》东洲评报字【</w:t>
      </w:r>
      <w:r>
        <w:rPr>
          <w:rFonts w:ascii="Times New Roman" w:hAnsi="Times New Roman" w:cs="Times New Roman" w:eastAsia="Times New Roman" w:hint="default"/>
          <w:spacing w:val="-2"/>
        </w:rPr>
        <w:t>2020</w:t>
      </w:r>
      <w:r>
        <w:rPr>
          <w:spacing w:val="-2"/>
        </w:rPr>
        <w:t>】第【</w:t>
      </w:r>
      <w:r>
        <w:rPr>
          <w:rFonts w:ascii="Times New Roman" w:hAnsi="Times New Roman" w:cs="Times New Roman" w:eastAsia="Times New Roman" w:hint="default"/>
          <w:spacing w:val="-2"/>
        </w:rPr>
        <w:t>0489</w:t>
      </w:r>
      <w:r>
        <w:rPr>
          <w:spacing w:val="-2"/>
        </w:rPr>
        <w:t>】号显示，收购联</w:t>
      </w:r>
      <w:r>
        <w:rPr>
          <w:spacing w:val="-62"/>
        </w:rPr>
        <w:t> </w:t>
      </w:r>
      <w:r>
        <w:rPr>
          <w:spacing w:val="-62"/>
        </w:rPr>
      </w:r>
      <w:r>
        <w:rPr/>
        <w:t>动优势形成的商誉减值金额为</w:t>
      </w:r>
      <w:r>
        <w:rPr>
          <w:rFonts w:ascii="Times New Roman" w:hAnsi="Times New Roman" w:cs="Times New Roman" w:eastAsia="Times New Roman" w:hint="default"/>
        </w:rPr>
        <w:t>206,939.00</w:t>
      </w:r>
      <w:r>
        <w:rPr/>
        <w:t>万元。</w:t>
      </w:r>
    </w:p>
    <w:p>
      <w:pPr>
        <w:spacing w:line="240" w:lineRule="auto" w:before="0"/>
        <w:rPr>
          <w:rFonts w:ascii="宋体" w:hAnsi="宋体" w:cs="宋体" w:eastAsia="宋体" w:hint="default"/>
          <w:sz w:val="22"/>
          <w:szCs w:val="22"/>
        </w:rPr>
      </w:pPr>
    </w:p>
    <w:p>
      <w:pPr>
        <w:pStyle w:val="Heading3"/>
        <w:spacing w:line="240" w:lineRule="auto"/>
        <w:ind w:right="1133"/>
        <w:jc w:val="left"/>
        <w:rPr>
          <w:b w:val="0"/>
          <w:bCs w:val="0"/>
        </w:rPr>
      </w:pPr>
      <w:bookmarkStart w:name="29、长期待摊费用" w:id="324"/>
      <w:bookmarkEnd w:id="324"/>
      <w:r>
        <w:rPr>
          <w:b w:val="0"/>
          <w:bCs w:val="0"/>
        </w:rPr>
      </w:r>
      <w:r>
        <w:rPr>
          <w:rFonts w:ascii="Times New Roman" w:hAnsi="Times New Roman" w:cs="Times New Roman" w:eastAsia="Times New Roman" w:hint="default"/>
        </w:rPr>
        <w:t>29</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2"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软件服务费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317,386.26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49,740.00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234,174.44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132,951.82</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1,179,245.26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67,924.52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791,823.90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455,345.88</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工装器具</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28,031,090.20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13,803,051.83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13,223,339.77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576,491.51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28,034,310.75</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模具</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19,131,145.45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34,520,649.83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39,321,695.15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14,330,100.13</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6,614,958.08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12,617,198.34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4,227,509.73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15,004,646.69</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安全费用摊销</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475,555.93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1,257,184.10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436,096.52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1,296,643.51</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设备改造</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113,411.85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63,068.10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50,343.75</w:t>
            </w:r>
          </w:p>
        </w:tc>
      </w:tr>
      <w:tr>
        <w:trPr>
          <w:trHeight w:val="404"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55,749,381.18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62,429,160.47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58,297,707.61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576,491.51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59,304,342.53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0、递延所得税资产/递延所得税负债" w:id="325"/>
      <w:bookmarkEnd w:id="325"/>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未经抵销的递延所得税资产" w:id="326"/>
      <w:bookmarkEnd w:id="326"/>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221,730,603.75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31,668,398.12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103,786,292.70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18,188,458.06</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12,512,126.07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3,045,800.67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5,039,249.91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999,410.92</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41,611,485.61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8,672,003.65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71,344,447.17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17,433,284.34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合并日评估增值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749,963.67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187,490.92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685,902.36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171,475.59</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固定资产账面价值与计 税基础差异</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973,721.42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243,430.36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1,880,433.48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470,108.37</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2,569,750.03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455,929.75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1,017,843.74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229,580.31</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权益工具减值准备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300,147,650.55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49,273,053.47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183,754,169.36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37,492,317.59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未经抵销的递延所得税负债" w:id="327"/>
      <w:bookmarkEnd w:id="327"/>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4"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195,694,780.57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30,783,369.27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188,459,311.46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35,146,995.15</w:t>
            </w:r>
          </w:p>
        </w:tc>
      </w:tr>
      <w:tr>
        <w:trPr>
          <w:trHeight w:val="1337" w:hRule="exact"/>
        </w:trPr>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非同一控制下企业合 并，合并成本与被购买 方可辨认净资产公允价 值份额的差额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1,596,744.79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399,186.20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1,596,744.79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399,186.20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197,291,525.36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31,182,555.47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190,056,056.25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35,546,181.35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以抵销后净额列示的递延所得税资产或负债" w:id="328"/>
      <w:bookmarkEnd w:id="328"/>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16"/>
      </w:tblGrid>
      <w:tr>
        <w:trPr>
          <w:trHeight w:val="161"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48"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2"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4"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49,273,053.47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37,492,317.59</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31,182,555.47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35,546,181.35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4）未确认递延所得税资产明细" w:id="329"/>
      <w:bookmarkEnd w:id="329"/>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129,299,245.10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236,073.36</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291,898,588.31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5,394,932.25</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421,197,833.41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5,631,005.61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5）未确认递延所得税资产的可抵扣亏损将于以下年度到期" w:id="330"/>
      <w:bookmarkEnd w:id="330"/>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6"/>
        <w:gridCol w:w="2393"/>
        <w:gridCol w:w="2393"/>
      </w:tblGrid>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07"/>
              <w:jc w:val="right"/>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831,443.44</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485,997.17</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797,947.64</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8,497,666.51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5,394,932.25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125,666,317.75</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6,022,792.42</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27,290,716.12</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5,970,979.64</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116,334,727.62</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07"/>
              <w:jc w:val="righ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291,898,588.31</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5,394,932.25</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1、其他非流动资产" w:id="331"/>
      <w:bookmarkEnd w:id="331"/>
      <w:r>
        <w:rPr>
          <w:b w:val="0"/>
          <w:bCs w:val="0"/>
        </w:rPr>
      </w:r>
      <w:r>
        <w:rPr>
          <w:rFonts w:ascii="Times New Roman" w:hAnsi="Times New Roman" w:cs="Times New Roman" w:eastAsia="Times New Roman" w:hint="default"/>
        </w:rPr>
        <w:t>31</w:t>
      </w:r>
      <w:r>
        <w:rPr/>
        <w:t>、其他非流动资产</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before="44"/>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7"/>
              <w:jc w:val="right"/>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预付土地款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130,660,571.29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37,598,000.00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预付设备款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8,330,604.49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13,604,792.11</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预付山东移动推广款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3,066,855.34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4,675,345.91</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预付模具款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5,332,407.87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9,191,687.81</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预付工程款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1,311,250.00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预付软件款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3,079,889.73</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407"/>
              <w:jc w:val="righ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148,701,688.99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68,149,715.56</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2、短期借款" w:id="332"/>
      <w:bookmarkEnd w:id="332"/>
      <w:r>
        <w:rPr>
          <w:b w:val="0"/>
          <w:bCs w:val="0"/>
        </w:rPr>
      </w:r>
      <w:r>
        <w:rPr>
          <w:rFonts w:ascii="Times New Roman" w:hAnsi="Times New Roman" w:cs="Times New Roman" w:eastAsia="Times New Roman" w:hint="default"/>
        </w:rPr>
        <w:t>32</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短期借款分类" w:id="333"/>
      <w:bookmarkEnd w:id="333"/>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3" w:type="dxa"/>
            <w:tcBorders>
              <w:top w:val="single" w:sz="4" w:space="0" w:color="000000"/>
              <w:left w:val="single" w:sz="12"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208,956,500.00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179,450,000.00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145,159,800.00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91,052,200.00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1,632,920.89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365,749,220.89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270,502,200.00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已逾期未偿还的短期借款情况" w:id="334"/>
      <w:bookmarkEnd w:id="334"/>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33、交易性金融负债" w:id="335"/>
      <w:bookmarkEnd w:id="335"/>
      <w:r>
        <w:rPr>
          <w:b w:val="0"/>
          <w:bCs w:val="0"/>
        </w:rPr>
      </w:r>
      <w:r>
        <w:rPr>
          <w:rFonts w:ascii="Times New Roman" w:hAnsi="Times New Roman" w:cs="Times New Roman" w:eastAsia="Times New Roman" w:hint="default"/>
        </w:rPr>
        <w:t>33</w:t>
      </w:r>
      <w:r>
        <w:rPr/>
        <w:t>、交易性金融负债</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34、衍生金融负债" w:id="336"/>
      <w:bookmarkEnd w:id="336"/>
      <w:r>
        <w:rPr>
          <w:b w:val="0"/>
          <w:bCs w:val="0"/>
        </w:rPr>
      </w:r>
      <w:r>
        <w:rPr>
          <w:rFonts w:ascii="Times New Roman" w:hAnsi="Times New Roman" w:cs="Times New Roman" w:eastAsia="Times New Roman" w:hint="default"/>
        </w:rPr>
        <w:t>34</w:t>
      </w:r>
      <w:r>
        <w:rPr/>
        <w:t>、衍生金融负债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35、应付票据" w:id="337"/>
      <w:bookmarkEnd w:id="337"/>
      <w:r>
        <w:rPr>
          <w:b w:val="0"/>
          <w:bCs w:val="0"/>
        </w:rPr>
      </w:r>
      <w:r>
        <w:rPr>
          <w:rFonts w:ascii="Times New Roman" w:hAnsi="Times New Roman" w:cs="Times New Roman" w:eastAsia="Times New Roman" w:hint="default"/>
        </w:rPr>
        <w:t>35</w:t>
      </w:r>
      <w:r>
        <w:rPr/>
        <w:t>、应付票据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12,598,026.19</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662,121,401.64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493,893,386.30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662,121,401.64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506,491,412.49</w:t>
            </w:r>
          </w:p>
        </w:tc>
      </w:tr>
    </w:tbl>
    <w:p>
      <w:pPr>
        <w:pStyle w:val="BodyText"/>
        <w:spacing w:line="240" w:lineRule="auto" w:before="49"/>
        <w:ind w:right="1133"/>
        <w:jc w:val="left"/>
      </w:pPr>
      <w:r>
        <w:rPr/>
        <w:t>本期末已到期未支付的应付票据总额为</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bookmarkStart w:name="36、应付账款" w:id="338"/>
      <w:bookmarkEnd w:id="338"/>
      <w:r>
        <w:rPr>
          <w:b w:val="0"/>
          <w:bCs w:val="0"/>
        </w:rPr>
      </w:r>
      <w:r>
        <w:rPr>
          <w:rFonts w:ascii="Times New Roman" w:hAnsi="Times New Roman" w:cs="Times New Roman" w:eastAsia="Times New Roman" w:hint="default"/>
        </w:rPr>
        <w:t>36</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应付账款列示" w:id="339"/>
      <w:bookmarkEnd w:id="339"/>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w:t>
            </w:r>
            <w:r>
              <w:rPr>
                <w:rFonts w:ascii="宋体" w:hAnsi="宋体" w:cs="宋体" w:eastAsia="宋体" w:hint="default"/>
                <w:sz w:val="18"/>
                <w:szCs w:val="18"/>
              </w:rPr>
              <w:t>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575,071,248.12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536,071,292.31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40,809,866.32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40,867,392.10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615,881,114.44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576,938,684.41</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账龄超过1年的重要应付账款" w:id="340"/>
      <w:bookmarkEnd w:id="340"/>
      <w:r>
        <w:rPr>
          <w:b w:val="0"/>
          <w:bCs w:val="0"/>
        </w:rPr>
      </w: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无。</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37、预收款项" w:id="341"/>
      <w:bookmarkEnd w:id="341"/>
      <w:r>
        <w:rPr>
          <w:b w:val="0"/>
          <w:bCs w:val="0"/>
        </w:rPr>
      </w:r>
      <w:r>
        <w:rPr>
          <w:rFonts w:ascii="Times New Roman" w:hAnsi="Times New Roman" w:cs="Times New Roman" w:eastAsia="Times New Roman" w:hint="default"/>
        </w:rPr>
        <w:t>37</w:t>
      </w:r>
      <w:r>
        <w:rPr/>
        <w:t>、预收款项</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是否已执行新收入准则</w:t>
      </w:r>
    </w:p>
    <w:p>
      <w:pPr>
        <w:pStyle w:val="BodyText"/>
        <w:spacing w:line="240" w:lineRule="auto" w:before="115"/>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1）预收款项列示" w:id="342"/>
      <w:bookmarkEnd w:id="342"/>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407"/>
              <w:jc w:val="right"/>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w:t>
            </w:r>
            <w:r>
              <w:rPr>
                <w:rFonts w:ascii="宋体" w:hAnsi="宋体" w:cs="宋体" w:eastAsia="宋体" w:hint="default"/>
                <w:sz w:val="18"/>
                <w:szCs w:val="18"/>
              </w:rPr>
              <w:t>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173,731,803.79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115,681,538.43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11,619,637.71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4,452,587.29</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7"/>
              <w:jc w:val="righ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185,351,441.50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120,134,125.72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账龄超过1年的重要预收款项" w:id="343"/>
      <w:bookmarkEnd w:id="343"/>
      <w:r>
        <w:rPr>
          <w:b w:val="0"/>
          <w:bCs w:val="0"/>
        </w:rPr>
      </w: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3）期末建造合同形成的已结算未完工项目情况" w:id="344"/>
      <w:bookmarkEnd w:id="344"/>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38、合同负债" w:id="345"/>
      <w:bookmarkEnd w:id="345"/>
      <w:r>
        <w:rPr>
          <w:b w:val="0"/>
          <w:bCs w:val="0"/>
        </w:rPr>
      </w:r>
      <w:r>
        <w:rPr>
          <w:rFonts w:ascii="Times New Roman" w:hAnsi="Times New Roman" w:cs="Times New Roman" w:eastAsia="Times New Roman" w:hint="default"/>
        </w:rPr>
        <w:t>38</w:t>
      </w:r>
      <w:r>
        <w:rPr/>
        <w:t>、合同负债</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39、应付职工薪酬" w:id="346"/>
      <w:bookmarkEnd w:id="346"/>
      <w:r>
        <w:rPr>
          <w:b w:val="0"/>
          <w:bCs w:val="0"/>
        </w:rPr>
      </w:r>
      <w:r>
        <w:rPr>
          <w:rFonts w:ascii="Times New Roman" w:hAnsi="Times New Roman" w:cs="Times New Roman" w:eastAsia="Times New Roman" w:hint="default"/>
        </w:rPr>
        <w:t>39</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应付职工薪酬列示" w:id="347"/>
      <w:bookmarkEnd w:id="347"/>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58"/>
              <w:jc w:val="right"/>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85"/>
              <w:jc w:val="righ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22,734,767.02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575,293,015.98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551,132,609.34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46,895,173.66</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2,800,783.88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47,347,735.07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47,840,040.89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2,308,478.06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85"/>
              <w:jc w:val="righ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913,213.66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913,213.66</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58"/>
              <w:jc w:val="righ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25,535,550.90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623,553,964.71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599,885,863.89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49,203,651.72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短期薪酬列示" w:id="348"/>
      <w:bookmarkEnd w:id="348"/>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6,586,112.85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492,405,952.42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464,411,405.21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34,580,660.06</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547,685.17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16,508,720.44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17,056,405.61</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1,602,416.03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29,814,253.82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29,943,572.28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1,473,097.57</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1,452,661.16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26,034,733.04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26,166,548.14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1,320,846.06</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36,183.71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1,155,313.30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1,144,663.36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46,833.65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113,571.16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2,437,914.14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2,446,067.44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105,417.86</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926" w:right="0"/>
              <w:jc w:val="left"/>
              <w:rPr>
                <w:rFonts w:ascii="宋体" w:hAnsi="宋体" w:cs="宋体" w:eastAsia="宋体" w:hint="default"/>
                <w:sz w:val="18"/>
                <w:szCs w:val="18"/>
              </w:rPr>
            </w:pPr>
            <w:r>
              <w:rPr>
                <w:rFonts w:ascii="宋体" w:hAnsi="宋体" w:cs="宋体" w:eastAsia="宋体" w:hint="default"/>
                <w:sz w:val="18"/>
                <w:szCs w:val="18"/>
              </w:rPr>
              <w:t>其他保险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186,293.34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186,293.34</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613,991.98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23,075,623.25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23,490,736.03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198,879.20</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13,384,560.99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13,488,466.05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16,230,490.21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10,642,536.83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22,734,767.02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575,293,015.98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551,132,609.34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46,895,173.66</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设定提存计划列示" w:id="349"/>
      <w:bookmarkEnd w:id="349"/>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2,693,412.84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45,365,451.07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45,925,286.48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2,133,577.43</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107,371.04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1,982,284.00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1,914,754.41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174,900.63</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2,800,783.88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47,347,735.07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47,840,040.89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2,308,478.06</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40、应交税费" w:id="350"/>
      <w:bookmarkEnd w:id="350"/>
      <w:r>
        <w:rPr>
          <w:b w:val="0"/>
          <w:bCs w:val="0"/>
        </w:rPr>
      </w:r>
      <w:r>
        <w:rPr>
          <w:rFonts w:ascii="Times New Roman" w:hAnsi="Times New Roman" w:cs="Times New Roman" w:eastAsia="Times New Roman" w:hint="default"/>
        </w:rPr>
        <w:t>40</w:t>
      </w:r>
      <w:r>
        <w:rPr/>
        <w:t>、应交税费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6"/>
        <w:gridCol w:w="3192"/>
        <w:gridCol w:w="3190"/>
      </w:tblGrid>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7"/>
              <w:jc w:val="right"/>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13,404,909.33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7,795,479.13</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7,219,369.47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31,284,243.59</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3,233,003.90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1,633,814.54</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900,973.92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706,934.77</w:t>
            </w:r>
          </w:p>
        </w:tc>
      </w:tr>
      <w:tr>
        <w:trPr>
          <w:trHeight w:val="404" w:hRule="exact"/>
        </w:trPr>
        <w:tc>
          <w:tcPr>
            <w:tcW w:w="31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1,521,489.02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1,400,818.60</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1,136,865.35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1,532,551.33</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423,928.03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335,880.19</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412,035.53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375,067.62</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其他税费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281,072.42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250,345.01</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7"/>
              <w:jc w:val="righ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28,533,646.97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45,315,134.78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41、其他应付款" w:id="351"/>
      <w:bookmarkEnd w:id="351"/>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96"/>
              <w:jc w:val="right"/>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1,208,925.83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1,697,440.50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275,560,294.07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142,386,040.81</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96"/>
              <w:jc w:val="righ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276,769,219.90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144,083,481.31</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1）应付利息" w:id="352"/>
      <w:bookmarkEnd w:id="352"/>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192"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150,871.88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1,546,568.62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借款利息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1,208,925.83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1,208,925.83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1,697,440.50</w:t>
            </w:r>
          </w:p>
        </w:tc>
      </w:tr>
    </w:tbl>
    <w:p>
      <w:pPr>
        <w:pStyle w:val="BodyText"/>
        <w:spacing w:line="360" w:lineRule="auto" w:before="49"/>
        <w:ind w:right="8054"/>
        <w:jc w:val="left"/>
      </w:pPr>
      <w:r>
        <w:rPr/>
        <w:t>重要的已逾期未支付的利息情况： 无。</w:t>
      </w:r>
    </w:p>
    <w:p>
      <w:pPr>
        <w:spacing w:line="240" w:lineRule="auto" w:before="2"/>
        <w:rPr>
          <w:rFonts w:ascii="宋体" w:hAnsi="宋体" w:cs="宋体" w:eastAsia="宋体" w:hint="default"/>
          <w:sz w:val="20"/>
          <w:szCs w:val="20"/>
        </w:rPr>
      </w:pPr>
    </w:p>
    <w:p>
      <w:pPr>
        <w:pStyle w:val="Heading3"/>
        <w:spacing w:line="240" w:lineRule="auto"/>
        <w:ind w:right="1133"/>
        <w:jc w:val="left"/>
        <w:rPr>
          <w:b w:val="0"/>
          <w:bCs w:val="0"/>
        </w:rPr>
      </w:pPr>
      <w:bookmarkStart w:name="（2）应付股利" w:id="353"/>
      <w:bookmarkEnd w:id="353"/>
      <w:r>
        <w:rPr>
          <w:b w:val="0"/>
          <w:bCs w:val="0"/>
        </w:rPr>
      </w:r>
      <w:r>
        <w:rPr/>
        <w:t>（</w:t>
      </w:r>
      <w:r>
        <w:rPr>
          <w:rFonts w:ascii="Times New Roman" w:hAnsi="Times New Roman" w:cs="Times New Roman" w:eastAsia="Times New Roman" w:hint="default"/>
        </w:rPr>
        <w:t>2</w:t>
      </w:r>
      <w:r>
        <w:rPr/>
        <w:t>）应付股利</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3）其他应付款" w:id="354"/>
      <w:bookmarkEnd w:id="354"/>
      <w:r>
        <w:rPr>
          <w:b w:val="0"/>
          <w:bCs w:val="0"/>
        </w:rPr>
      </w:r>
      <w:r>
        <w:rPr/>
        <w:t>（</w:t>
      </w:r>
      <w:r>
        <w:rPr>
          <w:rFonts w:ascii="Times New Roman" w:hAnsi="Times New Roman" w:cs="Times New Roman" w:eastAsia="Times New Roman" w:hint="default"/>
        </w:rPr>
        <w:t>3</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按款项性质列示其他应付款" w:id="355"/>
      <w:bookmarkEnd w:id="355"/>
      <w:r>
        <w:rPr>
          <w:b w:val="0"/>
          <w:bCs w:val="0"/>
        </w:rPr>
      </w:r>
      <w:r>
        <w:rPr>
          <w:rFonts w:ascii="Times New Roman" w:hAnsi="Times New Roman" w:cs="Times New Roman" w:eastAsia="Times New Roman" w:hint="default"/>
        </w:rPr>
        <w:t>1</w:t>
      </w:r>
      <w:r>
        <w:rPr/>
        <w:t>）按款项性质列示其他应付款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7"/>
              <w:jc w:val="right"/>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质保金、押金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159,404,058.03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74,041,580.26</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代垫款项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7,248,591.30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1,926,834.63</w:t>
            </w:r>
          </w:p>
        </w:tc>
      </w:tr>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1,965,390.01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430,631.22</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28,557,000.00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47,595,000.00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78,385,254.73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18,391,994.70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7"/>
              <w:jc w:val="righ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275,560,294.07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142,386,040.81</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账龄超过1年的重要其他应付款" w:id="356"/>
      <w:bookmarkEnd w:id="356"/>
      <w:r>
        <w:rPr>
          <w:b w:val="0"/>
          <w:bCs w:val="0"/>
        </w:rPr>
      </w:r>
      <w:r>
        <w:rPr>
          <w:rFonts w:ascii="Times New Roman" w:hAnsi="Times New Roman" w:cs="Times New Roman" w:eastAsia="Times New Roman" w:hint="default"/>
        </w:rPr>
        <w:t>2</w:t>
      </w:r>
      <w:r>
        <w:rPr/>
        <w:t>）账龄超过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无。</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42、持有待售负债" w:id="357"/>
      <w:bookmarkEnd w:id="357"/>
      <w:r>
        <w:rPr>
          <w:b w:val="0"/>
          <w:bCs w:val="0"/>
        </w:rPr>
      </w:r>
      <w:r>
        <w:rPr>
          <w:rFonts w:ascii="Times New Roman" w:hAnsi="Times New Roman" w:cs="Times New Roman" w:eastAsia="Times New Roman" w:hint="default"/>
        </w:rPr>
        <w:t>42</w:t>
      </w:r>
      <w:r>
        <w:rPr/>
        <w:t>、持有待售负债</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43、一年内到期的非流动负债" w:id="358"/>
      <w:bookmarkEnd w:id="358"/>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11,000,000.00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11,000,000.00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44、其他流动负债" w:id="359"/>
      <w:bookmarkEnd w:id="359"/>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before="44"/>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第三方支付业务结存客户备付金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403,332,095.23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868,425,438.62</w:t>
            </w:r>
          </w:p>
        </w:tc>
      </w:tr>
      <w:tr>
        <w:trPr>
          <w:trHeight w:val="71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92"/>
              <w:jc w:val="left"/>
              <w:rPr>
                <w:rFonts w:ascii="宋体" w:hAnsi="宋体" w:cs="宋体" w:eastAsia="宋体" w:hint="default"/>
                <w:sz w:val="18"/>
                <w:szCs w:val="18"/>
              </w:rPr>
            </w:pPr>
            <w:r>
              <w:rPr>
                <w:rFonts w:ascii="宋体" w:hAnsi="宋体" w:cs="宋体" w:eastAsia="宋体" w:hint="default"/>
                <w:sz w:val="18"/>
                <w:szCs w:val="18"/>
              </w:rPr>
              <w:t>期末已背书且在资产负债表日尚未到期 的商业承兑汇票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14,032,583.39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21,933,974.72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移动运营商计费结算服务代付款项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29,704,498.96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48,264,971.25</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惠商</w:t>
            </w:r>
            <w:r>
              <w:rPr>
                <w:rFonts w:ascii="Times New Roman" w:hAnsi="Times New Roman" w:cs="Times New Roman" w:eastAsia="Times New Roman" w:hint="default"/>
                <w:sz w:val="18"/>
                <w:szCs w:val="18"/>
              </w:rPr>
              <w:t>+"O2O</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业务代付款项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3,772,370.20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26,558,957.09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SI </w:t>
            </w:r>
            <w:r>
              <w:rPr>
                <w:rFonts w:ascii="宋体" w:hAnsi="宋体" w:cs="宋体" w:eastAsia="宋体" w:hint="default"/>
                <w:sz w:val="18"/>
                <w:szCs w:val="18"/>
              </w:rPr>
              <w:t>代收代付款项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2,045,135.35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1,903,711.48</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清结算业务代付款项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826,090.13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3,958,072.63</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453,712,773.26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971,045,125.79</w:t>
            </w:r>
          </w:p>
        </w:tc>
      </w:tr>
    </w:tbl>
    <w:p>
      <w:pPr>
        <w:pStyle w:val="BodyText"/>
        <w:spacing w:line="357" w:lineRule="auto" w:before="49"/>
        <w:ind w:right="8594"/>
        <w:jc w:val="left"/>
      </w:pPr>
      <w:r>
        <w:rPr/>
        <w:t>短期应付债券的增减变动： 无。</w:t>
      </w:r>
    </w:p>
    <w:p>
      <w:pPr>
        <w:spacing w:line="240" w:lineRule="auto" w:before="6"/>
        <w:rPr>
          <w:rFonts w:ascii="宋体" w:hAnsi="宋体" w:cs="宋体" w:eastAsia="宋体" w:hint="default"/>
          <w:sz w:val="20"/>
          <w:szCs w:val="20"/>
        </w:rPr>
      </w:pPr>
    </w:p>
    <w:p>
      <w:pPr>
        <w:pStyle w:val="Heading3"/>
        <w:spacing w:line="240" w:lineRule="auto"/>
        <w:ind w:right="1133"/>
        <w:jc w:val="left"/>
        <w:rPr>
          <w:b w:val="0"/>
          <w:bCs w:val="0"/>
        </w:rPr>
      </w:pPr>
      <w:bookmarkStart w:name="45、长期借款" w:id="360"/>
      <w:bookmarkEnd w:id="360"/>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长期借款分类" w:id="361"/>
      <w:bookmarkEnd w:id="361"/>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96"/>
              <w:jc w:val="right"/>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88,000,000.00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96"/>
              <w:jc w:val="righ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88,000,000.00</w:t>
            </w:r>
          </w:p>
        </w:tc>
      </w:tr>
    </w:tbl>
    <w:p>
      <w:pPr>
        <w:pStyle w:val="BodyText"/>
        <w:spacing w:line="240" w:lineRule="auto" w:before="49"/>
        <w:ind w:right="1133"/>
        <w:jc w:val="left"/>
      </w:pPr>
      <w:r>
        <w:rPr/>
        <w:t>长期借款分类的说明：</w:t>
      </w:r>
    </w:p>
    <w:p>
      <w:pPr>
        <w:spacing w:line="240" w:lineRule="auto" w:before="2"/>
        <w:rPr>
          <w:rFonts w:ascii="宋体" w:hAnsi="宋体" w:cs="宋体" w:eastAsia="宋体" w:hint="default"/>
          <w:sz w:val="24"/>
          <w:szCs w:val="24"/>
        </w:rPr>
      </w:pPr>
    </w:p>
    <w:p>
      <w:pPr>
        <w:pStyle w:val="BodyText"/>
        <w:spacing w:line="300" w:lineRule="auto"/>
        <w:ind w:right="1036" w:firstLine="360"/>
        <w:jc w:val="left"/>
      </w:pPr>
      <w:r>
        <w:rPr/>
        <w:t>注：</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8</w:t>
      </w:r>
      <w:r>
        <w:rPr/>
        <w:t>日，本公司与中国工商银行股份有限公司即墨支行、招商银行股份有限公司青岛分行签订《并购贷款 </w:t>
      </w:r>
      <w:r>
        <w:rPr>
          <w:spacing w:val="-2"/>
        </w:rPr>
        <w:t>银团贷款合同》，用于收购上海和达汽车配件有限公司</w:t>
      </w:r>
      <w:r>
        <w:rPr>
          <w:rFonts w:ascii="Times New Roman" w:hAnsi="Times New Roman" w:cs="Times New Roman" w:eastAsia="Times New Roman" w:hint="default"/>
          <w:spacing w:val="-2"/>
        </w:rPr>
        <w:t>75%</w:t>
      </w:r>
      <w:r>
        <w:rPr>
          <w:spacing w:val="-2"/>
        </w:rPr>
        <w:t>股权，合同贷款金额</w:t>
      </w:r>
      <w:r>
        <w:rPr>
          <w:rFonts w:ascii="Times New Roman" w:hAnsi="Times New Roman" w:cs="Times New Roman" w:eastAsia="Times New Roman" w:hint="default"/>
          <w:spacing w:val="-2"/>
        </w:rPr>
        <w:t>1.1</w:t>
      </w:r>
      <w:r>
        <w:rPr>
          <w:spacing w:val="-2"/>
        </w:rPr>
        <w:t>亿元，借款期限</w:t>
      </w:r>
      <w:r>
        <w:rPr>
          <w:rFonts w:ascii="Times New Roman" w:hAnsi="Times New Roman" w:cs="Times New Roman" w:eastAsia="Times New Roman" w:hint="default"/>
          <w:spacing w:val="-2"/>
        </w:rPr>
        <w:t>60</w:t>
      </w:r>
      <w:r>
        <w:rPr>
          <w:spacing w:val="-2"/>
        </w:rPr>
        <w:t>个月，贷款利率</w:t>
      </w:r>
      <w:r>
        <w:rPr>
          <w:rFonts w:ascii="Times New Roman" w:hAnsi="Times New Roman" w:cs="Times New Roman" w:eastAsia="Times New Roman" w:hint="default"/>
          <w:spacing w:val="-2"/>
        </w:rPr>
        <w:t>4.99%</w:t>
      </w:r>
      <w:r>
        <w:rPr>
          <w:spacing w:val="-2"/>
        </w:rPr>
        <w:t>。</w:t>
      </w:r>
    </w:p>
    <w:p>
      <w:pPr>
        <w:spacing w:after="0" w:line="300" w:lineRule="auto"/>
        <w:jc w:val="left"/>
        <w:sectPr>
          <w:type w:val="continuous"/>
          <w:pgSz w:w="11910" w:h="16840"/>
          <w:pgMar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完成股权转让手续且符合质押条件后及时以持有的上海和达汽车配件有限公司</w:t>
      </w:r>
      <w:r>
        <w:rPr>
          <w:rFonts w:ascii="Times New Roman" w:hAnsi="Times New Roman" w:cs="Times New Roman" w:eastAsia="Times New Roman" w:hint="default"/>
        </w:rPr>
        <w:t>75%</w:t>
      </w:r>
      <w:r>
        <w:rPr/>
        <w:t>股权为本银团贷款提供质押担保。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4"/>
          <w:szCs w:val="14"/>
        </w:rPr>
      </w:pPr>
    </w:p>
    <w:p>
      <w:pPr>
        <w:pStyle w:val="Heading3"/>
        <w:spacing w:line="240" w:lineRule="auto"/>
        <w:ind w:right="1133"/>
        <w:jc w:val="left"/>
        <w:rPr>
          <w:b w:val="0"/>
          <w:bCs w:val="0"/>
        </w:rPr>
      </w:pPr>
      <w:bookmarkStart w:name="46、应付债券" w:id="362"/>
      <w:bookmarkEnd w:id="362"/>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47、租赁负债" w:id="363"/>
      <w:bookmarkEnd w:id="363"/>
      <w:r>
        <w:rPr>
          <w:b w:val="0"/>
          <w:bCs w:val="0"/>
        </w:rPr>
      </w:r>
      <w:r>
        <w:rPr>
          <w:rFonts w:ascii="Times New Roman" w:hAnsi="Times New Roman" w:cs="Times New Roman" w:eastAsia="Times New Roman" w:hint="default"/>
        </w:rPr>
        <w:t>47</w:t>
      </w:r>
      <w:r>
        <w:rPr/>
        <w:t>、租赁负债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48、长期应付款" w:id="364"/>
      <w:bookmarkEnd w:id="364"/>
      <w:r>
        <w:rPr>
          <w:b w:val="0"/>
          <w:bCs w:val="0"/>
        </w:rPr>
      </w:r>
      <w:r>
        <w:rPr>
          <w:rFonts w:ascii="Times New Roman" w:hAnsi="Times New Roman" w:cs="Times New Roman" w:eastAsia="Times New Roman" w:hint="default"/>
        </w:rPr>
        <w:t>48</w:t>
      </w:r>
      <w:r>
        <w:rPr/>
        <w:t>、长期应付款</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49、长期应付职工薪酬" w:id="365"/>
      <w:bookmarkEnd w:id="365"/>
      <w:r>
        <w:rPr>
          <w:b w:val="0"/>
          <w:bCs w:val="0"/>
        </w:rPr>
      </w:r>
      <w:r>
        <w:rPr>
          <w:rFonts w:ascii="Times New Roman" w:hAnsi="Times New Roman" w:cs="Times New Roman" w:eastAsia="Times New Roman" w:hint="default"/>
        </w:rPr>
        <w:t>49</w:t>
      </w:r>
      <w:r>
        <w:rPr/>
        <w:t>、长期应付职工薪酬</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50、预计负债" w:id="366"/>
      <w:bookmarkEnd w:id="366"/>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是否已执行新收入准则</w:t>
      </w:r>
    </w:p>
    <w:p>
      <w:pPr>
        <w:pStyle w:val="BodyText"/>
        <w:spacing w:line="240" w:lineRule="auto" w:before="115"/>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51、递延收益" w:id="367"/>
      <w:bookmarkEnd w:id="367"/>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7"/>
        <w:gridCol w:w="1594"/>
        <w:gridCol w:w="1596"/>
        <w:gridCol w:w="1594"/>
        <w:gridCol w:w="1594"/>
      </w:tblGrid>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99"/>
              <w:jc w:val="right"/>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15,346,224.20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26,726,160.23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23,754,425.27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18,317,959.16</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99"/>
              <w:jc w:val="righ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15,346,224.20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26,726,160.23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23,754,425.27</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18,317,959.16</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涉及政府补助的项目：</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12"/>
        <w:gridCol w:w="1248"/>
        <w:gridCol w:w="1011"/>
        <w:gridCol w:w="1010"/>
        <w:gridCol w:w="1011"/>
        <w:gridCol w:w="1008"/>
        <w:gridCol w:w="1010"/>
        <w:gridCol w:w="1249"/>
        <w:gridCol w:w="1010"/>
      </w:tblGrid>
      <w:tr>
        <w:trPr>
          <w:trHeight w:val="1028" w:hRule="exact"/>
        </w:trPr>
        <w:tc>
          <w:tcPr>
            <w:tcW w:w="1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0"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0" w:right="50"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0" w:right="48"/>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50" w:right="48"/>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50" w:right="4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1"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50" w:right="24" w:hanging="27"/>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025" w:hRule="exact"/>
        </w:trPr>
        <w:tc>
          <w:tcPr>
            <w:tcW w:w="10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77"/>
              <w:jc w:val="both"/>
              <w:rPr>
                <w:rFonts w:ascii="宋体" w:hAnsi="宋体" w:cs="宋体" w:eastAsia="宋体" w:hint="default"/>
                <w:sz w:val="18"/>
                <w:szCs w:val="18"/>
              </w:rPr>
            </w:pPr>
            <w:r>
              <w:rPr>
                <w:rFonts w:ascii="宋体" w:hAnsi="宋体" w:cs="宋体" w:eastAsia="宋体" w:hint="default"/>
                <w:sz w:val="18"/>
                <w:szCs w:val="18"/>
              </w:rPr>
              <w:t>财政局骨干 企业扶持资 金</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146,792.00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30,264.00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116,528.00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0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77"/>
              <w:jc w:val="left"/>
              <w:rPr>
                <w:rFonts w:ascii="宋体" w:hAnsi="宋体" w:cs="宋体" w:eastAsia="宋体" w:hint="default"/>
                <w:sz w:val="18"/>
                <w:szCs w:val="18"/>
              </w:rPr>
            </w:pPr>
            <w:r>
              <w:rPr>
                <w:rFonts w:ascii="宋体" w:hAnsi="宋体" w:cs="宋体" w:eastAsia="宋体" w:hint="default"/>
                <w:sz w:val="18"/>
                <w:szCs w:val="18"/>
              </w:rPr>
              <w:t>进口设备贴 息</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183,520.05</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38,635.80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144,884.25</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674" w:hRule="exact"/>
        </w:trPr>
        <w:tc>
          <w:tcPr>
            <w:tcW w:w="10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77"/>
              <w:jc w:val="left"/>
              <w:rPr>
                <w:rFonts w:ascii="宋体" w:hAnsi="宋体" w:cs="宋体" w:eastAsia="宋体" w:hint="default"/>
                <w:sz w:val="18"/>
                <w:szCs w:val="18"/>
              </w:rPr>
            </w:pPr>
            <w:r>
              <w:rPr>
                <w:rFonts w:ascii="宋体" w:hAnsi="宋体" w:cs="宋体" w:eastAsia="宋体" w:hint="default"/>
                <w:sz w:val="18"/>
                <w:szCs w:val="18"/>
              </w:rPr>
              <w:t>互联网工业 试点改造扶</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7,405,369.50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809,330.03</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6,596,039.47</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12"/>
        <w:gridCol w:w="1248"/>
        <w:gridCol w:w="1011"/>
        <w:gridCol w:w="1010"/>
        <w:gridCol w:w="1011"/>
        <w:gridCol w:w="1008"/>
        <w:gridCol w:w="1010"/>
        <w:gridCol w:w="1249"/>
        <w:gridCol w:w="1010"/>
      </w:tblGrid>
      <w:tr>
        <w:trPr>
          <w:trHeight w:val="363" w:hRule="exact"/>
        </w:trPr>
        <w:tc>
          <w:tcPr>
            <w:tcW w:w="10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持资金</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0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77"/>
              <w:jc w:val="both"/>
              <w:rPr>
                <w:rFonts w:ascii="宋体" w:hAnsi="宋体" w:cs="宋体" w:eastAsia="宋体" w:hint="default"/>
                <w:sz w:val="18"/>
                <w:szCs w:val="18"/>
              </w:rPr>
            </w:pPr>
            <w:r>
              <w:rPr>
                <w:rFonts w:ascii="宋体" w:hAnsi="宋体" w:cs="宋体" w:eastAsia="宋体" w:hint="default"/>
                <w:sz w:val="18"/>
                <w:szCs w:val="18"/>
              </w:rPr>
              <w:t>宁波市工业 投资（技术 改造）项目</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4,257,518.00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611,705.08</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3,645,812.92</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9" w:hRule="exact"/>
        </w:trPr>
        <w:tc>
          <w:tcPr>
            <w:tcW w:w="10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2" w:lineRule="auto" w:before="49"/>
              <w:ind w:left="22" w:right="29"/>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年度工 业技术改造 项目补助资 金</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102,332.31</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1"/>
                <w:sz w:val="18"/>
              </w:rPr>
              <w:t>15,750.00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86,582.31</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10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77"/>
              <w:jc w:val="left"/>
              <w:rPr>
                <w:rFonts w:ascii="宋体" w:hAnsi="宋体" w:cs="宋体" w:eastAsia="宋体" w:hint="default"/>
                <w:sz w:val="18"/>
                <w:szCs w:val="18"/>
              </w:rPr>
            </w:pPr>
            <w:r>
              <w:rPr>
                <w:rFonts w:ascii="宋体" w:hAnsi="宋体" w:cs="宋体" w:eastAsia="宋体" w:hint="default"/>
                <w:sz w:val="18"/>
                <w:szCs w:val="18"/>
              </w:rPr>
              <w:t>重点技术改 造项目补贴</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1,348,673.16</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179,613.84</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1,169,059.32</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8" w:hRule="exact"/>
        </w:trPr>
        <w:tc>
          <w:tcPr>
            <w:tcW w:w="10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49"/>
              <w:ind w:left="22" w:right="77"/>
              <w:jc w:val="both"/>
              <w:rPr>
                <w:rFonts w:ascii="宋体" w:hAnsi="宋体" w:cs="宋体" w:eastAsia="宋体" w:hint="default"/>
                <w:sz w:val="18"/>
                <w:szCs w:val="18"/>
              </w:rPr>
            </w:pPr>
            <w:r>
              <w:rPr>
                <w:rFonts w:ascii="宋体" w:hAnsi="宋体" w:cs="宋体" w:eastAsia="宋体" w:hint="default"/>
                <w:sz w:val="18"/>
                <w:szCs w:val="18"/>
              </w:rPr>
              <w:t>中小企业技 术改造项目 政府补助</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503,398.33</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68,256.84</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435,141.49</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0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77"/>
              <w:jc w:val="both"/>
              <w:rPr>
                <w:rFonts w:ascii="宋体" w:hAnsi="宋体" w:cs="宋体" w:eastAsia="宋体" w:hint="default"/>
                <w:sz w:val="18"/>
                <w:szCs w:val="18"/>
              </w:rPr>
            </w:pPr>
            <w:r>
              <w:rPr>
                <w:rFonts w:ascii="宋体" w:hAnsi="宋体" w:cs="宋体" w:eastAsia="宋体" w:hint="default"/>
                <w:sz w:val="18"/>
                <w:szCs w:val="18"/>
              </w:rPr>
              <w:t>金融风控大 数据应用服 务平台</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844,936.63</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844,936.63</w:t>
            </w: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7" w:hRule="exact"/>
        </w:trPr>
        <w:tc>
          <w:tcPr>
            <w:tcW w:w="10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77"/>
              <w:jc w:val="both"/>
              <w:rPr>
                <w:rFonts w:ascii="宋体" w:hAnsi="宋体" w:cs="宋体" w:eastAsia="宋体" w:hint="default"/>
                <w:sz w:val="18"/>
                <w:szCs w:val="18"/>
              </w:rPr>
            </w:pPr>
            <w:r>
              <w:rPr>
                <w:rFonts w:ascii="宋体" w:hAnsi="宋体" w:cs="宋体" w:eastAsia="宋体" w:hint="default"/>
                <w:sz w:val="18"/>
                <w:szCs w:val="18"/>
              </w:rPr>
              <w:t>工程实验室 认定奖励资 金</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553,684.22</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553,684.22</w:t>
            </w: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10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77"/>
              <w:jc w:val="left"/>
              <w:rPr>
                <w:rFonts w:ascii="宋体" w:hAnsi="宋体" w:cs="宋体" w:eastAsia="宋体" w:hint="default"/>
                <w:sz w:val="18"/>
                <w:szCs w:val="18"/>
              </w:rPr>
            </w:pPr>
            <w:r>
              <w:rPr>
                <w:rFonts w:ascii="宋体" w:hAnsi="宋体" w:cs="宋体" w:eastAsia="宋体" w:hint="default"/>
                <w:sz w:val="18"/>
                <w:szCs w:val="18"/>
              </w:rPr>
              <w:t>技术改造设 备补贴</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2,690,000.00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566,949.28</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2,123,050.72</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2" w:hRule="exact"/>
        </w:trPr>
        <w:tc>
          <w:tcPr>
            <w:tcW w:w="10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49"/>
              <w:ind w:left="22"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年度新 区工业投资</w:t>
            </w:r>
          </w:p>
          <w:p>
            <w:pPr>
              <w:pStyle w:val="TableParagraph"/>
              <w:spacing w:line="316" w:lineRule="auto" w:before="31"/>
              <w:ind w:left="22" w:right="77"/>
              <w:jc w:val="left"/>
              <w:rPr>
                <w:rFonts w:ascii="宋体" w:hAnsi="宋体" w:cs="宋体" w:eastAsia="宋体" w:hint="default"/>
                <w:sz w:val="18"/>
                <w:szCs w:val="18"/>
              </w:rPr>
            </w:pPr>
            <w:r>
              <w:rPr>
                <w:rFonts w:ascii="宋体" w:hAnsi="宋体" w:cs="宋体" w:eastAsia="宋体" w:hint="default"/>
                <w:sz w:val="18"/>
                <w:szCs w:val="18"/>
              </w:rPr>
              <w:t>（技术改 造）项目资 金</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4,166.00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495,834.00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7" w:hRule="exact"/>
        </w:trPr>
        <w:tc>
          <w:tcPr>
            <w:tcW w:w="10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2" w:lineRule="auto" w:before="49"/>
              <w:ind w:left="22" w:right="29"/>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年省级 传统产业改 造升级专项 补贴</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1"/>
                <w:sz w:val="18"/>
              </w:rPr>
              <w:t>296,000.00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1"/>
                <w:sz w:val="18"/>
              </w:rPr>
              <w:t>16,744.60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279,255.40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0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77"/>
              <w:jc w:val="left"/>
              <w:rPr>
                <w:rFonts w:ascii="宋体" w:hAnsi="宋体" w:cs="宋体" w:eastAsia="宋体" w:hint="default"/>
                <w:sz w:val="18"/>
                <w:szCs w:val="18"/>
              </w:rPr>
            </w:pPr>
            <w:r>
              <w:rPr>
                <w:rFonts w:ascii="宋体" w:hAnsi="宋体" w:cs="宋体" w:eastAsia="宋体" w:hint="default"/>
                <w:sz w:val="18"/>
                <w:szCs w:val="18"/>
              </w:rPr>
              <w:t>海联金科房 租补贴</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4,145,000.00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3,108,750.03</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1,036,249.97</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7" w:hRule="exact"/>
        </w:trPr>
        <w:tc>
          <w:tcPr>
            <w:tcW w:w="10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77"/>
              <w:jc w:val="both"/>
              <w:rPr>
                <w:rFonts w:ascii="宋体" w:hAnsi="宋体" w:cs="宋体" w:eastAsia="宋体" w:hint="default"/>
                <w:sz w:val="18"/>
                <w:szCs w:val="18"/>
              </w:rPr>
            </w:pPr>
            <w:r>
              <w:rPr>
                <w:rFonts w:ascii="宋体" w:hAnsi="宋体" w:cs="宋体" w:eastAsia="宋体" w:hint="default"/>
                <w:sz w:val="18"/>
                <w:szCs w:val="18"/>
              </w:rPr>
              <w:t>青岛市即墨 区行政审批 服务局技术 改造补助款</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1"/>
                <w:sz w:val="18"/>
              </w:rPr>
              <w:t>242,000.00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1"/>
                <w:sz w:val="18"/>
              </w:rPr>
              <w:t>30,829.21</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211,170.79</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7" w:hRule="exact"/>
        </w:trPr>
        <w:tc>
          <w:tcPr>
            <w:tcW w:w="10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77"/>
              <w:jc w:val="both"/>
              <w:rPr>
                <w:rFonts w:ascii="宋体" w:hAnsi="宋体" w:cs="宋体" w:eastAsia="宋体" w:hint="default"/>
                <w:sz w:val="18"/>
                <w:szCs w:val="18"/>
              </w:rPr>
            </w:pPr>
            <w:r>
              <w:rPr>
                <w:rFonts w:ascii="宋体" w:hAnsi="宋体" w:cs="宋体" w:eastAsia="宋体" w:hint="default"/>
                <w:sz w:val="18"/>
                <w:szCs w:val="18"/>
              </w:rPr>
              <w:t>中小企业技 术改造项目 政府补助</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2,020,000.00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41,649.48</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1,978,350.52</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1" w:hRule="exact"/>
        </w:trPr>
        <w:tc>
          <w:tcPr>
            <w:tcW w:w="10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8"/>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互联网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555</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12"/>
        <w:gridCol w:w="1248"/>
        <w:gridCol w:w="1011"/>
        <w:gridCol w:w="1010"/>
        <w:gridCol w:w="1011"/>
        <w:gridCol w:w="1008"/>
        <w:gridCol w:w="1010"/>
        <w:gridCol w:w="1249"/>
        <w:gridCol w:w="1010"/>
      </w:tblGrid>
      <w:tr>
        <w:trPr>
          <w:trHeight w:val="363" w:hRule="exact"/>
        </w:trPr>
        <w:tc>
          <w:tcPr>
            <w:tcW w:w="10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项目补助</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77"/>
              <w:jc w:val="left"/>
              <w:rPr>
                <w:rFonts w:ascii="宋体" w:hAnsi="宋体" w:cs="宋体" w:eastAsia="宋体" w:hint="default"/>
                <w:sz w:val="18"/>
                <w:szCs w:val="18"/>
              </w:rPr>
            </w:pPr>
            <w:r>
              <w:rPr>
                <w:rFonts w:ascii="宋体" w:hAnsi="宋体" w:cs="宋体" w:eastAsia="宋体" w:hint="default"/>
                <w:sz w:val="18"/>
                <w:szCs w:val="18"/>
              </w:rPr>
              <w:t>研发投入补 贴</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980,000.00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980,000.00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0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77"/>
              <w:jc w:val="left"/>
              <w:rPr>
                <w:rFonts w:ascii="宋体" w:hAnsi="宋体" w:cs="宋体" w:eastAsia="宋体" w:hint="default"/>
                <w:sz w:val="18"/>
                <w:szCs w:val="18"/>
              </w:rPr>
            </w:pPr>
            <w:r>
              <w:rPr>
                <w:rFonts w:ascii="宋体" w:hAnsi="宋体" w:cs="宋体" w:eastAsia="宋体" w:hint="default"/>
                <w:sz w:val="18"/>
                <w:szCs w:val="18"/>
              </w:rPr>
              <w:t>高新技术企 业认证奖励</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10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税收贡献奖</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0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9" w:lineRule="auto" w:before="49"/>
              <w:ind w:left="22" w:right="29"/>
              <w:jc w:val="left"/>
              <w:rPr>
                <w:rFonts w:ascii="宋体" w:hAnsi="宋体" w:cs="宋体" w:eastAsia="宋体" w:hint="default"/>
                <w:sz w:val="18"/>
                <w:szCs w:val="18"/>
              </w:rPr>
            </w:pPr>
            <w:r>
              <w:rPr>
                <w:rFonts w:ascii="宋体" w:hAnsi="宋体" w:cs="宋体" w:eastAsia="宋体" w:hint="default"/>
                <w:sz w:val="18"/>
                <w:szCs w:val="18"/>
              </w:rPr>
              <w:t>中国制造 </w:t>
            </w:r>
            <w:r>
              <w:rPr>
                <w:rFonts w:ascii="Times New Roman" w:hAnsi="Times New Roman" w:cs="Times New Roman" w:eastAsia="Times New Roman" w:hint="default"/>
                <w:sz w:val="18"/>
                <w:szCs w:val="18"/>
              </w:rPr>
              <w:t>2025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专项补 贴</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10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77"/>
              <w:jc w:val="left"/>
              <w:rPr>
                <w:rFonts w:ascii="宋体" w:hAnsi="宋体" w:cs="宋体" w:eastAsia="宋体" w:hint="default"/>
                <w:sz w:val="18"/>
                <w:szCs w:val="18"/>
              </w:rPr>
            </w:pPr>
            <w:r>
              <w:rPr>
                <w:rFonts w:ascii="宋体" w:hAnsi="宋体" w:cs="宋体" w:eastAsia="宋体" w:hint="default"/>
                <w:sz w:val="18"/>
                <w:szCs w:val="18"/>
              </w:rPr>
              <w:t>杭州湾新区 科技奖励</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77,900.00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77,900.00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0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77"/>
              <w:jc w:val="both"/>
              <w:rPr>
                <w:rFonts w:ascii="宋体" w:hAnsi="宋体" w:cs="宋体" w:eastAsia="宋体" w:hint="default"/>
                <w:sz w:val="18"/>
                <w:szCs w:val="18"/>
              </w:rPr>
            </w:pPr>
            <w:r>
              <w:rPr>
                <w:rFonts w:ascii="宋体" w:hAnsi="宋体" w:cs="宋体" w:eastAsia="宋体" w:hint="default"/>
                <w:sz w:val="18"/>
                <w:szCs w:val="18"/>
              </w:rPr>
              <w:t>用工业企业 技术改造转 型升级奖</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138,000.00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68" w:right="0"/>
              <w:jc w:val="left"/>
              <w:rPr>
                <w:rFonts w:ascii="Times New Roman" w:hAnsi="Times New Roman" w:cs="Times New Roman" w:eastAsia="Times New Roman" w:hint="default"/>
                <w:sz w:val="18"/>
                <w:szCs w:val="18"/>
              </w:rPr>
            </w:pPr>
            <w:r>
              <w:rPr>
                <w:rFonts w:ascii="Times New Roman"/>
                <w:sz w:val="18"/>
              </w:rPr>
              <w:t>138,000.00</w:t>
            </w: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0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77"/>
              <w:jc w:val="both"/>
              <w:rPr>
                <w:rFonts w:ascii="宋体" w:hAnsi="宋体" w:cs="宋体" w:eastAsia="宋体" w:hint="default"/>
                <w:sz w:val="18"/>
                <w:szCs w:val="18"/>
              </w:rPr>
            </w:pPr>
            <w:r>
              <w:rPr>
                <w:rFonts w:ascii="宋体" w:hAnsi="宋体" w:cs="宋体" w:eastAsia="宋体" w:hint="default"/>
                <w:sz w:val="18"/>
                <w:szCs w:val="18"/>
              </w:rPr>
              <w:t>高新技术产 品登记备案 奖励</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305,000.00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305,000.00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0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77"/>
              <w:jc w:val="left"/>
              <w:rPr>
                <w:rFonts w:ascii="宋体" w:hAnsi="宋体" w:cs="宋体" w:eastAsia="宋体" w:hint="default"/>
                <w:sz w:val="18"/>
                <w:szCs w:val="18"/>
              </w:rPr>
            </w:pPr>
            <w:r>
              <w:rPr>
                <w:rFonts w:ascii="宋体" w:hAnsi="宋体" w:cs="宋体" w:eastAsia="宋体" w:hint="default"/>
                <w:sz w:val="18"/>
                <w:szCs w:val="18"/>
              </w:rPr>
              <w:t>枣阳市科技 创新奖</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10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77"/>
              <w:jc w:val="left"/>
              <w:rPr>
                <w:rFonts w:ascii="宋体" w:hAnsi="宋体" w:cs="宋体" w:eastAsia="宋体" w:hint="default"/>
                <w:sz w:val="18"/>
                <w:szCs w:val="18"/>
              </w:rPr>
            </w:pPr>
            <w:r>
              <w:rPr>
                <w:rFonts w:ascii="宋体" w:hAnsi="宋体" w:cs="宋体" w:eastAsia="宋体" w:hint="default"/>
                <w:sz w:val="18"/>
                <w:szCs w:val="18"/>
              </w:rPr>
              <w:t>上海市专利 资助</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20,256.00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20,256.00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6" w:hRule="exact"/>
        </w:trPr>
        <w:tc>
          <w:tcPr>
            <w:tcW w:w="10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77"/>
              <w:jc w:val="left"/>
              <w:rPr>
                <w:rFonts w:ascii="宋体" w:hAnsi="宋体" w:cs="宋体" w:eastAsia="宋体" w:hint="default"/>
                <w:sz w:val="18"/>
                <w:szCs w:val="18"/>
              </w:rPr>
            </w:pPr>
            <w:r>
              <w:rPr>
                <w:rFonts w:ascii="宋体" w:hAnsi="宋体" w:cs="宋体" w:eastAsia="宋体" w:hint="default"/>
                <w:sz w:val="18"/>
                <w:szCs w:val="18"/>
              </w:rPr>
              <w:t>青浦区专利 项目资助</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10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77"/>
              <w:jc w:val="left"/>
              <w:rPr>
                <w:rFonts w:ascii="宋体" w:hAnsi="宋体" w:cs="宋体" w:eastAsia="宋体" w:hint="default"/>
                <w:sz w:val="18"/>
                <w:szCs w:val="18"/>
              </w:rPr>
            </w:pPr>
            <w:r>
              <w:rPr>
                <w:rFonts w:ascii="宋体" w:hAnsi="宋体" w:cs="宋体" w:eastAsia="宋体" w:hint="default"/>
                <w:sz w:val="18"/>
                <w:szCs w:val="18"/>
              </w:rPr>
              <w:t>超比例安排 就业的奖励</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17,757.10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17,757.10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9" w:hRule="exact"/>
        </w:trPr>
        <w:tc>
          <w:tcPr>
            <w:tcW w:w="10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77"/>
              <w:jc w:val="both"/>
              <w:rPr>
                <w:rFonts w:ascii="宋体" w:hAnsi="宋体" w:cs="宋体" w:eastAsia="宋体" w:hint="default"/>
                <w:sz w:val="18"/>
                <w:szCs w:val="18"/>
              </w:rPr>
            </w:pPr>
            <w:r>
              <w:rPr>
                <w:rFonts w:ascii="宋体" w:hAnsi="宋体" w:cs="宋体" w:eastAsia="宋体" w:hint="default"/>
                <w:sz w:val="18"/>
                <w:szCs w:val="18"/>
              </w:rPr>
              <w:t>青浦区软件 信息服务业 扶持项目专 项资金</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1"/>
                <w:sz w:val="18"/>
              </w:rPr>
              <w:t>60,000.00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1"/>
                <w:sz w:val="18"/>
              </w:rPr>
              <w:t>60,000.00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10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77"/>
              <w:jc w:val="left"/>
              <w:rPr>
                <w:rFonts w:ascii="宋体" w:hAnsi="宋体" w:cs="宋体" w:eastAsia="宋体" w:hint="default"/>
                <w:sz w:val="18"/>
                <w:szCs w:val="18"/>
              </w:rPr>
            </w:pPr>
            <w:r>
              <w:rPr>
                <w:rFonts w:ascii="宋体" w:hAnsi="宋体" w:cs="宋体" w:eastAsia="宋体" w:hint="default"/>
                <w:sz w:val="18"/>
                <w:szCs w:val="18"/>
              </w:rPr>
              <w:t>青浦区就业 奖励</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6" w:hRule="exact"/>
        </w:trPr>
        <w:tc>
          <w:tcPr>
            <w:tcW w:w="10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77"/>
              <w:jc w:val="left"/>
              <w:rPr>
                <w:rFonts w:ascii="宋体" w:hAnsi="宋体" w:cs="宋体" w:eastAsia="宋体" w:hint="default"/>
                <w:sz w:val="18"/>
                <w:szCs w:val="18"/>
              </w:rPr>
            </w:pPr>
            <w:r>
              <w:rPr>
                <w:rFonts w:ascii="宋体" w:hAnsi="宋体" w:cs="宋体" w:eastAsia="宋体" w:hint="default"/>
                <w:sz w:val="18"/>
                <w:szCs w:val="18"/>
              </w:rPr>
              <w:t>北京市专利 资助金</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10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77"/>
              <w:jc w:val="left"/>
              <w:rPr>
                <w:rFonts w:ascii="宋体" w:hAnsi="宋体" w:cs="宋体" w:eastAsia="宋体" w:hint="default"/>
                <w:sz w:val="18"/>
                <w:szCs w:val="18"/>
              </w:rPr>
            </w:pPr>
            <w:r>
              <w:rPr>
                <w:rFonts w:ascii="宋体" w:hAnsi="宋体" w:cs="宋体" w:eastAsia="宋体" w:hint="default"/>
                <w:sz w:val="18"/>
                <w:szCs w:val="18"/>
              </w:rPr>
              <w:t>园区产业政 策支持资金</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2,580,188.67</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2,580,188.67</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0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77"/>
              <w:jc w:val="left"/>
              <w:rPr>
                <w:rFonts w:ascii="宋体" w:hAnsi="宋体" w:cs="宋体" w:eastAsia="宋体" w:hint="default"/>
                <w:sz w:val="18"/>
                <w:szCs w:val="18"/>
              </w:rPr>
            </w:pPr>
            <w:r>
              <w:rPr>
                <w:rFonts w:ascii="宋体" w:hAnsi="宋体" w:cs="宋体" w:eastAsia="宋体" w:hint="default"/>
                <w:sz w:val="18"/>
                <w:szCs w:val="18"/>
              </w:rPr>
              <w:t>招用困难人 员补贴</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145,580.63</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145,580.63</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10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见习补贴</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53,244.00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53,244.00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10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260,171.06</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260,171.06</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12"/>
        <w:gridCol w:w="1248"/>
        <w:gridCol w:w="1011"/>
        <w:gridCol w:w="1010"/>
        <w:gridCol w:w="1011"/>
        <w:gridCol w:w="1008"/>
        <w:gridCol w:w="1010"/>
        <w:gridCol w:w="1249"/>
        <w:gridCol w:w="1010"/>
      </w:tblGrid>
      <w:tr>
        <w:trPr>
          <w:trHeight w:val="713" w:hRule="exact"/>
        </w:trPr>
        <w:tc>
          <w:tcPr>
            <w:tcW w:w="10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49"/>
              <w:ind w:left="22" w:right="77"/>
              <w:jc w:val="left"/>
              <w:rPr>
                <w:rFonts w:ascii="宋体" w:hAnsi="宋体" w:cs="宋体" w:eastAsia="宋体" w:hint="default"/>
                <w:sz w:val="18"/>
                <w:szCs w:val="18"/>
              </w:rPr>
            </w:pPr>
            <w:r>
              <w:rPr>
                <w:rFonts w:ascii="宋体" w:hAnsi="宋体" w:cs="宋体" w:eastAsia="宋体" w:hint="default"/>
                <w:sz w:val="18"/>
                <w:szCs w:val="18"/>
              </w:rPr>
              <w:t>省级工程研 究中心认定</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10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专利补助</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38,500.00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38,500.00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10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49"/>
              <w:ind w:left="22"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年高质 量发展补助</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0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7" w:lineRule="auto" w:before="51"/>
              <w:ind w:left="22" w:right="29"/>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年科技 成果转移转 化补助</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0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2" w:lineRule="auto" w:before="49"/>
              <w:ind w:left="22" w:right="29"/>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年北仑 区经济信息 扶持（软件 投入）</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1"/>
                <w:sz w:val="18"/>
              </w:rPr>
              <w:t>95,000.00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1"/>
                <w:sz w:val="18"/>
              </w:rPr>
              <w:t>95,000.00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1" w:hRule="exact"/>
        </w:trPr>
        <w:tc>
          <w:tcPr>
            <w:tcW w:w="10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4" w:lineRule="auto" w:before="51"/>
              <w:ind w:left="22"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年度青 浦区</w:t>
            </w:r>
            <w:r>
              <w:rPr>
                <w:rFonts w:ascii="Times New Roman" w:hAnsi="Times New Roman" w:cs="Times New Roman" w:eastAsia="Times New Roman" w:hint="default"/>
                <w:sz w:val="18"/>
                <w:szCs w:val="18"/>
              </w:rPr>
              <w:t>“</w:t>
            </w:r>
            <w:r>
              <w:rPr>
                <w:rFonts w:ascii="宋体" w:hAnsi="宋体" w:cs="宋体" w:eastAsia="宋体" w:hint="default"/>
                <w:sz w:val="18"/>
                <w:szCs w:val="18"/>
              </w:rPr>
              <w:t>软件 信息服务 业</w:t>
            </w:r>
            <w:r>
              <w:rPr>
                <w:rFonts w:ascii="Times New Roman" w:hAnsi="Times New Roman" w:cs="Times New Roman" w:eastAsia="Times New Roman" w:hint="default"/>
                <w:sz w:val="18"/>
                <w:szCs w:val="18"/>
              </w:rPr>
              <w:t>”</w:t>
            </w:r>
            <w:r>
              <w:rPr>
                <w:rFonts w:ascii="宋体" w:hAnsi="宋体" w:cs="宋体" w:eastAsia="宋体" w:hint="default"/>
                <w:sz w:val="18"/>
                <w:szCs w:val="18"/>
              </w:rPr>
              <w:t>扶持项 目专项资金</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400,000.00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1" w:hRule="exact"/>
        </w:trPr>
        <w:tc>
          <w:tcPr>
            <w:tcW w:w="10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77"/>
              <w:jc w:val="both"/>
              <w:rPr>
                <w:rFonts w:ascii="宋体" w:hAnsi="宋体" w:cs="宋体" w:eastAsia="宋体" w:hint="default"/>
                <w:sz w:val="18"/>
                <w:szCs w:val="18"/>
              </w:rPr>
            </w:pPr>
            <w:r>
              <w:rPr>
                <w:rFonts w:ascii="宋体" w:hAnsi="宋体" w:cs="宋体" w:eastAsia="宋体" w:hint="default"/>
                <w:sz w:val="18"/>
                <w:szCs w:val="18"/>
              </w:rPr>
              <w:t>基于优化焊 接设计的汽 车仪表板横 梁研发与成 果转化项目 扶持资金</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3,858,000.00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3,858,000.00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0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区块链应用 研发项目资 助</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188,679.25</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188,679.25</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3" w:hRule="exact"/>
        </w:trPr>
        <w:tc>
          <w:tcPr>
            <w:tcW w:w="10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9" w:lineRule="auto" w:before="49"/>
              <w:ind w:left="22" w:right="29"/>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年度西 城区财政科 技专项项目</w:t>
            </w:r>
          </w:p>
          <w:p>
            <w:pPr>
              <w:pStyle w:val="TableParagraph"/>
              <w:spacing w:line="316" w:lineRule="auto" w:before="24"/>
              <w:ind w:left="22" w:right="77"/>
              <w:jc w:val="both"/>
              <w:rPr>
                <w:rFonts w:ascii="宋体" w:hAnsi="宋体" w:cs="宋体" w:eastAsia="宋体" w:hint="default"/>
                <w:sz w:val="18"/>
                <w:szCs w:val="18"/>
              </w:rPr>
            </w:pPr>
            <w:r>
              <w:rPr>
                <w:rFonts w:ascii="宋体" w:hAnsi="宋体" w:cs="宋体" w:eastAsia="宋体" w:hint="default"/>
                <w:sz w:val="18"/>
                <w:szCs w:val="18"/>
              </w:rPr>
              <w:t>《金融风控 大数据公共 服务平台项 目》</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943,396.23</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943,396.23</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0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7" w:lineRule="auto" w:before="51"/>
              <w:ind w:left="22" w:right="29"/>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年度外 经贸发展资 金项目</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2,055,801.89</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2,055,801.89</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10" w:hRule="exact"/>
        </w:trPr>
        <w:tc>
          <w:tcPr>
            <w:tcW w:w="10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49"/>
              <w:ind w:left="22" w:right="29"/>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年度区 财政科技专 项科技创新 类项目支持 资金</w:t>
            </w:r>
            <w:r>
              <w:rPr>
                <w:rFonts w:ascii="Times New Roman" w:hAnsi="Times New Roman" w:cs="Times New Roman" w:eastAsia="Times New Roman" w:hint="default"/>
                <w:sz w:val="18"/>
                <w:szCs w:val="18"/>
              </w:rPr>
              <w:t>-</w:t>
            </w:r>
            <w:r>
              <w:rPr>
                <w:rFonts w:ascii="宋体" w:hAnsi="宋体" w:cs="宋体" w:eastAsia="宋体" w:hint="default"/>
                <w:sz w:val="18"/>
                <w:szCs w:val="18"/>
              </w:rPr>
              <w:t>基于</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754,716.99</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754,716.99</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12"/>
        <w:gridCol w:w="1248"/>
        <w:gridCol w:w="1011"/>
        <w:gridCol w:w="1010"/>
        <w:gridCol w:w="1011"/>
        <w:gridCol w:w="1008"/>
        <w:gridCol w:w="1010"/>
        <w:gridCol w:w="1249"/>
        <w:gridCol w:w="1010"/>
      </w:tblGrid>
      <w:tr>
        <w:trPr>
          <w:trHeight w:val="1299" w:hRule="exact"/>
        </w:trPr>
        <w:tc>
          <w:tcPr>
            <w:tcW w:w="10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8"/>
              <w:ind w:left="22" w:right="77"/>
              <w:jc w:val="both"/>
              <w:rPr>
                <w:rFonts w:ascii="宋体" w:hAnsi="宋体" w:cs="宋体" w:eastAsia="宋体" w:hint="default"/>
                <w:sz w:val="18"/>
                <w:szCs w:val="18"/>
              </w:rPr>
            </w:pPr>
            <w:r>
              <w:rPr>
                <w:rFonts w:ascii="宋体" w:hAnsi="宋体" w:cs="宋体" w:eastAsia="宋体" w:hint="default"/>
                <w:sz w:val="18"/>
                <w:szCs w:val="18"/>
              </w:rPr>
              <w:t>区块链的互 联网金融综 合服务平台 产业化项目</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0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49"/>
              <w:ind w:left="22" w:right="29"/>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年跨境 电子商务综 合试验区服 务体系建设 项目</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877,358.49</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877,358.49</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40" w:hRule="exact"/>
        </w:trPr>
        <w:tc>
          <w:tcPr>
            <w:tcW w:w="10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2" w:lineRule="auto" w:before="49"/>
              <w:ind w:left="22" w:right="29"/>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年度杭 州湾新区第 二批科技奖 励</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w w:val="95"/>
                <w:sz w:val="18"/>
              </w:rPr>
              <w:t>9,500.00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w w:val="95"/>
                <w:sz w:val="18"/>
              </w:rPr>
              <w:t>9,500.00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10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77"/>
              <w:jc w:val="left"/>
              <w:rPr>
                <w:rFonts w:ascii="宋体" w:hAnsi="宋体" w:cs="宋体" w:eastAsia="宋体" w:hint="default"/>
                <w:sz w:val="18"/>
                <w:szCs w:val="18"/>
              </w:rPr>
            </w:pPr>
            <w:r>
              <w:rPr>
                <w:rFonts w:ascii="宋体" w:hAnsi="宋体" w:cs="宋体" w:eastAsia="宋体" w:hint="default"/>
                <w:sz w:val="18"/>
                <w:szCs w:val="18"/>
              </w:rPr>
              <w:t>规模以上企 业资金补助</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10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市长质量奖</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10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77"/>
              <w:jc w:val="left"/>
              <w:rPr>
                <w:rFonts w:ascii="宋体" w:hAnsi="宋体" w:cs="宋体" w:eastAsia="宋体" w:hint="default"/>
                <w:sz w:val="18"/>
                <w:szCs w:val="18"/>
              </w:rPr>
            </w:pPr>
            <w:r>
              <w:rPr>
                <w:rFonts w:ascii="宋体" w:hAnsi="宋体" w:cs="宋体" w:eastAsia="宋体" w:hint="default"/>
                <w:sz w:val="18"/>
                <w:szCs w:val="18"/>
              </w:rPr>
              <w:t>院士专家工 作站认定</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9" w:hRule="exact"/>
        </w:trPr>
        <w:tc>
          <w:tcPr>
            <w:tcW w:w="10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77"/>
              <w:jc w:val="both"/>
              <w:rPr>
                <w:rFonts w:ascii="宋体" w:hAnsi="宋体" w:cs="宋体" w:eastAsia="宋体" w:hint="default"/>
                <w:sz w:val="18"/>
                <w:szCs w:val="18"/>
              </w:rPr>
            </w:pPr>
            <w:r>
              <w:rPr>
                <w:rFonts w:ascii="宋体" w:hAnsi="宋体" w:cs="宋体" w:eastAsia="宋体" w:hint="default"/>
                <w:sz w:val="18"/>
                <w:szCs w:val="18"/>
              </w:rPr>
              <w:t>地方教育费 附加专项资 金开展职工 职业培训</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1"/>
                <w:sz w:val="18"/>
              </w:rPr>
              <w:t>14,109.92</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14,109.92</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0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9" w:lineRule="auto" w:before="49"/>
              <w:ind w:left="22" w:right="29"/>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年度产 学研项目扶 持资金</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bookmarkStart w:name="52、其他非流动负债" w:id="368"/>
      <w:bookmarkEnd w:id="368"/>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是否已执行新收入准则</w:t>
      </w:r>
    </w:p>
    <w:p>
      <w:pPr>
        <w:pStyle w:val="BodyText"/>
        <w:spacing w:line="240" w:lineRule="auto" w:before="117"/>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bookmarkStart w:name="53、股本" w:id="369"/>
      <w:bookmarkEnd w:id="369"/>
      <w:r>
        <w:rPr>
          <w:b w:val="0"/>
          <w:bCs w:val="0"/>
        </w:rPr>
      </w:r>
      <w:r>
        <w:rPr>
          <w:rFonts w:ascii="Times New Roman" w:hAnsi="Times New Roman" w:cs="Times New Roman" w:eastAsia="Times New Roman" w:hint="default"/>
        </w:rPr>
        <w:t>53</w:t>
      </w:r>
      <w:r>
        <w:rPr/>
        <w:t>、股本</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198"/>
        <w:gridCol w:w="1196"/>
        <w:gridCol w:w="1195"/>
        <w:gridCol w:w="1198"/>
        <w:gridCol w:w="1195"/>
        <w:gridCol w:w="1196"/>
        <w:gridCol w:w="1198"/>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80"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0" w:type="dxa"/>
            <w:gridSpan w:val="5"/>
            <w:vMerge/>
            <w:tcBorders>
              <w:left w:val="single" w:sz="4" w:space="0" w:color="000000"/>
              <w:bottom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1,247,335,239.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1196"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
        </w:tc>
        <w:tc>
          <w:tcPr>
            <w:tcW w:w="1198"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-3,800,000.00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-3,800,000.00</w:t>
            </w: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1,243,535,239.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r>
      <w:tr>
        <w:trPr>
          <w:trHeight w:val="391" w:hRule="exact"/>
        </w:trPr>
        <w:tc>
          <w:tcPr>
            <w:tcW w:w="1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vMerge/>
            <w:tcBorders>
              <w:left w:val="single" w:sz="9"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r>
      <w:tr>
        <w:trPr>
          <w:trHeight w:val="163"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vMerge/>
            <w:tcBorders>
              <w:left w:val="single" w:sz="9"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其他说明：</w:t>
      </w:r>
    </w:p>
    <w:p>
      <w:pPr>
        <w:spacing w:line="240" w:lineRule="auto" w:before="2"/>
        <w:rPr>
          <w:rFonts w:ascii="宋体" w:hAnsi="宋体" w:cs="宋体" w:eastAsia="宋体" w:hint="default"/>
          <w:sz w:val="24"/>
          <w:szCs w:val="24"/>
        </w:rPr>
      </w:pPr>
    </w:p>
    <w:p>
      <w:pPr>
        <w:pStyle w:val="BodyText"/>
        <w:spacing w:line="240" w:lineRule="auto"/>
        <w:ind w:left="513" w:right="1133"/>
        <w:jc w:val="left"/>
        <w:rPr>
          <w:rFonts w:ascii="Times New Roman" w:hAnsi="Times New Roman" w:cs="Times New Roman" w:eastAsia="Times New Roman" w:hint="default"/>
        </w:rPr>
      </w:pPr>
      <w:r>
        <w:rPr/>
        <w:t>注：</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15</w:t>
      </w:r>
      <w:r>
        <w:rPr/>
        <w:t>日召开的公司第四届董事会第四次会议和公司第四届监事会第四次会议、</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日召开的</w:t>
      </w:r>
      <w:r>
        <w:rPr>
          <w:rFonts w:ascii="Times New Roman" w:hAnsi="Times New Roman" w:cs="Times New Roman" w:eastAsia="Times New Roman" w:hint="default"/>
        </w:rPr>
        <w:t>2018</w:t>
      </w:r>
    </w:p>
    <w:p>
      <w:pPr>
        <w:spacing w:after="0" w:line="240" w:lineRule="auto"/>
        <w:jc w:val="left"/>
        <w:rPr>
          <w:rFonts w:ascii="Times New Roman" w:hAnsi="Times New Roman" w:cs="Times New Roman" w:eastAsia="Times New Roman" w:hint="default"/>
        </w:rPr>
        <w:sectPr>
          <w:pgSz w:w="11910" w:h="16840"/>
          <w:pgMar w:header="745" w:footer="980" w:top="1060" w:bottom="1160" w:left="980" w:right="0"/>
        </w:sectPr>
      </w:pPr>
    </w:p>
    <w:p>
      <w:pPr>
        <w:spacing w:line="240" w:lineRule="auto" w:before="3"/>
        <w:rPr>
          <w:rFonts w:ascii="Times New Roman" w:hAnsi="Times New Roman" w:cs="Times New Roman" w:eastAsia="Times New Roman" w:hint="default"/>
          <w:sz w:val="29"/>
          <w:szCs w:val="29"/>
        </w:rPr>
      </w:pPr>
    </w:p>
    <w:p>
      <w:pPr>
        <w:pStyle w:val="BodyText"/>
        <w:spacing w:line="319" w:lineRule="auto" w:before="44"/>
        <w:ind w:right="1034"/>
        <w:jc w:val="left"/>
      </w:pPr>
      <w:r>
        <w:rPr>
          <w:spacing w:val="-2"/>
        </w:rPr>
        <w:t>年度股东大会审议通过了《关于回购注销未达到第一个解除限售期条件的限制性股票的议案》，同意公司对已授予但未达第</w:t>
      </w:r>
      <w:r>
        <w:rPr>
          <w:spacing w:val="-65"/>
        </w:rPr>
        <w:t> </w:t>
      </w:r>
      <w:r>
        <w:rPr>
          <w:spacing w:val="-65"/>
        </w:rPr>
      </w:r>
      <w:r>
        <w:rPr/>
        <w:t>一期解除限售期条件的</w:t>
      </w:r>
      <w:r>
        <w:rPr>
          <w:rFonts w:ascii="Times New Roman" w:hAnsi="Times New Roman" w:cs="Times New Roman" w:eastAsia="Times New Roman" w:hint="default"/>
        </w:rPr>
        <w:t>380</w:t>
      </w:r>
      <w:r>
        <w:rPr/>
        <w:t>万股限制性股票进行回购注销，本次变更后公司总股本由</w:t>
      </w:r>
      <w:r>
        <w:rPr>
          <w:rFonts w:ascii="Times New Roman" w:hAnsi="Times New Roman" w:cs="Times New Roman" w:eastAsia="Times New Roman" w:hint="default"/>
        </w:rPr>
        <w:t>1,247,335,239</w:t>
      </w:r>
      <w:r>
        <w:rPr/>
        <w:t>股变更为</w:t>
      </w:r>
      <w:r>
        <w:rPr>
          <w:rFonts w:ascii="Times New Roman" w:hAnsi="Times New Roman" w:cs="Times New Roman" w:eastAsia="Times New Roman" w:hint="default"/>
        </w:rPr>
        <w:t>1,243,535,239</w:t>
      </w:r>
      <w:r>
        <w:rPr/>
        <w:t>股。</w:t>
      </w:r>
    </w:p>
    <w:p>
      <w:pPr>
        <w:spacing w:line="240" w:lineRule="auto" w:before="2"/>
        <w:rPr>
          <w:rFonts w:ascii="宋体" w:hAnsi="宋体" w:cs="宋体" w:eastAsia="宋体" w:hint="default"/>
          <w:sz w:val="21"/>
          <w:szCs w:val="21"/>
        </w:rPr>
      </w:pPr>
    </w:p>
    <w:p>
      <w:pPr>
        <w:pStyle w:val="Heading3"/>
        <w:spacing w:line="240" w:lineRule="auto"/>
        <w:ind w:right="1133"/>
        <w:jc w:val="left"/>
        <w:rPr>
          <w:b w:val="0"/>
          <w:bCs w:val="0"/>
        </w:rPr>
      </w:pPr>
      <w:bookmarkStart w:name="54、其他权益工具" w:id="370"/>
      <w:bookmarkEnd w:id="370"/>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55、资本公积" w:id="371"/>
      <w:bookmarkEnd w:id="371"/>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4,670,193,243.60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40,385,506.16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4,629,807,737.44</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3,400,208.89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43,189,013.34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46,589,222.23</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4,673,593,452.49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43,189,013.34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40,385,506.16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4,676,396,959.67</w:t>
            </w:r>
          </w:p>
        </w:tc>
      </w:tr>
    </w:tbl>
    <w:p>
      <w:pPr>
        <w:pStyle w:val="BodyText"/>
        <w:spacing w:line="240" w:lineRule="auto" w:before="49"/>
        <w:ind w:right="1133"/>
        <w:jc w:val="left"/>
      </w:pPr>
      <w:r>
        <w:rPr/>
        <w:t>其他说明，包括本期增减变动情况、变动原因说明：</w:t>
      </w:r>
    </w:p>
    <w:p>
      <w:pPr>
        <w:spacing w:line="240" w:lineRule="auto" w:before="2"/>
        <w:rPr>
          <w:rFonts w:ascii="宋体" w:hAnsi="宋体" w:cs="宋体" w:eastAsia="宋体" w:hint="default"/>
          <w:sz w:val="24"/>
          <w:szCs w:val="24"/>
        </w:rPr>
      </w:pPr>
    </w:p>
    <w:p>
      <w:pPr>
        <w:pStyle w:val="BodyText"/>
        <w:spacing w:line="307" w:lineRule="auto"/>
        <w:ind w:right="1130" w:firstLine="360"/>
        <w:jc w:val="both"/>
      </w:pPr>
      <w:r>
        <w:rPr/>
        <w:t>注</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15</w:t>
      </w:r>
      <w:r>
        <w:rPr/>
        <w:t>日召开的公司第四届董事会第四次会议和公司第四届监事会第四次会议、</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日召开的</w:t>
      </w:r>
      <w:r>
        <w:rPr>
          <w:rFonts w:ascii="Times New Roman" w:hAnsi="Times New Roman" w:cs="Times New Roman" w:eastAsia="Times New Roman" w:hint="default"/>
        </w:rPr>
        <w:t>2018 </w:t>
      </w:r>
      <w:r>
        <w:rPr>
          <w:spacing w:val="-2"/>
        </w:rPr>
        <w:t>年度股东大会审议通过了《关于回购注销未达到第一个解除限售期条件的限制性股票的议案》，同意公司对已授予但未达第</w:t>
      </w:r>
      <w:r>
        <w:rPr>
          <w:spacing w:val="-66"/>
        </w:rPr>
        <w:t> </w:t>
      </w:r>
      <w:r>
        <w:rPr>
          <w:spacing w:val="-66"/>
        </w:rPr>
      </w:r>
      <w:r>
        <w:rPr>
          <w:spacing w:val="8"/>
        </w:rPr>
        <w:t>一期解除限售期条件的</w:t>
      </w:r>
      <w:r>
        <w:rPr>
          <w:rFonts w:ascii="Times New Roman" w:hAnsi="Times New Roman" w:cs="Times New Roman" w:eastAsia="Times New Roman" w:hint="default"/>
          <w:spacing w:val="8"/>
        </w:rPr>
        <w:t>380</w:t>
      </w:r>
      <w:r>
        <w:rPr>
          <w:spacing w:val="8"/>
        </w:rPr>
        <w:t>万股限制性股票进行回购注销以减少注册资本，本次变更后，公司资本公积</w:t>
      </w:r>
      <w:r>
        <w:rPr>
          <w:rFonts w:ascii="Times New Roman" w:hAnsi="Times New Roman" w:cs="Times New Roman" w:eastAsia="Times New Roman" w:hint="default"/>
          <w:spacing w:val="8"/>
        </w:rPr>
        <w:t>-</w:t>
      </w:r>
      <w:r>
        <w:rPr>
          <w:spacing w:val="8"/>
        </w:rPr>
        <w:t>股本溢价减少</w:t>
      </w:r>
      <w:r>
        <w:rPr>
          <w:spacing w:val="-48"/>
        </w:rPr>
        <w:t> </w:t>
      </w:r>
      <w:r>
        <w:rPr>
          <w:spacing w:val="-48"/>
        </w:rPr>
      </w:r>
      <w:r>
        <w:rPr>
          <w:rFonts w:ascii="Times New Roman" w:hAnsi="Times New Roman" w:cs="Times New Roman" w:eastAsia="Times New Roman" w:hint="default"/>
        </w:rPr>
        <w:t>40,385,506.16</w:t>
      </w:r>
      <w:r>
        <w:rPr/>
        <w:t>元。</w:t>
      </w:r>
    </w:p>
    <w:p>
      <w:pPr>
        <w:spacing w:line="240" w:lineRule="auto" w:before="11"/>
        <w:rPr>
          <w:rFonts w:ascii="宋体" w:hAnsi="宋体" w:cs="宋体" w:eastAsia="宋体" w:hint="default"/>
          <w:sz w:val="18"/>
          <w:szCs w:val="18"/>
        </w:rPr>
      </w:pPr>
    </w:p>
    <w:p>
      <w:pPr>
        <w:pStyle w:val="BodyText"/>
        <w:spacing w:line="300" w:lineRule="auto"/>
        <w:ind w:right="1116" w:firstLine="360"/>
        <w:jc w:val="both"/>
      </w:pPr>
      <w:r>
        <w:rPr>
          <w:spacing w:val="-2"/>
        </w:rPr>
        <w:t>注</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15</w:t>
      </w:r>
      <w:r>
        <w:rPr>
          <w:spacing w:val="-2"/>
        </w:rPr>
        <w:t>日召开的公司第四届董事会第四次会议和公司第四届监事会第四次会议，审议通过了《关于重大资产</w:t>
      </w:r>
      <w:r>
        <w:rPr/>
        <w:t> 重组业绩承诺期间的业绩承诺实现的说明议案》，联动优势科技有限公司（以下简称</w:t>
      </w:r>
      <w:r>
        <w:rPr>
          <w:rFonts w:ascii="Times New Roman" w:hAnsi="Times New Roman" w:cs="Times New Roman" w:eastAsia="Times New Roman" w:hint="default"/>
        </w:rPr>
        <w:t>“</w:t>
      </w:r>
      <w:r>
        <w:rPr/>
        <w:t>联动优势</w:t>
      </w:r>
      <w:r>
        <w:rPr>
          <w:rFonts w:ascii="Times New Roman" w:hAnsi="Times New Roman" w:cs="Times New Roman" w:eastAsia="Times New Roman" w:hint="default"/>
        </w:rPr>
        <w:t>”</w:t>
      </w:r>
      <w:r>
        <w:rPr/>
        <w:t>）</w:t>
      </w:r>
      <w:r>
        <w:rPr>
          <w:rFonts w:ascii="Times New Roman" w:hAnsi="Times New Roman" w:cs="Times New Roman" w:eastAsia="Times New Roman" w:hint="default"/>
        </w:rPr>
        <w:t>2016-2018</w:t>
      </w:r>
      <w:r>
        <w:rPr/>
        <w:t>年度累计实现</w:t>
      </w:r>
      <w:r>
        <w:rPr>
          <w:spacing w:val="-41"/>
        </w:rPr>
        <w:t> </w:t>
      </w:r>
      <w:r>
        <w:rPr>
          <w:spacing w:val="-41"/>
        </w:rPr>
      </w:r>
      <w:r>
        <w:rPr/>
        <w:t>的净利润数低于累计承诺净利润数，差额为</w:t>
      </w:r>
      <w:r>
        <w:rPr>
          <w:rFonts w:ascii="Times New Roman" w:hAnsi="Times New Roman" w:cs="Times New Roman" w:eastAsia="Times New Roman" w:hint="default"/>
        </w:rPr>
        <w:t>41,238,200.00</w:t>
      </w:r>
      <w:r>
        <w:rPr/>
        <w:t>元，根据北京博升优势科技发展有限公司（以下简称</w:t>
      </w:r>
      <w:r>
        <w:rPr>
          <w:rFonts w:ascii="Times New Roman" w:hAnsi="Times New Roman" w:cs="Times New Roman" w:eastAsia="Times New Roman" w:hint="default"/>
        </w:rPr>
        <w:t>“</w:t>
      </w:r>
      <w:r>
        <w:rPr/>
        <w:t>博升优势</w:t>
      </w:r>
      <w:r>
        <w:rPr>
          <w:rFonts w:ascii="Times New Roman" w:hAnsi="Times New Roman" w:cs="Times New Roman" w:eastAsia="Times New Roman" w:hint="default"/>
        </w:rPr>
        <w:t>”</w:t>
      </w:r>
      <w:r>
        <w:rPr/>
        <w:t>） </w:t>
      </w:r>
      <w:r>
        <w:rPr>
          <w:spacing w:val="-2"/>
        </w:rPr>
        <w:t>与公司签署的《业绩补偿协议》、《补充协议》规定差额部分由博升优势以现金方式在联动优势</w:t>
      </w:r>
      <w:r>
        <w:rPr>
          <w:rFonts w:ascii="Times New Roman" w:hAnsi="Times New Roman" w:cs="Times New Roman" w:eastAsia="Times New Roman" w:hint="default"/>
          <w:spacing w:val="-2"/>
        </w:rPr>
        <w:t>2018</w:t>
      </w:r>
      <w:r>
        <w:rPr>
          <w:spacing w:val="-2"/>
        </w:rPr>
        <w:t>年专项审核报告出具之</w:t>
      </w:r>
      <w:r>
        <w:rPr>
          <w:spacing w:val="-61"/>
        </w:rPr>
        <w:t> </w:t>
      </w:r>
      <w:r>
        <w:rPr>
          <w:spacing w:val="-61"/>
        </w:rPr>
      </w:r>
      <w:r>
        <w:rPr/>
        <w:t>日起三个月内一次性对本公司进行补偿。公司已于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14</w:t>
      </w:r>
      <w:r>
        <w:rPr/>
        <w:t>日全额收到博升优势支付的业绩补偿款。根据企业会计准则</w:t>
      </w:r>
      <w:r>
        <w:rPr>
          <w:spacing w:val="-85"/>
        </w:rPr>
        <w:t> </w:t>
      </w:r>
      <w:r>
        <w:rPr>
          <w:spacing w:val="-85"/>
        </w:rPr>
      </w:r>
      <w:r>
        <w:rPr/>
        <w:t>的相关规定，公司将上述业务补偿款计入其他资本公积</w:t>
      </w:r>
      <w:r>
        <w:rPr>
          <w:rFonts w:ascii="Times New Roman" w:hAnsi="Times New Roman" w:cs="Times New Roman" w:eastAsia="Times New Roman" w:hint="default"/>
        </w:rPr>
        <w:t>41,238,200.00</w:t>
      </w:r>
      <w:r>
        <w:rPr/>
        <w:t>元。</w:t>
      </w:r>
    </w:p>
    <w:p>
      <w:pPr>
        <w:spacing w:line="240" w:lineRule="auto" w:before="4"/>
        <w:rPr>
          <w:rFonts w:ascii="宋体" w:hAnsi="宋体" w:cs="宋体" w:eastAsia="宋体" w:hint="default"/>
          <w:sz w:val="19"/>
          <w:szCs w:val="19"/>
        </w:rPr>
      </w:pPr>
    </w:p>
    <w:p>
      <w:pPr>
        <w:pStyle w:val="BodyText"/>
        <w:spacing w:line="300" w:lineRule="auto"/>
        <w:ind w:right="1131" w:firstLine="360"/>
        <w:jc w:val="both"/>
      </w:pPr>
      <w:r>
        <w:rPr>
          <w:spacing w:val="-5"/>
        </w:rPr>
        <w:t>注</w:t>
      </w:r>
      <w:r>
        <w:rPr>
          <w:rFonts w:ascii="Times New Roman" w:hAnsi="Times New Roman" w:cs="Times New Roman" w:eastAsia="Times New Roman" w:hint="default"/>
          <w:spacing w:val="-5"/>
        </w:rPr>
        <w:t>3</w:t>
      </w:r>
      <w:r>
        <w:rPr>
          <w:spacing w:val="-5"/>
        </w:rPr>
        <w:t>：</w:t>
      </w:r>
      <w:r>
        <w:rPr>
          <w:rFonts w:ascii="Times New Roman" w:hAnsi="Times New Roman" w:cs="Times New Roman" w:eastAsia="Times New Roman" w:hint="default"/>
          <w:spacing w:val="-5"/>
        </w:rPr>
        <w:t>2020</w:t>
      </w:r>
      <w:r>
        <w:rPr>
          <w:spacing w:val="-5"/>
        </w:rPr>
        <w:t>年</w:t>
      </w:r>
      <w:r>
        <w:rPr>
          <w:rFonts w:ascii="Times New Roman" w:hAnsi="Times New Roman" w:cs="Times New Roman" w:eastAsia="Times New Roman" w:hint="default"/>
          <w:spacing w:val="-5"/>
        </w:rPr>
        <w:t>1</w:t>
      </w:r>
      <w:r>
        <w:rPr>
          <w:spacing w:val="-5"/>
        </w:rPr>
        <w:t>月</w:t>
      </w:r>
      <w:r>
        <w:rPr>
          <w:rFonts w:ascii="Times New Roman" w:hAnsi="Times New Roman" w:cs="Times New Roman" w:eastAsia="Times New Roman" w:hint="default"/>
          <w:spacing w:val="-5"/>
        </w:rPr>
        <w:t>13</w:t>
      </w:r>
      <w:r>
        <w:rPr>
          <w:spacing w:val="-5"/>
        </w:rPr>
        <w:t>日召开的公司第四届董事会第十次（临时）会议和第四届监事会第九次（临时）会议，审议通过了《关</w:t>
      </w:r>
      <w:r>
        <w:rPr/>
        <w:t> 于回购注销不符合激励条件激励对象的限制性股票并终止实施</w:t>
      </w:r>
      <w:r>
        <w:rPr>
          <w:rFonts w:ascii="Times New Roman" w:hAnsi="Times New Roman" w:cs="Times New Roman" w:eastAsia="Times New Roman" w:hint="default"/>
        </w:rPr>
        <w:t>2018</w:t>
      </w:r>
      <w:r>
        <w:rPr/>
        <w:t>年限制性股票激励计划暨回购注销已授予但尚未解除限</w:t>
      </w:r>
      <w:r>
        <w:rPr>
          <w:spacing w:val="-6"/>
        </w:rPr>
        <w:t> </w:t>
      </w:r>
      <w:r>
        <w:rPr>
          <w:spacing w:val="-6"/>
        </w:rPr>
      </w:r>
      <w:r>
        <w:rPr>
          <w:spacing w:val="-1"/>
        </w:rPr>
        <w:t>售的全部限制性股票的议案》，同意公司回购注销</w:t>
      </w:r>
      <w:r>
        <w:rPr>
          <w:rFonts w:ascii="Times New Roman" w:hAnsi="Times New Roman" w:cs="Times New Roman" w:eastAsia="Times New Roman" w:hint="default"/>
          <w:spacing w:val="-1"/>
        </w:rPr>
        <w:t>4</w:t>
      </w:r>
      <w:r>
        <w:rPr>
          <w:spacing w:val="-1"/>
        </w:rPr>
        <w:t>名离职激励对象已授予但尚未解除限售的限制性股票</w:t>
      </w:r>
      <w:r>
        <w:rPr>
          <w:rFonts w:ascii="Times New Roman" w:hAnsi="Times New Roman" w:cs="Times New Roman" w:eastAsia="Times New Roman" w:hint="default"/>
          <w:spacing w:val="-1"/>
        </w:rPr>
        <w:t>2,514,000.00</w:t>
      </w:r>
      <w:r>
        <w:rPr>
          <w:spacing w:val="-1"/>
        </w:rPr>
        <w:t>股；同</w:t>
      </w:r>
      <w:r>
        <w:rPr>
          <w:spacing w:val="-71"/>
        </w:rPr>
        <w:t> </w:t>
      </w:r>
      <w:r>
        <w:rPr>
          <w:spacing w:val="-71"/>
        </w:rPr>
      </w:r>
      <w:r>
        <w:rPr>
          <w:spacing w:val="-2"/>
        </w:rPr>
        <w:t>意公司终止实施</w:t>
      </w:r>
      <w:r>
        <w:rPr>
          <w:rFonts w:ascii="Times New Roman" w:hAnsi="Times New Roman" w:cs="Times New Roman" w:eastAsia="Times New Roman" w:hint="default"/>
          <w:spacing w:val="-2"/>
        </w:rPr>
        <w:t>2018</w:t>
      </w:r>
      <w:r>
        <w:rPr>
          <w:spacing w:val="-2"/>
        </w:rPr>
        <w:t>年限制性股票激励计划（以下简称</w:t>
      </w:r>
      <w:r>
        <w:rPr>
          <w:rFonts w:ascii="Times New Roman" w:hAnsi="Times New Roman" w:cs="Times New Roman" w:eastAsia="Times New Roman" w:hint="default"/>
          <w:spacing w:val="-2"/>
        </w:rPr>
        <w:t>“</w:t>
      </w:r>
      <w:r>
        <w:rPr>
          <w:spacing w:val="-2"/>
        </w:rPr>
        <w:t>本激励计划</w:t>
      </w:r>
      <w:r>
        <w:rPr>
          <w:rFonts w:ascii="Times New Roman" w:hAnsi="Times New Roman" w:cs="Times New Roman" w:eastAsia="Times New Roman" w:hint="default"/>
          <w:spacing w:val="-2"/>
        </w:rPr>
        <w:t>”</w:t>
      </w:r>
      <w:r>
        <w:rPr>
          <w:spacing w:val="-2"/>
        </w:rPr>
        <w:t>）并回购注销已授予但尚未解除限售的其他剩余限制性</w:t>
      </w:r>
      <w:r>
        <w:rPr>
          <w:spacing w:val="-44"/>
        </w:rPr>
        <w:t> </w:t>
      </w:r>
      <w:r>
        <w:rPr>
          <w:spacing w:val="-44"/>
        </w:rPr>
      </w:r>
      <w:r>
        <w:rPr/>
        <w:t>股票</w:t>
      </w:r>
      <w:r>
        <w:rPr>
          <w:rFonts w:ascii="Times New Roman" w:hAnsi="Times New Roman" w:cs="Times New Roman" w:eastAsia="Times New Roman" w:hint="default"/>
        </w:rPr>
        <w:t>3,186,000.00</w:t>
      </w:r>
      <w:r>
        <w:rPr/>
        <w:t>股。</w:t>
      </w:r>
    </w:p>
    <w:p>
      <w:pPr>
        <w:pStyle w:val="BodyText"/>
        <w:spacing w:line="316" w:lineRule="auto" w:before="13"/>
        <w:ind w:right="1040" w:firstLine="360"/>
        <w:jc w:val="both"/>
      </w:pPr>
      <w:r>
        <w:rPr>
          <w:spacing w:val="-2"/>
        </w:rPr>
        <w:t>根据企业会计准则的相关规定，在等待期内如果取消了授予的权益工具，企业应当对取消所授予的权益性工具作为加速</w:t>
      </w:r>
      <w:r>
        <w:rPr/>
        <w:t> </w:t>
      </w:r>
      <w:r>
        <w:rPr>
          <w:spacing w:val="-2"/>
        </w:rPr>
        <w:t>行权处理，本年度确认其余有效的限制性股票所对应的费用记入管理费用</w:t>
      </w:r>
      <w:r>
        <w:rPr>
          <w:rFonts w:ascii="Times New Roman" w:hAnsi="Times New Roman" w:cs="Times New Roman" w:eastAsia="Times New Roman" w:hint="default"/>
          <w:spacing w:val="-2"/>
        </w:rPr>
        <w:t>1,950,813.34</w:t>
      </w:r>
      <w:r>
        <w:rPr>
          <w:spacing w:val="-2"/>
        </w:rPr>
        <w:t>元，同时增加资本公积</w:t>
      </w:r>
      <w:r>
        <w:rPr>
          <w:rFonts w:ascii="Times New Roman" w:hAnsi="Times New Roman" w:cs="Times New Roman" w:eastAsia="Times New Roman" w:hint="default"/>
          <w:spacing w:val="-2"/>
        </w:rPr>
        <w:t>1,950,813.34</w:t>
      </w:r>
      <w:r>
        <w:rPr>
          <w:spacing w:val="-2"/>
        </w:rPr>
        <w:t>元。</w:t>
      </w:r>
    </w:p>
    <w:p>
      <w:pPr>
        <w:spacing w:line="240" w:lineRule="auto" w:before="4"/>
        <w:rPr>
          <w:rFonts w:ascii="宋体" w:hAnsi="宋体" w:cs="宋体" w:eastAsia="宋体" w:hint="default"/>
          <w:sz w:val="21"/>
          <w:szCs w:val="21"/>
        </w:rPr>
      </w:pPr>
    </w:p>
    <w:p>
      <w:pPr>
        <w:pStyle w:val="Heading3"/>
        <w:spacing w:line="240" w:lineRule="auto"/>
        <w:ind w:right="1133"/>
        <w:jc w:val="left"/>
        <w:rPr>
          <w:b w:val="0"/>
          <w:bCs w:val="0"/>
        </w:rPr>
      </w:pPr>
      <w:bookmarkStart w:name="56、库存股" w:id="372"/>
      <w:bookmarkEnd w:id="372"/>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77"/>
              <w:jc w:val="left"/>
              <w:rPr>
                <w:rFonts w:ascii="宋体" w:hAnsi="宋体" w:cs="宋体" w:eastAsia="宋体" w:hint="default"/>
                <w:sz w:val="18"/>
                <w:szCs w:val="18"/>
              </w:rPr>
            </w:pPr>
            <w:r>
              <w:rPr>
                <w:rFonts w:ascii="宋体" w:hAnsi="宋体" w:cs="宋体" w:eastAsia="宋体" w:hint="default"/>
                <w:sz w:val="18"/>
                <w:szCs w:val="18"/>
              </w:rPr>
              <w:t>限制性股票义务回购相 关的库存股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110,463,765.40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7" w:right="0"/>
              <w:jc w:val="left"/>
              <w:rPr>
                <w:rFonts w:ascii="Times New Roman" w:hAnsi="Times New Roman" w:cs="Times New Roman" w:eastAsia="Times New Roman" w:hint="default"/>
                <w:sz w:val="18"/>
                <w:szCs w:val="18"/>
              </w:rPr>
            </w:pPr>
            <w:r>
              <w:rPr>
                <w:rFonts w:ascii="Times New Roman"/>
                <w:sz w:val="18"/>
              </w:rPr>
              <w:t>44,185,506.16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66,278,259.24</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365,397,647.81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227,051,856.23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592,449,504.04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8" w:right="0"/>
              <w:jc w:val="left"/>
              <w:rPr>
                <w:rFonts w:ascii="Times New Roman" w:hAnsi="Times New Roman" w:cs="Times New Roman" w:eastAsia="Times New Roman" w:hint="default"/>
                <w:sz w:val="18"/>
                <w:szCs w:val="18"/>
              </w:rPr>
            </w:pPr>
            <w:r>
              <w:rPr>
                <w:rFonts w:ascii="Times New Roman"/>
                <w:sz w:val="18"/>
              </w:rPr>
              <w:t>475,861,413.21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227,051,856.23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44,185,506.16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658,727,763.28</w:t>
            </w:r>
          </w:p>
        </w:tc>
      </w:tr>
    </w:tbl>
    <w:p>
      <w:pPr>
        <w:pStyle w:val="BodyText"/>
        <w:spacing w:line="240" w:lineRule="auto" w:before="49"/>
        <w:ind w:right="1133"/>
        <w:jc w:val="left"/>
      </w:pPr>
      <w:r>
        <w:rPr/>
        <w:t>其他说明，包括本期增减变动情况、变动原因说明：</w:t>
      </w:r>
    </w:p>
    <w:p>
      <w:pPr>
        <w:spacing w:line="240" w:lineRule="auto" w:before="2"/>
        <w:rPr>
          <w:rFonts w:ascii="宋体" w:hAnsi="宋体" w:cs="宋体" w:eastAsia="宋体" w:hint="default"/>
          <w:sz w:val="24"/>
          <w:szCs w:val="24"/>
        </w:rPr>
      </w:pPr>
    </w:p>
    <w:p>
      <w:pPr>
        <w:pStyle w:val="BodyText"/>
        <w:spacing w:line="304" w:lineRule="auto"/>
        <w:ind w:right="1131" w:firstLine="360"/>
        <w:jc w:val="both"/>
      </w:pPr>
      <w:r>
        <w:rPr>
          <w:spacing w:val="-2"/>
        </w:rPr>
        <w:t>注</w:t>
      </w:r>
      <w:r>
        <w:rPr>
          <w:rFonts w:ascii="Times New Roman" w:hAnsi="Times New Roman" w:cs="Times New Roman" w:eastAsia="Times New Roman" w:hint="default"/>
          <w:spacing w:val="-2"/>
        </w:rPr>
        <w:t>1</w:t>
      </w:r>
      <w:r>
        <w:rPr>
          <w:spacing w:val="-2"/>
        </w:rPr>
        <w:t>：公司</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8</w:t>
      </w:r>
      <w:r>
        <w:rPr>
          <w:spacing w:val="-2"/>
        </w:rPr>
        <w:t>日、</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24</w:t>
      </w:r>
      <w:r>
        <w:rPr>
          <w:spacing w:val="-2"/>
        </w:rPr>
        <w:t>日召开了第三届董事会第三十一次（临时）会议、</w:t>
      </w:r>
      <w:r>
        <w:rPr>
          <w:rFonts w:ascii="Times New Roman" w:hAnsi="Times New Roman" w:cs="Times New Roman" w:eastAsia="Times New Roman" w:hint="default"/>
          <w:spacing w:val="-2"/>
        </w:rPr>
        <w:t>2018</w:t>
      </w:r>
      <w:r>
        <w:rPr>
          <w:spacing w:val="-2"/>
        </w:rPr>
        <w:t>年第二次临时股东大会，审议通</w:t>
      </w:r>
      <w:r>
        <w:rPr/>
        <w:t> </w:t>
      </w:r>
      <w:r>
        <w:rPr>
          <w:spacing w:val="-2"/>
        </w:rPr>
        <w:t>过了《关于采用集中竞价方式回购公司股份的议案》、《关于提请股东大会授权公司董事会全权办理回购股份相关事宜的议</w:t>
      </w:r>
      <w:r>
        <w:rPr>
          <w:spacing w:val="-66"/>
        </w:rPr>
        <w:t> </w:t>
      </w:r>
      <w:r>
        <w:rPr>
          <w:spacing w:val="-66"/>
        </w:rPr>
      </w:r>
      <w:r>
        <w:rPr/>
        <w:t>案》，公司根据上述议案进行股票回购，</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月份，公司回购股份</w:t>
      </w:r>
      <w:r>
        <w:rPr>
          <w:rFonts w:ascii="Times New Roman" w:hAnsi="Times New Roman" w:cs="Times New Roman" w:eastAsia="Times New Roman" w:hint="default"/>
        </w:rPr>
        <w:t>2,809,100</w:t>
      </w:r>
      <w:r>
        <w:rPr/>
        <w:t>股，支付价款总金额</w:t>
      </w:r>
      <w:r>
        <w:rPr>
          <w:rFonts w:ascii="Times New Roman" w:hAnsi="Times New Roman" w:cs="Times New Roman" w:eastAsia="Times New Roman" w:hint="default"/>
        </w:rPr>
        <w:t>29,054,871.15</w:t>
      </w:r>
      <w:r>
        <w:rPr/>
        <w:t>元。截至</w:t>
      </w:r>
      <w:r>
        <w:rPr>
          <w:spacing w:val="-53"/>
        </w:rPr>
        <w:t> </w:t>
      </w:r>
      <w:r>
        <w:rPr>
          <w:spacing w:val="-53"/>
        </w:rPr>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21</w:t>
      </w:r>
      <w:r>
        <w:rPr/>
        <w:t>日，公司本次回购累计回购股份</w:t>
      </w:r>
      <w:r>
        <w:rPr>
          <w:rFonts w:ascii="Times New Roman" w:hAnsi="Times New Roman" w:cs="Times New Roman" w:eastAsia="Times New Roman" w:hint="default"/>
        </w:rPr>
        <w:t>37,919,094</w:t>
      </w:r>
      <w:r>
        <w:rPr/>
        <w:t>股，支付价款总金额</w:t>
      </w:r>
      <w:r>
        <w:rPr>
          <w:rFonts w:ascii="Times New Roman" w:hAnsi="Times New Roman" w:cs="Times New Roman" w:eastAsia="Times New Roman" w:hint="default"/>
        </w:rPr>
        <w:t>393,372,751.46</w:t>
      </w:r>
      <w:r>
        <w:rPr/>
        <w:t>元，公司本次股份回购计划已全</w:t>
      </w:r>
      <w:r>
        <w:rPr>
          <w:spacing w:val="-53"/>
        </w:rPr>
        <w:t> </w:t>
      </w:r>
      <w:r>
        <w:rPr>
          <w:spacing w:val="-53"/>
        </w:rPr>
      </w:r>
      <w:r>
        <w:rPr/>
        <w:t>部实施完毕。</w:t>
      </w:r>
    </w:p>
    <w:p>
      <w:pPr>
        <w:spacing w:line="240" w:lineRule="auto" w:before="6"/>
        <w:rPr>
          <w:rFonts w:ascii="宋体" w:hAnsi="宋体" w:cs="宋体" w:eastAsia="宋体" w:hint="default"/>
          <w:sz w:val="20"/>
          <w:szCs w:val="20"/>
        </w:rPr>
      </w:pPr>
    </w:p>
    <w:p>
      <w:pPr>
        <w:pStyle w:val="BodyText"/>
        <w:spacing w:line="300" w:lineRule="auto"/>
        <w:ind w:right="1135" w:firstLine="360"/>
        <w:jc w:val="both"/>
      </w:pPr>
      <w:r>
        <w:rPr>
          <w:spacing w:val="-2"/>
        </w:rPr>
        <w:t>注</w:t>
      </w:r>
      <w:r>
        <w:rPr>
          <w:rFonts w:ascii="Times New Roman" w:hAnsi="Times New Roman" w:cs="Times New Roman" w:eastAsia="Times New Roman" w:hint="default"/>
          <w:spacing w:val="-2"/>
        </w:rPr>
        <w:t>2</w:t>
      </w:r>
      <w:r>
        <w:rPr>
          <w:spacing w:val="-2"/>
        </w:rPr>
        <w:t>：公司</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10</w:t>
      </w:r>
      <w:r>
        <w:rPr>
          <w:spacing w:val="-2"/>
        </w:rPr>
        <w:t>日召开了第四届董事会第六次（临时）会议和第四届监事会第六次（临时）会议审议通过了《关</w:t>
      </w:r>
      <w:r>
        <w:rPr/>
        <w:t> 于采用集中竞价方式回购公司股份的方案》，公司根据上述议案进行股票回购，截至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日，公司本次回购股份</w:t>
      </w:r>
      <w:r>
        <w:rPr>
          <w:spacing w:val="-4"/>
        </w:rPr>
        <w:t> </w:t>
      </w:r>
      <w:r>
        <w:rPr>
          <w:spacing w:val="-4"/>
        </w:rPr>
      </w:r>
      <w:r>
        <w:rPr>
          <w:rFonts w:ascii="Times New Roman" w:hAnsi="Times New Roman" w:cs="Times New Roman" w:eastAsia="Times New Roman" w:hint="default"/>
        </w:rPr>
        <w:t>25,799,400</w:t>
      </w:r>
      <w:r>
        <w:rPr/>
        <w:t>股，支付价款总金额</w:t>
      </w:r>
      <w:r>
        <w:rPr>
          <w:rFonts w:ascii="Times New Roman" w:hAnsi="Times New Roman" w:cs="Times New Roman" w:eastAsia="Times New Roman" w:hint="default"/>
        </w:rPr>
        <w:t>197,996,985.08</w:t>
      </w:r>
      <w:r>
        <w:rPr/>
        <w:t>元。</w:t>
      </w:r>
    </w:p>
    <w:p>
      <w:pPr>
        <w:spacing w:line="240" w:lineRule="auto" w:before="5"/>
        <w:rPr>
          <w:rFonts w:ascii="宋体" w:hAnsi="宋体" w:cs="宋体" w:eastAsia="宋体" w:hint="default"/>
          <w:sz w:val="19"/>
          <w:szCs w:val="19"/>
        </w:rPr>
      </w:pPr>
    </w:p>
    <w:p>
      <w:pPr>
        <w:pStyle w:val="BodyText"/>
        <w:spacing w:line="309" w:lineRule="auto"/>
        <w:ind w:right="1130" w:firstLine="360"/>
        <w:jc w:val="both"/>
      </w:pPr>
      <w:r>
        <w:rPr/>
        <w:t>注</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15</w:t>
      </w:r>
      <w:r>
        <w:rPr/>
        <w:t>日召开的公司第四届董事会第四次会议和公司第四届监事会第四次会议、</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日召开的</w:t>
      </w:r>
      <w:r>
        <w:rPr>
          <w:rFonts w:ascii="Times New Roman" w:hAnsi="Times New Roman" w:cs="Times New Roman" w:eastAsia="Times New Roman" w:hint="default"/>
        </w:rPr>
        <w:t>2018 </w:t>
      </w:r>
      <w:r>
        <w:rPr>
          <w:spacing w:val="-2"/>
        </w:rPr>
        <w:t>年度股东大会审议通过了《关于回购注销未达到第一个解除限售期条件的限制性股票的议案》，同意公司对已授予但未达第</w:t>
      </w:r>
      <w:r>
        <w:rPr>
          <w:spacing w:val="-66"/>
        </w:rPr>
        <w:t> </w:t>
      </w:r>
      <w:r>
        <w:rPr>
          <w:spacing w:val="-66"/>
        </w:rPr>
      </w:r>
      <w:r>
        <w:rPr/>
        <w:t>一期解除限售期条件的</w:t>
      </w:r>
      <w:r>
        <w:rPr>
          <w:rFonts w:ascii="Times New Roman" w:hAnsi="Times New Roman" w:cs="Times New Roman" w:eastAsia="Times New Roman" w:hint="default"/>
        </w:rPr>
        <w:t>380</w:t>
      </w:r>
      <w:r>
        <w:rPr/>
        <w:t>万股限制性股票进行回购注销以减少注册资本，本次减资减少的库存股价值为</w:t>
      </w:r>
      <w:r>
        <w:rPr>
          <w:rFonts w:ascii="Times New Roman" w:hAnsi="Times New Roman" w:cs="Times New Roman" w:eastAsia="Times New Roman" w:hint="default"/>
        </w:rPr>
        <w:t>44,185,506.16</w:t>
      </w:r>
      <w:r>
        <w:rPr/>
        <w:t>元。</w:t>
      </w:r>
    </w:p>
    <w:p>
      <w:pPr>
        <w:spacing w:line="240" w:lineRule="auto" w:before="10"/>
        <w:rPr>
          <w:rFonts w:ascii="宋体" w:hAnsi="宋体" w:cs="宋体" w:eastAsia="宋体" w:hint="default"/>
          <w:sz w:val="21"/>
          <w:szCs w:val="21"/>
        </w:rPr>
      </w:pPr>
    </w:p>
    <w:p>
      <w:pPr>
        <w:pStyle w:val="Heading3"/>
        <w:spacing w:line="240" w:lineRule="auto"/>
        <w:ind w:right="1133"/>
        <w:jc w:val="left"/>
        <w:rPr>
          <w:b w:val="0"/>
          <w:bCs w:val="0"/>
        </w:rPr>
      </w:pPr>
      <w:bookmarkStart w:name="57、其他综合收益" w:id="373"/>
      <w:bookmarkEnd w:id="373"/>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44"/>
        <w:gridCol w:w="975"/>
        <w:gridCol w:w="852"/>
        <w:gridCol w:w="1052"/>
        <w:gridCol w:w="852"/>
        <w:gridCol w:w="852"/>
        <w:gridCol w:w="853"/>
        <w:gridCol w:w="852"/>
        <w:gridCol w:w="727"/>
      </w:tblGrid>
      <w:tr>
        <w:trPr>
          <w:trHeight w:val="396" w:hRule="exact"/>
        </w:trPr>
        <w:tc>
          <w:tcPr>
            <w:tcW w:w="2544" w:type="dxa"/>
            <w:vMerge w:val="restart"/>
            <w:tcBorders>
              <w:top w:val="single" w:sz="4" w:space="0" w:color="000000"/>
              <w:left w:val="single" w:sz="4" w:space="0" w:color="000000"/>
              <w:right w:val="single" w:sz="4" w:space="0" w:color="000000"/>
            </w:tcBorders>
            <w:shd w:val="clear" w:color="auto" w:fill="D2D2D2"/>
          </w:tcPr>
          <w:p>
            <w:pPr/>
          </w:p>
        </w:tc>
        <w:tc>
          <w:tcPr>
            <w:tcW w:w="975" w:type="dxa"/>
            <w:vMerge w:val="restart"/>
            <w:tcBorders>
              <w:top w:val="single" w:sz="4" w:space="0" w:color="000000"/>
              <w:left w:val="single" w:sz="4" w:space="0" w:color="000000"/>
              <w:right w:val="single" w:sz="4" w:space="0" w:color="000000"/>
            </w:tcBorders>
            <w:shd w:val="clear" w:color="auto" w:fill="D2D2D2"/>
          </w:tcPr>
          <w:p>
            <w:pPr/>
          </w:p>
        </w:tc>
        <w:tc>
          <w:tcPr>
            <w:tcW w:w="5312"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27" w:type="dxa"/>
            <w:vMerge w:val="restart"/>
            <w:tcBorders>
              <w:top w:val="single" w:sz="4" w:space="0" w:color="000000"/>
              <w:left w:val="single" w:sz="4" w:space="0" w:color="000000"/>
              <w:right w:val="single" w:sz="4" w:space="0" w:color="000000"/>
            </w:tcBorders>
            <w:shd w:val="clear" w:color="auto" w:fill="D2D2D2"/>
          </w:tcPr>
          <w:p>
            <w:pPr/>
          </w:p>
        </w:tc>
      </w:tr>
      <w:tr>
        <w:trPr>
          <w:trHeight w:val="166" w:hRule="exact"/>
        </w:trPr>
        <w:tc>
          <w:tcPr>
            <w:tcW w:w="2544"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1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62" w:right="59"/>
              <w:jc w:val="both"/>
              <w:rPr>
                <w:rFonts w:ascii="宋体" w:hAnsi="宋体" w:cs="宋体" w:eastAsia="宋体" w:hint="default"/>
                <w:sz w:val="18"/>
                <w:szCs w:val="18"/>
              </w:rPr>
            </w:pPr>
            <w:r>
              <w:rPr>
                <w:rFonts w:ascii="宋体" w:hAnsi="宋体" w:cs="宋体" w:eastAsia="宋体" w:hint="default"/>
                <w:sz w:val="18"/>
                <w:szCs w:val="18"/>
              </w:rPr>
              <w:t>减：前期 计入其他 综合收益 当期转入 留存收益</w:t>
            </w: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853" w:type="dxa"/>
            <w:vMerge w:val="restart"/>
            <w:tcBorders>
              <w:top w:val="single" w:sz="4" w:space="0" w:color="000000"/>
              <w:left w:val="single" w:sz="4" w:space="0" w:color="000000"/>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r>
      <w:tr>
        <w:trPr>
          <w:trHeight w:val="145" w:hRule="exact"/>
        </w:trPr>
        <w:tc>
          <w:tcPr>
            <w:tcW w:w="2544"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10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23" w:right="22"/>
              <w:jc w:val="center"/>
              <w:rPr>
                <w:rFonts w:ascii="宋体" w:hAnsi="宋体" w:cs="宋体" w:eastAsia="宋体" w:hint="default"/>
                <w:sz w:val="18"/>
                <w:szCs w:val="18"/>
              </w:rPr>
            </w:pPr>
            <w:r>
              <w:rPr>
                <w:rFonts w:ascii="宋体" w:hAnsi="宋体" w:cs="宋体" w:eastAsia="宋体" w:hint="default"/>
                <w:spacing w:val="-15"/>
                <w:sz w:val="18"/>
                <w:szCs w:val="18"/>
              </w:rPr>
              <w:t>减：前期计入</w:t>
            </w:r>
            <w:r>
              <w:rPr>
                <w:rFonts w:ascii="宋体" w:hAnsi="宋体" w:cs="宋体" w:eastAsia="宋体" w:hint="default"/>
                <w:sz w:val="18"/>
                <w:szCs w:val="18"/>
              </w:rPr>
              <w:t> 其他综合收 益当期转入 损益</w:t>
            </w: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3"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single" w:sz="18" w:space="0" w:color="FFFFFF"/>
              <w:right w:val="single" w:sz="4" w:space="0" w:color="000000"/>
            </w:tcBorders>
            <w:shd w:val="clear" w:color="auto" w:fill="D2D2D2"/>
          </w:tcPr>
          <w:p>
            <w:pPr/>
          </w:p>
        </w:tc>
        <w:tc>
          <w:tcPr>
            <w:tcW w:w="727" w:type="dxa"/>
            <w:vMerge/>
            <w:tcBorders>
              <w:left w:val="single" w:sz="4" w:space="0" w:color="000000"/>
              <w:bottom w:val="single" w:sz="18" w:space="0" w:color="FFFFFF"/>
              <w:right w:val="single" w:sz="4" w:space="0" w:color="000000"/>
            </w:tcBorders>
            <w:shd w:val="clear" w:color="auto" w:fill="D2D2D2"/>
          </w:tcPr>
          <w:p>
            <w:pPr/>
          </w:p>
        </w:tc>
      </w:tr>
      <w:tr>
        <w:trPr>
          <w:trHeight w:val="145" w:hRule="exact"/>
        </w:trPr>
        <w:tc>
          <w:tcPr>
            <w:tcW w:w="2544" w:type="dxa"/>
            <w:vMerge/>
            <w:tcBorders>
              <w:left w:val="single" w:sz="4" w:space="0" w:color="000000"/>
              <w:bottom w:val="nil" w:sz="6" w:space="0" w:color="auto"/>
              <w:right w:val="single" w:sz="4" w:space="0" w:color="000000"/>
            </w:tcBorders>
            <w:shd w:val="clear" w:color="auto" w:fill="D2D2D2"/>
          </w:tcPr>
          <w:p>
            <w:pPr/>
          </w:p>
        </w:tc>
        <w:tc>
          <w:tcPr>
            <w:tcW w:w="975" w:type="dxa"/>
            <w:vMerge/>
            <w:tcBorders>
              <w:left w:val="single" w:sz="4" w:space="0" w:color="000000"/>
              <w:bottom w:val="nil" w:sz="6" w:space="0" w:color="auto"/>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60"/>
              <w:ind w:left="62" w:right="59"/>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853" w:type="dxa"/>
            <w:vMerge/>
            <w:tcBorders>
              <w:left w:val="single" w:sz="4" w:space="0" w:color="000000"/>
              <w:bottom w:val="nil" w:sz="6" w:space="0" w:color="auto"/>
              <w:right w:val="single" w:sz="4" w:space="0" w:color="000000"/>
            </w:tcBorders>
            <w:shd w:val="clear" w:color="auto" w:fill="D2D2D2"/>
          </w:tcPr>
          <w:p>
            <w:pPr/>
          </w:p>
        </w:tc>
        <w:tc>
          <w:tcPr>
            <w:tcW w:w="852" w:type="dxa"/>
            <w:vMerge w:val="restart"/>
            <w:tcBorders>
              <w:top w:val="single" w:sz="18" w:space="0" w:color="FFFFFF"/>
              <w:left w:val="single" w:sz="4" w:space="0" w:color="000000"/>
              <w:right w:val="single" w:sz="4" w:space="0" w:color="000000"/>
            </w:tcBorders>
            <w:shd w:val="clear" w:color="auto" w:fill="D2D2D2"/>
          </w:tcPr>
          <w:p>
            <w:pPr>
              <w:pStyle w:val="TableParagraph"/>
              <w:spacing w:line="319" w:lineRule="auto" w:before="37"/>
              <w:ind w:left="62" w:right="59"/>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27" w:type="dxa"/>
            <w:vMerge w:val="restart"/>
            <w:tcBorders>
              <w:top w:val="single" w:sz="18" w:space="0" w:color="FFFFFF"/>
              <w:left w:val="single" w:sz="4" w:space="0" w:color="000000"/>
              <w:right w:val="single" w:sz="4" w:space="0" w:color="000000"/>
            </w:tcBorders>
            <w:shd w:val="clear" w:color="auto" w:fill="D2D2D2"/>
          </w:tcPr>
          <w:p>
            <w:pPr>
              <w:pStyle w:val="TableParagraph"/>
              <w:spacing w:line="316" w:lineRule="auto"/>
              <w:ind w:left="268" w:right="86" w:hanging="180"/>
              <w:jc w:val="left"/>
              <w:rPr>
                <w:rFonts w:ascii="宋体" w:hAnsi="宋体" w:cs="宋体" w:eastAsia="宋体" w:hint="default"/>
                <w:sz w:val="18"/>
                <w:szCs w:val="18"/>
              </w:rPr>
            </w:pPr>
            <w:r>
              <w:rPr>
                <w:rFonts w:ascii="宋体" w:hAnsi="宋体" w:cs="宋体" w:eastAsia="宋体" w:hint="default"/>
                <w:sz w:val="18"/>
                <w:szCs w:val="18"/>
              </w:rPr>
              <w:t>期末余 额</w:t>
            </w:r>
          </w:p>
        </w:tc>
      </w:tr>
      <w:tr>
        <w:trPr>
          <w:trHeight w:val="371" w:hRule="exact"/>
        </w:trPr>
        <w:tc>
          <w:tcPr>
            <w:tcW w:w="25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9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2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52"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1"/>
              <w:ind w:left="151" w:right="59" w:hanging="89"/>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853"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1"/>
              <w:ind w:left="62" w:right="58"/>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852"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r>
      <w:tr>
        <w:trPr>
          <w:trHeight w:val="156" w:hRule="exact"/>
        </w:trPr>
        <w:tc>
          <w:tcPr>
            <w:tcW w:w="2544" w:type="dxa"/>
            <w:vMerge w:val="restart"/>
            <w:tcBorders>
              <w:top w:val="nil" w:sz="6" w:space="0" w:color="auto"/>
              <w:left w:val="single" w:sz="4" w:space="0" w:color="000000"/>
              <w:right w:val="single" w:sz="4" w:space="0" w:color="000000"/>
            </w:tcBorders>
            <w:shd w:val="clear" w:color="auto" w:fill="D2D2D2"/>
          </w:tcPr>
          <w:p>
            <w:pPr/>
          </w:p>
        </w:tc>
        <w:tc>
          <w:tcPr>
            <w:tcW w:w="975" w:type="dxa"/>
            <w:vMerge w:val="restart"/>
            <w:tcBorders>
              <w:top w:val="nil" w:sz="6" w:space="0" w:color="auto"/>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3"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727"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544"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853"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727" w:type="dxa"/>
            <w:vMerge w:val="restart"/>
            <w:tcBorders>
              <w:top w:val="nil" w:sz="6" w:space="0" w:color="auto"/>
              <w:left w:val="single" w:sz="4" w:space="0" w:color="000000"/>
              <w:right w:val="single" w:sz="4" w:space="0" w:color="000000"/>
            </w:tcBorders>
            <w:shd w:val="clear" w:color="auto" w:fill="D2D2D2"/>
          </w:tcPr>
          <w:p>
            <w:pPr/>
          </w:p>
        </w:tc>
      </w:tr>
      <w:tr>
        <w:trPr>
          <w:trHeight w:val="156" w:hRule="exact"/>
        </w:trPr>
        <w:tc>
          <w:tcPr>
            <w:tcW w:w="2544"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853" w:type="dxa"/>
            <w:vMerge w:val="restart"/>
            <w:tcBorders>
              <w:top w:val="nil" w:sz="6" w:space="0" w:color="auto"/>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r>
      <w:tr>
        <w:trPr>
          <w:trHeight w:val="156" w:hRule="exact"/>
        </w:trPr>
        <w:tc>
          <w:tcPr>
            <w:tcW w:w="2544"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1052"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3"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r>
      <w:tr>
        <w:trPr>
          <w:trHeight w:val="161" w:hRule="exact"/>
        </w:trPr>
        <w:tc>
          <w:tcPr>
            <w:tcW w:w="2544" w:type="dxa"/>
            <w:vMerge/>
            <w:tcBorders>
              <w:left w:val="single" w:sz="4" w:space="0" w:color="000000"/>
              <w:bottom w:val="single" w:sz="4" w:space="0" w:color="000000"/>
              <w:right w:val="single" w:sz="4" w:space="0" w:color="000000"/>
            </w:tcBorders>
            <w:shd w:val="clear" w:color="auto" w:fill="D2D2D2"/>
          </w:tcPr>
          <w:p>
            <w:pPr/>
          </w:p>
        </w:tc>
        <w:tc>
          <w:tcPr>
            <w:tcW w:w="975"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1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853"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2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20"/>
              <w:jc w:val="left"/>
              <w:rPr>
                <w:rFonts w:ascii="宋体" w:hAnsi="宋体" w:cs="宋体" w:eastAsia="宋体" w:hint="default"/>
                <w:sz w:val="18"/>
                <w:szCs w:val="18"/>
              </w:rPr>
            </w:pPr>
            <w:r>
              <w:rPr>
                <w:rFonts w:ascii="宋体" w:hAnsi="宋体" w:cs="宋体" w:eastAsia="宋体" w:hint="default"/>
                <w:spacing w:val="-2"/>
                <w:sz w:val="18"/>
                <w:szCs w:val="18"/>
              </w:rPr>
              <w:t>一、不能重分类进损益的其他综</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合收益</w:t>
            </w:r>
          </w:p>
        </w:tc>
        <w:tc>
          <w:tcPr>
            <w:tcW w:w="975" w:type="dxa"/>
            <w:tcBorders>
              <w:top w:val="single" w:sz="4" w:space="0" w:color="000000"/>
              <w:left w:val="single" w:sz="10" w:space="0" w:color="D2D2D2"/>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2"/>
              <w:ind w:left="506" w:right="0"/>
              <w:jc w:val="left"/>
              <w:rPr>
                <w:rFonts w:ascii="Times New Roman" w:hAnsi="Times New Roman" w:cs="Times New Roman" w:eastAsia="Times New Roman" w:hint="default"/>
                <w:sz w:val="18"/>
                <w:szCs w:val="18"/>
              </w:rPr>
            </w:pPr>
            <w:r>
              <w:rPr>
                <w:rFonts w:ascii="Times New Roman"/>
                <w:sz w:val="18"/>
              </w:rPr>
              <w:t>0.00</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2"/>
              <w:ind w:left="506" w:right="0"/>
              <w:jc w:val="left"/>
              <w:rPr>
                <w:rFonts w:ascii="Times New Roman" w:hAnsi="Times New Roman" w:cs="Times New Roman" w:eastAsia="Times New Roman" w:hint="default"/>
                <w:sz w:val="18"/>
                <w:szCs w:val="18"/>
              </w:rPr>
            </w:pPr>
            <w:r>
              <w:rPr>
                <w:rFonts w:ascii="Times New Roman"/>
                <w:sz w:val="18"/>
              </w:rPr>
              <w:t>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2"/>
              <w:ind w:left="175" w:right="0"/>
              <w:jc w:val="center"/>
              <w:rPr>
                <w:rFonts w:ascii="Times New Roman" w:hAnsi="Times New Roman" w:cs="Times New Roman" w:eastAsia="Times New Roman" w:hint="default"/>
                <w:sz w:val="18"/>
                <w:szCs w:val="18"/>
              </w:rPr>
            </w:pPr>
            <w:r>
              <w:rPr>
                <w:rFonts w:ascii="Times New Roman"/>
                <w:sz w:val="18"/>
              </w:rPr>
              <w:t>000.00</w:t>
            </w:r>
          </w:p>
        </w:tc>
      </w:tr>
      <w:tr>
        <w:trPr>
          <w:trHeight w:val="715" w:hRule="exact"/>
        </w:trPr>
        <w:tc>
          <w:tcPr>
            <w:tcW w:w="2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0" w:firstLine="540"/>
              <w:jc w:val="left"/>
              <w:rPr>
                <w:rFonts w:ascii="宋体" w:hAnsi="宋体" w:cs="宋体" w:eastAsia="宋体" w:hint="default"/>
                <w:sz w:val="18"/>
                <w:szCs w:val="18"/>
              </w:rPr>
            </w:pPr>
            <w:r>
              <w:rPr>
                <w:rFonts w:ascii="宋体" w:hAnsi="宋体" w:cs="宋体" w:eastAsia="宋体" w:hint="default"/>
                <w:sz w:val="18"/>
                <w:szCs w:val="18"/>
              </w:rPr>
              <w:t>其他权益工具投资公允 价值变动</w:t>
            </w:r>
          </w:p>
        </w:tc>
        <w:tc>
          <w:tcPr>
            <w:tcW w:w="975" w:type="dxa"/>
            <w:tcBorders>
              <w:top w:val="single" w:sz="4" w:space="0" w:color="000000"/>
              <w:left w:val="single" w:sz="10" w:space="0" w:color="D2D2D2"/>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0.00</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000.00</w:t>
            </w:r>
          </w:p>
        </w:tc>
      </w:tr>
      <w:tr>
        <w:trPr>
          <w:trHeight w:val="713" w:hRule="exact"/>
        </w:trPr>
        <w:tc>
          <w:tcPr>
            <w:tcW w:w="2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20"/>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二、将重分类进损益的其他综合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收益</w:t>
            </w:r>
          </w:p>
        </w:tc>
        <w:tc>
          <w:tcPr>
            <w:tcW w:w="97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5" w:right="0"/>
              <w:jc w:val="left"/>
              <w:rPr>
                <w:rFonts w:ascii="Times New Roman" w:hAnsi="Times New Roman" w:cs="Times New Roman" w:eastAsia="Times New Roman" w:hint="default"/>
                <w:sz w:val="18"/>
                <w:szCs w:val="18"/>
              </w:rPr>
            </w:pPr>
            <w:r>
              <w:rPr>
                <w:rFonts w:ascii="Times New Roman"/>
                <w:sz w:val="18"/>
              </w:rPr>
              <w:t>784,605.57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1,121,120.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14</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1,121,120.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14</w:t>
            </w: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1,905,72</w:t>
            </w:r>
          </w:p>
          <w:p>
            <w:pPr>
              <w:pStyle w:val="TableParagraph"/>
              <w:spacing w:line="240" w:lineRule="auto" w:before="102"/>
              <w:ind w:left="379" w:right="0"/>
              <w:jc w:val="left"/>
              <w:rPr>
                <w:rFonts w:ascii="Times New Roman" w:hAnsi="Times New Roman" w:cs="Times New Roman" w:eastAsia="Times New Roman" w:hint="default"/>
                <w:sz w:val="18"/>
                <w:szCs w:val="18"/>
              </w:rPr>
            </w:pPr>
            <w:r>
              <w:rPr>
                <w:rFonts w:ascii="Times New Roman"/>
                <w:sz w:val="18"/>
              </w:rPr>
              <w:t>5.71</w:t>
            </w:r>
          </w:p>
        </w:tc>
      </w:tr>
      <w:tr>
        <w:trPr>
          <w:trHeight w:val="161" w:hRule="exact"/>
        </w:trPr>
        <w:tc>
          <w:tcPr>
            <w:tcW w:w="2544" w:type="dxa"/>
            <w:tcBorders>
              <w:top w:val="single" w:sz="4" w:space="0" w:color="000000"/>
              <w:left w:val="single" w:sz="4" w:space="0" w:color="000000"/>
              <w:bottom w:val="nil" w:sz="6" w:space="0" w:color="auto"/>
              <w:right w:val="single" w:sz="4" w:space="0" w:color="000000"/>
            </w:tcBorders>
            <w:shd w:val="clear" w:color="auto" w:fill="D2D2D2"/>
          </w:tcPr>
          <w:p>
            <w:pPr/>
          </w:p>
        </w:tc>
        <w:tc>
          <w:tcPr>
            <w:tcW w:w="975"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5" w:right="0"/>
              <w:jc w:val="left"/>
              <w:rPr>
                <w:rFonts w:ascii="Times New Roman" w:hAnsi="Times New Roman" w:cs="Times New Roman" w:eastAsia="Times New Roman" w:hint="default"/>
                <w:sz w:val="18"/>
                <w:szCs w:val="18"/>
              </w:rPr>
            </w:pPr>
            <w:r>
              <w:rPr>
                <w:rFonts w:ascii="Times New Roman"/>
                <w:sz w:val="18"/>
              </w:rPr>
              <w:t>784,605.57</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1,121,120.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14</w:t>
            </w:r>
          </w:p>
        </w:tc>
        <w:tc>
          <w:tcPr>
            <w:tcW w:w="10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1,121,120.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14</w:t>
            </w:r>
          </w:p>
        </w:tc>
        <w:tc>
          <w:tcPr>
            <w:tcW w:w="852"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1,905,72</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5.71</w:t>
            </w:r>
          </w:p>
        </w:tc>
      </w:tr>
      <w:tr>
        <w:trPr>
          <w:trHeight w:val="394" w:hRule="exact"/>
        </w:trPr>
        <w:tc>
          <w:tcPr>
            <w:tcW w:w="25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975" w:type="dxa"/>
            <w:vMerge/>
            <w:tcBorders>
              <w:left w:val="single" w:sz="10" w:space="0" w:color="D2D2D2"/>
              <w:right w:val="single" w:sz="4" w:space="0" w:color="000000"/>
            </w:tcBorders>
          </w:tcPr>
          <w:p>
            <w:pPr/>
          </w:p>
        </w:tc>
        <w:tc>
          <w:tcPr>
            <w:tcW w:w="852" w:type="dxa"/>
            <w:vMerge/>
            <w:tcBorders>
              <w:left w:val="single" w:sz="4" w:space="0" w:color="000000"/>
              <w:right w:val="single" w:sz="4" w:space="0" w:color="000000"/>
            </w:tcBorders>
          </w:tcPr>
          <w:p>
            <w:pPr/>
          </w:p>
        </w:tc>
        <w:tc>
          <w:tcPr>
            <w:tcW w:w="10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r>
      <w:tr>
        <w:trPr>
          <w:trHeight w:val="161" w:hRule="exact"/>
        </w:trPr>
        <w:tc>
          <w:tcPr>
            <w:tcW w:w="2544" w:type="dxa"/>
            <w:tcBorders>
              <w:top w:val="nil" w:sz="6" w:space="0" w:color="auto"/>
              <w:left w:val="single" w:sz="4" w:space="0" w:color="000000"/>
              <w:bottom w:val="single" w:sz="4" w:space="0" w:color="000000"/>
              <w:right w:val="single" w:sz="4" w:space="0" w:color="000000"/>
            </w:tcBorders>
            <w:shd w:val="clear" w:color="auto" w:fill="D2D2D2"/>
          </w:tcPr>
          <w:p>
            <w:pPr/>
          </w:p>
        </w:tc>
        <w:tc>
          <w:tcPr>
            <w:tcW w:w="975" w:type="dxa"/>
            <w:vMerge/>
            <w:tcBorders>
              <w:left w:val="single" w:sz="10" w:space="0" w:color="D2D2D2"/>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0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r>
      <w:tr>
        <w:trPr>
          <w:trHeight w:val="161" w:hRule="exact"/>
        </w:trPr>
        <w:tc>
          <w:tcPr>
            <w:tcW w:w="2544" w:type="dxa"/>
            <w:tcBorders>
              <w:top w:val="single" w:sz="4" w:space="0" w:color="000000"/>
              <w:left w:val="single" w:sz="4" w:space="0" w:color="000000"/>
              <w:bottom w:val="nil" w:sz="6" w:space="0" w:color="auto"/>
              <w:right w:val="single" w:sz="4" w:space="0" w:color="000000"/>
            </w:tcBorders>
            <w:shd w:val="clear" w:color="auto" w:fill="D2D2D2"/>
          </w:tcPr>
          <w:p>
            <w:pPr/>
          </w:p>
        </w:tc>
        <w:tc>
          <w:tcPr>
            <w:tcW w:w="975"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5" w:right="0"/>
              <w:jc w:val="left"/>
              <w:rPr>
                <w:rFonts w:ascii="Times New Roman" w:hAnsi="Times New Roman" w:cs="Times New Roman" w:eastAsia="Times New Roman" w:hint="default"/>
                <w:sz w:val="18"/>
                <w:szCs w:val="18"/>
              </w:rPr>
            </w:pPr>
            <w:r>
              <w:rPr>
                <w:rFonts w:ascii="Times New Roman"/>
                <w:sz w:val="18"/>
              </w:rPr>
              <w:t>784,605.57</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-18,878,87</w:t>
            </w:r>
          </w:p>
          <w:p>
            <w:pPr>
              <w:pStyle w:val="TableParagraph"/>
              <w:spacing w:line="240" w:lineRule="auto" w:before="102"/>
              <w:ind w:left="506" w:right="0"/>
              <w:jc w:val="left"/>
              <w:rPr>
                <w:rFonts w:ascii="Times New Roman" w:hAnsi="Times New Roman" w:cs="Times New Roman" w:eastAsia="Times New Roman" w:hint="default"/>
                <w:sz w:val="18"/>
                <w:szCs w:val="18"/>
              </w:rPr>
            </w:pPr>
            <w:r>
              <w:rPr>
                <w:rFonts w:ascii="Times New Roman"/>
                <w:sz w:val="18"/>
              </w:rPr>
              <w:t>9.86</w:t>
            </w:r>
          </w:p>
        </w:tc>
        <w:tc>
          <w:tcPr>
            <w:tcW w:w="10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53"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-13,878,87</w:t>
            </w:r>
          </w:p>
          <w:p>
            <w:pPr>
              <w:pStyle w:val="TableParagraph"/>
              <w:spacing w:line="240" w:lineRule="auto" w:before="102"/>
              <w:ind w:left="506" w:right="0"/>
              <w:jc w:val="left"/>
              <w:rPr>
                <w:rFonts w:ascii="Times New Roman" w:hAnsi="Times New Roman" w:cs="Times New Roman" w:eastAsia="Times New Roman" w:hint="default"/>
                <w:sz w:val="18"/>
                <w:szCs w:val="18"/>
              </w:rPr>
            </w:pPr>
            <w:r>
              <w:rPr>
                <w:rFonts w:ascii="Times New Roman"/>
                <w:sz w:val="18"/>
              </w:rPr>
              <w:t>9.86</w:t>
            </w:r>
          </w:p>
        </w:tc>
        <w:tc>
          <w:tcPr>
            <w:tcW w:w="852"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-13,094,</w:t>
            </w:r>
          </w:p>
          <w:p>
            <w:pPr>
              <w:pStyle w:val="TableParagraph"/>
              <w:spacing w:line="240" w:lineRule="auto" w:before="102"/>
              <w:ind w:left="175" w:right="0"/>
              <w:jc w:val="center"/>
              <w:rPr>
                <w:rFonts w:ascii="Times New Roman" w:hAnsi="Times New Roman" w:cs="Times New Roman" w:eastAsia="Times New Roman" w:hint="default"/>
                <w:sz w:val="18"/>
                <w:szCs w:val="18"/>
              </w:rPr>
            </w:pPr>
            <w:r>
              <w:rPr>
                <w:rFonts w:ascii="Times New Roman"/>
                <w:sz w:val="18"/>
              </w:rPr>
              <w:t>274.29</w:t>
            </w:r>
          </w:p>
        </w:tc>
      </w:tr>
      <w:tr>
        <w:trPr>
          <w:trHeight w:val="391" w:hRule="exact"/>
        </w:trPr>
        <w:tc>
          <w:tcPr>
            <w:tcW w:w="25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975" w:type="dxa"/>
            <w:vMerge/>
            <w:tcBorders>
              <w:left w:val="single" w:sz="10" w:space="0" w:color="D2D2D2"/>
              <w:right w:val="single" w:sz="4" w:space="0" w:color="000000"/>
            </w:tcBorders>
          </w:tcPr>
          <w:p>
            <w:pPr/>
          </w:p>
        </w:tc>
        <w:tc>
          <w:tcPr>
            <w:tcW w:w="852" w:type="dxa"/>
            <w:vMerge/>
            <w:tcBorders>
              <w:left w:val="single" w:sz="4" w:space="0" w:color="000000"/>
              <w:right w:val="single" w:sz="4" w:space="0" w:color="000000"/>
            </w:tcBorders>
          </w:tcPr>
          <w:p>
            <w:pPr/>
          </w:p>
        </w:tc>
        <w:tc>
          <w:tcPr>
            <w:tcW w:w="10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r>
      <w:tr>
        <w:trPr>
          <w:trHeight w:val="161" w:hRule="exact"/>
        </w:trPr>
        <w:tc>
          <w:tcPr>
            <w:tcW w:w="2544" w:type="dxa"/>
            <w:tcBorders>
              <w:top w:val="nil" w:sz="6" w:space="0" w:color="auto"/>
              <w:left w:val="single" w:sz="4" w:space="0" w:color="000000"/>
              <w:bottom w:val="single" w:sz="4" w:space="0" w:color="000000"/>
              <w:right w:val="single" w:sz="4" w:space="0" w:color="000000"/>
            </w:tcBorders>
            <w:shd w:val="clear" w:color="auto" w:fill="D2D2D2"/>
          </w:tcPr>
          <w:p>
            <w:pPr/>
          </w:p>
        </w:tc>
        <w:tc>
          <w:tcPr>
            <w:tcW w:w="975" w:type="dxa"/>
            <w:vMerge/>
            <w:tcBorders>
              <w:left w:val="single" w:sz="10" w:space="0" w:color="D2D2D2"/>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0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58、专项储备" w:id="374"/>
      <w:bookmarkEnd w:id="374"/>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59、盈余公积" w:id="375"/>
      <w:bookmarkEnd w:id="375"/>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58"/>
              <w:jc w:val="right"/>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85"/>
              <w:jc w:val="righ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99,437,184.92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29,374,519.38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128,811,704.30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58"/>
              <w:jc w:val="righ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99,437,184.92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29,374,519.38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128,811,704.30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60、未分配利润" w:id="376"/>
      <w:bookmarkEnd w:id="376"/>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2934"/>
        <w:gridCol w:w="2919"/>
      </w:tblGrid>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982,064,442.16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963,196,408.72</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982,064,442.16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963,196,408.72</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-2,455,867,198.03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133,239,222.45</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29,374,519.38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52,012,753.57</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提取一般风险准备</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1,429,109.72</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60,465,640.17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62,358,435.44</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-1,565,072,025.14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982,064,442.16</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61、营业收入和营业成本" w:id="377"/>
      <w:bookmarkEnd w:id="377"/>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01"/>
        <w:gridCol w:w="1928"/>
        <w:gridCol w:w="1916"/>
        <w:gridCol w:w="1913"/>
        <w:gridCol w:w="1916"/>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3"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4"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5,190,429,137.45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4,474,271,046.53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4,854,385,322.10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3,811,648,874.37</w:t>
            </w: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112,409,564.11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93,066,235.39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156,853,762.44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117,583,360.74</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5,302,838,701.56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4,567,337,281.92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5,011,239,084.54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3,929,232,235.11</w:t>
            </w:r>
          </w:p>
        </w:tc>
      </w:tr>
    </w:tbl>
    <w:p>
      <w:pPr>
        <w:pStyle w:val="BodyText"/>
        <w:spacing w:line="240" w:lineRule="auto" w:before="49"/>
        <w:ind w:right="1133"/>
        <w:jc w:val="left"/>
      </w:pPr>
      <w:r>
        <w:rPr/>
        <w:t>是否已执行新收入准则</w:t>
      </w:r>
    </w:p>
    <w:p>
      <w:pPr>
        <w:pStyle w:val="BodyText"/>
        <w:spacing w:line="240" w:lineRule="auto" w:before="115"/>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6"/>
          <w:szCs w:val="26"/>
        </w:rPr>
      </w:pPr>
    </w:p>
    <w:p>
      <w:pPr>
        <w:pStyle w:val="Heading3"/>
        <w:spacing w:line="240" w:lineRule="auto"/>
        <w:ind w:right="1133"/>
        <w:jc w:val="left"/>
        <w:rPr>
          <w:b w:val="0"/>
          <w:bCs w:val="0"/>
        </w:rPr>
      </w:pPr>
      <w:bookmarkStart w:name="62、税金及附加" w:id="378"/>
      <w:bookmarkEnd w:id="378"/>
      <w:r>
        <w:rPr>
          <w:b w:val="0"/>
          <w:bCs w:val="0"/>
        </w:rPr>
      </w:r>
      <w:r>
        <w:rPr>
          <w:rFonts w:ascii="Times New Roman" w:hAnsi="Times New Roman" w:cs="Times New Roman" w:eastAsia="Times New Roman" w:hint="default"/>
        </w:rPr>
        <w:t>62</w:t>
      </w:r>
      <w:r>
        <w:rPr/>
        <w:t>、税金及附加</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6,756,076.16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7,758,991.33</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3,006,323.77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3,504,527.86</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4,037,935.70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3,764,736.63</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3,323,590.87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6,377,201.26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25,322.18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36,313.18</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2,060,126.56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1,819,035.27</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1,900,034.97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2,286,450.30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水利基金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174,638.72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268,458.26</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106,996.66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4,933.32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35,424.15</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环境保护税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46,154.35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45,214.56</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21,442,133.26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25,896,352.80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63、销售费用" w:id="379"/>
      <w:bookmarkEnd w:id="379"/>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64,026,705.08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51,327,376.79</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运杂费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53,212,722.68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47,644,634.11</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售后服务费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8,113,263.61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6,951,098.56</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6,949,891.14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7,393,039.00</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5,603,802.34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5,868,476.85</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营销费用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131,518,415.88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18,235,796.13</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办公费用及其他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3,269,567.26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4,529,653.13</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2,756,828.14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2,028,768.04</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仓储、租赁费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2,237,956.20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1,384,782.57</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737,623.68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729,966.07</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出口费用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254,900.85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498,642.54</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278,681,676.86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146,592,233.79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64、管理费用" w:id="380"/>
      <w:bookmarkEnd w:id="380"/>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207,918,491.03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154,703,453.52</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累计摊销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67,386,891.08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32,960,961.01</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审计、咨询、评估费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36,597,547.91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27,676,756.77</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办公费用及其他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25,431,044.78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19,258,946.16</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32,785,464.22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22,985,287.73</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22,103,563.82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34,676,974.23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10,642,696.36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9,718,855.42</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8,755,601.70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9,293,063.49</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水电费及物业费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8,338,563.65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6,150,298.10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认证、检测、代理费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15,489,125.37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12,960,624.72</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2,261,202.73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1,785,864.41</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2,064,813.34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1,023,229.16</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残疾人就业保障金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322,287.54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386,305.64</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董事及董事会费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287,633.61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221,666.66</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150,970.99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190,840.59</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440,535,898.13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333,993,127.61</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65、研发费用" w:id="381"/>
      <w:bookmarkEnd w:id="381"/>
      <w:r>
        <w:rPr>
          <w:b w:val="0"/>
          <w:bCs w:val="0"/>
        </w:rPr>
      </w:r>
      <w:r>
        <w:rPr>
          <w:rFonts w:ascii="Times New Roman" w:hAnsi="Times New Roman" w:cs="Times New Roman" w:eastAsia="Times New Roman" w:hint="default"/>
        </w:rPr>
        <w:t>65</w:t>
      </w:r>
      <w:r>
        <w:rPr/>
        <w:t>、研发费用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167,713,059.37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125,677,713.42</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35,108,367.99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22,113,456.07</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13,687,075.67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12,849,413.73</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办公费用及其他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4,470,021.63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8,715,696.93</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检测费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2,519,673.13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927,872.02</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2,199,776.86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1,177,328.83</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2,149,838.30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1,433,071.89</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1,581,108.90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1,168,338.16</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1,331,893.08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459,592.73</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263,118.36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983,256.79</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专利申请费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148,359.42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44,521.06</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18,630.00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231,172,292.71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175,568,891.63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66、财务费用" w:id="382"/>
      <w:bookmarkEnd w:id="382"/>
      <w:r>
        <w:rPr>
          <w:b w:val="0"/>
          <w:bCs w:val="0"/>
        </w:rPr>
      </w:r>
      <w:r>
        <w:rPr>
          <w:rFonts w:ascii="Times New Roman" w:hAnsi="Times New Roman" w:cs="Times New Roman" w:eastAsia="Times New Roman" w:hint="default"/>
        </w:rPr>
        <w:t>66</w:t>
      </w:r>
      <w:r>
        <w:rPr/>
        <w:t>、财务费用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利息费用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19,484,442.12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13,740,419.63</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22,858,078.15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50,053,899.90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加：汇兑损失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-2,035,488.64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-11,048,964.27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加：其他支出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1,643,723.19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8,076,351.89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-3,765,401.48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-39,286,092.65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67、其他收益" w:id="383"/>
      <w:bookmarkEnd w:id="383"/>
      <w:r>
        <w:rPr>
          <w:b w:val="0"/>
          <w:bCs w:val="0"/>
        </w:rPr>
      </w:r>
      <w:r>
        <w:rPr>
          <w:rFonts w:ascii="Times New Roman" w:hAnsi="Times New Roman" w:cs="Times New Roman" w:eastAsia="Times New Roman" w:hint="default"/>
        </w:rPr>
        <w:t>67</w:t>
      </w:r>
      <w:r>
        <w:rPr/>
        <w:t>、其他收益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18,820,281.20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24,221,392.13</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个税手续费返还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156,471.66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7,431.34</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进项税加计扣除</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2,445,071.56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增值税手续费返还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8,427.00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增值税及附加税免征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306.35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21,430,557.77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24,228,823.47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68、投资收益" w:id="384"/>
      <w:bookmarkEnd w:id="384"/>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438"/>
        <w:gridCol w:w="3202"/>
        <w:gridCol w:w="2919"/>
      </w:tblGrid>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18,111.88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-580,339.80</w:t>
            </w: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171,561.65</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202" w:type="dxa"/>
            <w:tcBorders>
              <w:top w:val="single" w:sz="4" w:space="0" w:color="000000"/>
              <w:left w:val="single" w:sz="13"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67,336,617.11</w:t>
            </w: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9,275,933.80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2,099,496.02</w:t>
            </w:r>
          </w:p>
        </w:tc>
      </w:tr>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9,465,607.33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68,855,773.33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69、净敞口套期收益" w:id="385"/>
      <w:bookmarkEnd w:id="385"/>
      <w:r>
        <w:rPr>
          <w:b w:val="0"/>
          <w:bCs w:val="0"/>
        </w:rPr>
      </w:r>
      <w:r>
        <w:rPr>
          <w:rFonts w:ascii="Times New Roman" w:hAnsi="Times New Roman" w:cs="Times New Roman" w:eastAsia="Times New Roman" w:hint="default"/>
        </w:rPr>
        <w:t>69</w:t>
      </w:r>
      <w:r>
        <w:rPr/>
        <w:t>、净敞口套期收益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70、公允价值变动收益" w:id="386"/>
      <w:bookmarkEnd w:id="386"/>
      <w:r>
        <w:rPr>
          <w:b w:val="0"/>
          <w:bCs w:val="0"/>
        </w:rPr>
      </w:r>
      <w:r>
        <w:rPr>
          <w:rFonts w:ascii="Times New Roman" w:hAnsi="Times New Roman" w:cs="Times New Roman" w:eastAsia="Times New Roman" w:hint="default"/>
        </w:rPr>
        <w:t>70</w:t>
      </w:r>
      <w:r>
        <w:rPr/>
        <w:t>、公允价值变动收益</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1"/>
        <w:ind w:right="1133"/>
        <w:jc w:val="left"/>
        <w:rPr>
          <w:b w:val="0"/>
          <w:bCs w:val="0"/>
        </w:rPr>
      </w:pPr>
      <w:bookmarkStart w:name="71、信用减值损失" w:id="387"/>
      <w:bookmarkEnd w:id="387"/>
      <w:r>
        <w:rPr>
          <w:b w:val="0"/>
          <w:bCs w:val="0"/>
        </w:rPr>
      </w:r>
      <w:r>
        <w:rPr>
          <w:rFonts w:ascii="Times New Roman" w:hAnsi="Times New Roman" w:cs="Times New Roman" w:eastAsia="Times New Roman" w:hint="default"/>
        </w:rPr>
        <w:t>71</w:t>
      </w:r>
      <w:r>
        <w:rPr/>
        <w:t>、信用减值损失</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-79,124,341.07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贷款减值准备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-45,652,575.29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-124,776,916.36</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72、资产减值损失" w:id="388"/>
      <w:bookmarkEnd w:id="388"/>
      <w:r>
        <w:rPr>
          <w:b w:val="0"/>
          <w:bCs w:val="0"/>
        </w:rPr>
      </w:r>
      <w:r>
        <w:rPr>
          <w:rFonts w:ascii="Times New Roman" w:hAnsi="Times New Roman" w:cs="Times New Roman" w:eastAsia="Times New Roman" w:hint="default"/>
        </w:rPr>
        <w:t>72</w:t>
      </w:r>
      <w:r>
        <w:rPr/>
        <w:t>、资产减值损失</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before="44"/>
        <w:ind w:right="-19"/>
        <w:jc w:val="left"/>
      </w:pPr>
      <w:r>
        <w:rPr/>
        <w:t>是否已执行新收入准则</w:t>
      </w:r>
    </w:p>
    <w:p>
      <w:pPr>
        <w:pStyle w:val="BodyText"/>
        <w:spacing w:line="240" w:lineRule="auto" w:before="115"/>
        <w:ind w:right="-1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4" w:space="6875"/>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-4,212,159.59</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-44,762,062.00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-6,434,241.98</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-3,695,612.69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-2,069,389,995.44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-289,952,938.10</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-23,940,311.76</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-2,117,847,670.13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-324,539,651.43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73、资产处置收益" w:id="389"/>
      <w:bookmarkEnd w:id="389"/>
      <w:r>
        <w:rPr>
          <w:b w:val="0"/>
          <w:bCs w:val="0"/>
        </w:rPr>
      </w:r>
      <w:r>
        <w:rPr>
          <w:rFonts w:ascii="Times New Roman" w:hAnsi="Times New Roman" w:cs="Times New Roman" w:eastAsia="Times New Roman" w:hint="default"/>
        </w:rPr>
        <w:t>73</w:t>
      </w:r>
      <w:r>
        <w:rPr/>
        <w:t>、资产处置收益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1,423,038.73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1,318,960.30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其中：资产处置利得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2,780,941.13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1,627,568.14</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565" w:right="0"/>
              <w:jc w:val="left"/>
              <w:rPr>
                <w:rFonts w:ascii="宋体" w:hAnsi="宋体" w:cs="宋体" w:eastAsia="宋体" w:hint="default"/>
                <w:sz w:val="18"/>
                <w:szCs w:val="18"/>
              </w:rPr>
            </w:pPr>
            <w:r>
              <w:rPr>
                <w:rFonts w:ascii="宋体" w:hAnsi="宋体" w:cs="宋体" w:eastAsia="宋体" w:hint="default"/>
                <w:sz w:val="18"/>
                <w:szCs w:val="18"/>
              </w:rPr>
              <w:t>资产处置损失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1,357,902.40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308,607.84</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1,423,038.73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1,318,960.30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74、营业外收入" w:id="390"/>
      <w:bookmarkEnd w:id="390"/>
      <w:r>
        <w:rPr>
          <w:b w:val="0"/>
          <w:bCs w:val="0"/>
        </w:rPr>
      </w:r>
      <w:r>
        <w:rPr>
          <w:rFonts w:ascii="Times New Roman" w:hAnsi="Times New Roman" w:cs="Times New Roman" w:eastAsia="Times New Roman" w:hint="default"/>
        </w:rPr>
        <w:t>74</w:t>
      </w:r>
      <w:r>
        <w:rPr/>
        <w:t>、营业外收入</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4"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007"/>
              <w:jc w:val="right"/>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3,397,523.22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3,646,515.07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3,397,523.22</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企业合并</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1,755,534.40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4,292,055.04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4,423,935.04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4,292,055.04</w:t>
            </w: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07"/>
              <w:jc w:val="righ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7,689,578.26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9,825,984.51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7,689,578.26</w:t>
            </w:r>
          </w:p>
        </w:tc>
      </w:tr>
    </w:tbl>
    <w:p>
      <w:pPr>
        <w:pStyle w:val="BodyText"/>
        <w:spacing w:line="240" w:lineRule="auto" w:before="49"/>
        <w:ind w:right="1133"/>
        <w:jc w:val="left"/>
      </w:pPr>
      <w:r>
        <w:rPr/>
        <w:t>计入当期损益的政府补助：</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71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2"/>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9" w:right="72"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7" w:right="75" w:hanging="361"/>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02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130"/>
              <w:jc w:val="left"/>
              <w:rPr>
                <w:rFonts w:ascii="宋体" w:hAnsi="宋体" w:cs="宋体" w:eastAsia="宋体" w:hint="default"/>
                <w:sz w:val="18"/>
                <w:szCs w:val="18"/>
              </w:rPr>
            </w:pPr>
            <w:r>
              <w:rPr>
                <w:rFonts w:ascii="宋体" w:hAnsi="宋体" w:cs="宋体" w:eastAsia="宋体" w:hint="default"/>
                <w:sz w:val="18"/>
                <w:szCs w:val="18"/>
              </w:rPr>
              <w:t>科技发展专 项资金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both"/>
              <w:rPr>
                <w:rFonts w:ascii="宋体" w:hAnsi="宋体" w:cs="宋体" w:eastAsia="宋体" w:hint="default"/>
                <w:sz w:val="18"/>
                <w:szCs w:val="18"/>
              </w:rPr>
            </w:pPr>
            <w:r>
              <w:rPr>
                <w:rFonts w:ascii="宋体" w:hAnsi="宋体" w:cs="宋体" w:eastAsia="宋体" w:hint="default"/>
                <w:sz w:val="18"/>
                <w:szCs w:val="18"/>
              </w:rPr>
              <w:t>青岛市即墨 区科技和工 业信息化局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3" w:right="19"/>
              <w:jc w:val="both"/>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6"/>
          <w:szCs w:val="26"/>
        </w:rPr>
      </w:pPr>
    </w:p>
    <w:p>
      <w:pPr>
        <w:pStyle w:val="BodyText"/>
        <w:spacing w:line="319" w:lineRule="auto" w:before="44"/>
        <w:ind w:left="3374" w:right="6524"/>
        <w:jc w:val="left"/>
      </w:pPr>
      <w:r>
        <w:rPr/>
        <w:t>业而获得的 </w:t>
      </w:r>
      <w:r>
        <w:rPr>
          <w:spacing w:val="-12"/>
        </w:rPr>
        <w:t>补助（按国家</w:t>
      </w:r>
      <w:r>
        <w:rPr/>
        <w:t> 级政策规定 依法取得）</w:t>
      </w:r>
    </w:p>
    <w:p>
      <w:pPr>
        <w:spacing w:after="0" w:line="319" w:lineRule="auto"/>
        <w:jc w:val="left"/>
        <w:sectPr>
          <w:pgSz w:w="11910" w:h="16840"/>
          <w:pgMar w:header="745" w:footer="980" w:top="1060" w:bottom="1160" w:left="980" w:right="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BodyText"/>
        <w:spacing w:line="316" w:lineRule="auto"/>
        <w:ind w:left="181" w:right="-20"/>
        <w:jc w:val="left"/>
      </w:pPr>
      <w:r>
        <w:rPr/>
        <w:t>困难人员保 险岗位补贴</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9"/>
          <w:szCs w:val="19"/>
        </w:rPr>
      </w:pPr>
    </w:p>
    <w:p>
      <w:pPr>
        <w:pStyle w:val="BodyText"/>
        <w:spacing w:line="316" w:lineRule="auto"/>
        <w:ind w:left="125" w:right="-19"/>
        <w:jc w:val="left"/>
      </w:pPr>
      <w:r>
        <w:rPr/>
        <w:t>青岛市即墨 区通济劳动</w:t>
      </w:r>
      <w:r>
        <w:rPr>
          <w:spacing w:val="73"/>
        </w:rPr>
        <w:t> </w:t>
      </w:r>
      <w:r>
        <w:rPr/>
        <w:t>补助</w:t>
      </w:r>
      <w:r>
        <w:rPr/>
        <w:t> 所</w:t>
      </w:r>
    </w:p>
    <w:p>
      <w:pPr>
        <w:pStyle w:val="BodyText"/>
        <w:spacing w:line="316" w:lineRule="auto" w:before="108"/>
        <w:ind w:left="181" w:right="-20"/>
        <w:jc w:val="left"/>
      </w:pPr>
      <w:r>
        <w:rPr/>
        <w:br w:type="column"/>
      </w:r>
      <w:r>
        <w:rPr/>
        <w:t>因从事国家 鼓励和扶持 </w:t>
      </w:r>
      <w:r>
        <w:rPr>
          <w:spacing w:val="-12"/>
        </w:rPr>
        <w:t>特定行业、产</w:t>
      </w:r>
      <w:r>
        <w:rPr/>
        <w:t> 业而获得的 </w:t>
      </w:r>
      <w:r>
        <w:rPr>
          <w:spacing w:val="-12"/>
        </w:rPr>
        <w:t>补助（按国家</w:t>
      </w:r>
      <w:r>
        <w:rPr/>
        <w:t> 级政策规定 依法取得）</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5"/>
          <w:szCs w:val="25"/>
        </w:rPr>
      </w:pPr>
    </w:p>
    <w:p>
      <w:pPr>
        <w:pStyle w:val="BodyText"/>
        <w:tabs>
          <w:tab w:pos="1078" w:val="left" w:leader="none"/>
          <w:tab w:pos="3491" w:val="left" w:leader="none"/>
        </w:tabs>
        <w:spacing w:line="240" w:lineRule="auto"/>
        <w:ind w:left="15" w:right="0"/>
        <w:jc w:val="left"/>
      </w:pPr>
      <w:r>
        <w:rPr/>
        <w:t>否</w:t>
        <w:tab/>
        <w:t>否</w:t>
        <w:tab/>
      </w:r>
      <w:r>
        <w:rPr>
          <w:rFonts w:ascii="Times New Roman" w:hAnsi="Times New Roman" w:cs="Times New Roman" w:eastAsia="Times New Roman" w:hint="default"/>
        </w:rPr>
        <w:t>38,736.00</w:t>
      </w:r>
      <w:r>
        <w:rPr>
          <w:rFonts w:ascii="Times New Roman" w:hAnsi="Times New Roman" w:cs="Times New Roman" w:eastAsia="Times New Roman" w:hint="default"/>
          <w:spacing w:val="7"/>
        </w:rPr>
        <w:t> </w:t>
      </w:r>
      <w:r>
        <w:rPr/>
        <w:t>与收益相关</w:t>
      </w:r>
    </w:p>
    <w:p>
      <w:pPr>
        <w:spacing w:after="0" w:line="240" w:lineRule="auto"/>
        <w:jc w:val="left"/>
        <w:sectPr>
          <w:type w:val="continuous"/>
          <w:pgSz w:w="11910" w:h="16840"/>
          <w:pgMar w:top="1060" w:bottom="1160" w:left="980" w:right="0"/>
          <w:cols w:num="4" w:equalWidth="0">
            <w:col w:w="1082" w:space="40"/>
            <w:col w:w="1550" w:space="522"/>
            <w:col w:w="1190" w:space="40"/>
            <w:col w:w="6506"/>
          </w:cols>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5"/>
          <w:szCs w:val="25"/>
        </w:rPr>
      </w:pPr>
    </w:p>
    <w:p>
      <w:pPr>
        <w:pStyle w:val="BodyText"/>
        <w:spacing w:line="240" w:lineRule="auto"/>
        <w:ind w:left="181" w:right="-20"/>
        <w:jc w:val="left"/>
      </w:pPr>
      <w:r>
        <w:rPr/>
        <w:t>见习补贴</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5"/>
        <w:rPr>
          <w:rFonts w:ascii="宋体" w:hAnsi="宋体" w:cs="宋体" w:eastAsia="宋体" w:hint="default"/>
          <w:sz w:val="20"/>
          <w:szCs w:val="20"/>
        </w:rPr>
      </w:pPr>
    </w:p>
    <w:p>
      <w:pPr>
        <w:pStyle w:val="BodyText"/>
        <w:spacing w:line="310" w:lineRule="atLeast"/>
        <w:ind w:left="181" w:right="503"/>
        <w:jc w:val="left"/>
      </w:pPr>
      <w:r>
        <w:rPr/>
        <w:t>即墨市高校 毕业生就业</w:t>
      </w:r>
    </w:p>
    <w:p>
      <w:pPr>
        <w:pStyle w:val="BodyText"/>
        <w:spacing w:line="116" w:lineRule="exact"/>
        <w:ind w:left="0" w:right="0"/>
        <w:jc w:val="right"/>
      </w:pPr>
      <w:r>
        <w:rPr/>
        <w:t>补助</w:t>
      </w:r>
    </w:p>
    <w:p>
      <w:pPr>
        <w:pStyle w:val="BodyText"/>
        <w:spacing w:line="196" w:lineRule="exact"/>
        <w:ind w:left="181" w:right="0"/>
        <w:jc w:val="left"/>
      </w:pPr>
      <w:r>
        <w:rPr/>
        <w:t>见习工作办</w:t>
      </w:r>
    </w:p>
    <w:p>
      <w:pPr>
        <w:pStyle w:val="BodyText"/>
        <w:spacing w:line="240" w:lineRule="auto" w:before="76"/>
        <w:ind w:left="181" w:right="503"/>
        <w:jc w:val="left"/>
      </w:pPr>
      <w:r>
        <w:rPr/>
        <w:t>公室</w:t>
      </w:r>
    </w:p>
    <w:p>
      <w:pPr>
        <w:pStyle w:val="BodyText"/>
        <w:spacing w:line="319" w:lineRule="auto" w:before="107"/>
        <w:ind w:left="181" w:right="-20"/>
        <w:jc w:val="left"/>
      </w:pPr>
      <w:r>
        <w:rPr/>
        <w:br w:type="column"/>
      </w:r>
      <w:r>
        <w:rPr/>
        <w:t>因从事国家 鼓励和扶持 </w:t>
      </w:r>
      <w:r>
        <w:rPr>
          <w:spacing w:val="-12"/>
        </w:rPr>
        <w:t>特定行业、产</w:t>
      </w:r>
      <w:r>
        <w:rPr/>
        <w:t> 业而获得的 </w:t>
      </w:r>
      <w:r>
        <w:rPr>
          <w:spacing w:val="-12"/>
        </w:rPr>
        <w:t>补助（按国家</w:t>
      </w:r>
      <w:r>
        <w:rPr/>
        <w:t> 级政策规定 依法取得）</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5"/>
          <w:szCs w:val="25"/>
        </w:rPr>
      </w:pPr>
    </w:p>
    <w:p>
      <w:pPr>
        <w:pStyle w:val="BodyText"/>
        <w:tabs>
          <w:tab w:pos="1078" w:val="left" w:leader="none"/>
          <w:tab w:pos="3414" w:val="left" w:leader="none"/>
        </w:tabs>
        <w:spacing w:line="240" w:lineRule="auto"/>
        <w:ind w:left="15" w:right="0"/>
        <w:jc w:val="left"/>
      </w:pPr>
      <w:r>
        <w:rPr/>
        <w:t>否</w:t>
        <w:tab/>
        <w:t>否</w:t>
        <w:tab/>
      </w:r>
      <w:r>
        <w:rPr>
          <w:rFonts w:ascii="Times New Roman" w:hAnsi="Times New Roman" w:cs="Times New Roman" w:eastAsia="Times New Roman" w:hint="default"/>
        </w:rPr>
        <w:t>111,035.00</w:t>
      </w:r>
      <w:r>
        <w:rPr>
          <w:rFonts w:ascii="Times New Roman" w:hAnsi="Times New Roman" w:cs="Times New Roman" w:eastAsia="Times New Roman" w:hint="default"/>
          <w:spacing w:val="-5"/>
        </w:rPr>
        <w:t> </w:t>
      </w:r>
      <w:r>
        <w:rPr/>
        <w:t>与收益相关</w:t>
      </w:r>
    </w:p>
    <w:p>
      <w:pPr>
        <w:spacing w:after="0" w:line="240" w:lineRule="auto"/>
        <w:jc w:val="left"/>
        <w:sectPr>
          <w:type w:val="continuous"/>
          <w:pgSz w:w="11910" w:h="16840"/>
          <w:pgMar w:top="1060" w:bottom="1160" w:left="980" w:right="0"/>
          <w:cols w:num="4" w:equalWidth="0">
            <w:col w:w="902" w:space="164"/>
            <w:col w:w="1605" w:space="522"/>
            <w:col w:w="1190" w:space="40"/>
            <w:col w:w="6507"/>
          </w:cols>
        </w:sectPr>
      </w:pPr>
    </w:p>
    <w:p>
      <w:pPr>
        <w:spacing w:line="240" w:lineRule="auto" w:before="3"/>
        <w:rPr>
          <w:rFonts w:ascii="宋体" w:hAnsi="宋体" w:cs="宋体" w:eastAsia="宋体" w:hint="default"/>
          <w:sz w:val="20"/>
          <w:szCs w:val="20"/>
        </w:rPr>
      </w:pPr>
    </w:p>
    <w:p>
      <w:pPr>
        <w:pStyle w:val="BodyText"/>
        <w:spacing w:line="316" w:lineRule="auto"/>
        <w:ind w:left="181" w:right="0"/>
        <w:jc w:val="both"/>
      </w:pPr>
      <w:r>
        <w:rPr/>
        <w:t>职业教育生 产性公共实 训政府补贴</w:t>
      </w:r>
    </w:p>
    <w:p>
      <w:pPr>
        <w:pStyle w:val="BodyText"/>
        <w:spacing w:line="310" w:lineRule="atLeast" w:before="34"/>
        <w:ind w:left="125" w:right="396"/>
        <w:jc w:val="left"/>
      </w:pPr>
      <w:r>
        <w:rPr/>
        <w:br w:type="column"/>
      </w:r>
      <w:r>
        <w:rPr/>
        <w:t>青岛市教育 </w:t>
      </w:r>
      <w:r>
        <w:rPr>
          <w:spacing w:val="-12"/>
        </w:rPr>
        <w:t>局、青岛市财</w:t>
      </w:r>
    </w:p>
    <w:p>
      <w:pPr>
        <w:pStyle w:val="BodyText"/>
        <w:spacing w:line="116" w:lineRule="exact"/>
        <w:ind w:left="0" w:right="0"/>
        <w:jc w:val="right"/>
      </w:pPr>
      <w:r>
        <w:rPr/>
        <w:t>补助</w:t>
      </w:r>
    </w:p>
    <w:p>
      <w:pPr>
        <w:pStyle w:val="BodyText"/>
        <w:spacing w:line="196" w:lineRule="exact"/>
        <w:ind w:left="125" w:right="-19"/>
        <w:jc w:val="left"/>
      </w:pPr>
      <w:r>
        <w:rPr>
          <w:spacing w:val="-12"/>
        </w:rPr>
        <w:t>政局、青岛市</w:t>
      </w:r>
    </w:p>
    <w:p>
      <w:pPr>
        <w:pStyle w:val="BodyText"/>
        <w:spacing w:line="240" w:lineRule="auto" w:before="76"/>
        <w:ind w:left="125" w:right="-19"/>
        <w:jc w:val="left"/>
      </w:pPr>
      <w:r>
        <w:rPr/>
        <w:t>经信委</w:t>
      </w:r>
    </w:p>
    <w:p>
      <w:pPr>
        <w:pStyle w:val="BodyText"/>
        <w:spacing w:line="310" w:lineRule="atLeast" w:before="34"/>
        <w:ind w:left="181" w:right="6452"/>
        <w:jc w:val="left"/>
      </w:pPr>
      <w:r>
        <w:rPr/>
        <w:br w:type="column"/>
      </w:r>
      <w:r>
        <w:rPr/>
        <w:t>因研究开发、 技术更新及</w:t>
      </w:r>
    </w:p>
    <w:p>
      <w:pPr>
        <w:pStyle w:val="BodyText"/>
        <w:tabs>
          <w:tab w:pos="2308" w:val="left" w:leader="none"/>
          <w:tab w:pos="4629" w:val="left" w:leader="none"/>
        </w:tabs>
        <w:spacing w:line="123" w:lineRule="exact"/>
        <w:ind w:left="1244" w:right="0"/>
        <w:jc w:val="left"/>
      </w:pPr>
      <w:r>
        <w:rPr/>
        <w:t>否</w:t>
        <w:tab/>
        <w:t>否</w:t>
        <w:tab/>
      </w:r>
      <w:r>
        <w:rPr>
          <w:rFonts w:ascii="Times New Roman" w:hAnsi="Times New Roman" w:cs="Times New Roman" w:eastAsia="Times New Roman" w:hint="default"/>
        </w:rPr>
        <w:t>519,243.00</w:t>
      </w:r>
      <w:r>
        <w:rPr>
          <w:rFonts w:ascii="Times New Roman" w:hAnsi="Times New Roman" w:cs="Times New Roman" w:eastAsia="Times New Roman" w:hint="default"/>
          <w:spacing w:val="9"/>
        </w:rPr>
        <w:t> </w:t>
      </w:r>
      <w:r>
        <w:rPr/>
        <w:t>与收益相关</w:t>
      </w:r>
    </w:p>
    <w:p>
      <w:pPr>
        <w:pStyle w:val="BodyText"/>
        <w:spacing w:line="189" w:lineRule="exact"/>
        <w:ind w:left="181" w:right="6452"/>
        <w:jc w:val="left"/>
      </w:pPr>
      <w:r>
        <w:rPr/>
        <w:t>改造等获得</w:t>
      </w:r>
    </w:p>
    <w:p>
      <w:pPr>
        <w:pStyle w:val="BodyText"/>
        <w:spacing w:line="240" w:lineRule="auto" w:before="76"/>
        <w:ind w:left="181" w:right="6452"/>
        <w:jc w:val="left"/>
      </w:pPr>
      <w:r>
        <w:rPr/>
        <w:t>的补助</w:t>
      </w:r>
    </w:p>
    <w:p>
      <w:pPr>
        <w:spacing w:after="0" w:line="240" w:lineRule="auto"/>
        <w:jc w:val="left"/>
        <w:sectPr>
          <w:type w:val="continuous"/>
          <w:pgSz w:w="11910" w:h="16840"/>
          <w:pgMar w:top="1060" w:bottom="1160" w:left="980" w:right="0"/>
          <w:cols w:num="3" w:equalWidth="0">
            <w:col w:w="1082" w:space="40"/>
            <w:col w:w="1550" w:space="522"/>
            <w:col w:w="7736"/>
          </w:cols>
        </w:sectPr>
      </w:pP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spacing w:line="240" w:lineRule="auto" w:before="5"/>
        <w:rPr>
          <w:rFonts w:ascii="宋体" w:hAnsi="宋体" w:cs="宋体" w:eastAsia="宋体" w:hint="default"/>
          <w:sz w:val="15"/>
          <w:szCs w:val="15"/>
        </w:rPr>
      </w:pPr>
    </w:p>
    <w:p>
      <w:pPr>
        <w:pStyle w:val="BodyText"/>
        <w:spacing w:line="309" w:lineRule="auto"/>
        <w:ind w:left="181" w:right="0"/>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年即墨 市工业设计 中心补助款</w:t>
      </w:r>
    </w:p>
    <w:p>
      <w:pPr>
        <w:spacing w:line="240" w:lineRule="auto" w:before="5"/>
        <w:rPr>
          <w:rFonts w:ascii="宋体" w:hAnsi="宋体" w:cs="宋体" w:eastAsia="宋体" w:hint="default"/>
          <w:sz w:val="15"/>
          <w:szCs w:val="15"/>
        </w:rPr>
      </w:pPr>
      <w:r>
        <w:rPr/>
        <w:br w:type="column"/>
      </w:r>
      <w:r>
        <w:rPr>
          <w:rFonts w:ascii="宋体"/>
          <w:sz w:val="15"/>
        </w:rPr>
      </w:r>
    </w:p>
    <w:p>
      <w:pPr>
        <w:pStyle w:val="BodyText"/>
        <w:spacing w:line="316" w:lineRule="auto"/>
        <w:ind w:left="77" w:right="-20"/>
        <w:jc w:val="left"/>
      </w:pPr>
      <w:r>
        <w:rPr/>
        <w:t>青岛市即墨 区科技和工</w:t>
      </w:r>
      <w:r>
        <w:rPr>
          <w:spacing w:val="73"/>
        </w:rPr>
        <w:t> </w:t>
      </w:r>
      <w:r>
        <w:rPr/>
        <w:t>补助</w:t>
      </w:r>
      <w:r>
        <w:rPr/>
        <w:t> 业信息化局</w:t>
      </w:r>
    </w:p>
    <w:p>
      <w:pPr>
        <w:pStyle w:val="BodyText"/>
        <w:spacing w:line="312" w:lineRule="exact" w:before="5"/>
        <w:ind w:left="181" w:right="6452"/>
        <w:jc w:val="left"/>
      </w:pPr>
      <w:r>
        <w:rPr/>
        <w:br w:type="column"/>
      </w:r>
      <w:r>
        <w:rPr/>
        <w:t>因研究开发、 技术更新及</w:t>
      </w:r>
    </w:p>
    <w:p>
      <w:pPr>
        <w:pStyle w:val="BodyText"/>
        <w:tabs>
          <w:tab w:pos="2308" w:val="left" w:leader="none"/>
          <w:tab w:pos="4629" w:val="left" w:leader="none"/>
        </w:tabs>
        <w:spacing w:line="86" w:lineRule="exact"/>
        <w:ind w:left="1244" w:right="0"/>
        <w:jc w:val="left"/>
      </w:pPr>
      <w:r>
        <w:rPr/>
        <w:t>否</w:t>
        <w:tab/>
        <w:t>否</w:t>
        <w:tab/>
      </w:r>
      <w:r>
        <w:rPr>
          <w:rFonts w:ascii="Times New Roman" w:hAnsi="Times New Roman" w:cs="Times New Roman" w:eastAsia="Times New Roman" w:hint="default"/>
        </w:rPr>
        <w:t>100,000.00</w:t>
      </w:r>
      <w:r>
        <w:rPr>
          <w:rFonts w:ascii="Times New Roman" w:hAnsi="Times New Roman" w:cs="Times New Roman" w:eastAsia="Times New Roman" w:hint="default"/>
          <w:spacing w:val="9"/>
        </w:rPr>
        <w:t> </w:t>
      </w:r>
      <w:r>
        <w:rPr/>
        <w:t>与收益相关</w:t>
      </w:r>
    </w:p>
    <w:p>
      <w:pPr>
        <w:pStyle w:val="BodyText"/>
        <w:spacing w:line="189" w:lineRule="exact"/>
        <w:ind w:left="181" w:right="6452"/>
        <w:jc w:val="left"/>
      </w:pPr>
      <w:r>
        <w:rPr/>
        <w:t>改造等获得</w:t>
      </w:r>
    </w:p>
    <w:p>
      <w:pPr>
        <w:pStyle w:val="BodyText"/>
        <w:spacing w:line="240" w:lineRule="auto" w:before="76"/>
        <w:ind w:left="181" w:right="6452"/>
        <w:jc w:val="left"/>
      </w:pPr>
      <w:r>
        <w:rPr/>
        <w:t>的补助</w:t>
      </w:r>
    </w:p>
    <w:p>
      <w:pPr>
        <w:spacing w:after="0" w:line="240" w:lineRule="auto"/>
        <w:jc w:val="left"/>
        <w:sectPr>
          <w:type w:val="continuous"/>
          <w:pgSz w:w="11910" w:h="16840"/>
          <w:pgMar w:top="1060" w:bottom="1160" w:left="980" w:right="0"/>
          <w:cols w:num="3" w:equalWidth="0">
            <w:col w:w="1131" w:space="40"/>
            <w:col w:w="1501" w:space="522"/>
            <w:col w:w="7736"/>
          </w:cols>
        </w:sectPr>
      </w:pP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spacing w:line="240" w:lineRule="auto" w:before="4"/>
        <w:rPr>
          <w:rFonts w:ascii="宋体" w:hAnsi="宋体" w:cs="宋体" w:eastAsia="宋体" w:hint="default"/>
          <w:sz w:val="15"/>
          <w:szCs w:val="15"/>
        </w:rPr>
      </w:pPr>
    </w:p>
    <w:p>
      <w:pPr>
        <w:pStyle w:val="BodyText"/>
        <w:spacing w:line="316" w:lineRule="auto"/>
        <w:ind w:left="181" w:right="0"/>
        <w:jc w:val="both"/>
      </w:pPr>
      <w:r>
        <w:rPr/>
        <w:t>高新技术企 业新认定补 助</w:t>
      </w:r>
    </w:p>
    <w:p>
      <w:pPr>
        <w:spacing w:line="240" w:lineRule="auto" w:before="4"/>
        <w:rPr>
          <w:rFonts w:ascii="宋体" w:hAnsi="宋体" w:cs="宋体" w:eastAsia="宋体" w:hint="default"/>
          <w:sz w:val="15"/>
          <w:szCs w:val="15"/>
        </w:rPr>
      </w:pPr>
      <w:r>
        <w:rPr/>
        <w:br w:type="column"/>
      </w:r>
      <w:r>
        <w:rPr>
          <w:rFonts w:ascii="宋体"/>
          <w:sz w:val="15"/>
        </w:rPr>
      </w:r>
    </w:p>
    <w:p>
      <w:pPr>
        <w:pStyle w:val="BodyText"/>
        <w:spacing w:line="316" w:lineRule="auto"/>
        <w:ind w:left="125" w:right="-19"/>
        <w:jc w:val="left"/>
      </w:pPr>
      <w:r>
        <w:rPr/>
        <w:t>青岛市即墨 区科技和工</w:t>
      </w:r>
      <w:r>
        <w:rPr>
          <w:spacing w:val="73"/>
        </w:rPr>
        <w:t> </w:t>
      </w:r>
      <w:r>
        <w:rPr/>
        <w:t>补助</w:t>
      </w:r>
      <w:r>
        <w:rPr/>
        <w:t> 业信息化局</w:t>
      </w:r>
    </w:p>
    <w:p>
      <w:pPr>
        <w:pStyle w:val="BodyText"/>
        <w:spacing w:line="312" w:lineRule="exact" w:before="5"/>
        <w:ind w:left="181" w:right="6452"/>
        <w:jc w:val="left"/>
      </w:pPr>
      <w:r>
        <w:rPr/>
        <w:br w:type="column"/>
      </w:r>
      <w:r>
        <w:rPr/>
        <w:t>因研究开发、 技术更新及</w:t>
      </w:r>
    </w:p>
    <w:p>
      <w:pPr>
        <w:pStyle w:val="BodyText"/>
        <w:tabs>
          <w:tab w:pos="2308" w:val="left" w:leader="none"/>
          <w:tab w:pos="4629" w:val="left" w:leader="none"/>
        </w:tabs>
        <w:spacing w:line="86" w:lineRule="exact"/>
        <w:ind w:left="1244" w:right="0"/>
        <w:jc w:val="left"/>
      </w:pPr>
      <w:r>
        <w:rPr/>
        <w:t>否</w:t>
        <w:tab/>
        <w:t>否</w:t>
        <w:tab/>
      </w:r>
      <w:r>
        <w:rPr>
          <w:rFonts w:ascii="Times New Roman" w:hAnsi="Times New Roman" w:cs="Times New Roman" w:eastAsia="Times New Roman" w:hint="default"/>
        </w:rPr>
        <w:t>300,000.00</w:t>
      </w:r>
      <w:r>
        <w:rPr>
          <w:rFonts w:ascii="Times New Roman" w:hAnsi="Times New Roman" w:cs="Times New Roman" w:eastAsia="Times New Roman" w:hint="default"/>
          <w:spacing w:val="9"/>
        </w:rPr>
        <w:t> </w:t>
      </w:r>
      <w:r>
        <w:rPr/>
        <w:t>与收益相关</w:t>
      </w:r>
    </w:p>
    <w:p>
      <w:pPr>
        <w:pStyle w:val="BodyText"/>
        <w:spacing w:line="189" w:lineRule="exact"/>
        <w:ind w:left="181" w:right="6452"/>
        <w:jc w:val="left"/>
      </w:pPr>
      <w:r>
        <w:rPr/>
        <w:t>改造等获得</w:t>
      </w:r>
    </w:p>
    <w:p>
      <w:pPr>
        <w:pStyle w:val="BodyText"/>
        <w:spacing w:line="240" w:lineRule="auto" w:before="76"/>
        <w:ind w:left="181" w:right="6452"/>
        <w:jc w:val="left"/>
      </w:pPr>
      <w:r>
        <w:rPr/>
        <w:t>的补助</w:t>
      </w:r>
    </w:p>
    <w:p>
      <w:pPr>
        <w:spacing w:after="0" w:line="240" w:lineRule="auto"/>
        <w:jc w:val="left"/>
        <w:sectPr>
          <w:type w:val="continuous"/>
          <w:pgSz w:w="11910" w:h="16840"/>
          <w:pgMar w:top="1060" w:bottom="1160" w:left="980" w:right="0"/>
          <w:cols w:num="3" w:equalWidth="0">
            <w:col w:w="1082" w:space="40"/>
            <w:col w:w="1550" w:space="522"/>
            <w:col w:w="7736"/>
          </w:cols>
        </w:sectPr>
      </w:pP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pStyle w:val="BodyText"/>
        <w:spacing w:line="316" w:lineRule="auto" w:before="44"/>
        <w:ind w:left="181" w:right="-18"/>
        <w:jc w:val="left"/>
      </w:pPr>
      <w:r>
        <w:rPr/>
        <w:t>青岛市即墨 区科技和工 业信息化局 关于开展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年度高 新技术企业 认定奖励申 报工作的通 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pStyle w:val="BodyText"/>
        <w:spacing w:line="316" w:lineRule="auto"/>
        <w:ind w:left="77" w:right="-20"/>
        <w:jc w:val="left"/>
      </w:pPr>
      <w:r>
        <w:rPr/>
        <w:t>青岛市即墨 区科技和工</w:t>
      </w:r>
      <w:r>
        <w:rPr>
          <w:spacing w:val="73"/>
        </w:rPr>
        <w:t> </w:t>
      </w:r>
      <w:r>
        <w:rPr/>
        <w:t>补助</w:t>
      </w:r>
      <w:r>
        <w:rPr/>
        <w:t> 业信息化局</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310" w:lineRule="atLeast"/>
        <w:ind w:left="181" w:right="6452"/>
        <w:jc w:val="left"/>
      </w:pPr>
      <w:r>
        <w:rPr/>
        <w:t>因研究开发、 技术更新及</w:t>
      </w:r>
    </w:p>
    <w:p>
      <w:pPr>
        <w:pStyle w:val="BodyText"/>
        <w:tabs>
          <w:tab w:pos="2308" w:val="left" w:leader="none"/>
          <w:tab w:pos="4629" w:val="left" w:leader="none"/>
        </w:tabs>
        <w:spacing w:line="123" w:lineRule="exact"/>
        <w:ind w:left="1244" w:right="0"/>
        <w:jc w:val="left"/>
      </w:pPr>
      <w:r>
        <w:rPr/>
        <w:t>否</w:t>
        <w:tab/>
        <w:t>否</w:t>
        <w:tab/>
      </w:r>
      <w:r>
        <w:rPr>
          <w:rFonts w:ascii="Times New Roman" w:hAnsi="Times New Roman" w:cs="Times New Roman" w:eastAsia="Times New Roman" w:hint="default"/>
        </w:rPr>
        <w:t>100,000.00</w:t>
      </w:r>
      <w:r>
        <w:rPr>
          <w:rFonts w:ascii="Times New Roman" w:hAnsi="Times New Roman" w:cs="Times New Roman" w:eastAsia="Times New Roman" w:hint="default"/>
          <w:spacing w:val="9"/>
        </w:rPr>
        <w:t> </w:t>
      </w:r>
      <w:r>
        <w:rPr/>
        <w:t>与收益相关</w:t>
      </w:r>
    </w:p>
    <w:p>
      <w:pPr>
        <w:pStyle w:val="BodyText"/>
        <w:spacing w:line="189" w:lineRule="exact"/>
        <w:ind w:left="181" w:right="6452"/>
        <w:jc w:val="left"/>
      </w:pPr>
      <w:r>
        <w:rPr/>
        <w:t>改造等获得</w:t>
      </w:r>
    </w:p>
    <w:p>
      <w:pPr>
        <w:pStyle w:val="BodyText"/>
        <w:spacing w:line="240" w:lineRule="auto" w:before="76"/>
        <w:ind w:left="181" w:right="6452"/>
        <w:jc w:val="left"/>
      </w:pPr>
      <w:r>
        <w:rPr/>
        <w:t>的补助</w:t>
      </w:r>
    </w:p>
    <w:p>
      <w:pPr>
        <w:spacing w:after="0" w:line="240" w:lineRule="auto"/>
        <w:jc w:val="left"/>
        <w:sectPr>
          <w:type w:val="continuous"/>
          <w:pgSz w:w="11910" w:h="16840"/>
          <w:pgMar w:top="1060" w:bottom="1160" w:left="980" w:right="0"/>
          <w:cols w:num="3" w:equalWidth="0">
            <w:col w:w="1131" w:space="40"/>
            <w:col w:w="1501" w:space="522"/>
            <w:col w:w="7736"/>
          </w:cols>
        </w:sectPr>
      </w:pPr>
    </w:p>
    <w:p>
      <w:pPr>
        <w:spacing w:line="240" w:lineRule="auto" w:before="4"/>
        <w:rPr>
          <w:rFonts w:ascii="宋体" w:hAnsi="宋体" w:cs="宋体" w:eastAsia="宋体" w:hint="default"/>
          <w:sz w:val="20"/>
          <w:szCs w:val="20"/>
        </w:rPr>
      </w:pPr>
      <w:r>
        <w:rPr/>
        <w:pict>
          <v:group style="position:absolute;margin-left:56.400002pt;margin-top:71.759979pt;width:479.05pt;height:690.25pt;mso-position-horizontal-relative:page;mso-position-vertical-relative:page;z-index:-1713832" coordorigin="1128,1435" coordsize="9581,13805">
            <v:group style="position:absolute;left:1138;top:1445;width:1057;height:2" coordorigin="1138,1445" coordsize="1057,2">
              <v:shape style="position:absolute;left:1138;top:1445;width:1057;height:2" coordorigin="1138,1445" coordsize="1057,0" path="m1138,1445l2194,1445e" filled="false" stroked="true" strokeweight=".48pt" strokecolor="#000000">
                <v:path arrowok="t"/>
              </v:shape>
            </v:group>
            <v:group style="position:absolute;left:2204;top:1445;width:1054;height:2" coordorigin="2204,1445" coordsize="1054,2">
              <v:shape style="position:absolute;left:2204;top:1445;width:1054;height:2" coordorigin="2204,1445" coordsize="1054,0" path="m2204,1445l3257,1445e" filled="false" stroked="true" strokeweight=".48pt" strokecolor="#000000">
                <v:path arrowok="t"/>
              </v:shape>
            </v:group>
            <v:group style="position:absolute;left:3267;top:1445;width:1055;height:2" coordorigin="3267,1445" coordsize="1055,2">
              <v:shape style="position:absolute;left:3267;top:1445;width:1055;height:2" coordorigin="3267,1445" coordsize="1055,0" path="m3267,1445l4321,1445e" filled="false" stroked="true" strokeweight=".48pt" strokecolor="#000000">
                <v:path arrowok="t"/>
              </v:shape>
            </v:group>
            <v:group style="position:absolute;left:4331;top:1445;width:1054;height:2" coordorigin="4331,1445" coordsize="1054,2">
              <v:shape style="position:absolute;left:4331;top:1445;width:1054;height:2" coordorigin="4331,1445" coordsize="1054,0" path="m4331,1445l5384,1445e" filled="false" stroked="true" strokeweight=".48pt" strokecolor="#000000">
                <v:path arrowok="t"/>
              </v:shape>
            </v:group>
            <v:group style="position:absolute;left:5394;top:1445;width:1052;height:2" coordorigin="5394,1445" coordsize="1052,2">
              <v:shape style="position:absolute;left:5394;top:1445;width:1052;height:2" coordorigin="5394,1445" coordsize="1052,0" path="m5394,1445l6445,1445e" filled="false" stroked="true" strokeweight=".48pt" strokecolor="#000000">
                <v:path arrowok="t"/>
              </v:shape>
            </v:group>
            <v:group style="position:absolute;left:6455;top:1445;width:1054;height:2" coordorigin="6455,1445" coordsize="1054,2">
              <v:shape style="position:absolute;left:6455;top:1445;width:1054;height:2" coordorigin="6455,1445" coordsize="1054,0" path="m6455,1445l7509,1445e" filled="false" stroked="true" strokeweight=".48pt" strokecolor="#000000">
                <v:path arrowok="t"/>
              </v:shape>
            </v:group>
            <v:group style="position:absolute;left:7518;top:1445;width:1054;height:2" coordorigin="7518,1445" coordsize="1054,2">
              <v:shape style="position:absolute;left:7518;top:1445;width:1054;height:2" coordorigin="7518,1445" coordsize="1054,0" path="m7518,1445l8572,1445e" filled="false" stroked="true" strokeweight=".48pt" strokecolor="#000000">
                <v:path arrowok="t"/>
              </v:shape>
            </v:group>
            <v:group style="position:absolute;left:8581;top:1445;width:1055;height:2" coordorigin="8581,1445" coordsize="1055,2">
              <v:shape style="position:absolute;left:8581;top:1445;width:1055;height:2" coordorigin="8581,1445" coordsize="1055,0" path="m8581,1445l9635,1445e" filled="false" stroked="true" strokeweight=".48pt" strokecolor="#000000">
                <v:path arrowok="t"/>
              </v:shape>
            </v:group>
            <v:group style="position:absolute;left:9645;top:1445;width:1054;height:2" coordorigin="9645,1445" coordsize="1054,2">
              <v:shape style="position:absolute;left:9645;top:1445;width:1054;height:2" coordorigin="9645,1445" coordsize="1054,0" path="m9645,1445l10699,1445e" filled="false" stroked="true" strokeweight=".48pt" strokecolor="#000000">
                <v:path arrowok="t"/>
              </v:shape>
            </v:group>
            <v:group style="position:absolute;left:1138;top:2744;width:1057;height:2" coordorigin="1138,2744" coordsize="1057,2">
              <v:shape style="position:absolute;left:1138;top:2744;width:1057;height:2" coordorigin="1138,2744" coordsize="1057,0" path="m1138,2744l2194,2744e" filled="false" stroked="true" strokeweight=".48pt" strokecolor="#000000">
                <v:path arrowok="t"/>
              </v:shape>
            </v:group>
            <v:group style="position:absolute;left:2204;top:2744;width:1054;height:2" coordorigin="2204,2744" coordsize="1054,2">
              <v:shape style="position:absolute;left:2204;top:2744;width:1054;height:2" coordorigin="2204,2744" coordsize="1054,0" path="m2204,2744l3257,2744e" filled="false" stroked="true" strokeweight=".48pt" strokecolor="#000000">
                <v:path arrowok="t"/>
              </v:shape>
            </v:group>
            <v:group style="position:absolute;left:3267;top:2744;width:1055;height:2" coordorigin="3267,2744" coordsize="1055,2">
              <v:shape style="position:absolute;left:3267;top:2744;width:1055;height:2" coordorigin="3267,2744" coordsize="1055,0" path="m3267,2744l4321,2744e" filled="false" stroked="true" strokeweight=".48pt" strokecolor="#000000">
                <v:path arrowok="t"/>
              </v:shape>
            </v:group>
            <v:group style="position:absolute;left:4331;top:2744;width:1054;height:2" coordorigin="4331,2744" coordsize="1054,2">
              <v:shape style="position:absolute;left:4331;top:2744;width:1054;height:2" coordorigin="4331,2744" coordsize="1054,0" path="m4331,2744l5384,2744e" filled="false" stroked="true" strokeweight=".48pt" strokecolor="#000000">
                <v:path arrowok="t"/>
              </v:shape>
            </v:group>
            <v:group style="position:absolute;left:5394;top:2744;width:1052;height:2" coordorigin="5394,2744" coordsize="1052,2">
              <v:shape style="position:absolute;left:5394;top:2744;width:1052;height:2" coordorigin="5394,2744" coordsize="1052,0" path="m5394,2744l6445,2744e" filled="false" stroked="true" strokeweight=".48pt" strokecolor="#000000">
                <v:path arrowok="t"/>
              </v:shape>
            </v:group>
            <v:group style="position:absolute;left:6455;top:2744;width:1054;height:2" coordorigin="6455,2744" coordsize="1054,2">
              <v:shape style="position:absolute;left:6455;top:2744;width:1054;height:2" coordorigin="6455,2744" coordsize="1054,0" path="m6455,2744l7509,2744e" filled="false" stroked="true" strokeweight=".48pt" strokecolor="#000000">
                <v:path arrowok="t"/>
              </v:shape>
            </v:group>
            <v:group style="position:absolute;left:7518;top:2744;width:1054;height:2" coordorigin="7518,2744" coordsize="1054,2">
              <v:shape style="position:absolute;left:7518;top:2744;width:1054;height:2" coordorigin="7518,2744" coordsize="1054,0" path="m7518,2744l8572,2744e" filled="false" stroked="true" strokeweight=".48pt" strokecolor="#000000">
                <v:path arrowok="t"/>
              </v:shape>
            </v:group>
            <v:group style="position:absolute;left:8581;top:2744;width:1055;height:2" coordorigin="8581,2744" coordsize="1055,2">
              <v:shape style="position:absolute;left:8581;top:2744;width:1055;height:2" coordorigin="8581,2744" coordsize="1055,0" path="m8581,2744l9635,2744e" filled="false" stroked="true" strokeweight=".48pt" strokecolor="#000000">
                <v:path arrowok="t"/>
              </v:shape>
            </v:group>
            <v:group style="position:absolute;left:9645;top:2744;width:1054;height:2" coordorigin="9645,2744" coordsize="1054,2">
              <v:shape style="position:absolute;left:9645;top:2744;width:1054;height:2" coordorigin="9645,2744" coordsize="1054,0" path="m9645,2744l10699,2744e" filled="false" stroked="true" strokeweight=".48pt" strokecolor="#000000">
                <v:path arrowok="t"/>
              </v:shape>
            </v:group>
            <v:group style="position:absolute;left:1138;top:5016;width:1057;height:2" coordorigin="1138,5016" coordsize="1057,2">
              <v:shape style="position:absolute;left:1138;top:5016;width:1057;height:2" coordorigin="1138,5016" coordsize="1057,0" path="m1138,5016l2194,5016e" filled="false" stroked="true" strokeweight=".48pt" strokecolor="#000000">
                <v:path arrowok="t"/>
              </v:shape>
            </v:group>
            <v:group style="position:absolute;left:2204;top:5016;width:1054;height:2" coordorigin="2204,5016" coordsize="1054,2">
              <v:shape style="position:absolute;left:2204;top:5016;width:1054;height:2" coordorigin="2204,5016" coordsize="1054,0" path="m2204,5016l3257,5016e" filled="false" stroked="true" strokeweight=".48pt" strokecolor="#000000">
                <v:path arrowok="t"/>
              </v:shape>
            </v:group>
            <v:group style="position:absolute;left:3267;top:5016;width:1055;height:2" coordorigin="3267,5016" coordsize="1055,2">
              <v:shape style="position:absolute;left:3267;top:5016;width:1055;height:2" coordorigin="3267,5016" coordsize="1055,0" path="m3267,5016l4321,5016e" filled="false" stroked="true" strokeweight=".48pt" strokecolor="#000000">
                <v:path arrowok="t"/>
              </v:shape>
            </v:group>
            <v:group style="position:absolute;left:4331;top:5016;width:1054;height:2" coordorigin="4331,5016" coordsize="1054,2">
              <v:shape style="position:absolute;left:4331;top:5016;width:1054;height:2" coordorigin="4331,5016" coordsize="1054,0" path="m4331,5016l5384,5016e" filled="false" stroked="true" strokeweight=".48pt" strokecolor="#000000">
                <v:path arrowok="t"/>
              </v:shape>
            </v:group>
            <v:group style="position:absolute;left:5394;top:5016;width:1052;height:2" coordorigin="5394,5016" coordsize="1052,2">
              <v:shape style="position:absolute;left:5394;top:5016;width:1052;height:2" coordorigin="5394,5016" coordsize="1052,0" path="m5394,5016l6445,5016e" filled="false" stroked="true" strokeweight=".48pt" strokecolor="#000000">
                <v:path arrowok="t"/>
              </v:shape>
            </v:group>
            <v:group style="position:absolute;left:6455;top:5016;width:1054;height:2" coordorigin="6455,5016" coordsize="1054,2">
              <v:shape style="position:absolute;left:6455;top:5016;width:1054;height:2" coordorigin="6455,5016" coordsize="1054,0" path="m6455,5016l7509,5016e" filled="false" stroked="true" strokeweight=".48pt" strokecolor="#000000">
                <v:path arrowok="t"/>
              </v:shape>
            </v:group>
            <v:group style="position:absolute;left:7518;top:5016;width:1054;height:2" coordorigin="7518,5016" coordsize="1054,2">
              <v:shape style="position:absolute;left:7518;top:5016;width:1054;height:2" coordorigin="7518,5016" coordsize="1054,0" path="m7518,5016l8572,5016e" filled="false" stroked="true" strokeweight=".48pt" strokecolor="#000000">
                <v:path arrowok="t"/>
              </v:shape>
            </v:group>
            <v:group style="position:absolute;left:8581;top:5016;width:1055;height:2" coordorigin="8581,5016" coordsize="1055,2">
              <v:shape style="position:absolute;left:8581;top:5016;width:1055;height:2" coordorigin="8581,5016" coordsize="1055,0" path="m8581,5016l9635,5016e" filled="false" stroked="true" strokeweight=".48pt" strokecolor="#000000">
                <v:path arrowok="t"/>
              </v:shape>
            </v:group>
            <v:group style="position:absolute;left:9645;top:5016;width:1054;height:2" coordorigin="9645,5016" coordsize="1054,2">
              <v:shape style="position:absolute;left:9645;top:5016;width:1054;height:2" coordorigin="9645,5016" coordsize="1054,0" path="m9645,5016l10699,5016e" filled="false" stroked="true" strokeweight=".48pt" strokecolor="#000000">
                <v:path arrowok="t"/>
              </v:shape>
            </v:group>
            <v:group style="position:absolute;left:5394;top:7297;width:1055;height:468" coordorigin="5394,7297" coordsize="1055,468">
              <v:shape style="position:absolute;left:5394;top:7297;width:1055;height:468" coordorigin="5394,7297" coordsize="1055,468" path="m5394,7765l6448,7765,6448,7297,5394,7297,5394,7765xe" filled="true" fillcolor="#ffffff" stroked="false">
                <v:path arrowok="t"/>
                <v:fill type="solid"/>
              </v:shape>
            </v:group>
            <v:group style="position:absolute;left:1138;top:7292;width:1057;height:2" coordorigin="1138,7292" coordsize="1057,2">
              <v:shape style="position:absolute;left:1138;top:7292;width:1057;height:2" coordorigin="1138,7292" coordsize="1057,0" path="m1138,7292l2194,7292e" filled="false" stroked="true" strokeweight=".47998pt" strokecolor="#000000">
                <v:path arrowok="t"/>
              </v:shape>
            </v:group>
            <v:group style="position:absolute;left:2204;top:7292;width:1054;height:2" coordorigin="2204,7292" coordsize="1054,2">
              <v:shape style="position:absolute;left:2204;top:7292;width:1054;height:2" coordorigin="2204,7292" coordsize="1054,0" path="m2204,7292l3257,7292e" filled="false" stroked="true" strokeweight=".47998pt" strokecolor="#000000">
                <v:path arrowok="t"/>
              </v:shape>
            </v:group>
            <v:group style="position:absolute;left:3267;top:7292;width:1055;height:2" coordorigin="3267,7292" coordsize="1055,2">
              <v:shape style="position:absolute;left:3267;top:7292;width:1055;height:2" coordorigin="3267,7292" coordsize="1055,0" path="m3267,7292l4321,7292e" filled="false" stroked="true" strokeweight=".47998pt" strokecolor="#000000">
                <v:path arrowok="t"/>
              </v:shape>
            </v:group>
            <v:group style="position:absolute;left:4331;top:7292;width:1054;height:2" coordorigin="4331,7292" coordsize="1054,2">
              <v:shape style="position:absolute;left:4331;top:7292;width:1054;height:2" coordorigin="4331,7292" coordsize="1054,0" path="m4331,7292l5384,7292e" filled="false" stroked="true" strokeweight=".47998pt" strokecolor="#000000">
                <v:path arrowok="t"/>
              </v:shape>
            </v:group>
            <v:group style="position:absolute;left:5394;top:7292;width:1052;height:2" coordorigin="5394,7292" coordsize="1052,2">
              <v:shape style="position:absolute;left:5394;top:7292;width:1052;height:2" coordorigin="5394,7292" coordsize="1052,0" path="m5394,7292l6445,7292e" filled="false" stroked="true" strokeweight=".47998pt" strokecolor="#000000">
                <v:path arrowok="t"/>
              </v:shape>
            </v:group>
            <v:group style="position:absolute;left:6455;top:7292;width:1054;height:2" coordorigin="6455,7292" coordsize="1054,2">
              <v:shape style="position:absolute;left:6455;top:7292;width:1054;height:2" coordorigin="6455,7292" coordsize="1054,0" path="m6455,7292l7509,7292e" filled="false" stroked="true" strokeweight=".47998pt" strokecolor="#000000">
                <v:path arrowok="t"/>
              </v:shape>
            </v:group>
            <v:group style="position:absolute;left:7518;top:7292;width:1054;height:2" coordorigin="7518,7292" coordsize="1054,2">
              <v:shape style="position:absolute;left:7518;top:7292;width:1054;height:2" coordorigin="7518,7292" coordsize="1054,0" path="m7518,7292l8572,7292e" filled="false" stroked="true" strokeweight=".47998pt" strokecolor="#000000">
                <v:path arrowok="t"/>
              </v:shape>
            </v:group>
            <v:group style="position:absolute;left:8581;top:7292;width:1055;height:2" coordorigin="8581,7292" coordsize="1055,2">
              <v:shape style="position:absolute;left:8581;top:7292;width:1055;height:2" coordorigin="8581,7292" coordsize="1055,0" path="m8581,7292l9635,7292e" filled="false" stroked="true" strokeweight=".47998pt" strokecolor="#000000">
                <v:path arrowok="t"/>
              </v:shape>
            </v:group>
            <v:group style="position:absolute;left:9645;top:7292;width:1054;height:2" coordorigin="9645,7292" coordsize="1054,2">
              <v:shape style="position:absolute;left:9645;top:7292;width:1054;height:2" coordorigin="9645,7292" coordsize="1054,0" path="m9645,7292l10699,7292e" filled="false" stroked="true" strokeweight=".47998pt" strokecolor="#000000">
                <v:path arrowok="t"/>
              </v:shape>
            </v:group>
            <v:group style="position:absolute;left:5394;top:8634;width:1055;height:469" coordorigin="5394,8634" coordsize="1055,469">
              <v:shape style="position:absolute;left:5394;top:8634;width:1055;height:469" coordorigin="5394,8634" coordsize="1055,469" path="m5394,9102l6448,9102,6448,8634,5394,8634,5394,9102xe" filled="true" fillcolor="#ffffff" stroked="false">
                <v:path arrowok="t"/>
                <v:fill type="solid"/>
              </v:shape>
            </v:group>
            <v:group style="position:absolute;left:1138;top:8629;width:1057;height:2" coordorigin="1138,8629" coordsize="1057,2">
              <v:shape style="position:absolute;left:1138;top:8629;width:1057;height:2" coordorigin="1138,8629" coordsize="1057,0" path="m1138,8629l2194,8629e" filled="false" stroked="true" strokeweight=".48001pt" strokecolor="#000000">
                <v:path arrowok="t"/>
              </v:shape>
            </v:group>
            <v:group style="position:absolute;left:2204;top:8629;width:1054;height:2" coordorigin="2204,8629" coordsize="1054,2">
              <v:shape style="position:absolute;left:2204;top:8629;width:1054;height:2" coordorigin="2204,8629" coordsize="1054,0" path="m2204,8629l3257,8629e" filled="false" stroked="true" strokeweight=".48001pt" strokecolor="#000000">
                <v:path arrowok="t"/>
              </v:shape>
            </v:group>
            <v:group style="position:absolute;left:3267;top:8629;width:1055;height:2" coordorigin="3267,8629" coordsize="1055,2">
              <v:shape style="position:absolute;left:3267;top:8629;width:1055;height:2" coordorigin="3267,8629" coordsize="1055,0" path="m3267,8629l4321,8629e" filled="false" stroked="true" strokeweight=".48001pt" strokecolor="#000000">
                <v:path arrowok="t"/>
              </v:shape>
            </v:group>
            <v:group style="position:absolute;left:4331;top:8629;width:1054;height:2" coordorigin="4331,8629" coordsize="1054,2">
              <v:shape style="position:absolute;left:4331;top:8629;width:1054;height:2" coordorigin="4331,8629" coordsize="1054,0" path="m4331,8629l5384,8629e" filled="false" stroked="true" strokeweight=".48001pt" strokecolor="#000000">
                <v:path arrowok="t"/>
              </v:shape>
            </v:group>
            <v:group style="position:absolute;left:5394;top:8629;width:1052;height:2" coordorigin="5394,8629" coordsize="1052,2">
              <v:shape style="position:absolute;left:5394;top:8629;width:1052;height:2" coordorigin="5394,8629" coordsize="1052,0" path="m5394,8629l6445,8629e" filled="false" stroked="true" strokeweight=".48001pt" strokecolor="#000000">
                <v:path arrowok="t"/>
              </v:shape>
            </v:group>
            <v:group style="position:absolute;left:6455;top:8629;width:1054;height:2" coordorigin="6455,8629" coordsize="1054,2">
              <v:shape style="position:absolute;left:6455;top:8629;width:1054;height:2" coordorigin="6455,8629" coordsize="1054,0" path="m6455,8629l7509,8629e" filled="false" stroked="true" strokeweight=".48001pt" strokecolor="#000000">
                <v:path arrowok="t"/>
              </v:shape>
            </v:group>
            <v:group style="position:absolute;left:7518;top:8629;width:1054;height:2" coordorigin="7518,8629" coordsize="1054,2">
              <v:shape style="position:absolute;left:7518;top:8629;width:1054;height:2" coordorigin="7518,8629" coordsize="1054,0" path="m7518,8629l8572,8629e" filled="false" stroked="true" strokeweight=".48001pt" strokecolor="#000000">
                <v:path arrowok="t"/>
              </v:shape>
            </v:group>
            <v:group style="position:absolute;left:8581;top:8629;width:1055;height:2" coordorigin="8581,8629" coordsize="1055,2">
              <v:shape style="position:absolute;left:8581;top:8629;width:1055;height:2" coordorigin="8581,8629" coordsize="1055,0" path="m8581,8629l9635,8629e" filled="false" stroked="true" strokeweight=".48001pt" strokecolor="#000000">
                <v:path arrowok="t"/>
              </v:shape>
            </v:group>
            <v:group style="position:absolute;left:9645;top:8629;width:1054;height:2" coordorigin="9645,8629" coordsize="1054,2">
              <v:shape style="position:absolute;left:9645;top:8629;width:1054;height:2" coordorigin="9645,8629" coordsize="1054,0" path="m9645,8629l10699,8629e" filled="false" stroked="true" strokeweight=".48001pt" strokecolor="#000000">
                <v:path arrowok="t"/>
              </v:shape>
            </v:group>
            <v:group style="position:absolute;left:5394;top:9973;width:1055;height:468" coordorigin="5394,9973" coordsize="1055,468">
              <v:shape style="position:absolute;left:5394;top:9973;width:1055;height:468" coordorigin="5394,9973" coordsize="1055,468" path="m5394,10441l6448,10441,6448,9973,5394,9973,5394,10441xe" filled="true" fillcolor="#ffffff" stroked="false">
                <v:path arrowok="t"/>
                <v:fill type="solid"/>
              </v:shape>
            </v:group>
            <v:group style="position:absolute;left:1138;top:9969;width:1057;height:2" coordorigin="1138,9969" coordsize="1057,2">
              <v:shape style="position:absolute;left:1138;top:9969;width:1057;height:2" coordorigin="1138,9969" coordsize="1057,0" path="m1138,9969l2194,9969e" filled="false" stroked="true" strokeweight=".47998pt" strokecolor="#000000">
                <v:path arrowok="t"/>
              </v:shape>
            </v:group>
            <v:group style="position:absolute;left:2204;top:9969;width:1054;height:2" coordorigin="2204,9969" coordsize="1054,2">
              <v:shape style="position:absolute;left:2204;top:9969;width:1054;height:2" coordorigin="2204,9969" coordsize="1054,0" path="m2204,9969l3257,9969e" filled="false" stroked="true" strokeweight=".47998pt" strokecolor="#000000">
                <v:path arrowok="t"/>
              </v:shape>
            </v:group>
            <v:group style="position:absolute;left:3267;top:9969;width:1055;height:2" coordorigin="3267,9969" coordsize="1055,2">
              <v:shape style="position:absolute;left:3267;top:9969;width:1055;height:2" coordorigin="3267,9969" coordsize="1055,0" path="m3267,9969l4321,9969e" filled="false" stroked="true" strokeweight=".47998pt" strokecolor="#000000">
                <v:path arrowok="t"/>
              </v:shape>
            </v:group>
            <v:group style="position:absolute;left:4331;top:9969;width:1054;height:2" coordorigin="4331,9969" coordsize="1054,2">
              <v:shape style="position:absolute;left:4331;top:9969;width:1054;height:2" coordorigin="4331,9969" coordsize="1054,0" path="m4331,9969l5384,9969e" filled="false" stroked="true" strokeweight=".47998pt" strokecolor="#000000">
                <v:path arrowok="t"/>
              </v:shape>
            </v:group>
            <v:group style="position:absolute;left:5394;top:9969;width:1052;height:2" coordorigin="5394,9969" coordsize="1052,2">
              <v:shape style="position:absolute;left:5394;top:9969;width:1052;height:2" coordorigin="5394,9969" coordsize="1052,0" path="m5394,9969l6445,9969e" filled="false" stroked="true" strokeweight=".47998pt" strokecolor="#000000">
                <v:path arrowok="t"/>
              </v:shape>
            </v:group>
            <v:group style="position:absolute;left:6455;top:9969;width:1054;height:2" coordorigin="6455,9969" coordsize="1054,2">
              <v:shape style="position:absolute;left:6455;top:9969;width:1054;height:2" coordorigin="6455,9969" coordsize="1054,0" path="m6455,9969l7509,9969e" filled="false" stroked="true" strokeweight=".47998pt" strokecolor="#000000">
                <v:path arrowok="t"/>
              </v:shape>
            </v:group>
            <v:group style="position:absolute;left:7518;top:9969;width:1054;height:2" coordorigin="7518,9969" coordsize="1054,2">
              <v:shape style="position:absolute;left:7518;top:9969;width:1054;height:2" coordorigin="7518,9969" coordsize="1054,0" path="m7518,9969l8572,9969e" filled="false" stroked="true" strokeweight=".47998pt" strokecolor="#000000">
                <v:path arrowok="t"/>
              </v:shape>
            </v:group>
            <v:group style="position:absolute;left:8581;top:9969;width:1055;height:2" coordorigin="8581,9969" coordsize="1055,2">
              <v:shape style="position:absolute;left:8581;top:9969;width:1055;height:2" coordorigin="8581,9969" coordsize="1055,0" path="m8581,9969l9635,9969e" filled="false" stroked="true" strokeweight=".47998pt" strokecolor="#000000">
                <v:path arrowok="t"/>
              </v:shape>
            </v:group>
            <v:group style="position:absolute;left:9645;top:9969;width:1054;height:2" coordorigin="9645,9969" coordsize="1054,2">
              <v:shape style="position:absolute;left:9645;top:9969;width:1054;height:2" coordorigin="9645,9969" coordsize="1054,0" path="m9645,9969l10699,9969e" filled="false" stroked="true" strokeweight=".47998pt" strokecolor="#000000">
                <v:path arrowok="t"/>
              </v:shape>
            </v:group>
            <v:group style="position:absolute;left:5394;top:11310;width:1055;height:1249" coordorigin="5394,11310" coordsize="1055,1249">
              <v:shape style="position:absolute;left:5394;top:11310;width:1055;height:1249" coordorigin="5394,11310" coordsize="1055,1249" path="m5394,12559l6448,12559,6448,11310,5394,11310,5394,12559xe" filled="true" fillcolor="#ffffff" stroked="false">
                <v:path arrowok="t"/>
                <v:fill type="solid"/>
              </v:shape>
            </v:group>
            <v:group style="position:absolute;left:1138;top:11305;width:1057;height:2" coordorigin="1138,11305" coordsize="1057,2">
              <v:shape style="position:absolute;left:1138;top:11305;width:1057;height:2" coordorigin="1138,11305" coordsize="1057,0" path="m1138,11305l2194,11305e" filled="false" stroked="true" strokeweight=".48004pt" strokecolor="#000000">
                <v:path arrowok="t"/>
              </v:shape>
            </v:group>
            <v:group style="position:absolute;left:2204;top:11305;width:1054;height:2" coordorigin="2204,11305" coordsize="1054,2">
              <v:shape style="position:absolute;left:2204;top:11305;width:1054;height:2" coordorigin="2204,11305" coordsize="1054,0" path="m2204,11305l3257,11305e" filled="false" stroked="true" strokeweight=".48004pt" strokecolor="#000000">
                <v:path arrowok="t"/>
              </v:shape>
            </v:group>
            <v:group style="position:absolute;left:3267;top:11305;width:1055;height:2" coordorigin="3267,11305" coordsize="1055,2">
              <v:shape style="position:absolute;left:3267;top:11305;width:1055;height:2" coordorigin="3267,11305" coordsize="1055,0" path="m3267,11305l4321,11305e" filled="false" stroked="true" strokeweight=".48004pt" strokecolor="#000000">
                <v:path arrowok="t"/>
              </v:shape>
            </v:group>
            <v:group style="position:absolute;left:4331;top:11305;width:1054;height:2" coordorigin="4331,11305" coordsize="1054,2">
              <v:shape style="position:absolute;left:4331;top:11305;width:1054;height:2" coordorigin="4331,11305" coordsize="1054,0" path="m4331,11305l5384,11305e" filled="false" stroked="true" strokeweight=".48004pt" strokecolor="#000000">
                <v:path arrowok="t"/>
              </v:shape>
            </v:group>
            <v:group style="position:absolute;left:5394;top:11305;width:1052;height:2" coordorigin="5394,11305" coordsize="1052,2">
              <v:shape style="position:absolute;left:5394;top:11305;width:1052;height:2" coordorigin="5394,11305" coordsize="1052,0" path="m5394,11305l6445,11305e" filled="false" stroked="true" strokeweight=".48004pt" strokecolor="#000000">
                <v:path arrowok="t"/>
              </v:shape>
            </v:group>
            <v:group style="position:absolute;left:6455;top:11305;width:1054;height:2" coordorigin="6455,11305" coordsize="1054,2">
              <v:shape style="position:absolute;left:6455;top:11305;width:1054;height:2" coordorigin="6455,11305" coordsize="1054,0" path="m6455,11305l7509,11305e" filled="false" stroked="true" strokeweight=".48004pt" strokecolor="#000000">
                <v:path arrowok="t"/>
              </v:shape>
            </v:group>
            <v:group style="position:absolute;left:7518;top:11305;width:1054;height:2" coordorigin="7518,11305" coordsize="1054,2">
              <v:shape style="position:absolute;left:7518;top:11305;width:1054;height:2" coordorigin="7518,11305" coordsize="1054,0" path="m7518,11305l8572,11305e" filled="false" stroked="true" strokeweight=".48004pt" strokecolor="#000000">
                <v:path arrowok="t"/>
              </v:shape>
            </v:group>
            <v:group style="position:absolute;left:8581;top:11305;width:1055;height:2" coordorigin="8581,11305" coordsize="1055,2">
              <v:shape style="position:absolute;left:8581;top:11305;width:1055;height:2" coordorigin="8581,11305" coordsize="1055,0" path="m8581,11305l9635,11305e" filled="false" stroked="true" strokeweight=".48004pt" strokecolor="#000000">
                <v:path arrowok="t"/>
              </v:shape>
            </v:group>
            <v:group style="position:absolute;left:9645;top:11305;width:1054;height:2" coordorigin="9645,11305" coordsize="1054,2">
              <v:shape style="position:absolute;left:9645;top:11305;width:1054;height:2" coordorigin="9645,11305" coordsize="1054,0" path="m9645,11305l10699,11305e" filled="false" stroked="true" strokeweight=".48004pt" strokecolor="#000000">
                <v:path arrowok="t"/>
              </v:shape>
            </v:group>
            <v:group style="position:absolute;left:1138;top:14205;width:1057;height:2" coordorigin="1138,14205" coordsize="1057,2">
              <v:shape style="position:absolute;left:1138;top:14205;width:1057;height:2" coordorigin="1138,14205" coordsize="1057,0" path="m1138,14205l2194,14205e" filled="false" stroked="true" strokeweight=".48004pt" strokecolor="#000000">
                <v:path arrowok="t"/>
              </v:shape>
            </v:group>
            <v:group style="position:absolute;left:2204;top:14205;width:1054;height:2" coordorigin="2204,14205" coordsize="1054,2">
              <v:shape style="position:absolute;left:2204;top:14205;width:1054;height:2" coordorigin="2204,14205" coordsize="1054,0" path="m2204,14205l3257,14205e" filled="false" stroked="true" strokeweight=".48004pt" strokecolor="#000000">
                <v:path arrowok="t"/>
              </v:shape>
            </v:group>
            <v:group style="position:absolute;left:3267;top:14205;width:1055;height:2" coordorigin="3267,14205" coordsize="1055,2">
              <v:shape style="position:absolute;left:3267;top:14205;width:1055;height:2" coordorigin="3267,14205" coordsize="1055,0" path="m3267,14205l4321,14205e" filled="false" stroked="true" strokeweight=".48004pt" strokecolor="#000000">
                <v:path arrowok="t"/>
              </v:shape>
            </v:group>
            <v:group style="position:absolute;left:4331;top:14205;width:1054;height:2" coordorigin="4331,14205" coordsize="1054,2">
              <v:shape style="position:absolute;left:4331;top:14205;width:1054;height:2" coordorigin="4331,14205" coordsize="1054,0" path="m4331,14205l5384,14205e" filled="false" stroked="true" strokeweight=".48004pt" strokecolor="#000000">
                <v:path arrowok="t"/>
              </v:shape>
            </v:group>
            <v:group style="position:absolute;left:5394;top:14205;width:1052;height:2" coordorigin="5394,14205" coordsize="1052,2">
              <v:shape style="position:absolute;left:5394;top:14205;width:1052;height:2" coordorigin="5394,14205" coordsize="1052,0" path="m5394,14205l6445,14205e" filled="false" stroked="true" strokeweight=".48004pt" strokecolor="#000000">
                <v:path arrowok="t"/>
              </v:shape>
            </v:group>
            <v:group style="position:absolute;left:6455;top:14205;width:1054;height:2" coordorigin="6455,14205" coordsize="1054,2">
              <v:shape style="position:absolute;left:6455;top:14205;width:1054;height:2" coordorigin="6455,14205" coordsize="1054,0" path="m6455,14205l7509,14205e" filled="false" stroked="true" strokeweight=".48004pt" strokecolor="#000000">
                <v:path arrowok="t"/>
              </v:shape>
            </v:group>
            <v:group style="position:absolute;left:7518;top:14205;width:1054;height:2" coordorigin="7518,14205" coordsize="1054,2">
              <v:shape style="position:absolute;left:7518;top:14205;width:1054;height:2" coordorigin="7518,14205" coordsize="1054,0" path="m7518,14205l8572,14205e" filled="false" stroked="true" strokeweight=".48004pt" strokecolor="#000000">
                <v:path arrowok="t"/>
              </v:shape>
            </v:group>
            <v:group style="position:absolute;left:8581;top:14205;width:1055;height:2" coordorigin="8581,14205" coordsize="1055,2">
              <v:shape style="position:absolute;left:8581;top:14205;width:1055;height:2" coordorigin="8581,14205" coordsize="1055,0" path="m8581,14205l9635,14205e" filled="false" stroked="true" strokeweight=".48004pt" strokecolor="#000000">
                <v:path arrowok="t"/>
              </v:shape>
            </v:group>
            <v:group style="position:absolute;left:9645;top:14205;width:1054;height:2" coordorigin="9645,14205" coordsize="1054,2">
              <v:shape style="position:absolute;left:9645;top:14205;width:1054;height:2" coordorigin="9645,14205" coordsize="1054,0" path="m9645,14205l10699,14205e" filled="false" stroked="true" strokeweight=".48004pt" strokecolor="#000000">
                <v:path arrowok="t"/>
              </v:shape>
            </v:group>
            <v:group style="position:absolute;left:1133;top:1440;width:2;height:13795" coordorigin="1133,1440" coordsize="2,13795">
              <v:shape style="position:absolute;left:1133;top:1440;width:2;height:13795" coordorigin="1133,1440" coordsize="0,13795" path="m1133,1440l1133,15235e" filled="false" stroked="true" strokeweight=".48pt" strokecolor="#000000">
                <v:path arrowok="t"/>
              </v:shape>
            </v:group>
            <v:group style="position:absolute;left:1138;top:15230;width:1057;height:2" coordorigin="1138,15230" coordsize="1057,2">
              <v:shape style="position:absolute;left:1138;top:15230;width:1057;height:2" coordorigin="1138,15230" coordsize="1057,0" path="m1138,15230l2194,15230e" filled="false" stroked="true" strokeweight=".48004pt" strokecolor="#000000">
                <v:path arrowok="t"/>
              </v:shape>
            </v:group>
            <v:group style="position:absolute;left:2199;top:1440;width:2;height:13795" coordorigin="2199,1440" coordsize="2,13795">
              <v:shape style="position:absolute;left:2199;top:1440;width:2;height:13795" coordorigin="2199,1440" coordsize="0,13795" path="m2199,1440l2199,15235e" filled="false" stroked="true" strokeweight=".48pt" strokecolor="#000000">
                <v:path arrowok="t"/>
              </v:shape>
            </v:group>
            <v:group style="position:absolute;left:2204;top:15230;width:1054;height:2" coordorigin="2204,15230" coordsize="1054,2">
              <v:shape style="position:absolute;left:2204;top:15230;width:1054;height:2" coordorigin="2204,15230" coordsize="1054,0" path="m2204,15230l3257,15230e" filled="false" stroked="true" strokeweight=".48004pt" strokecolor="#000000">
                <v:path arrowok="t"/>
              </v:shape>
            </v:group>
            <v:group style="position:absolute;left:3262;top:1440;width:2;height:13795" coordorigin="3262,1440" coordsize="2,13795">
              <v:shape style="position:absolute;left:3262;top:1440;width:2;height:13795" coordorigin="3262,1440" coordsize="0,13795" path="m3262,1440l3262,15235e" filled="false" stroked="true" strokeweight=".48pt" strokecolor="#000000">
                <v:path arrowok="t"/>
              </v:shape>
            </v:group>
            <v:group style="position:absolute;left:3267;top:15230;width:1055;height:2" coordorigin="3267,15230" coordsize="1055,2">
              <v:shape style="position:absolute;left:3267;top:15230;width:1055;height:2" coordorigin="3267,15230" coordsize="1055,0" path="m3267,15230l4321,15230e" filled="false" stroked="true" strokeweight=".48004pt" strokecolor="#000000">
                <v:path arrowok="t"/>
              </v:shape>
            </v:group>
            <v:group style="position:absolute;left:4326;top:1440;width:2;height:13795" coordorigin="4326,1440" coordsize="2,13795">
              <v:shape style="position:absolute;left:4326;top:1440;width:2;height:13795" coordorigin="4326,1440" coordsize="0,13795" path="m4326,1440l4326,15235e" filled="false" stroked="true" strokeweight=".48pt" strokecolor="#000000">
                <v:path arrowok="t"/>
              </v:shape>
            </v:group>
            <v:group style="position:absolute;left:4331;top:15230;width:1054;height:2" coordorigin="4331,15230" coordsize="1054,2">
              <v:shape style="position:absolute;left:4331;top:15230;width:1054;height:2" coordorigin="4331,15230" coordsize="1054,0" path="m4331,15230l5384,15230e" filled="false" stroked="true" strokeweight=".48004pt" strokecolor="#000000">
                <v:path arrowok="t"/>
              </v:shape>
            </v:group>
            <v:group style="position:absolute;left:5389;top:1440;width:2;height:13795" coordorigin="5389,1440" coordsize="2,13795">
              <v:shape style="position:absolute;left:5389;top:1440;width:2;height:13795" coordorigin="5389,1440" coordsize="0,13795" path="m5389,1440l5389,15235e" filled="false" stroked="true" strokeweight=".47998pt" strokecolor="#000000">
                <v:path arrowok="t"/>
              </v:shape>
            </v:group>
            <v:group style="position:absolute;left:5394;top:15230;width:1052;height:2" coordorigin="5394,15230" coordsize="1052,2">
              <v:shape style="position:absolute;left:5394;top:15230;width:1052;height:2" coordorigin="5394,15230" coordsize="1052,0" path="m5394,15230l6445,15230e" filled="false" stroked="true" strokeweight=".48004pt" strokecolor="#000000">
                <v:path arrowok="t"/>
              </v:shape>
            </v:group>
            <v:group style="position:absolute;left:6450;top:1440;width:2;height:13795" coordorigin="6450,1440" coordsize="2,13795">
              <v:shape style="position:absolute;left:6450;top:1440;width:2;height:13795" coordorigin="6450,1440" coordsize="0,13795" path="m6450,1440l6450,15235e" filled="false" stroked="true" strokeweight=".48001pt" strokecolor="#000000">
                <v:path arrowok="t"/>
              </v:shape>
            </v:group>
            <v:group style="position:absolute;left:6455;top:15230;width:1054;height:2" coordorigin="6455,15230" coordsize="1054,2">
              <v:shape style="position:absolute;left:6455;top:15230;width:1054;height:2" coordorigin="6455,15230" coordsize="1054,0" path="m6455,15230l7509,15230e" filled="false" stroked="true" strokeweight=".48004pt" strokecolor="#000000">
                <v:path arrowok="t"/>
              </v:shape>
            </v:group>
            <v:group style="position:absolute;left:7513;top:1440;width:2;height:13795" coordorigin="7513,1440" coordsize="2,13795">
              <v:shape style="position:absolute;left:7513;top:1440;width:2;height:13795" coordorigin="7513,1440" coordsize="0,13795" path="m7513,1440l7513,15235e" filled="false" stroked="true" strokeweight=".48001pt" strokecolor="#000000">
                <v:path arrowok="t"/>
              </v:shape>
            </v:group>
            <v:group style="position:absolute;left:7518;top:15230;width:1054;height:2" coordorigin="7518,15230" coordsize="1054,2">
              <v:shape style="position:absolute;left:7518;top:15230;width:1054;height:2" coordorigin="7518,15230" coordsize="1054,0" path="m7518,15230l8572,15230e" filled="false" stroked="true" strokeweight=".48004pt" strokecolor="#000000">
                <v:path arrowok="t"/>
              </v:shape>
            </v:group>
            <v:group style="position:absolute;left:8577;top:1440;width:2;height:13795" coordorigin="8577,1440" coordsize="2,13795">
              <v:shape style="position:absolute;left:8577;top:1440;width:2;height:13795" coordorigin="8577,1440" coordsize="0,13795" path="m8577,1440l8577,15235e" filled="false" stroked="true" strokeweight=".47998pt" strokecolor="#000000">
                <v:path arrowok="t"/>
              </v:shape>
            </v:group>
            <v:group style="position:absolute;left:8581;top:15230;width:1055;height:2" coordorigin="8581,15230" coordsize="1055,2">
              <v:shape style="position:absolute;left:8581;top:15230;width:1055;height:2" coordorigin="8581,15230" coordsize="1055,0" path="m8581,15230l9635,15230e" filled="false" stroked="true" strokeweight=".48004pt" strokecolor="#000000">
                <v:path arrowok="t"/>
              </v:shape>
            </v:group>
            <v:group style="position:absolute;left:9640;top:1440;width:2;height:13795" coordorigin="9640,1440" coordsize="2,13795">
              <v:shape style="position:absolute;left:9640;top:1440;width:2;height:13795" coordorigin="9640,1440" coordsize="0,13795" path="m9640,1440l9640,15235e" filled="false" stroked="true" strokeweight=".48001pt" strokecolor="#000000">
                <v:path arrowok="t"/>
              </v:shape>
            </v:group>
            <v:group style="position:absolute;left:9645;top:15230;width:1054;height:2" coordorigin="9645,15230" coordsize="1054,2">
              <v:shape style="position:absolute;left:9645;top:15230;width:1054;height:2" coordorigin="9645,15230" coordsize="1054,0" path="m9645,15230l10699,15230e" filled="false" stroked="true" strokeweight=".48004pt" strokecolor="#000000">
                <v:path arrowok="t"/>
              </v:shape>
            </v:group>
            <v:group style="position:absolute;left:10704;top:1440;width:2;height:13795" coordorigin="10704,1440" coordsize="2,13795">
              <v:shape style="position:absolute;left:10704;top:1440;width:2;height:13795" coordorigin="10704,1440" coordsize="0,13795" path="m10704,1440l10704,15235e" filled="false" stroked="true" strokeweight=".47998pt" strokecolor="#000000">
                <v:path arrowok="t"/>
              </v:shape>
            </v:group>
            <w10:wrap type="none"/>
          </v:group>
        </w:pict>
      </w:r>
    </w:p>
    <w:p>
      <w:pPr>
        <w:pStyle w:val="BodyText"/>
        <w:spacing w:line="316" w:lineRule="auto"/>
        <w:ind w:left="181" w:right="-20"/>
        <w:jc w:val="left"/>
      </w:pPr>
      <w:r>
        <w:rPr/>
        <w:t>扶持企业发 展专项资金</w:t>
      </w:r>
    </w:p>
    <w:p>
      <w:pPr>
        <w:pStyle w:val="BodyText"/>
        <w:spacing w:line="316" w:lineRule="auto" w:before="110"/>
        <w:ind w:left="125" w:right="-19"/>
        <w:jc w:val="left"/>
      </w:pPr>
      <w:r>
        <w:rPr/>
        <w:br w:type="column"/>
      </w:r>
      <w:r>
        <w:rPr/>
        <w:t>烟台开发区 财政局税政</w:t>
      </w:r>
      <w:r>
        <w:rPr>
          <w:spacing w:val="73"/>
        </w:rPr>
        <w:t> </w:t>
      </w:r>
      <w:r>
        <w:rPr/>
        <w:t>补助</w:t>
      </w:r>
      <w:r>
        <w:rPr/>
        <w:t> 处</w:t>
      </w:r>
    </w:p>
    <w:p>
      <w:pPr>
        <w:pStyle w:val="BodyText"/>
        <w:spacing w:line="316" w:lineRule="auto" w:before="129"/>
        <w:ind w:left="181" w:right="0"/>
        <w:jc w:val="both"/>
      </w:pPr>
      <w:r>
        <w:rPr/>
        <w:br w:type="column"/>
      </w:r>
      <w:r>
        <w:rPr/>
        <w:t>因从事国家 鼓励和扶持 </w:t>
      </w:r>
      <w:r>
        <w:rPr>
          <w:spacing w:val="-12"/>
        </w:rPr>
        <w:t>特定行业、产</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3"/>
        <w:rPr>
          <w:rFonts w:ascii="宋体" w:hAnsi="宋体" w:cs="宋体" w:eastAsia="宋体" w:hint="default"/>
          <w:sz w:val="14"/>
          <w:szCs w:val="14"/>
        </w:rPr>
      </w:pPr>
    </w:p>
    <w:p>
      <w:pPr>
        <w:pStyle w:val="BodyText"/>
        <w:tabs>
          <w:tab w:pos="1078" w:val="left" w:leader="none"/>
          <w:tab w:pos="3399" w:val="left" w:leader="none"/>
        </w:tabs>
        <w:spacing w:line="240" w:lineRule="auto"/>
        <w:ind w:left="15" w:right="0"/>
        <w:jc w:val="left"/>
      </w:pPr>
      <w:r>
        <w:rPr/>
        <w:t>否</w:t>
        <w:tab/>
        <w:t>否</w:t>
        <w:tab/>
      </w:r>
      <w:r>
        <w:rPr>
          <w:rFonts w:ascii="Times New Roman" w:hAnsi="Times New Roman" w:cs="Times New Roman" w:eastAsia="Times New Roman" w:hint="default"/>
        </w:rPr>
        <w:t>330,000.00</w:t>
      </w:r>
      <w:r>
        <w:rPr>
          <w:rFonts w:ascii="Times New Roman" w:hAnsi="Times New Roman" w:cs="Times New Roman" w:eastAsia="Times New Roman" w:hint="default"/>
          <w:spacing w:val="9"/>
        </w:rPr>
        <w:t> </w:t>
      </w:r>
      <w:r>
        <w:rPr/>
        <w:t>与收益相关</w:t>
      </w:r>
    </w:p>
    <w:p>
      <w:pPr>
        <w:spacing w:after="0" w:line="240" w:lineRule="auto"/>
        <w:jc w:val="left"/>
        <w:sectPr>
          <w:type w:val="continuous"/>
          <w:pgSz w:w="11910" w:h="16840"/>
          <w:pgMar w:top="1060" w:bottom="1160" w:left="980" w:right="0"/>
          <w:cols w:num="4" w:equalWidth="0">
            <w:col w:w="1082" w:space="40"/>
            <w:col w:w="1550" w:space="522"/>
            <w:col w:w="1190" w:space="40"/>
            <w:col w:w="6506"/>
          </w:cols>
        </w:sectPr>
      </w:pPr>
    </w:p>
    <w:p>
      <w:pPr>
        <w:spacing w:line="240" w:lineRule="auto" w:before="0"/>
        <w:rPr>
          <w:rFonts w:ascii="Times New Roman" w:hAnsi="Times New Roman" w:cs="Times New Roman" w:eastAsia="Times New Roman" w:hint="default"/>
          <w:sz w:val="20"/>
          <w:szCs w:val="20"/>
        </w:rPr>
      </w:pPr>
      <w:r>
        <w:rPr/>
        <w:pict>
          <v:group style="position:absolute;margin-left:269.690002pt;margin-top:592.269958pt;width:52.75pt;height:23.4pt;mso-position-horizontal-relative:page;mso-position-vertical-relative:page;z-index:-1713808" coordorigin="5394,11845" coordsize="1055,468">
            <v:shape style="position:absolute;left:5394;top:11845;width:1055;height:468" coordorigin="5394,11845" coordsize="1055,468" path="m5394,12313l6448,12313,6448,11845,5394,11845,5394,12313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1299"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专户补贴款</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上海市宝山 区杨行镇人 民政府</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03"/>
              <w:ind w:left="24"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年度特 种设备作业 人员培训费 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3"/>
              <w:ind w:left="23" w:right="127"/>
              <w:jc w:val="both"/>
              <w:rPr>
                <w:rFonts w:ascii="宋体" w:hAnsi="宋体" w:cs="宋体" w:eastAsia="宋体" w:hint="default"/>
                <w:sz w:val="18"/>
                <w:szCs w:val="18"/>
              </w:rPr>
            </w:pPr>
            <w:r>
              <w:rPr>
                <w:rFonts w:ascii="宋体" w:hAnsi="宋体" w:cs="宋体" w:eastAsia="宋体" w:hint="default"/>
                <w:sz w:val="18"/>
                <w:szCs w:val="18"/>
              </w:rPr>
              <w:t>宁波质量技 术监督局杭 州湾新区分 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4" w:right="130"/>
              <w:jc w:val="both"/>
              <w:rPr>
                <w:rFonts w:ascii="宋体" w:hAnsi="宋体" w:cs="宋体" w:eastAsia="宋体" w:hint="default"/>
                <w:sz w:val="18"/>
                <w:szCs w:val="18"/>
              </w:rPr>
            </w:pPr>
            <w:r>
              <w:rPr>
                <w:rFonts w:ascii="宋体" w:hAnsi="宋体" w:cs="宋体" w:eastAsia="宋体" w:hint="default"/>
                <w:sz w:val="18"/>
                <w:szCs w:val="18"/>
              </w:rPr>
              <w:t>稳增促调专 项资金补助 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宁波杭州湾 新区经济发 展局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143,386.20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4" w:right="130"/>
              <w:jc w:val="both"/>
              <w:rPr>
                <w:rFonts w:ascii="宋体" w:hAnsi="宋体" w:cs="宋体" w:eastAsia="宋体" w:hint="default"/>
                <w:sz w:val="18"/>
                <w:szCs w:val="18"/>
              </w:rPr>
            </w:pPr>
            <w:r>
              <w:rPr>
                <w:rFonts w:ascii="宋体" w:hAnsi="宋体" w:cs="宋体" w:eastAsia="宋体" w:hint="default"/>
                <w:sz w:val="18"/>
                <w:szCs w:val="18"/>
              </w:rPr>
              <w:t>宝鸡市规模 以上企业培 育项目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宝鸡市工业 和信息化局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4" w:right="130"/>
              <w:jc w:val="left"/>
              <w:rPr>
                <w:rFonts w:ascii="宋体" w:hAnsi="宋体" w:cs="宋体" w:eastAsia="宋体" w:hint="default"/>
                <w:sz w:val="18"/>
                <w:szCs w:val="18"/>
              </w:rPr>
            </w:pPr>
            <w:r>
              <w:rPr>
                <w:rFonts w:ascii="宋体" w:hAnsi="宋体" w:cs="宋体" w:eastAsia="宋体" w:hint="default"/>
                <w:sz w:val="18"/>
                <w:szCs w:val="18"/>
              </w:rPr>
              <w:t>高新技术企 业奖励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3" w:right="127"/>
              <w:jc w:val="left"/>
              <w:rPr>
                <w:rFonts w:ascii="宋体" w:hAnsi="宋体" w:cs="宋体" w:eastAsia="宋体" w:hint="default"/>
                <w:sz w:val="18"/>
                <w:szCs w:val="18"/>
              </w:rPr>
            </w:pPr>
            <w:r>
              <w:rPr>
                <w:rFonts w:ascii="宋体" w:hAnsi="宋体" w:cs="宋体" w:eastAsia="宋体" w:hint="default"/>
                <w:sz w:val="18"/>
                <w:szCs w:val="18"/>
              </w:rPr>
              <w:t>襄阳市科学 技术局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2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16" w:lineRule="auto"/>
              <w:ind w:left="24" w:right="130"/>
              <w:jc w:val="left"/>
              <w:rPr>
                <w:rFonts w:ascii="宋体" w:hAnsi="宋体" w:cs="宋体" w:eastAsia="宋体" w:hint="default"/>
                <w:sz w:val="18"/>
                <w:szCs w:val="18"/>
              </w:rPr>
            </w:pPr>
            <w:r>
              <w:rPr>
                <w:rFonts w:ascii="宋体" w:hAnsi="宋体" w:cs="宋体" w:eastAsia="宋体" w:hint="default"/>
                <w:sz w:val="18"/>
                <w:szCs w:val="18"/>
              </w:rPr>
              <w:t>青浦区知识 产权资助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上海市财政 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69.690002pt;margin-top:659.139954pt;width:52.75pt;height:23.4pt;mso-position-horizontal-relative:page;mso-position-vertical-relative:page;z-index:-1713784" coordorigin="5394,13183" coordsize="1055,468">
            <v:shape style="position:absolute;left:5394;top:13183;width:1055;height:468" coordorigin="5394,13183" coordsize="1055,468" path="m5394,13651l6448,13651,6448,13183,5394,13183,5394,13651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363"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依法取得）</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4" w:right="130"/>
              <w:jc w:val="both"/>
              <w:rPr>
                <w:rFonts w:ascii="宋体" w:hAnsi="宋体" w:cs="宋体" w:eastAsia="宋体" w:hint="default"/>
                <w:sz w:val="18"/>
                <w:szCs w:val="18"/>
              </w:rPr>
            </w:pPr>
            <w:r>
              <w:rPr>
                <w:rFonts w:ascii="宋体" w:hAnsi="宋体" w:cs="宋体" w:eastAsia="宋体" w:hint="default"/>
                <w:sz w:val="18"/>
                <w:szCs w:val="18"/>
              </w:rPr>
              <w:t>超比例安排 残疾人就业 单位奖励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青岛市即墨 区通济劳动 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12,770.60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4" w:right="130"/>
              <w:jc w:val="left"/>
              <w:rPr>
                <w:rFonts w:ascii="宋体" w:hAnsi="宋体" w:cs="宋体" w:eastAsia="宋体" w:hint="default"/>
                <w:sz w:val="18"/>
                <w:szCs w:val="18"/>
              </w:rPr>
            </w:pPr>
            <w:r>
              <w:rPr>
                <w:rFonts w:ascii="宋体" w:hAnsi="宋体" w:cs="宋体" w:eastAsia="宋体" w:hint="default"/>
                <w:sz w:val="18"/>
                <w:szCs w:val="18"/>
              </w:rPr>
              <w:t>上海市专利 资助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3" w:right="127"/>
              <w:jc w:val="left"/>
              <w:rPr>
                <w:rFonts w:ascii="宋体" w:hAnsi="宋体" w:cs="宋体" w:eastAsia="宋体" w:hint="default"/>
                <w:sz w:val="18"/>
                <w:szCs w:val="18"/>
              </w:rPr>
            </w:pPr>
            <w:r>
              <w:rPr>
                <w:rFonts w:ascii="宋体" w:hAnsi="宋体" w:cs="宋体" w:eastAsia="宋体" w:hint="default"/>
                <w:sz w:val="18"/>
                <w:szCs w:val="18"/>
              </w:rPr>
              <w:t>上海市财政 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10,345.50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4"/>
              <w:ind w:left="24"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年中关 村国际创新 资源支持资 </w:t>
            </w:r>
            <w:r>
              <w:rPr>
                <w:rFonts w:ascii="宋体" w:hAnsi="宋体" w:cs="宋体" w:eastAsia="宋体" w:hint="default"/>
                <w:spacing w:val="-12"/>
                <w:sz w:val="18"/>
                <w:szCs w:val="18"/>
              </w:rPr>
              <w:t>金补贴款（第</w:t>
            </w:r>
            <w:r>
              <w:rPr>
                <w:rFonts w:ascii="宋体" w:hAnsi="宋体" w:cs="宋体" w:eastAsia="宋体" w:hint="default"/>
                <w:sz w:val="18"/>
                <w:szCs w:val="18"/>
              </w:rPr>
              <w:t> 一批）</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中关村科技 园区西城园 管理委员会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87,297.64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09" w:lineRule="auto"/>
              <w:ind w:left="24"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年度园 区产业政策 落实资金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中关村科技 园区西城园 管理委员会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393,396.23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07" w:lineRule="auto"/>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普天双创 杯</w:t>
            </w:r>
            <w:r>
              <w:rPr>
                <w:rFonts w:ascii="Times New Roman" w:hAnsi="Times New Roman" w:cs="Times New Roman" w:eastAsia="Times New Roman" w:hint="default"/>
                <w:sz w:val="18"/>
                <w:szCs w:val="18"/>
              </w:rPr>
              <w:t>”</w:t>
            </w:r>
            <w:r>
              <w:rPr>
                <w:rFonts w:ascii="宋体" w:hAnsi="宋体" w:cs="宋体" w:eastAsia="宋体" w:hint="default"/>
                <w:sz w:val="18"/>
                <w:szCs w:val="18"/>
              </w:rPr>
              <w:t>首届创新 创业大赛优 秀奖</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中关村科技 园区管理委 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9,433.96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9" w:lineRule="auto"/>
              <w:ind w:left="24"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年研发 政府补助政 策落实资金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中关村科技 园区西城园 管理委员会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314,150.94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中国制造</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专项补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left"/>
              <w:rPr>
                <w:rFonts w:ascii="宋体" w:hAnsi="宋体" w:cs="宋体" w:eastAsia="宋体" w:hint="default"/>
                <w:sz w:val="18"/>
                <w:szCs w:val="18"/>
              </w:rPr>
            </w:pPr>
            <w:r>
              <w:rPr>
                <w:rFonts w:ascii="宋体" w:hAnsi="宋体" w:cs="宋体" w:eastAsia="宋体" w:hint="default"/>
                <w:sz w:val="18"/>
                <w:szCs w:val="18"/>
              </w:rPr>
              <w:t>宁波杭州湾 新区财政税</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left"/>
              <w:rPr>
                <w:rFonts w:ascii="宋体" w:hAnsi="宋体" w:cs="宋体" w:eastAsia="宋体" w:hint="default"/>
                <w:sz w:val="18"/>
                <w:szCs w:val="18"/>
              </w:rPr>
            </w:pPr>
            <w:r>
              <w:rPr>
                <w:rFonts w:ascii="宋体" w:hAnsi="宋体" w:cs="宋体" w:eastAsia="宋体" w:hint="default"/>
                <w:sz w:val="18"/>
                <w:szCs w:val="18"/>
              </w:rPr>
              <w:t>因从事国家 鼓励和扶持</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311" w:right="0"/>
              <w:jc w:val="left"/>
              <w:rPr>
                <w:rFonts w:ascii="Times New Roman" w:hAnsi="Times New Roman" w:cs="Times New Roman" w:eastAsia="Times New Roman" w:hint="default"/>
                <w:sz w:val="18"/>
                <w:szCs w:val="18"/>
              </w:rPr>
            </w:pPr>
            <w:r>
              <w:rPr>
                <w:rFonts w:ascii="Times New Roman"/>
                <w:sz w:val="18"/>
              </w:rPr>
              <w:t>26,000.00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69.690002pt;margin-top:153.019989pt;width:52.75pt;height:23.4pt;mso-position-horizontal-relative:page;mso-position-vertical-relative:page;z-index:-1713760" coordorigin="5394,3060" coordsize="1055,468">
            <v:shape style="position:absolute;left:5394;top:3060;width:1055;height:468" coordorigin="5394,3060" coordsize="1055,468" path="m5394,3528l6448,3528,6448,3060,5394,3060,5394,3528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161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贴</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务局</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9"/>
              <w:jc w:val="left"/>
              <w:rPr>
                <w:rFonts w:ascii="宋体" w:hAnsi="宋体" w:cs="宋体" w:eastAsia="宋体" w:hint="default"/>
                <w:sz w:val="18"/>
                <w:szCs w:val="18"/>
              </w:rPr>
            </w:pP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30"/>
              <w:jc w:val="left"/>
              <w:rPr>
                <w:rFonts w:ascii="宋体" w:hAnsi="宋体" w:cs="宋体" w:eastAsia="宋体" w:hint="default"/>
                <w:sz w:val="18"/>
                <w:szCs w:val="18"/>
              </w:rPr>
            </w:pPr>
            <w:r>
              <w:rPr>
                <w:rFonts w:ascii="宋体" w:hAnsi="宋体" w:cs="宋体" w:eastAsia="宋体" w:hint="default"/>
                <w:sz w:val="18"/>
                <w:szCs w:val="18"/>
              </w:rPr>
              <w:t>杭州湾新区 科技奖励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宁波杭州湾 新区财政税 务局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77,900.00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4" w:right="130"/>
              <w:jc w:val="left"/>
              <w:rPr>
                <w:rFonts w:ascii="宋体" w:hAnsi="宋体" w:cs="宋体" w:eastAsia="宋体" w:hint="default"/>
                <w:sz w:val="18"/>
                <w:szCs w:val="18"/>
              </w:rPr>
            </w:pPr>
            <w:r>
              <w:rPr>
                <w:rFonts w:ascii="宋体" w:hAnsi="宋体" w:cs="宋体" w:eastAsia="宋体" w:hint="default"/>
                <w:sz w:val="18"/>
                <w:szCs w:val="18"/>
              </w:rPr>
              <w:t>青浦区就业 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3" w:right="127"/>
              <w:jc w:val="both"/>
              <w:rPr>
                <w:rFonts w:ascii="宋体" w:hAnsi="宋体" w:cs="宋体" w:eastAsia="宋体" w:hint="default"/>
                <w:sz w:val="18"/>
                <w:szCs w:val="18"/>
              </w:rPr>
            </w:pPr>
            <w:r>
              <w:rPr>
                <w:rFonts w:ascii="宋体" w:hAnsi="宋体" w:cs="宋体" w:eastAsia="宋体" w:hint="default"/>
                <w:sz w:val="18"/>
                <w:szCs w:val="18"/>
              </w:rPr>
              <w:t>上海市青浦 区香花桥街 道社区事务 受理服务中 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4" w:right="130"/>
              <w:jc w:val="left"/>
              <w:rPr>
                <w:rFonts w:ascii="宋体" w:hAnsi="宋体" w:cs="宋体" w:eastAsia="宋体" w:hint="default"/>
                <w:sz w:val="18"/>
                <w:szCs w:val="18"/>
              </w:rPr>
            </w:pPr>
            <w:r>
              <w:rPr>
                <w:rFonts w:ascii="宋体" w:hAnsi="宋体" w:cs="宋体" w:eastAsia="宋体" w:hint="default"/>
                <w:sz w:val="18"/>
                <w:szCs w:val="18"/>
              </w:rPr>
              <w:t>园区产业政 策支持资金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中关村科技 园区西城园 管理委员会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2,580,188.67</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4" w:right="130"/>
              <w:jc w:val="left"/>
              <w:rPr>
                <w:rFonts w:ascii="宋体" w:hAnsi="宋体" w:cs="宋体" w:eastAsia="宋体" w:hint="default"/>
                <w:sz w:val="18"/>
                <w:szCs w:val="18"/>
              </w:rPr>
            </w:pPr>
            <w:r>
              <w:rPr>
                <w:rFonts w:ascii="宋体" w:hAnsi="宋体" w:cs="宋体" w:eastAsia="宋体" w:hint="default"/>
                <w:sz w:val="18"/>
                <w:szCs w:val="18"/>
              </w:rPr>
              <w:t>招用困难人 员补贴</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上海市青浦 区就业促进 中心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145,580.63</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见习补贴</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9" w:lineRule="auto"/>
              <w:ind w:left="23" w:right="127"/>
              <w:jc w:val="both"/>
              <w:rPr>
                <w:rFonts w:ascii="宋体" w:hAnsi="宋体" w:cs="宋体" w:eastAsia="宋体" w:hint="default"/>
                <w:sz w:val="18"/>
                <w:szCs w:val="18"/>
              </w:rPr>
            </w:pPr>
            <w:r>
              <w:rPr>
                <w:rFonts w:ascii="宋体" w:hAnsi="宋体" w:cs="宋体" w:eastAsia="宋体" w:hint="default"/>
                <w:sz w:val="18"/>
                <w:szCs w:val="18"/>
              </w:rPr>
              <w:t>湖北省人力 资源和社会 保障厅等六 部门</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53,244.00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1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2" w:lineRule="auto"/>
              <w:ind w:left="24"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年度杭 州湾新区第 二批科技奖 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4"/>
              <w:ind w:left="23" w:right="127"/>
              <w:jc w:val="both"/>
              <w:rPr>
                <w:rFonts w:ascii="宋体" w:hAnsi="宋体" w:cs="宋体" w:eastAsia="宋体" w:hint="default"/>
                <w:sz w:val="18"/>
                <w:szCs w:val="18"/>
              </w:rPr>
            </w:pPr>
            <w:r>
              <w:rPr>
                <w:rFonts w:ascii="宋体" w:hAnsi="宋体" w:cs="宋体" w:eastAsia="宋体" w:hint="default"/>
                <w:sz w:val="18"/>
                <w:szCs w:val="18"/>
              </w:rPr>
              <w:t>宁波杭州湾 新区财政税 务局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9,500.00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675"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27"/>
              <w:jc w:val="left"/>
              <w:rPr>
                <w:rFonts w:ascii="宋体" w:hAnsi="宋体" w:cs="宋体" w:eastAsia="宋体" w:hint="default"/>
                <w:sz w:val="18"/>
                <w:szCs w:val="18"/>
              </w:rPr>
            </w:pPr>
            <w:r>
              <w:rPr>
                <w:rFonts w:ascii="宋体" w:hAnsi="宋体" w:cs="宋体" w:eastAsia="宋体" w:hint="default"/>
                <w:sz w:val="18"/>
                <w:szCs w:val="18"/>
              </w:rPr>
              <w:t>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4" w:right="130"/>
              <w:jc w:val="left"/>
              <w:rPr>
                <w:rFonts w:ascii="宋体" w:hAnsi="宋体" w:cs="宋体" w:eastAsia="宋体" w:hint="default"/>
                <w:sz w:val="18"/>
                <w:szCs w:val="18"/>
              </w:rPr>
            </w:pPr>
            <w:r>
              <w:rPr>
                <w:rFonts w:ascii="宋体" w:hAnsi="宋体" w:cs="宋体" w:eastAsia="宋体" w:hint="default"/>
                <w:sz w:val="18"/>
                <w:szCs w:val="18"/>
              </w:rPr>
              <w:t>规模以上企 业资金补助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宝鸡市工业 和信息化局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市长质量奖</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枣阳市市场 监督管理局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4" w:right="130"/>
              <w:jc w:val="left"/>
              <w:rPr>
                <w:rFonts w:ascii="宋体" w:hAnsi="宋体" w:cs="宋体" w:eastAsia="宋体" w:hint="default"/>
                <w:sz w:val="18"/>
                <w:szCs w:val="18"/>
              </w:rPr>
            </w:pPr>
            <w:r>
              <w:rPr>
                <w:rFonts w:ascii="宋体" w:hAnsi="宋体" w:cs="宋体" w:eastAsia="宋体" w:hint="default"/>
                <w:sz w:val="18"/>
                <w:szCs w:val="18"/>
              </w:rPr>
              <w:t>院士专家工 作站认定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上海市青浦 区人民政府</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130"/>
              <w:jc w:val="both"/>
              <w:rPr>
                <w:rFonts w:ascii="宋体" w:hAnsi="宋体" w:cs="宋体" w:eastAsia="宋体" w:hint="default"/>
                <w:sz w:val="18"/>
                <w:szCs w:val="18"/>
              </w:rPr>
            </w:pPr>
            <w:r>
              <w:rPr>
                <w:rFonts w:ascii="宋体" w:hAnsi="宋体" w:cs="宋体" w:eastAsia="宋体" w:hint="default"/>
                <w:sz w:val="18"/>
                <w:szCs w:val="18"/>
              </w:rPr>
              <w:t>地方教育费 附加专项资 金开展职工 职业培训</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上海市青浦 区香花街道 社区事务受 理服务中心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14,109.92</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9" w:lineRule="auto"/>
              <w:ind w:left="24"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年度产 学研项目扶 持资金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27"/>
              <w:jc w:val="left"/>
              <w:rPr>
                <w:rFonts w:ascii="宋体" w:hAnsi="宋体" w:cs="宋体" w:eastAsia="宋体" w:hint="default"/>
                <w:sz w:val="18"/>
                <w:szCs w:val="18"/>
              </w:rPr>
            </w:pPr>
            <w:r>
              <w:rPr>
                <w:rFonts w:ascii="宋体" w:hAnsi="宋体" w:cs="宋体" w:eastAsia="宋体" w:hint="default"/>
                <w:sz w:val="18"/>
                <w:szCs w:val="18"/>
              </w:rPr>
              <w:t>上海科学技 术委员会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140,000.00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r>
        <w:rPr/>
        <w:pict>
          <v:group style="position:absolute;margin-left:269.690002pt;margin-top:-79.446335pt;width:52.75pt;height:23.4pt;mso-position-horizontal-relative:page;mso-position-vertical-relative:paragraph;z-index:-1713736" coordorigin="5394,-1589" coordsize="1055,468">
            <v:shape style="position:absolute;left:5394;top:-1589;width:1055;height:468" coordorigin="5394,-1589" coordsize="1055,468" path="m5394,-1121l6448,-1121,6448,-1589,5394,-1589,5394,-1121xe" filled="true" fillcolor="#ffffff" stroked="false">
              <v:path arrowok="t"/>
              <v:fill type="solid"/>
            </v:shape>
            <w10:wrap type="none"/>
          </v:group>
        </w:pict>
      </w:r>
      <w:bookmarkStart w:name="75、营业外支出" w:id="391"/>
      <w:bookmarkEnd w:id="391"/>
      <w:r>
        <w:rPr>
          <w:b w:val="0"/>
          <w:bCs w:val="0"/>
        </w:rPr>
      </w:r>
      <w:r>
        <w:rPr>
          <w:rFonts w:ascii="Times New Roman" w:hAnsi="Times New Roman" w:cs="Times New Roman" w:eastAsia="Times New Roman" w:hint="default"/>
        </w:rPr>
        <w:t>75</w:t>
      </w:r>
      <w:r>
        <w:rPr/>
        <w:t>、营业外支出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71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282,836.85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80,106.98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282,836.85</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282,836.85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80,106.98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282,836.85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87"/>
        <w:gridCol w:w="2396"/>
        <w:gridCol w:w="2393"/>
        <w:gridCol w:w="2393"/>
      </w:tblGrid>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赔偿金、违约金及罚款支出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2,040,150.04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29,047,289.17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2,040,150.04</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401,753.24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709,664.40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401,753.24</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2,724,740.13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29,937,060.55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2,724,740.13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76、所得税费用" w:id="392"/>
      <w:bookmarkEnd w:id="392"/>
      <w:r>
        <w:rPr>
          <w:b w:val="0"/>
          <w:bCs w:val="0"/>
        </w:rPr>
      </w:r>
      <w:r>
        <w:rPr>
          <w:rFonts w:ascii="Times New Roman" w:hAnsi="Times New Roman" w:cs="Times New Roman" w:eastAsia="Times New Roman" w:hint="default"/>
        </w:rPr>
        <w:t>76</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所得税费用表" w:id="393"/>
      <w:bookmarkEnd w:id="393"/>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96"/>
              <w:jc w:val="right"/>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30,164,130.82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63,105,363.62</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-11,144,361.76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-12,862,676.35</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96"/>
              <w:jc w:val="righ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19,019,769.06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50,242,687.27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会计利润与所得税费用调整过程" w:id="394"/>
      <w:bookmarkEnd w:id="394"/>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-2,437,905,724.37</w:t>
            </w:r>
          </w:p>
        </w:tc>
      </w:tr>
      <w:tr>
        <w:trPr>
          <w:trHeight w:val="40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-609,476,431.09</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14,541,430.50</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488,893.86</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549,511,882.81</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-1,072,518.28</w:t>
            </w:r>
          </w:p>
        </w:tc>
      </w:tr>
      <w:tr>
        <w:trPr>
          <w:trHeight w:val="71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91,675,917.13</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研发费加计扣除的影响</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-37,515,710.50</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所得税减免优惠的影响</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-446,592.23</w:t>
            </w:r>
          </w:p>
        </w:tc>
      </w:tr>
      <w:tr>
        <w:trPr>
          <w:trHeight w:val="404" w:hRule="exact"/>
        </w:trPr>
        <w:tc>
          <w:tcPr>
            <w:tcW w:w="47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前期确认递延本期冲销对所得税的影响</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11,312,896.86</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19,019,769.06</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77、其他综合收益" w:id="395"/>
      <w:bookmarkEnd w:id="395"/>
      <w:r>
        <w:rPr>
          <w:b w:val="0"/>
          <w:bCs w:val="0"/>
        </w:rPr>
      </w:r>
      <w:r>
        <w:rPr>
          <w:rFonts w:ascii="Times New Roman" w:hAnsi="Times New Roman" w:cs="Times New Roman" w:eastAsia="Times New Roman" w:hint="default"/>
        </w:rPr>
        <w:t>77</w:t>
      </w:r>
      <w:r>
        <w:rPr/>
        <w:t>、其他综合收益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详见附注</w:t>
      </w:r>
      <w:r>
        <w:rPr>
          <w:spacing w:val="-42"/>
        </w:rPr>
        <w:t> </w:t>
      </w:r>
      <w:r>
        <w:rPr>
          <w:rFonts w:ascii="Times New Roman" w:hAnsi="Times New Roman" w:cs="Times New Roman" w:eastAsia="Times New Roman" w:hint="default"/>
        </w:rPr>
        <w:t>57</w:t>
      </w:r>
      <w:r>
        <w:rPr/>
        <w:t>、其他综合收益。</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78、现金流量表项目" w:id="396"/>
      <w:bookmarkEnd w:id="396"/>
      <w:r>
        <w:rPr>
          <w:b w:val="0"/>
          <w:bCs w:val="0"/>
        </w:rPr>
      </w:r>
      <w:r>
        <w:rPr>
          <w:rFonts w:ascii="Times New Roman" w:hAnsi="Times New Roman" w:cs="Times New Roman" w:eastAsia="Times New Roman" w:hint="default"/>
        </w:rPr>
        <w:t>78</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收到的其他与经营活动有关的现金" w:id="397"/>
      <w:bookmarkEnd w:id="397"/>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7"/>
              <w:jc w:val="right"/>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4,471,858.35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6,609,230.87</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22,858,078.15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50,053,899.90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27,107,608.44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40,021,971.20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收到解冻资金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224,622,166.07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168,143,217.54</w:t>
            </w:r>
          </w:p>
        </w:tc>
      </w:tr>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347,811,809.34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139,351,863.63</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所得税退税款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8,760,231.50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18,074,071.17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2,180,699.35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364,151.24</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信托业务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128,303,333.35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7"/>
              <w:jc w:val="righ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766,115,784.55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422,618,405.55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支付的其他与经营活动有关的现金" w:id="398"/>
      <w:bookmarkEnd w:id="398"/>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管理及研发费用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155,014,050.42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114,509,980.76</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57,467,471.76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64,135,148.18</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银行手续费等财务费用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1,487,799.02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1,571,505.21</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5,164,377.53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9,189,190.12</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不能随时支取的保证金、冻结资金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242,552,437.75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187,628,962.39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资金往来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210,762,349.79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276,271,433.73</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信托业务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保理本金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142,778,452.67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871,588.44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1,707,019.14</w:t>
            </w:r>
          </w:p>
        </w:tc>
      </w:tr>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816,098,527.38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855,013,239.53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收到的其他与投资活动有关的现金" w:id="399"/>
      <w:bookmarkEnd w:id="399"/>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收回结构性存款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00" w:right="0"/>
              <w:jc w:val="left"/>
              <w:rPr>
                <w:rFonts w:ascii="Times New Roman" w:hAnsi="Times New Roman" w:cs="Times New Roman" w:eastAsia="Times New Roman" w:hint="default"/>
                <w:sz w:val="18"/>
                <w:szCs w:val="18"/>
              </w:rPr>
            </w:pPr>
            <w:r>
              <w:rPr>
                <w:rFonts w:ascii="Times New Roman"/>
                <w:sz w:val="18"/>
              </w:rPr>
              <w:t>3,841,800,000.00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3,217,673,977.99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81,714,223.71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36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收到业绩承诺补偿</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41,238,200.00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1,704,126.12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3,884,742,326.12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6" w:right="0"/>
              <w:jc w:val="left"/>
              <w:rPr>
                <w:rFonts w:ascii="Times New Roman" w:hAnsi="Times New Roman" w:cs="Times New Roman" w:eastAsia="Times New Roman" w:hint="default"/>
                <w:sz w:val="18"/>
                <w:szCs w:val="18"/>
              </w:rPr>
            </w:pPr>
            <w:r>
              <w:rPr>
                <w:rFonts w:ascii="Times New Roman"/>
                <w:sz w:val="18"/>
              </w:rPr>
              <w:t>3,299,388,201.70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4）支付的其他与投资活动有关的现金" w:id="400"/>
      <w:bookmarkEnd w:id="400"/>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7"/>
              <w:jc w:val="right"/>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3,841,800,000.00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3,217,673,977.99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预付土地款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20,311,519.29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7"/>
              <w:jc w:val="righ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3,862,111,519.29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3,217,673,977.99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5）收到的其他与筹资活动有关的现金" w:id="401"/>
      <w:bookmarkEnd w:id="401"/>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7"/>
              <w:jc w:val="right"/>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收回借款保证金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股权激励认购款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47,595,000.00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7"/>
              <w:jc w:val="righ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54,595,000.00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6）支付的其他与筹资活动有关的现金" w:id="402"/>
      <w:bookmarkEnd w:id="402"/>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支付借款保证金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5,985,000.00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股份回购及限制性股票退款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240,463,632.21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520,002,036.96</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贷款手续费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1,572,170.49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注销清算款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513,931.52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242,549,734.22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525,987,036.96</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79、现金流量表补充资料" w:id="403"/>
      <w:bookmarkEnd w:id="403"/>
      <w:r>
        <w:rPr>
          <w:b w:val="0"/>
          <w:bCs w:val="0"/>
        </w:rPr>
      </w:r>
      <w:r>
        <w:rPr>
          <w:rFonts w:ascii="Times New Roman" w:hAnsi="Times New Roman" w:cs="Times New Roman" w:eastAsia="Times New Roman" w:hint="default"/>
        </w:rPr>
        <w:t>79</w:t>
      </w:r>
      <w:r>
        <w:rPr/>
        <w:t>、现金流量表补充资料</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1）现金流量表补充资料" w:id="404"/>
      <w:bookmarkEnd w:id="404"/>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6"/>
        <w:gridCol w:w="3059"/>
        <w:gridCol w:w="3172"/>
      </w:tblGrid>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7"/>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r>
        <w:rPr/>
        <w:pict>
          <v:group style="position:absolute;margin-left:223.369995pt;margin-top:371.149994pt;width:151.25pt;height:20.65pt;mso-position-horizontal-relative:page;mso-position-vertical-relative:page;z-index:-1713712" coordorigin="4467,7423" coordsize="3025,413">
            <v:group style="position:absolute;left:4478;top:7434;width:2;height:392" coordorigin="4478,7434" coordsize="2,392">
              <v:shape style="position:absolute;left:4478;top:7434;width:2;height:392" coordorigin="4478,7434" coordsize="0,392" path="m4478,7434l4478,7825e" filled="false" stroked="true" strokeweight="1.08pt" strokecolor="#ffffff">
                <v:path arrowok="t"/>
              </v:shape>
            </v:group>
            <v:group style="position:absolute;left:4489;top:7434;width:3003;height:392" coordorigin="4489,7434" coordsize="3003,392">
              <v:shape style="position:absolute;left:4489;top:7434;width:3003;height:392" coordorigin="4489,7434" coordsize="3003,392" path="m4489,7825l7492,7825,7492,7434,4489,7434,4489,7825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5"/>
        <w:gridCol w:w="1009"/>
        <w:gridCol w:w="2059"/>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707" w:right="0"/>
              <w:jc w:val="left"/>
              <w:rPr>
                <w:rFonts w:ascii="Times New Roman" w:hAnsi="Times New Roman" w:cs="Times New Roman" w:eastAsia="Times New Roman" w:hint="default"/>
                <w:sz w:val="18"/>
                <w:szCs w:val="18"/>
              </w:rPr>
            </w:pPr>
            <w:r>
              <w:rPr>
                <w:rFonts w:ascii="Times New Roman"/>
                <w:sz w:val="18"/>
              </w:rPr>
              <w:t>-2,456,925,493.43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138,752,478.61</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767" w:right="0"/>
              <w:jc w:val="left"/>
              <w:rPr>
                <w:rFonts w:ascii="Times New Roman" w:hAnsi="Times New Roman" w:cs="Times New Roman" w:eastAsia="Times New Roman" w:hint="default"/>
                <w:sz w:val="18"/>
                <w:szCs w:val="18"/>
              </w:rPr>
            </w:pPr>
            <w:r>
              <w:rPr>
                <w:rFonts w:ascii="Times New Roman"/>
                <w:sz w:val="18"/>
              </w:rPr>
              <w:t>2,242,624,586.49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324,539,651.43</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720"/>
              <w:jc w:val="left"/>
              <w:rPr>
                <w:rFonts w:ascii="宋体" w:hAnsi="宋体" w:cs="宋体" w:eastAsia="宋体" w:hint="default"/>
                <w:sz w:val="18"/>
                <w:szCs w:val="18"/>
              </w:rPr>
            </w:pPr>
            <w:r>
              <w:rPr>
                <w:rFonts w:ascii="宋体" w:hAnsi="宋体" w:cs="宋体" w:eastAsia="宋体" w:hint="default"/>
                <w:sz w:val="18"/>
                <w:szCs w:val="18"/>
              </w:rPr>
              <w:t>固定资产折旧、油气资产折耗、 生产性生物资产折旧</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02" w:right="0"/>
              <w:jc w:val="left"/>
              <w:rPr>
                <w:rFonts w:ascii="Times New Roman" w:hAnsi="Times New Roman" w:cs="Times New Roman" w:eastAsia="Times New Roman" w:hint="default"/>
                <w:sz w:val="18"/>
                <w:szCs w:val="18"/>
              </w:rPr>
            </w:pPr>
            <w:r>
              <w:rPr>
                <w:rFonts w:ascii="Times New Roman"/>
                <w:sz w:val="18"/>
              </w:rPr>
              <w:t>162,835,983.88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133,636,301.05</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993" w:right="0"/>
              <w:jc w:val="left"/>
              <w:rPr>
                <w:rFonts w:ascii="Times New Roman" w:hAnsi="Times New Roman" w:cs="Times New Roman" w:eastAsia="Times New Roman" w:hint="default"/>
                <w:sz w:val="18"/>
                <w:szCs w:val="18"/>
              </w:rPr>
            </w:pPr>
            <w:r>
              <w:rPr>
                <w:rFonts w:ascii="Times New Roman"/>
                <w:sz w:val="18"/>
              </w:rPr>
              <w:t>42,953,794.81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33,134,960.53</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58,297,707.61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12,282,688.18</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72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22" w:right="0"/>
              <w:jc w:val="left"/>
              <w:rPr>
                <w:rFonts w:ascii="Times New Roman" w:hAnsi="Times New Roman" w:cs="Times New Roman" w:eastAsia="Times New Roman" w:hint="default"/>
                <w:sz w:val="18"/>
                <w:szCs w:val="18"/>
              </w:rPr>
            </w:pPr>
            <w:r>
              <w:rPr>
                <w:rFonts w:ascii="Times New Roman"/>
                <w:sz w:val="18"/>
              </w:rPr>
              <w:t>-1,423,038.73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-1,318,960.30</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282,836.85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80,106.98</w:t>
            </w: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2"/>
              <w:jc w:val="right"/>
              <w:rPr>
                <w:rFonts w:ascii="宋体" w:hAnsi="宋体" w:cs="宋体" w:eastAsia="宋体" w:hint="default"/>
                <w:sz w:val="18"/>
                <w:szCs w:val="18"/>
              </w:rPr>
            </w:pPr>
            <w:r>
              <w:rPr>
                <w:rFonts w:ascii="宋体" w:hAnsi="宋体" w:cs="宋体" w:eastAsia="宋体" w:hint="default"/>
                <w:spacing w:val="-1"/>
                <w:sz w:val="18"/>
                <w:szCs w:val="18"/>
              </w:rPr>
              <w:t>财务费用（收益以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left="1993" w:right="0"/>
              <w:jc w:val="left"/>
              <w:rPr>
                <w:rFonts w:ascii="Times New Roman" w:hAnsi="Times New Roman" w:cs="Times New Roman" w:eastAsia="Times New Roman" w:hint="default"/>
                <w:sz w:val="18"/>
                <w:szCs w:val="18"/>
              </w:rPr>
            </w:pPr>
            <w:r>
              <w:rPr>
                <w:rFonts w:ascii="Times New Roman"/>
                <w:sz w:val="18"/>
              </w:rPr>
              <w:t>17,448,953.48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13,021,448.04</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2"/>
              <w:jc w:val="right"/>
              <w:rPr>
                <w:rFonts w:ascii="宋体" w:hAnsi="宋体" w:cs="宋体" w:eastAsia="宋体" w:hint="default"/>
                <w:sz w:val="18"/>
                <w:szCs w:val="18"/>
              </w:rPr>
            </w:pPr>
            <w:r>
              <w:rPr>
                <w:rFonts w:ascii="宋体" w:hAnsi="宋体" w:cs="宋体" w:eastAsia="宋体" w:hint="default"/>
                <w:spacing w:val="-1"/>
                <w:sz w:val="18"/>
                <w:szCs w:val="18"/>
              </w:rPr>
              <w:t>投资损失（收益以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22" w:right="0"/>
              <w:jc w:val="left"/>
              <w:rPr>
                <w:rFonts w:ascii="Times New Roman" w:hAnsi="Times New Roman" w:cs="Times New Roman" w:eastAsia="Times New Roman" w:hint="default"/>
                <w:sz w:val="18"/>
                <w:szCs w:val="18"/>
              </w:rPr>
            </w:pPr>
            <w:r>
              <w:rPr>
                <w:rFonts w:ascii="Times New Roman"/>
                <w:sz w:val="18"/>
              </w:rPr>
              <w:t>-9,465,607.33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-68,855,773.33</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22" w:right="0"/>
              <w:jc w:val="left"/>
              <w:rPr>
                <w:rFonts w:ascii="Times New Roman" w:hAnsi="Times New Roman" w:cs="Times New Roman" w:eastAsia="Times New Roman" w:hint="default"/>
                <w:sz w:val="18"/>
                <w:szCs w:val="18"/>
              </w:rPr>
            </w:pPr>
            <w:r>
              <w:rPr>
                <w:rFonts w:ascii="Times New Roman"/>
                <w:sz w:val="18"/>
              </w:rPr>
              <w:t>-6,780,735.88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-8,040,768.33</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22" w:right="0"/>
              <w:jc w:val="left"/>
              <w:rPr>
                <w:rFonts w:ascii="Times New Roman" w:hAnsi="Times New Roman" w:cs="Times New Roman" w:eastAsia="Times New Roman" w:hint="default"/>
                <w:sz w:val="18"/>
                <w:szCs w:val="18"/>
              </w:rPr>
            </w:pPr>
            <w:r>
              <w:rPr>
                <w:rFonts w:ascii="Times New Roman"/>
                <w:sz w:val="18"/>
              </w:rPr>
              <w:t>-4,363,625.88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-4,976,677.59</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pacing w:val="-3"/>
                <w:sz w:val="18"/>
                <w:szCs w:val="18"/>
              </w:rPr>
              <w:t>存货的减少（增加以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09"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51"/>
              <w:ind w:left="-119" w:right="0"/>
              <w:jc w:val="left"/>
              <w:rPr>
                <w:rFonts w:ascii="宋体" w:hAnsi="宋体" w:cs="宋体" w:eastAsia="宋体" w:hint="default"/>
                <w:sz w:val="18"/>
                <w:szCs w:val="18"/>
              </w:rPr>
            </w:pPr>
            <w:r>
              <w:rPr>
                <w:rFonts w:ascii="宋体" w:hAnsi="宋体" w:cs="宋体" w:eastAsia="宋体" w:hint="default"/>
                <w:sz w:val="18"/>
                <w:szCs w:val="18"/>
              </w:rPr>
              <w:t>）</w:t>
            </w:r>
          </w:p>
        </w:tc>
        <w:tc>
          <w:tcPr>
            <w:tcW w:w="20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936" w:right="0"/>
              <w:jc w:val="left"/>
              <w:rPr>
                <w:rFonts w:ascii="Times New Roman" w:hAnsi="Times New Roman" w:cs="Times New Roman" w:eastAsia="Times New Roman" w:hint="default"/>
                <w:sz w:val="18"/>
                <w:szCs w:val="18"/>
              </w:rPr>
            </w:pPr>
            <w:r>
              <w:rPr>
                <w:rFonts w:ascii="Times New Roman"/>
                <w:sz w:val="18"/>
              </w:rPr>
              <w:t>-99,055,970.53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-22,910,909.11</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42" w:right="0"/>
              <w:jc w:val="left"/>
              <w:rPr>
                <w:rFonts w:ascii="Times New Roman" w:hAnsi="Times New Roman" w:cs="Times New Roman" w:eastAsia="Times New Roman" w:hint="default"/>
                <w:sz w:val="18"/>
                <w:szCs w:val="18"/>
              </w:rPr>
            </w:pPr>
            <w:r>
              <w:rPr>
                <w:rFonts w:ascii="Times New Roman"/>
                <w:sz w:val="18"/>
              </w:rPr>
              <w:t>-405,131,149.80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293,085,345.88</w:t>
            </w:r>
          </w:p>
        </w:tc>
      </w:tr>
      <w:tr>
        <w:trPr>
          <w:trHeight w:val="716"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02" w:right="0"/>
              <w:jc w:val="left"/>
              <w:rPr>
                <w:rFonts w:ascii="Times New Roman" w:hAnsi="Times New Roman" w:cs="Times New Roman" w:eastAsia="Times New Roman" w:hint="default"/>
                <w:sz w:val="18"/>
                <w:szCs w:val="18"/>
              </w:rPr>
            </w:pPr>
            <w:r>
              <w:rPr>
                <w:rFonts w:ascii="Times New Roman"/>
                <w:sz w:val="18"/>
              </w:rPr>
              <w:t>485,312,206.04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-615,578,163.34</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6,754,173.63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1,168,315.03</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0"/>
              <w:jc w:val="righ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993" w:right="0"/>
              <w:jc w:val="left"/>
              <w:rPr>
                <w:rFonts w:ascii="Times New Roman" w:hAnsi="Times New Roman" w:cs="Times New Roman" w:eastAsia="Times New Roman" w:hint="default"/>
                <w:sz w:val="18"/>
                <w:szCs w:val="18"/>
              </w:rPr>
            </w:pPr>
            <w:r>
              <w:rPr>
                <w:rFonts w:ascii="Times New Roman"/>
                <w:sz w:val="18"/>
              </w:rPr>
              <w:t>33,364,621.21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228,020,043.73</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2"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767" w:right="0"/>
              <w:jc w:val="left"/>
              <w:rPr>
                <w:rFonts w:ascii="Times New Roman" w:hAnsi="Times New Roman" w:cs="Times New Roman" w:eastAsia="Times New Roman" w:hint="default"/>
                <w:sz w:val="18"/>
                <w:szCs w:val="18"/>
              </w:rPr>
            </w:pPr>
            <w:r>
              <w:rPr>
                <w:rFonts w:ascii="Times New Roman"/>
                <w:sz w:val="18"/>
              </w:rPr>
              <w:t>1,183,400,693.32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1,701,369,630.24</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767" w:right="0"/>
              <w:jc w:val="left"/>
              <w:rPr>
                <w:rFonts w:ascii="Times New Roman" w:hAnsi="Times New Roman" w:cs="Times New Roman" w:eastAsia="Times New Roman" w:hint="default"/>
                <w:sz w:val="18"/>
                <w:szCs w:val="18"/>
              </w:rPr>
            </w:pPr>
            <w:r>
              <w:rPr>
                <w:rFonts w:ascii="Times New Roman"/>
                <w:sz w:val="18"/>
              </w:rPr>
              <w:t>1,701,369,630.24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2,102,040,062.52</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842" w:right="0"/>
              <w:jc w:val="left"/>
              <w:rPr>
                <w:rFonts w:ascii="Times New Roman" w:hAnsi="Times New Roman" w:cs="Times New Roman" w:eastAsia="Times New Roman" w:hint="default"/>
                <w:sz w:val="18"/>
                <w:szCs w:val="18"/>
              </w:rPr>
            </w:pPr>
            <w:r>
              <w:rPr>
                <w:rFonts w:ascii="Times New Roman"/>
                <w:sz w:val="18"/>
              </w:rPr>
              <w:t>-517,968,936.92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-400,670,432.28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本期支付的取得子公司的现金净额" w:id="405"/>
      <w:bookmarkEnd w:id="405"/>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3）本期收到的处置子公司的现金净额" w:id="406"/>
      <w:bookmarkEnd w:id="406"/>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4）现金和现金等价物的构成" w:id="407"/>
      <w:bookmarkEnd w:id="407"/>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1,183,400,693.32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1,701,369,630.24</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87,437.24</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1,151,552,786.41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1,698,786,879.61</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31,847,906.91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2,495,313.39</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1,183,400,693.32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1,701,369,630.24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80、所有者权益变动表项目注释" w:id="408"/>
      <w:bookmarkEnd w:id="408"/>
      <w:r>
        <w:rPr>
          <w:b w:val="0"/>
          <w:bCs w:val="0"/>
        </w:rPr>
      </w:r>
      <w:r>
        <w:rPr>
          <w:rFonts w:ascii="Times New Roman" w:hAnsi="Times New Roman" w:cs="Times New Roman" w:eastAsia="Times New Roman" w:hint="default"/>
        </w:rPr>
        <w:t>80</w:t>
      </w:r>
      <w:r>
        <w:rPr/>
        <w:t>、所有者权益变动表项目注释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81、所有权或使用权受到限制的资产" w:id="409"/>
      <w:bookmarkEnd w:id="409"/>
      <w:r>
        <w:rPr>
          <w:b w:val="0"/>
          <w:bCs w:val="0"/>
        </w:rPr>
      </w:r>
      <w:r>
        <w:rPr>
          <w:rFonts w:ascii="Times New Roman" w:hAnsi="Times New Roman" w:cs="Times New Roman" w:eastAsia="Times New Roman" w:hint="default"/>
        </w:rPr>
        <w:t>81</w:t>
      </w:r>
      <w:r>
        <w:rPr/>
        <w:t>、所有权或使用权受到限制的资产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66"/>
              <w:jc w:val="right"/>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94"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61,631,232.20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票据、贷款保证金、通道交易保证金</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171,520,262.81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10,568,669.33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抵押</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14,703,245.37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抵押</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446,648,304.40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受央行监管的客户备付金</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66"/>
              <w:jc w:val="righ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705,071,714.11</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82、外币货币性项目" w:id="410"/>
      <w:bookmarkEnd w:id="410"/>
      <w:r>
        <w:rPr>
          <w:b w:val="0"/>
          <w:bCs w:val="0"/>
        </w:rPr>
      </w:r>
      <w:r>
        <w:rPr>
          <w:rFonts w:ascii="Times New Roman" w:hAnsi="Times New Roman" w:cs="Times New Roman" w:eastAsia="Times New Roman" w:hint="default"/>
        </w:rPr>
        <w:t>82</w:t>
      </w:r>
      <w:r>
        <w:rPr/>
        <w:t>、外币货币性项目</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1）外币货币性项目" w:id="411"/>
      <w:bookmarkEnd w:id="411"/>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3"/>
        <w:gridCol w:w="2305"/>
        <w:gridCol w:w="2391"/>
        <w:gridCol w:w="2391"/>
      </w:tblGrid>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5"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4"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9,858,452.05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68,774,533.19</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37,649.36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7.8155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294,248.57</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814,758.57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0.8958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729,860.73</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1,109.00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0.0641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71.09</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加元</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66.27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5.3421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354.02</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瑞典克朗</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154,830.57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0.7464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115,565.54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484"/>
        <w:gridCol w:w="2305"/>
        <w:gridCol w:w="2391"/>
        <w:gridCol w:w="2391"/>
      </w:tblGrid>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1008"/>
              <w:jc w:val="right"/>
              <w:rPr>
                <w:rFonts w:ascii="宋体" w:hAnsi="宋体" w:cs="宋体" w:eastAsia="宋体" w:hint="default"/>
                <w:sz w:val="18"/>
                <w:szCs w:val="18"/>
              </w:rPr>
            </w:pPr>
            <w:r>
              <w:rPr>
                <w:rFonts w:ascii="宋体" w:hAnsi="宋体" w:cs="宋体" w:eastAsia="宋体" w:hint="default"/>
                <w:sz w:val="18"/>
                <w:szCs w:val="18"/>
              </w:rPr>
              <w:t>澳大利亚元</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33.48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4.8843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163.53</w:t>
            </w: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新西兰元</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4.6973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48.80</w:t>
            </w: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5.1739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w:t>
            </w: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9.1501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12.54</w:t>
            </w: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瑞士法郎</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7.2028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w:t>
            </w: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095" w:right="0"/>
              <w:jc w:val="lef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1,092,853.46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7,623,964.31</w:t>
            </w: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095" w:right="0"/>
              <w:jc w:val="lef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05" w:type="dxa"/>
            <w:tcBorders>
              <w:top w:val="single" w:sz="4" w:space="0" w:color="000000"/>
              <w:left w:val="single" w:sz="10" w:space="0" w:color="D9D9D9"/>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476,899.30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3,326,944.90</w:t>
            </w: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05" w:type="dxa"/>
            <w:tcBorders>
              <w:top w:val="single" w:sz="4" w:space="0" w:color="000000"/>
              <w:left w:val="single" w:sz="10" w:space="0" w:color="D9D9D9"/>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4,708.00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32,843.95</w:t>
            </w: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加元</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967.10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5.3421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5,166.34</w:t>
            </w: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05" w:type="dxa"/>
            <w:tcBorders>
              <w:top w:val="single" w:sz="4" w:space="0" w:color="000000"/>
              <w:left w:val="single" w:sz="10" w:space="0" w:color="D9D9D9"/>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554,247.68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3,866,542.67</w:t>
            </w: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19,470.20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7.8155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152,169.35</w:t>
            </w: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814,597.93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0.8958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729,716.83</w:t>
            </w: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加元</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6,342.94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5.3421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33,884.62</w:t>
            </w: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瑞典克朗</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154,830.57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0.7464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115,565.54</w:t>
            </w: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1008"/>
              <w:jc w:val="right"/>
              <w:rPr>
                <w:rFonts w:ascii="宋体" w:hAnsi="宋体" w:cs="宋体" w:eastAsia="宋体" w:hint="default"/>
                <w:sz w:val="18"/>
                <w:szCs w:val="18"/>
              </w:rPr>
            </w:pPr>
            <w:r>
              <w:rPr>
                <w:rFonts w:ascii="宋体" w:hAnsi="宋体" w:cs="宋体" w:eastAsia="宋体" w:hint="default"/>
                <w:sz w:val="18"/>
                <w:szCs w:val="18"/>
              </w:rPr>
              <w:t>澳大利亚元</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4.8843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146.63</w:t>
            </w: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新西兰元</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4.6973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48.80</w:t>
            </w: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73.00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0.0641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w:t>
            </w:r>
          </w:p>
        </w:tc>
      </w:tr>
      <w:tr>
        <w:trPr>
          <w:trHeight w:val="404"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564"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9.1501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1.37</w:t>
            </w:r>
          </w:p>
        </w:tc>
      </w:tr>
    </w:tbl>
    <w:p>
      <w:pPr>
        <w:spacing w:line="240" w:lineRule="auto" w:before="3"/>
        <w:rPr>
          <w:rFonts w:ascii="宋体" w:hAnsi="宋体" w:cs="宋体" w:eastAsia="宋体" w:hint="default"/>
          <w:sz w:val="19"/>
          <w:szCs w:val="19"/>
        </w:rPr>
      </w:pPr>
    </w:p>
    <w:p>
      <w:pPr>
        <w:pStyle w:val="Heading3"/>
        <w:spacing w:line="259" w:lineRule="auto" w:before="36"/>
        <w:ind w:right="1133"/>
        <w:jc w:val="left"/>
        <w:rPr>
          <w:b w:val="0"/>
          <w:bCs w:val="0"/>
        </w:rPr>
      </w:pPr>
      <w:bookmarkStart w:name="（2）境外经营实体说明，包括对于重要的境外经营实体，应披露其境外主要经营地、记账" w:id="412"/>
      <w:bookmarkEnd w:id="412"/>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83、套期" w:id="413"/>
      <w:bookmarkEnd w:id="413"/>
      <w:r>
        <w:rPr>
          <w:b w:val="0"/>
          <w:bCs w:val="0"/>
        </w:rPr>
      </w:r>
      <w:r>
        <w:rPr>
          <w:rFonts w:ascii="Times New Roman" w:hAnsi="Times New Roman" w:cs="Times New Roman" w:eastAsia="Times New Roman" w:hint="default"/>
        </w:rPr>
        <w:t>83</w:t>
      </w:r>
      <w:r>
        <w:rPr/>
        <w:t>、套期</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84、政府补助" w:id="414"/>
      <w:bookmarkEnd w:id="414"/>
      <w:r>
        <w:rPr>
          <w:b w:val="0"/>
          <w:bCs w:val="0"/>
        </w:rPr>
      </w:r>
      <w:r>
        <w:rPr>
          <w:rFonts w:ascii="Times New Roman" w:hAnsi="Times New Roman" w:cs="Times New Roman" w:eastAsia="Times New Roman" w:hint="default"/>
        </w:rPr>
        <w:t>84</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政府补助基本情况" w:id="415"/>
      <w:bookmarkEnd w:id="415"/>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技术改造设备补贴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566,949.28</w:t>
            </w:r>
          </w:p>
        </w:tc>
      </w:tr>
      <w:tr>
        <w:trPr>
          <w:trHeight w:val="404"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互联网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555 </w:t>
            </w:r>
            <w:r>
              <w:rPr>
                <w:rFonts w:ascii="宋体" w:hAnsi="宋体" w:cs="宋体" w:eastAsia="宋体" w:hint="default"/>
                <w:sz w:val="18"/>
                <w:szCs w:val="18"/>
              </w:rPr>
              <w:t>项目补助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研发投入补贴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980,000.00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高新技术企业认证奖励</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税收贡献奖</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中国制造</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专项补贴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26,000.00</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杭州湾新区科技奖励</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77,900.00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77,900.00</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197"/>
              <w:jc w:val="left"/>
              <w:rPr>
                <w:rFonts w:ascii="宋体" w:hAnsi="宋体" w:cs="宋体" w:eastAsia="宋体" w:hint="default"/>
                <w:sz w:val="18"/>
                <w:szCs w:val="18"/>
              </w:rPr>
            </w:pPr>
            <w:r>
              <w:rPr>
                <w:rFonts w:ascii="宋体" w:hAnsi="宋体" w:cs="宋体" w:eastAsia="宋体" w:hint="default"/>
                <w:sz w:val="18"/>
                <w:szCs w:val="18"/>
              </w:rPr>
              <w:t>工业企业技术改造转型升级 奖</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高新技术产品登记备案奖励</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305,000.00</w:t>
            </w:r>
          </w:p>
        </w:tc>
      </w:tr>
      <w:tr>
        <w:trPr>
          <w:trHeight w:val="404"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枣阳市科技创新奖</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上海市专利资助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20,256.00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20,256.00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青浦区专利项目资助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超比例安排就业的奖励</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17,757.10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17,757.10</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197"/>
              <w:jc w:val="left"/>
              <w:rPr>
                <w:rFonts w:ascii="宋体" w:hAnsi="宋体" w:cs="宋体" w:eastAsia="宋体" w:hint="default"/>
                <w:sz w:val="18"/>
                <w:szCs w:val="18"/>
              </w:rPr>
            </w:pPr>
            <w:r>
              <w:rPr>
                <w:rFonts w:ascii="宋体" w:hAnsi="宋体" w:cs="宋体" w:eastAsia="宋体" w:hint="default"/>
                <w:sz w:val="18"/>
                <w:szCs w:val="18"/>
              </w:rPr>
              <w:t>青浦区软件信息服务业扶持 项目专项资金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青浦区就业奖励</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1,000.00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北京市专利资助金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13,000.00</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园区产业政策支持资金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2,580,188.67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2,580,188.67</w:t>
            </w:r>
          </w:p>
        </w:tc>
      </w:tr>
      <w:tr>
        <w:trPr>
          <w:trHeight w:val="716"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年度新区工业投资（技术</w:t>
            </w:r>
            <w:r>
              <w:rPr>
                <w:rFonts w:ascii="宋体" w:hAnsi="宋体" w:cs="宋体" w:eastAsia="宋体" w:hint="default"/>
                <w:sz w:val="18"/>
                <w:szCs w:val="18"/>
              </w:rPr>
              <w:t> 改造）项目资金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4,166.00</w:t>
            </w:r>
          </w:p>
        </w:tc>
      </w:tr>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49"/>
              <w:ind w:left="22"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年省级传统产业改造升 级专项补贴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296,000.00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16,744.60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海联金科房租补贴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3,108,750.03</w:t>
            </w:r>
          </w:p>
        </w:tc>
      </w:tr>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197"/>
              <w:jc w:val="left"/>
              <w:rPr>
                <w:rFonts w:ascii="宋体" w:hAnsi="宋体" w:cs="宋体" w:eastAsia="宋体" w:hint="default"/>
                <w:sz w:val="18"/>
                <w:szCs w:val="18"/>
              </w:rPr>
            </w:pPr>
            <w:r>
              <w:rPr>
                <w:rFonts w:ascii="宋体" w:hAnsi="宋体" w:cs="宋体" w:eastAsia="宋体" w:hint="default"/>
                <w:sz w:val="18"/>
                <w:szCs w:val="18"/>
              </w:rPr>
              <w:t>青岛市即墨区行政审批服务 局技术改造补助款</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242,000.00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30,829.21</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197"/>
              <w:jc w:val="left"/>
              <w:rPr>
                <w:rFonts w:ascii="宋体" w:hAnsi="宋体" w:cs="宋体" w:eastAsia="宋体" w:hint="default"/>
                <w:sz w:val="18"/>
                <w:szCs w:val="18"/>
              </w:rPr>
            </w:pPr>
            <w:r>
              <w:rPr>
                <w:rFonts w:ascii="宋体" w:hAnsi="宋体" w:cs="宋体" w:eastAsia="宋体" w:hint="default"/>
                <w:sz w:val="18"/>
                <w:szCs w:val="18"/>
              </w:rPr>
              <w:t>中小企业技术改造项目政府 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2,020,000.00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41,649.48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招用困难人员补贴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145,580.63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145,580.63</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见习补贴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53,244.00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53,244.00</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260,171.06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260,171.06</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省级工程研究中心认定</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专利补助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年高质量发展补助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49"/>
              <w:ind w:left="22"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年科技成果转移转化补 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年北仑区经济信息扶持</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（软件投入）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95,000.00</w:t>
            </w:r>
          </w:p>
        </w:tc>
      </w:tr>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49"/>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年度青浦区</w:t>
            </w:r>
            <w:r>
              <w:rPr>
                <w:rFonts w:ascii="Times New Roman" w:hAnsi="Times New Roman" w:cs="Times New Roman" w:eastAsia="Times New Roman" w:hint="default"/>
                <w:sz w:val="18"/>
                <w:szCs w:val="18"/>
              </w:rPr>
              <w:t>"</w:t>
            </w:r>
            <w:r>
              <w:rPr>
                <w:rFonts w:ascii="宋体" w:hAnsi="宋体" w:cs="宋体" w:eastAsia="宋体" w:hint="default"/>
                <w:sz w:val="18"/>
                <w:szCs w:val="18"/>
              </w:rPr>
              <w:t>软件信息服 务业</w:t>
            </w:r>
            <w:r>
              <w:rPr>
                <w:rFonts w:ascii="Times New Roman" w:hAnsi="Times New Roman" w:cs="Times New Roman" w:eastAsia="Times New Roman" w:hint="default"/>
                <w:sz w:val="18"/>
                <w:szCs w:val="18"/>
              </w:rPr>
              <w:t>"</w:t>
            </w:r>
            <w:r>
              <w:rPr>
                <w:rFonts w:ascii="宋体" w:hAnsi="宋体" w:cs="宋体" w:eastAsia="宋体" w:hint="default"/>
                <w:sz w:val="18"/>
                <w:szCs w:val="18"/>
              </w:rPr>
              <w:t>扶持项目专项资金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w:t>
            </w:r>
          </w:p>
        </w:tc>
      </w:tr>
      <w:tr>
        <w:trPr>
          <w:trHeight w:val="1027"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97"/>
              <w:jc w:val="both"/>
              <w:rPr>
                <w:rFonts w:ascii="宋体" w:hAnsi="宋体" w:cs="宋体" w:eastAsia="宋体" w:hint="default"/>
                <w:sz w:val="18"/>
                <w:szCs w:val="18"/>
              </w:rPr>
            </w:pPr>
            <w:r>
              <w:rPr>
                <w:rFonts w:ascii="宋体" w:hAnsi="宋体" w:cs="宋体" w:eastAsia="宋体" w:hint="default"/>
                <w:sz w:val="18"/>
                <w:szCs w:val="18"/>
              </w:rPr>
              <w:t>基于优化焊接设计的汽车仪 表板横梁研发与成果转化项 目扶持资金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3,858,000.00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3,858,000.00</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区块链应用研发项目资助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188,679.25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188,679.25</w:t>
            </w:r>
          </w:p>
        </w:tc>
      </w:tr>
      <w:tr>
        <w:trPr>
          <w:trHeight w:val="1027"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7"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年度西城区财政科技专 项项目《金融风控大数据公共 服务平台项目》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943,396.23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943,396.23</w:t>
            </w:r>
          </w:p>
        </w:tc>
      </w:tr>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49"/>
              <w:ind w:left="22"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年度外经贸发展资金项 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2,055,801.89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2,055,801.89</w:t>
            </w:r>
          </w:p>
        </w:tc>
      </w:tr>
      <w:tr>
        <w:trPr>
          <w:trHeight w:val="1339"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4" w:lineRule="auto" w:before="51"/>
              <w:ind w:left="22" w:right="13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年度区财政科技专项科 技创新类项目支持资金</w:t>
            </w:r>
            <w:r>
              <w:rPr>
                <w:rFonts w:ascii="Times New Roman" w:hAnsi="Times New Roman" w:cs="Times New Roman" w:eastAsia="Times New Roman" w:hint="default"/>
                <w:sz w:val="18"/>
                <w:szCs w:val="18"/>
              </w:rPr>
              <w:t>-</w:t>
            </w:r>
            <w:r>
              <w:rPr>
                <w:rFonts w:ascii="宋体" w:hAnsi="宋体" w:cs="宋体" w:eastAsia="宋体" w:hint="default"/>
                <w:sz w:val="18"/>
                <w:szCs w:val="18"/>
              </w:rPr>
              <w:t>基于 区块链的互联网金融综合服 务平台产业化项目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754,716.99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754,716.99</w:t>
            </w:r>
          </w:p>
        </w:tc>
      </w:tr>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49"/>
              <w:ind w:left="22"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年跨境电子商务综合试 验区服务体系建设项目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877,358.49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877,358.49</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7" w:lineRule="auto" w:before="51"/>
              <w:ind w:left="22"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年度杭州湾新区第二批 科技奖励</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9,500.00</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规模以上企业资金补助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04"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市长质量奖</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院士专家工作站认定</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地方教育费附加专项资金开 展职工职业培训</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14,109.92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14,109.92</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49"/>
              <w:ind w:left="22"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年度产学研项目扶持资 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6"/>
        <w:ind w:right="1133"/>
        <w:jc w:val="left"/>
        <w:rPr>
          <w:b w:val="0"/>
          <w:bCs w:val="0"/>
        </w:rPr>
      </w:pPr>
      <w:bookmarkStart w:name="（2）政府补助退回情况" w:id="416"/>
      <w:bookmarkEnd w:id="416"/>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bookmarkStart w:name="85、其他" w:id="417"/>
      <w:bookmarkEnd w:id="417"/>
      <w:r>
        <w:rPr>
          <w:b w:val="0"/>
          <w:bCs w:val="0"/>
        </w:rPr>
      </w:r>
      <w:r>
        <w:rPr>
          <w:rFonts w:ascii="Times New Roman" w:hAnsi="Times New Roman" w:cs="Times New Roman" w:eastAsia="Times New Roman" w:hint="default"/>
        </w:rPr>
        <w:t>85</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3"/>
        <w:rPr>
          <w:rFonts w:ascii="宋体" w:hAnsi="宋体" w:cs="宋体" w:eastAsia="宋体" w:hint="default"/>
          <w:sz w:val="25"/>
          <w:szCs w:val="25"/>
        </w:rPr>
      </w:pPr>
    </w:p>
    <w:p>
      <w:pPr>
        <w:spacing w:line="506" w:lineRule="auto" w:before="0"/>
        <w:ind w:left="152" w:right="8330" w:firstLine="0"/>
        <w:jc w:val="left"/>
        <w:rPr>
          <w:rFonts w:ascii="宋体" w:hAnsi="宋体" w:cs="宋体" w:eastAsia="宋体" w:hint="default"/>
          <w:sz w:val="18"/>
          <w:szCs w:val="18"/>
        </w:rPr>
      </w:pPr>
      <w:bookmarkStart w:name="八、合并范围的变更" w:id="418"/>
      <w:bookmarkEnd w:id="418"/>
      <w:r>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419"/>
      <w:bookmarkEnd w:id="419"/>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b/>
          <w:bCs/>
          <w:w w:val="100"/>
          <w:sz w:val="21"/>
          <w:szCs w:val="21"/>
        </w:rPr>
        <w:t> </w:t>
      </w:r>
      <w:r>
        <w:rPr>
          <w:rFonts w:ascii="宋体" w:hAnsi="宋体" w:cs="宋体" w:eastAsia="宋体" w:hint="default"/>
          <w:sz w:val="18"/>
          <w:szCs w:val="18"/>
        </w:rPr>
        <w:t>无。</w:t>
      </w:r>
    </w:p>
    <w:p>
      <w:pPr>
        <w:pStyle w:val="Heading3"/>
        <w:spacing w:line="240" w:lineRule="auto" w:before="156"/>
        <w:ind w:right="1133"/>
        <w:jc w:val="left"/>
        <w:rPr>
          <w:b w:val="0"/>
          <w:bCs w:val="0"/>
        </w:rPr>
      </w:pPr>
      <w:bookmarkStart w:name="2、同一控制下企业合并" w:id="420"/>
      <w:bookmarkEnd w:id="420"/>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3、反向购买" w:id="421"/>
      <w:bookmarkEnd w:id="421"/>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4、处置子公司" w:id="422"/>
      <w:bookmarkEnd w:id="422"/>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是否存在单次处置对子公司投资即丧失控制权的情形</w:t>
      </w:r>
    </w:p>
    <w:p>
      <w:pPr>
        <w:pStyle w:val="BodyText"/>
        <w:spacing w:line="340" w:lineRule="auto" w:before="115"/>
        <w:ind w:right="49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是否存在通过多次交易分步处置对子公司投资且在本期丧失控制权的情形</w:t>
      </w:r>
    </w:p>
    <w:p>
      <w:pPr>
        <w:pStyle w:val="BodyText"/>
        <w:spacing w:line="240" w:lineRule="auto" w:before="41"/>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bookmarkStart w:name="5、其他原因的合并范围变动" w:id="423"/>
      <w:bookmarkEnd w:id="423"/>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说明其他原因导致的合并范围变动（如，新设子公司、清算子公司等）及其相关情况：</w:t>
      </w:r>
    </w:p>
    <w:p>
      <w:pPr>
        <w:spacing w:line="240" w:lineRule="auto" w:before="5"/>
        <w:rPr>
          <w:rFonts w:ascii="宋体" w:hAnsi="宋体" w:cs="宋体" w:eastAsia="宋体" w:hint="default"/>
          <w:sz w:val="24"/>
          <w:szCs w:val="24"/>
        </w:rPr>
      </w:pPr>
    </w:p>
    <w:p>
      <w:pPr>
        <w:pStyle w:val="BodyText"/>
        <w:spacing w:line="297" w:lineRule="auto"/>
        <w:ind w:right="0" w:firstLine="360"/>
        <w:jc w:val="left"/>
      </w:pPr>
      <w:r>
        <w:rPr>
          <w:spacing w:val="-1"/>
        </w:rPr>
        <w:t>（</w:t>
      </w: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3</w:t>
      </w:r>
      <w:r>
        <w:rPr>
          <w:spacing w:val="-1"/>
        </w:rPr>
        <w:t>月，子公司联动优势科技有限公司出资成立辉海（上海）科技服务有限公司，注册资本</w:t>
      </w:r>
      <w:r>
        <w:rPr>
          <w:rFonts w:ascii="Times New Roman" w:hAnsi="Times New Roman" w:cs="Times New Roman" w:eastAsia="Times New Roman" w:hint="default"/>
          <w:spacing w:val="-1"/>
        </w:rPr>
        <w:t>1,000</w:t>
      </w:r>
      <w:r>
        <w:rPr>
          <w:spacing w:val="-1"/>
        </w:rPr>
        <w:t>万元人民币，</w:t>
      </w:r>
      <w:r>
        <w:rPr/>
        <w:t> 公司间接持有辉海（上海）科技服务有限公司</w:t>
      </w:r>
      <w:r>
        <w:rPr>
          <w:rFonts w:ascii="Times New Roman" w:hAnsi="Times New Roman" w:cs="Times New Roman" w:eastAsia="Times New Roman" w:hint="default"/>
        </w:rPr>
        <w:t>45%</w:t>
      </w:r>
      <w:r>
        <w:rPr/>
        <w:t>股权。</w:t>
      </w:r>
    </w:p>
    <w:p>
      <w:pPr>
        <w:spacing w:line="240" w:lineRule="auto" w:before="7"/>
        <w:rPr>
          <w:rFonts w:ascii="宋体" w:hAnsi="宋体" w:cs="宋体" w:eastAsia="宋体" w:hint="default"/>
          <w:sz w:val="19"/>
          <w:szCs w:val="19"/>
        </w:rPr>
      </w:pPr>
    </w:p>
    <w:p>
      <w:pPr>
        <w:pStyle w:val="BodyText"/>
        <w:spacing w:line="300" w:lineRule="auto"/>
        <w:ind w:right="1133" w:firstLine="36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月，子公司哈尔滨迪达能化科技有限公司收购青岛中金卓越商业保理有限公司，注册资本</w:t>
      </w:r>
      <w:r>
        <w:rPr>
          <w:rFonts w:ascii="Times New Roman" w:hAnsi="Times New Roman" w:cs="Times New Roman" w:eastAsia="Times New Roman" w:hint="default"/>
        </w:rPr>
        <w:t>1,000</w:t>
      </w:r>
      <w:r>
        <w:rPr/>
        <w:t>万元人民 币，公司间接持有青岛中金卓越商业保理有限公司</w:t>
      </w:r>
      <w:r>
        <w:rPr>
          <w:rFonts w:ascii="Times New Roman" w:hAnsi="Times New Roman" w:cs="Times New Roman" w:eastAsia="Times New Roman" w:hint="default"/>
        </w:rPr>
        <w:t>100%</w:t>
      </w:r>
      <w:r>
        <w:rPr/>
        <w:t>股权。</w:t>
      </w:r>
    </w:p>
    <w:p>
      <w:pPr>
        <w:spacing w:line="240" w:lineRule="auto" w:before="4"/>
        <w:rPr>
          <w:rFonts w:ascii="宋体" w:hAnsi="宋体" w:cs="宋体" w:eastAsia="宋体" w:hint="default"/>
          <w:sz w:val="19"/>
          <w:szCs w:val="19"/>
        </w:rPr>
      </w:pPr>
    </w:p>
    <w:p>
      <w:pPr>
        <w:pStyle w:val="BodyText"/>
        <w:spacing w:line="300" w:lineRule="auto"/>
        <w:ind w:right="1124" w:firstLine="360"/>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月，公司注销子公司宁波康拓企业管理有限公司。截至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日，宁波康拓企业管理有限公司注销 手续已办理完毕。</w:t>
      </w:r>
    </w:p>
    <w:p>
      <w:pPr>
        <w:spacing w:line="240" w:lineRule="auto" w:before="10"/>
        <w:rPr>
          <w:rFonts w:ascii="宋体" w:hAnsi="宋体" w:cs="宋体" w:eastAsia="宋体" w:hint="default"/>
          <w:sz w:val="20"/>
          <w:szCs w:val="20"/>
        </w:rPr>
      </w:pPr>
    </w:p>
    <w:p>
      <w:pPr>
        <w:pStyle w:val="BodyText"/>
        <w:spacing w:line="300" w:lineRule="auto"/>
        <w:ind w:right="1124" w:firstLine="360"/>
        <w:jc w:val="left"/>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月，公司注销子公司北京玖联金通科技有限责任公司。截至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日，北京玖联金通科技有限责任 公司注销手续已办理完毕。</w:t>
      </w:r>
    </w:p>
    <w:p>
      <w:pPr>
        <w:spacing w:line="240" w:lineRule="auto" w:before="10"/>
        <w:rPr>
          <w:rFonts w:ascii="宋体" w:hAnsi="宋体" w:cs="宋体" w:eastAsia="宋体" w:hint="default"/>
          <w:sz w:val="20"/>
          <w:szCs w:val="20"/>
        </w:rPr>
      </w:pPr>
    </w:p>
    <w:p>
      <w:pPr>
        <w:pStyle w:val="BodyText"/>
        <w:spacing w:line="240" w:lineRule="auto"/>
        <w:ind w:left="513" w:right="0"/>
        <w:jc w:val="left"/>
      </w:pPr>
      <w:r>
        <w:rPr/>
        <w:t>（</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月，公司出资成立江苏盛世通钢铁供应链管理有限公司，注册资本</w:t>
      </w:r>
      <w:r>
        <w:rPr>
          <w:rFonts w:ascii="Times New Roman" w:hAnsi="Times New Roman" w:cs="Times New Roman" w:eastAsia="Times New Roman" w:hint="default"/>
        </w:rPr>
        <w:t>2,000</w:t>
      </w:r>
      <w:r>
        <w:rPr/>
        <w:t>万元</w:t>
      </w:r>
      <w:r>
        <w:rPr>
          <w:rFonts w:ascii="Times New Roman" w:hAnsi="Times New Roman" w:cs="Times New Roman" w:eastAsia="Times New Roman" w:hint="default"/>
        </w:rPr>
        <w:t>,</w:t>
      </w:r>
      <w:r>
        <w:rPr/>
        <w:t>公司直接持有江苏盛世通钢</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铁供应链管理有限公司</w:t>
      </w:r>
      <w:r>
        <w:rPr>
          <w:rFonts w:ascii="Times New Roman" w:hAnsi="Times New Roman" w:cs="Times New Roman" w:eastAsia="Times New Roman" w:hint="default"/>
        </w:rPr>
        <w:t>70%</w:t>
      </w:r>
      <w:r>
        <w:rPr/>
        <w:t>股权。</w:t>
      </w:r>
    </w:p>
    <w:p>
      <w:pPr>
        <w:spacing w:line="240" w:lineRule="auto" w:before="2"/>
        <w:rPr>
          <w:rFonts w:ascii="宋体" w:hAnsi="宋体" w:cs="宋体" w:eastAsia="宋体" w:hint="default"/>
          <w:sz w:val="23"/>
          <w:szCs w:val="23"/>
        </w:rPr>
      </w:pPr>
    </w:p>
    <w:p>
      <w:pPr>
        <w:pStyle w:val="BodyText"/>
        <w:spacing w:line="300" w:lineRule="auto"/>
        <w:ind w:right="0" w:firstLine="360"/>
        <w:jc w:val="left"/>
      </w:pPr>
      <w:r>
        <w:rPr>
          <w:spacing w:val="-2"/>
        </w:rPr>
        <w:t>（</w:t>
      </w:r>
      <w:r>
        <w:rPr>
          <w:rFonts w:ascii="Times New Roman" w:hAnsi="Times New Roman" w:cs="Times New Roman" w:eastAsia="Times New Roman" w:hint="default"/>
          <w:spacing w:val="-2"/>
        </w:rPr>
        <w:t>6</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10</w:t>
      </w:r>
      <w:r>
        <w:rPr>
          <w:spacing w:val="-2"/>
        </w:rPr>
        <w:t>月，公司出资成立青岛中安美达技术有限公司，注册资本</w:t>
      </w:r>
      <w:r>
        <w:rPr>
          <w:rFonts w:ascii="Times New Roman" w:hAnsi="Times New Roman" w:cs="Times New Roman" w:eastAsia="Times New Roman" w:hint="default"/>
          <w:spacing w:val="-2"/>
        </w:rPr>
        <w:t>1,000</w:t>
      </w:r>
      <w:r>
        <w:rPr>
          <w:spacing w:val="-2"/>
        </w:rPr>
        <w:t>万元</w:t>
      </w:r>
      <w:r>
        <w:rPr>
          <w:rFonts w:ascii="Times New Roman" w:hAnsi="Times New Roman" w:cs="Times New Roman" w:eastAsia="Times New Roman" w:hint="default"/>
          <w:spacing w:val="-2"/>
        </w:rPr>
        <w:t>,</w:t>
      </w:r>
      <w:r>
        <w:rPr>
          <w:spacing w:val="-2"/>
        </w:rPr>
        <w:t>公司直接持有青岛中安美达科技有限</w:t>
      </w:r>
      <w:r>
        <w:rPr/>
        <w:t> 公司</w:t>
      </w:r>
      <w:r>
        <w:rPr>
          <w:rFonts w:ascii="Times New Roman" w:hAnsi="Times New Roman" w:cs="Times New Roman" w:eastAsia="Times New Roman" w:hint="default"/>
        </w:rPr>
        <w:t>75%</w:t>
      </w:r>
      <w:r>
        <w:rPr/>
        <w:t>股权。</w:t>
      </w:r>
    </w:p>
    <w:p>
      <w:pPr>
        <w:spacing w:line="240" w:lineRule="auto" w:before="4"/>
        <w:rPr>
          <w:rFonts w:ascii="宋体" w:hAnsi="宋体" w:cs="宋体" w:eastAsia="宋体" w:hint="default"/>
          <w:sz w:val="19"/>
          <w:szCs w:val="19"/>
        </w:rPr>
      </w:pPr>
    </w:p>
    <w:p>
      <w:pPr>
        <w:pStyle w:val="BodyText"/>
        <w:spacing w:line="300" w:lineRule="auto"/>
        <w:ind w:right="1124" w:firstLine="360"/>
        <w:jc w:val="left"/>
      </w:pPr>
      <w:r>
        <w:rPr/>
        <w:t>（</w:t>
      </w:r>
      <w:r>
        <w:rPr>
          <w:rFonts w:ascii="Times New Roman" w:hAnsi="Times New Roman" w:cs="Times New Roman" w:eastAsia="Times New Roman" w:hint="default"/>
        </w:rPr>
        <w:t>7</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月，子公司联动优势科技有限公司收购济南广盈商业保理有限公司，注册资本</w:t>
      </w:r>
      <w:r>
        <w:rPr>
          <w:rFonts w:ascii="Times New Roman" w:hAnsi="Times New Roman" w:cs="Times New Roman" w:eastAsia="Times New Roman" w:hint="default"/>
        </w:rPr>
        <w:t>500</w:t>
      </w:r>
      <w:r>
        <w:rPr/>
        <w:t>万元人民币，公司间接 持有济南广盈商业保理有限公司</w:t>
      </w:r>
      <w:r>
        <w:rPr>
          <w:rFonts w:ascii="Times New Roman" w:hAnsi="Times New Roman" w:cs="Times New Roman" w:eastAsia="Times New Roman" w:hint="default"/>
        </w:rPr>
        <w:t>100%</w:t>
      </w:r>
      <w:r>
        <w:rPr/>
        <w:t>股权；</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月增加注册资本至</w:t>
      </w:r>
      <w:r>
        <w:rPr>
          <w:rFonts w:ascii="Times New Roman" w:hAnsi="Times New Roman" w:cs="Times New Roman" w:eastAsia="Times New Roman" w:hint="default"/>
        </w:rPr>
        <w:t>1,000</w:t>
      </w:r>
      <w:r>
        <w:rPr/>
        <w:t>万元。</w:t>
      </w:r>
    </w:p>
    <w:p>
      <w:pPr>
        <w:spacing w:line="240" w:lineRule="auto" w:before="4"/>
        <w:rPr>
          <w:rFonts w:ascii="宋体" w:hAnsi="宋体" w:cs="宋体" w:eastAsia="宋体" w:hint="default"/>
          <w:sz w:val="19"/>
          <w:szCs w:val="19"/>
        </w:rPr>
      </w:pPr>
    </w:p>
    <w:p>
      <w:pPr>
        <w:pStyle w:val="BodyText"/>
        <w:spacing w:line="300" w:lineRule="auto"/>
        <w:ind w:right="1124" w:firstLine="360"/>
        <w:jc w:val="left"/>
      </w:pPr>
      <w:r>
        <w:rPr/>
        <w:t>（</w:t>
      </w:r>
      <w:r>
        <w:rPr>
          <w:rFonts w:ascii="Times New Roman" w:hAnsi="Times New Roman" w:cs="Times New Roman" w:eastAsia="Times New Roman" w:hint="default"/>
        </w:rPr>
        <w:t>8</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月，公司注销子公司辉海（上海）科技服务有限公司。截至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11</w:t>
      </w:r>
      <w:r>
        <w:rPr/>
        <w:t>日，辉海（上海）科技服务有 限公司注销手续已办理完毕。</w:t>
      </w:r>
    </w:p>
    <w:p>
      <w:pPr>
        <w:spacing w:line="240" w:lineRule="auto" w:before="10"/>
        <w:rPr>
          <w:rFonts w:ascii="宋体" w:hAnsi="宋体" w:cs="宋体" w:eastAsia="宋体" w:hint="default"/>
          <w:sz w:val="20"/>
          <w:szCs w:val="20"/>
        </w:rPr>
      </w:pPr>
    </w:p>
    <w:p>
      <w:pPr>
        <w:pStyle w:val="BodyText"/>
        <w:spacing w:line="300" w:lineRule="auto"/>
        <w:ind w:right="1124" w:firstLine="360"/>
        <w:jc w:val="left"/>
      </w:pPr>
      <w:r>
        <w:rPr/>
        <w:t>（</w:t>
      </w:r>
      <w:r>
        <w:rPr>
          <w:rFonts w:ascii="Times New Roman" w:hAnsi="Times New Roman" w:cs="Times New Roman" w:eastAsia="Times New Roman" w:hint="default"/>
        </w:rPr>
        <w:t>9</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月，子公司联动优势科技有限公司出资成立联动优势（北京）数字科技有限公司，注册资本</w:t>
      </w:r>
      <w:r>
        <w:rPr>
          <w:rFonts w:ascii="Times New Roman" w:hAnsi="Times New Roman" w:cs="Times New Roman" w:eastAsia="Times New Roman" w:hint="default"/>
        </w:rPr>
        <w:t>1000</w:t>
      </w:r>
      <w:r>
        <w:rPr/>
        <w:t>万元人 民币，公司间接持有联动优势（北京）数字科技有限公司</w:t>
      </w:r>
      <w:r>
        <w:rPr>
          <w:rFonts w:ascii="Times New Roman" w:hAnsi="Times New Roman" w:cs="Times New Roman" w:eastAsia="Times New Roman" w:hint="default"/>
        </w:rPr>
        <w:t>70%</w:t>
      </w:r>
      <w:r>
        <w:rPr/>
        <w:t>股权。</w:t>
      </w:r>
    </w:p>
    <w:p>
      <w:pPr>
        <w:spacing w:line="240" w:lineRule="auto" w:before="5"/>
        <w:rPr>
          <w:rFonts w:ascii="宋体" w:hAnsi="宋体" w:cs="宋体" w:eastAsia="宋体" w:hint="default"/>
          <w:sz w:val="19"/>
          <w:szCs w:val="19"/>
        </w:rPr>
      </w:pPr>
    </w:p>
    <w:p>
      <w:pPr>
        <w:pStyle w:val="BodyText"/>
        <w:spacing w:line="300" w:lineRule="auto"/>
        <w:ind w:right="0" w:firstLine="360"/>
        <w:jc w:val="left"/>
      </w:pPr>
      <w:r>
        <w:rPr>
          <w:spacing w:val="-2"/>
        </w:rPr>
        <w:t>（</w:t>
      </w:r>
      <w:r>
        <w:rPr>
          <w:rFonts w:ascii="Times New Roman" w:hAnsi="Times New Roman" w:cs="Times New Roman" w:eastAsia="Times New Roman" w:hint="default"/>
          <w:spacing w:val="-2"/>
        </w:rPr>
        <w:t>10</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月，子公司联动优势科技有限公司出资成立北京金玉联汇科技有限公司，注册资本</w:t>
      </w:r>
      <w:r>
        <w:rPr>
          <w:rFonts w:ascii="Times New Roman" w:hAnsi="Times New Roman" w:cs="Times New Roman" w:eastAsia="Times New Roman" w:hint="default"/>
          <w:spacing w:val="-2"/>
        </w:rPr>
        <w:t>3000</w:t>
      </w:r>
      <w:r>
        <w:rPr>
          <w:spacing w:val="-2"/>
        </w:rPr>
        <w:t>万元人民币，公</w:t>
      </w:r>
      <w:r>
        <w:rPr/>
        <w:t> 司间接持有北京金玉联汇科技有限公司</w:t>
      </w:r>
      <w:r>
        <w:rPr>
          <w:rFonts w:ascii="Times New Roman" w:hAnsi="Times New Roman" w:cs="Times New Roman" w:eastAsia="Times New Roman" w:hint="default"/>
        </w:rPr>
        <w:t>51%</w:t>
      </w:r>
      <w:r>
        <w:rPr/>
        <w:t>股权。</w:t>
      </w:r>
    </w:p>
    <w:p>
      <w:pPr>
        <w:spacing w:line="240" w:lineRule="auto" w:before="4"/>
        <w:rPr>
          <w:rFonts w:ascii="宋体" w:hAnsi="宋体" w:cs="宋体" w:eastAsia="宋体" w:hint="default"/>
          <w:sz w:val="22"/>
          <w:szCs w:val="22"/>
        </w:rPr>
      </w:pPr>
    </w:p>
    <w:p>
      <w:pPr>
        <w:pStyle w:val="Heading3"/>
        <w:spacing w:line="240" w:lineRule="auto"/>
        <w:ind w:right="1133"/>
        <w:jc w:val="left"/>
        <w:rPr>
          <w:b w:val="0"/>
          <w:bCs w:val="0"/>
        </w:rPr>
      </w:pPr>
      <w:bookmarkStart w:name="6、其他" w:id="424"/>
      <w:bookmarkEnd w:id="424"/>
      <w:r>
        <w:rPr>
          <w:b w:val="0"/>
          <w:bCs w:val="0"/>
        </w:rPr>
      </w:r>
      <w:r>
        <w:rPr>
          <w:rFonts w:ascii="Times New Roman" w:hAnsi="Times New Roman" w:cs="Times New Roman" w:eastAsia="Times New Roman" w:hint="default"/>
        </w:rPr>
        <w:t>6</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1"/>
        <w:rPr>
          <w:rFonts w:ascii="宋体" w:hAnsi="宋体" w:cs="宋体" w:eastAsia="宋体" w:hint="default"/>
          <w:sz w:val="25"/>
          <w:szCs w:val="25"/>
        </w:rPr>
      </w:pPr>
    </w:p>
    <w:p>
      <w:pPr>
        <w:pStyle w:val="Heading2"/>
        <w:spacing w:line="240" w:lineRule="auto"/>
        <w:ind w:right="1133"/>
        <w:jc w:val="left"/>
        <w:rPr>
          <w:b w:val="0"/>
          <w:bCs w:val="0"/>
        </w:rPr>
      </w:pPr>
      <w:bookmarkStart w:name="九、在其他主体中的权益" w:id="425"/>
      <w:bookmarkEnd w:id="425"/>
      <w:r>
        <w:rPr>
          <w:b w:val="0"/>
          <w:bCs w:val="0"/>
        </w:rPr>
      </w:r>
      <w:r>
        <w:rPr/>
        <w:t>九、在其他主体中的权益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在子公司中的权益" w:id="426"/>
      <w:bookmarkEnd w:id="426"/>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企业集团的构成" w:id="427"/>
      <w:bookmarkEnd w:id="427"/>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0"/>
        <w:gridCol w:w="1369"/>
        <w:gridCol w:w="1366"/>
        <w:gridCol w:w="1368"/>
        <w:gridCol w:w="1368"/>
        <w:gridCol w:w="1366"/>
        <w:gridCol w:w="1366"/>
      </w:tblGrid>
      <w:tr>
        <w:trPr>
          <w:trHeight w:val="403"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75"/>
              <w:jc w:val="left"/>
              <w:rPr>
                <w:rFonts w:ascii="宋体" w:hAnsi="宋体" w:cs="宋体" w:eastAsia="宋体" w:hint="default"/>
                <w:sz w:val="18"/>
                <w:szCs w:val="18"/>
              </w:rPr>
            </w:pPr>
            <w:r>
              <w:rPr>
                <w:rFonts w:ascii="宋体" w:hAnsi="宋体" w:cs="宋体" w:eastAsia="宋体" w:hint="default"/>
                <w:sz w:val="18"/>
                <w:szCs w:val="18"/>
              </w:rPr>
              <w:t>青岛海立达冲压 件有限公司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97"/>
              <w:jc w:val="right"/>
              <w:rPr>
                <w:rFonts w:ascii="宋体" w:hAnsi="宋体" w:cs="宋体" w:eastAsia="宋体" w:hint="default"/>
                <w:sz w:val="18"/>
                <w:szCs w:val="18"/>
              </w:rPr>
            </w:pPr>
            <w:r>
              <w:rPr>
                <w:rFonts w:ascii="宋体" w:hAnsi="宋体" w:cs="宋体" w:eastAsia="宋体" w:hint="default"/>
                <w:sz w:val="18"/>
                <w:szCs w:val="18"/>
              </w:rPr>
              <w:t>青岛</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94"/>
              <w:jc w:val="right"/>
              <w:rPr>
                <w:rFonts w:ascii="宋体" w:hAnsi="宋体" w:cs="宋体" w:eastAsia="宋体" w:hint="default"/>
                <w:sz w:val="18"/>
                <w:szCs w:val="18"/>
              </w:rPr>
            </w:pPr>
            <w:r>
              <w:rPr>
                <w:rFonts w:ascii="宋体" w:hAnsi="宋体" w:cs="宋体" w:eastAsia="宋体" w:hint="default"/>
                <w:sz w:val="18"/>
                <w:szCs w:val="18"/>
              </w:rPr>
              <w:t>青岛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生产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49"/>
              <w:ind w:left="22" w:right="74"/>
              <w:jc w:val="left"/>
              <w:rPr>
                <w:rFonts w:ascii="宋体" w:hAnsi="宋体" w:cs="宋体" w:eastAsia="宋体" w:hint="default"/>
                <w:sz w:val="18"/>
                <w:szCs w:val="18"/>
              </w:rPr>
            </w:pPr>
            <w:r>
              <w:rPr>
                <w:rFonts w:ascii="宋体" w:hAnsi="宋体" w:cs="宋体" w:eastAsia="宋体" w:hint="default"/>
                <w:sz w:val="18"/>
                <w:szCs w:val="18"/>
              </w:rPr>
              <w:t>青岛海立美达电 机有限公司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97"/>
              <w:jc w:val="right"/>
              <w:rPr>
                <w:rFonts w:ascii="宋体" w:hAnsi="宋体" w:cs="宋体" w:eastAsia="宋体" w:hint="default"/>
                <w:sz w:val="18"/>
                <w:szCs w:val="18"/>
              </w:rPr>
            </w:pPr>
            <w:r>
              <w:rPr>
                <w:rFonts w:ascii="宋体" w:hAnsi="宋体" w:cs="宋体" w:eastAsia="宋体" w:hint="default"/>
                <w:sz w:val="18"/>
                <w:szCs w:val="18"/>
              </w:rPr>
              <w:t>青岛</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94"/>
              <w:jc w:val="right"/>
              <w:rPr>
                <w:rFonts w:ascii="宋体" w:hAnsi="宋体" w:cs="宋体" w:eastAsia="宋体" w:hint="default"/>
                <w:sz w:val="18"/>
                <w:szCs w:val="18"/>
              </w:rPr>
            </w:pPr>
            <w:r>
              <w:rPr>
                <w:rFonts w:ascii="宋体" w:hAnsi="宋体" w:cs="宋体" w:eastAsia="宋体" w:hint="default"/>
                <w:sz w:val="18"/>
                <w:szCs w:val="18"/>
              </w:rPr>
              <w:t>青岛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生产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75"/>
              <w:jc w:val="left"/>
              <w:rPr>
                <w:rFonts w:ascii="宋体" w:hAnsi="宋体" w:cs="宋体" w:eastAsia="宋体" w:hint="default"/>
                <w:sz w:val="18"/>
                <w:szCs w:val="18"/>
              </w:rPr>
            </w:pPr>
            <w:r>
              <w:rPr>
                <w:rFonts w:ascii="宋体" w:hAnsi="宋体" w:cs="宋体" w:eastAsia="宋体" w:hint="default"/>
                <w:sz w:val="18"/>
                <w:szCs w:val="18"/>
              </w:rPr>
              <w:t>青岛海立美达模 具有限公司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97"/>
              <w:jc w:val="right"/>
              <w:rPr>
                <w:rFonts w:ascii="宋体" w:hAnsi="宋体" w:cs="宋体" w:eastAsia="宋体" w:hint="default"/>
                <w:sz w:val="18"/>
                <w:szCs w:val="18"/>
              </w:rPr>
            </w:pPr>
            <w:r>
              <w:rPr>
                <w:rFonts w:ascii="宋体" w:hAnsi="宋体" w:cs="宋体" w:eastAsia="宋体" w:hint="default"/>
                <w:sz w:val="18"/>
                <w:szCs w:val="18"/>
              </w:rPr>
              <w:t>青岛</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94"/>
              <w:jc w:val="right"/>
              <w:rPr>
                <w:rFonts w:ascii="宋体" w:hAnsi="宋体" w:cs="宋体" w:eastAsia="宋体" w:hint="default"/>
                <w:sz w:val="18"/>
                <w:szCs w:val="18"/>
              </w:rPr>
            </w:pPr>
            <w:r>
              <w:rPr>
                <w:rFonts w:ascii="宋体" w:hAnsi="宋体" w:cs="宋体" w:eastAsia="宋体" w:hint="default"/>
                <w:sz w:val="18"/>
                <w:szCs w:val="18"/>
              </w:rPr>
              <w:t>青岛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生产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49"/>
              <w:ind w:left="22" w:right="75"/>
              <w:jc w:val="left"/>
              <w:rPr>
                <w:rFonts w:ascii="宋体" w:hAnsi="宋体" w:cs="宋体" w:eastAsia="宋体" w:hint="default"/>
                <w:sz w:val="18"/>
                <w:szCs w:val="18"/>
              </w:rPr>
            </w:pPr>
            <w:r>
              <w:rPr>
                <w:rFonts w:ascii="宋体" w:hAnsi="宋体" w:cs="宋体" w:eastAsia="宋体" w:hint="default"/>
                <w:sz w:val="18"/>
                <w:szCs w:val="18"/>
              </w:rPr>
              <w:t>宁波泰鸿机电有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97"/>
              <w:jc w:val="right"/>
              <w:rPr>
                <w:rFonts w:ascii="宋体" w:hAnsi="宋体" w:cs="宋体" w:eastAsia="宋体" w:hint="default"/>
                <w:sz w:val="18"/>
                <w:szCs w:val="18"/>
              </w:rPr>
            </w:pPr>
            <w:r>
              <w:rPr>
                <w:rFonts w:ascii="宋体" w:hAnsi="宋体" w:cs="宋体" w:eastAsia="宋体" w:hint="default"/>
                <w:sz w:val="18"/>
                <w:szCs w:val="18"/>
              </w:rPr>
              <w:t>宁波</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94"/>
              <w:jc w:val="right"/>
              <w:rPr>
                <w:rFonts w:ascii="宋体" w:hAnsi="宋体" w:cs="宋体" w:eastAsia="宋体" w:hint="default"/>
                <w:sz w:val="18"/>
                <w:szCs w:val="18"/>
              </w:rPr>
            </w:pPr>
            <w:r>
              <w:rPr>
                <w:rFonts w:ascii="宋体" w:hAnsi="宋体" w:cs="宋体" w:eastAsia="宋体" w:hint="default"/>
                <w:sz w:val="18"/>
                <w:szCs w:val="18"/>
              </w:rPr>
              <w:t>宁波</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生产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75"/>
              <w:jc w:val="left"/>
              <w:rPr>
                <w:rFonts w:ascii="宋体" w:hAnsi="宋体" w:cs="宋体" w:eastAsia="宋体" w:hint="default"/>
                <w:sz w:val="18"/>
                <w:szCs w:val="18"/>
              </w:rPr>
            </w:pPr>
            <w:r>
              <w:rPr>
                <w:rFonts w:ascii="宋体" w:hAnsi="宋体" w:cs="宋体" w:eastAsia="宋体" w:hint="default"/>
                <w:sz w:val="18"/>
                <w:szCs w:val="18"/>
              </w:rPr>
              <w:t>湖北海立田汽车 部件有限公司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97"/>
              <w:jc w:val="right"/>
              <w:rPr>
                <w:rFonts w:ascii="宋体" w:hAnsi="宋体" w:cs="宋体" w:eastAsia="宋体" w:hint="default"/>
                <w:sz w:val="18"/>
                <w:szCs w:val="18"/>
              </w:rPr>
            </w:pPr>
            <w:r>
              <w:rPr>
                <w:rFonts w:ascii="宋体" w:hAnsi="宋体" w:cs="宋体" w:eastAsia="宋体" w:hint="default"/>
                <w:sz w:val="18"/>
                <w:szCs w:val="18"/>
              </w:rPr>
              <w:t>枣阳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94"/>
              <w:jc w:val="right"/>
              <w:rPr>
                <w:rFonts w:ascii="宋体" w:hAnsi="宋体" w:cs="宋体" w:eastAsia="宋体" w:hint="default"/>
                <w:sz w:val="18"/>
                <w:szCs w:val="18"/>
              </w:rPr>
            </w:pPr>
            <w:r>
              <w:rPr>
                <w:rFonts w:ascii="宋体" w:hAnsi="宋体" w:cs="宋体" w:eastAsia="宋体" w:hint="default"/>
                <w:sz w:val="18"/>
                <w:szCs w:val="18"/>
              </w:rPr>
              <w:t>枣阳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生产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49"/>
              <w:ind w:left="22" w:right="75"/>
              <w:jc w:val="left"/>
              <w:rPr>
                <w:rFonts w:ascii="宋体" w:hAnsi="宋体" w:cs="宋体" w:eastAsia="宋体" w:hint="default"/>
                <w:sz w:val="18"/>
                <w:szCs w:val="18"/>
              </w:rPr>
            </w:pPr>
            <w:r>
              <w:rPr>
                <w:rFonts w:ascii="宋体" w:hAnsi="宋体" w:cs="宋体" w:eastAsia="宋体" w:hint="default"/>
                <w:sz w:val="18"/>
                <w:szCs w:val="18"/>
              </w:rPr>
              <w:t>湖北海立美达汽 车有限公司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97"/>
              <w:jc w:val="right"/>
              <w:rPr>
                <w:rFonts w:ascii="宋体" w:hAnsi="宋体" w:cs="宋体" w:eastAsia="宋体" w:hint="default"/>
                <w:sz w:val="18"/>
                <w:szCs w:val="18"/>
              </w:rPr>
            </w:pPr>
            <w:r>
              <w:rPr>
                <w:rFonts w:ascii="宋体" w:hAnsi="宋体" w:cs="宋体" w:eastAsia="宋体" w:hint="default"/>
                <w:sz w:val="18"/>
                <w:szCs w:val="18"/>
              </w:rPr>
              <w:t>枣阳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94"/>
              <w:jc w:val="right"/>
              <w:rPr>
                <w:rFonts w:ascii="宋体" w:hAnsi="宋体" w:cs="宋体" w:eastAsia="宋体" w:hint="default"/>
                <w:sz w:val="18"/>
                <w:szCs w:val="18"/>
              </w:rPr>
            </w:pPr>
            <w:r>
              <w:rPr>
                <w:rFonts w:ascii="宋体" w:hAnsi="宋体" w:cs="宋体" w:eastAsia="宋体" w:hint="default"/>
                <w:sz w:val="18"/>
                <w:szCs w:val="18"/>
              </w:rPr>
              <w:t>枣阳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生产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75"/>
              <w:jc w:val="left"/>
              <w:rPr>
                <w:rFonts w:ascii="宋体" w:hAnsi="宋体" w:cs="宋体" w:eastAsia="宋体" w:hint="default"/>
                <w:sz w:val="18"/>
                <w:szCs w:val="18"/>
              </w:rPr>
            </w:pPr>
            <w:r>
              <w:rPr>
                <w:rFonts w:ascii="宋体" w:hAnsi="宋体" w:cs="宋体" w:eastAsia="宋体" w:hint="default"/>
                <w:sz w:val="18"/>
                <w:szCs w:val="18"/>
              </w:rPr>
              <w:t>联动优势科技有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97"/>
              <w:jc w:val="righ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94"/>
              <w:jc w:val="righ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企业合并</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0"/>
        <w:gridCol w:w="1369"/>
        <w:gridCol w:w="1366"/>
        <w:gridCol w:w="1368"/>
        <w:gridCol w:w="1368"/>
        <w:gridCol w:w="1366"/>
        <w:gridCol w:w="1366"/>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49"/>
              <w:ind w:left="22" w:right="75"/>
              <w:jc w:val="left"/>
              <w:rPr>
                <w:rFonts w:ascii="宋体" w:hAnsi="宋体" w:cs="宋体" w:eastAsia="宋体" w:hint="default"/>
                <w:sz w:val="18"/>
                <w:szCs w:val="18"/>
              </w:rPr>
            </w:pPr>
            <w:r>
              <w:rPr>
                <w:rFonts w:ascii="宋体" w:hAnsi="宋体" w:cs="宋体" w:eastAsia="宋体" w:hint="default"/>
                <w:sz w:val="18"/>
                <w:szCs w:val="18"/>
              </w:rPr>
              <w:t>上海和达汽车配 件有限公司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生产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宁波泰鸿冲压件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宁波</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宁波</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生产</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75"/>
              <w:jc w:val="left"/>
              <w:rPr>
                <w:rFonts w:ascii="宋体" w:hAnsi="宋体" w:cs="宋体" w:eastAsia="宋体" w:hint="default"/>
                <w:sz w:val="18"/>
                <w:szCs w:val="18"/>
              </w:rPr>
            </w:pPr>
            <w:r>
              <w:rPr>
                <w:rFonts w:ascii="宋体" w:hAnsi="宋体" w:cs="宋体" w:eastAsia="宋体" w:hint="default"/>
                <w:sz w:val="18"/>
                <w:szCs w:val="18"/>
              </w:rPr>
              <w:t>联动优势电子商 务有限公司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天津奥美林生物 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天津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天津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75"/>
              <w:jc w:val="left"/>
              <w:rPr>
                <w:rFonts w:ascii="宋体" w:hAnsi="宋体" w:cs="宋体" w:eastAsia="宋体" w:hint="default"/>
                <w:sz w:val="18"/>
                <w:szCs w:val="18"/>
              </w:rPr>
            </w:pPr>
            <w:r>
              <w:rPr>
                <w:rFonts w:ascii="宋体" w:hAnsi="宋体" w:cs="宋体" w:eastAsia="宋体" w:hint="default"/>
                <w:sz w:val="18"/>
                <w:szCs w:val="18"/>
              </w:rPr>
              <w:t>济南广盈商业保 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济南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济南</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716" w:hRule="exact"/>
        </w:trPr>
        <w:tc>
          <w:tcPr>
            <w:tcW w:w="1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安派国际控股有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75"/>
              <w:jc w:val="left"/>
              <w:rPr>
                <w:rFonts w:ascii="宋体" w:hAnsi="宋体" w:cs="宋体" w:eastAsia="宋体" w:hint="default"/>
                <w:sz w:val="18"/>
                <w:szCs w:val="18"/>
              </w:rPr>
            </w:pPr>
            <w:r>
              <w:rPr>
                <w:rFonts w:ascii="宋体" w:hAnsi="宋体" w:cs="宋体" w:eastAsia="宋体" w:hint="default"/>
                <w:sz w:val="18"/>
                <w:szCs w:val="18"/>
              </w:rPr>
              <w:t>安派国际美国有 限责任公司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美国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美国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1339" w:hRule="exact"/>
        </w:trPr>
        <w:tc>
          <w:tcPr>
            <w:tcW w:w="1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60" w:lineRule="auto" w:before="93"/>
              <w:ind w:left="22" w:right="403"/>
              <w:jc w:val="left"/>
              <w:rPr>
                <w:rFonts w:ascii="Times New Roman" w:hAnsi="Times New Roman" w:cs="Times New Roman" w:eastAsia="Times New Roman" w:hint="default"/>
                <w:sz w:val="18"/>
                <w:szCs w:val="18"/>
              </w:rPr>
            </w:pPr>
            <w:r>
              <w:rPr>
                <w:rFonts w:ascii="Times New Roman"/>
                <w:sz w:val="18"/>
              </w:rPr>
              <w:t>Zhongheng Construction Group</w:t>
            </w:r>
            <w:r>
              <w:rPr>
                <w:rFonts w:ascii="Times New Roman"/>
                <w:w w:val="99"/>
                <w:sz w:val="18"/>
              </w:rPr>
              <w:t> </w:t>
            </w:r>
            <w:r>
              <w:rPr>
                <w:rFonts w:ascii="Times New Roman"/>
                <w:sz w:val="18"/>
              </w:rPr>
              <w:t>Co.,Limited</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4" w:right="0"/>
              <w:jc w:val="center"/>
              <w:rPr>
                <w:rFonts w:ascii="宋体" w:hAnsi="宋体" w:cs="宋体" w:eastAsia="宋体" w:hint="default"/>
                <w:sz w:val="18"/>
                <w:szCs w:val="18"/>
              </w:rPr>
            </w:pPr>
            <w:r>
              <w:rPr>
                <w:rFonts w:ascii="宋体" w:hAnsi="宋体" w:cs="宋体" w:eastAsia="宋体" w:hint="default"/>
                <w:sz w:val="18"/>
                <w:szCs w:val="18"/>
              </w:rPr>
              <w:t>国际贸易</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1025" w:hRule="exact"/>
        </w:trPr>
        <w:tc>
          <w:tcPr>
            <w:tcW w:w="1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75"/>
              <w:jc w:val="both"/>
              <w:rPr>
                <w:rFonts w:ascii="宋体" w:hAnsi="宋体" w:cs="宋体" w:eastAsia="宋体" w:hint="default"/>
                <w:sz w:val="18"/>
                <w:szCs w:val="18"/>
              </w:rPr>
            </w:pPr>
            <w:r>
              <w:rPr>
                <w:rFonts w:ascii="宋体" w:hAnsi="宋体" w:cs="宋体" w:eastAsia="宋体" w:hint="default"/>
                <w:sz w:val="18"/>
                <w:szCs w:val="18"/>
              </w:rPr>
              <w:t>九州环球国际融 资租赁（天津）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天津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 w:right="0"/>
              <w:jc w:val="center"/>
              <w:rPr>
                <w:rFonts w:ascii="宋体" w:hAnsi="宋体" w:cs="宋体" w:eastAsia="宋体" w:hint="default"/>
                <w:sz w:val="18"/>
                <w:szCs w:val="18"/>
              </w:rPr>
            </w:pPr>
            <w:r>
              <w:rPr>
                <w:rFonts w:ascii="宋体" w:hAnsi="宋体" w:cs="宋体" w:eastAsia="宋体" w:hint="default"/>
                <w:sz w:val="18"/>
                <w:szCs w:val="18"/>
              </w:rPr>
              <w:t>天津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4" w:right="0"/>
              <w:jc w:val="center"/>
              <w:rPr>
                <w:rFonts w:ascii="宋体" w:hAnsi="宋体" w:cs="宋体" w:eastAsia="宋体" w:hint="default"/>
                <w:sz w:val="18"/>
                <w:szCs w:val="18"/>
              </w:rPr>
            </w:pPr>
            <w:r>
              <w:rPr>
                <w:rFonts w:ascii="宋体" w:hAnsi="宋体" w:cs="宋体" w:eastAsia="宋体" w:hint="default"/>
                <w:sz w:val="18"/>
                <w:szCs w:val="18"/>
              </w:rPr>
              <w:t>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716" w:hRule="exact"/>
        </w:trPr>
        <w:tc>
          <w:tcPr>
            <w:tcW w:w="1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哈尔滨迪达能化 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哈尔滨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哈尔滨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生产</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1025" w:hRule="exact"/>
        </w:trPr>
        <w:tc>
          <w:tcPr>
            <w:tcW w:w="1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75"/>
              <w:jc w:val="both"/>
              <w:rPr>
                <w:rFonts w:ascii="宋体" w:hAnsi="宋体" w:cs="宋体" w:eastAsia="宋体" w:hint="default"/>
                <w:sz w:val="18"/>
                <w:szCs w:val="18"/>
              </w:rPr>
            </w:pPr>
            <w:r>
              <w:rPr>
                <w:rFonts w:ascii="宋体" w:hAnsi="宋体" w:cs="宋体" w:eastAsia="宋体" w:hint="default"/>
                <w:sz w:val="18"/>
                <w:szCs w:val="18"/>
              </w:rPr>
              <w:t>青岛海立美达精 密机械制造有限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青岛</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 w:right="0"/>
              <w:jc w:val="center"/>
              <w:rPr>
                <w:rFonts w:ascii="宋体" w:hAnsi="宋体" w:cs="宋体" w:eastAsia="宋体" w:hint="default"/>
                <w:sz w:val="18"/>
                <w:szCs w:val="18"/>
              </w:rPr>
            </w:pPr>
            <w:r>
              <w:rPr>
                <w:rFonts w:ascii="宋体" w:hAnsi="宋体" w:cs="宋体" w:eastAsia="宋体" w:hint="default"/>
                <w:sz w:val="18"/>
                <w:szCs w:val="18"/>
              </w:rPr>
              <w:t>青岛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4" w:right="0"/>
              <w:jc w:val="center"/>
              <w:rPr>
                <w:rFonts w:ascii="宋体" w:hAnsi="宋体" w:cs="宋体" w:eastAsia="宋体" w:hint="default"/>
                <w:sz w:val="18"/>
                <w:szCs w:val="18"/>
              </w:rPr>
            </w:pPr>
            <w:r>
              <w:rPr>
                <w:rFonts w:ascii="宋体" w:hAnsi="宋体" w:cs="宋体" w:eastAsia="宋体" w:hint="default"/>
                <w:sz w:val="18"/>
                <w:szCs w:val="18"/>
              </w:rPr>
              <w:t>生产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1027" w:hRule="exact"/>
        </w:trPr>
        <w:tc>
          <w:tcPr>
            <w:tcW w:w="1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湖南海立美达钢 板加工配送有限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湘潭</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 w:right="0"/>
              <w:jc w:val="center"/>
              <w:rPr>
                <w:rFonts w:ascii="宋体" w:hAnsi="宋体" w:cs="宋体" w:eastAsia="宋体" w:hint="default"/>
                <w:sz w:val="18"/>
                <w:szCs w:val="18"/>
              </w:rPr>
            </w:pPr>
            <w:r>
              <w:rPr>
                <w:rFonts w:ascii="宋体" w:hAnsi="宋体" w:cs="宋体" w:eastAsia="宋体" w:hint="default"/>
                <w:sz w:val="18"/>
                <w:szCs w:val="18"/>
              </w:rPr>
              <w:t>湘潭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4" w:right="0"/>
              <w:jc w:val="center"/>
              <w:rPr>
                <w:rFonts w:ascii="宋体" w:hAnsi="宋体" w:cs="宋体" w:eastAsia="宋体" w:hint="default"/>
                <w:sz w:val="18"/>
                <w:szCs w:val="18"/>
              </w:rPr>
            </w:pPr>
            <w:r>
              <w:rPr>
                <w:rFonts w:ascii="宋体" w:hAnsi="宋体" w:cs="宋体" w:eastAsia="宋体" w:hint="default"/>
                <w:sz w:val="18"/>
                <w:szCs w:val="18"/>
              </w:rPr>
              <w:t>生产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1025" w:hRule="exact"/>
        </w:trPr>
        <w:tc>
          <w:tcPr>
            <w:tcW w:w="1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75"/>
              <w:jc w:val="both"/>
              <w:rPr>
                <w:rFonts w:ascii="宋体" w:hAnsi="宋体" w:cs="宋体" w:eastAsia="宋体" w:hint="default"/>
                <w:sz w:val="18"/>
                <w:szCs w:val="18"/>
              </w:rPr>
            </w:pPr>
            <w:r>
              <w:rPr>
                <w:rFonts w:ascii="宋体" w:hAnsi="宋体" w:cs="宋体" w:eastAsia="宋体" w:hint="default"/>
                <w:sz w:val="18"/>
                <w:szCs w:val="18"/>
              </w:rPr>
              <w:t>烟台海立美达精 密钢制品有限公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烟台</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 w:right="0"/>
              <w:jc w:val="center"/>
              <w:rPr>
                <w:rFonts w:ascii="宋体" w:hAnsi="宋体" w:cs="宋体" w:eastAsia="宋体" w:hint="default"/>
                <w:sz w:val="18"/>
                <w:szCs w:val="18"/>
              </w:rPr>
            </w:pPr>
            <w:r>
              <w:rPr>
                <w:rFonts w:ascii="宋体" w:hAnsi="宋体" w:cs="宋体" w:eastAsia="宋体" w:hint="default"/>
                <w:sz w:val="18"/>
                <w:szCs w:val="18"/>
              </w:rPr>
              <w:t>烟台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4" w:right="0"/>
              <w:jc w:val="center"/>
              <w:rPr>
                <w:rFonts w:ascii="宋体" w:hAnsi="宋体" w:cs="宋体" w:eastAsia="宋体" w:hint="default"/>
                <w:sz w:val="18"/>
                <w:szCs w:val="18"/>
              </w:rPr>
            </w:pPr>
            <w:r>
              <w:rPr>
                <w:rFonts w:ascii="宋体" w:hAnsi="宋体" w:cs="宋体" w:eastAsia="宋体" w:hint="default"/>
                <w:sz w:val="18"/>
                <w:szCs w:val="18"/>
              </w:rPr>
              <w:t>生产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海立美达香港有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75"/>
              <w:jc w:val="left"/>
              <w:rPr>
                <w:rFonts w:ascii="宋体" w:hAnsi="宋体" w:cs="宋体" w:eastAsia="宋体" w:hint="default"/>
                <w:sz w:val="18"/>
                <w:szCs w:val="18"/>
              </w:rPr>
            </w:pPr>
            <w:r>
              <w:rPr>
                <w:rFonts w:ascii="宋体" w:hAnsi="宋体" w:cs="宋体" w:eastAsia="宋体" w:hint="default"/>
                <w:sz w:val="18"/>
                <w:szCs w:val="18"/>
              </w:rPr>
              <w:t>上海海众实业发 展有限公司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青岛海立美达科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青岛</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青岛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88.11%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z w:val="18"/>
                <w:szCs w:val="18"/>
              </w:rPr>
              <w:t>青岛中安美达技</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青岛</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青岛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92.279999pt;margin-top:581.469971pt;width:101.1pt;height:15.6pt;mso-position-horizontal-relative:page;mso-position-vertical-relative:page;z-index:-1713688" type="#_x0000_t202" filled="false" stroked="false">
            <v:textbox inset="0,0,0,0">
              <w:txbxContent>
                <w:p>
                  <w:pPr>
                    <w:pStyle w:val="BodyText"/>
                    <w:spacing w:line="240" w:lineRule="auto" w:before="49"/>
                    <w:ind w:left="0" w:right="0"/>
                    <w:jc w:val="left"/>
                  </w:pPr>
                  <w:r>
                    <w:rPr/>
                    <w:t>（汕头）</w:t>
                  </w:r>
                </w:p>
              </w:txbxContent>
            </v:textbox>
            <w10:wrap type="none"/>
          </v:shape>
        </w:pict>
      </w:r>
      <w:r>
        <w:rPr/>
        <w:pict>
          <v:shape style="position:absolute;margin-left:92.279999pt;margin-top:632.73999pt;width:101.1pt;height:15.6pt;mso-position-horizontal-relative:page;mso-position-vertical-relative:page;z-index:-1713664" type="#_x0000_t202" filled="false" stroked="false">
            <v:textbox inset="0,0,0,0">
              <w:txbxContent>
                <w:p>
                  <w:pPr>
                    <w:pStyle w:val="BodyText"/>
                    <w:spacing w:line="240" w:lineRule="auto" w:before="49"/>
                    <w:ind w:left="0" w:right="0"/>
                    <w:jc w:val="left"/>
                  </w:pPr>
                  <w:r>
                    <w:rPr/>
                    <w:t>（北京）</w:t>
                  </w:r>
                </w:p>
              </w:txbxContent>
            </v:textbox>
            <w10:wrap type="none"/>
          </v:shape>
        </w:pict>
      </w:r>
      <w:r>
        <w:rPr/>
        <w:pict>
          <v:group style="position:absolute;margin-left:125.540001pt;margin-top:581.469971pt;width:67.850pt;height:15.6pt;mso-position-horizontal-relative:page;mso-position-vertical-relative:page;z-index:-1713640" coordorigin="2511,11629" coordsize="1357,312">
            <v:shape style="position:absolute;left:2511;top:11629;width:1357;height:312" coordorigin="2511,11629" coordsize="1357,312" path="m2511,11941l3867,11941,3867,11629,2511,11629,2511,11941xe" filled="true" fillcolor="#ffffff" stroked="false">
              <v:path arrowok="t"/>
              <v:fill type="solid"/>
            </v:shape>
            <w10:wrap type="none"/>
          </v:group>
        </w:pict>
      </w:r>
      <w:r>
        <w:rPr/>
        <w:pict>
          <v:group style="position:absolute;margin-left:125.540001pt;margin-top:632.73999pt;width:67.850pt;height:15.6pt;mso-position-horizontal-relative:page;mso-position-vertical-relative:page;z-index:-1713616" coordorigin="2511,12655" coordsize="1357,312">
            <v:shape style="position:absolute;left:2511;top:12655;width:1357;height:312" coordorigin="2511,12655" coordsize="1357,312" path="m2511,12967l3867,12967,3867,12655,2511,12655,2511,12967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0"/>
        <w:gridCol w:w="283"/>
        <w:gridCol w:w="1086"/>
        <w:gridCol w:w="1366"/>
        <w:gridCol w:w="1368"/>
        <w:gridCol w:w="1368"/>
        <w:gridCol w:w="1366"/>
        <w:gridCol w:w="1366"/>
      </w:tblGrid>
      <w:tr>
        <w:trPr>
          <w:trHeight w:val="363" w:hRule="exact"/>
        </w:trPr>
        <w:tc>
          <w:tcPr>
            <w:tcW w:w="1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术有限公司</w:t>
            </w:r>
          </w:p>
        </w:tc>
        <w:tc>
          <w:tcPr>
            <w:tcW w:w="1369"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75"/>
              <w:jc w:val="both"/>
              <w:rPr>
                <w:rFonts w:ascii="宋体" w:hAnsi="宋体" w:cs="宋体" w:eastAsia="宋体" w:hint="default"/>
                <w:sz w:val="18"/>
                <w:szCs w:val="18"/>
              </w:rPr>
            </w:pPr>
            <w:r>
              <w:rPr>
                <w:rFonts w:ascii="宋体" w:hAnsi="宋体" w:cs="宋体" w:eastAsia="宋体" w:hint="default"/>
                <w:sz w:val="18"/>
                <w:szCs w:val="18"/>
              </w:rPr>
              <w:t>江苏盛世通钢铁 供应链管理有限 公司</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常州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 w:right="0"/>
              <w:jc w:val="center"/>
              <w:rPr>
                <w:rFonts w:ascii="宋体" w:hAnsi="宋体" w:cs="宋体" w:eastAsia="宋体" w:hint="default"/>
                <w:sz w:val="18"/>
                <w:szCs w:val="18"/>
              </w:rPr>
            </w:pPr>
            <w:r>
              <w:rPr>
                <w:rFonts w:ascii="宋体" w:hAnsi="宋体" w:cs="宋体" w:eastAsia="宋体" w:hint="default"/>
                <w:sz w:val="18"/>
                <w:szCs w:val="18"/>
              </w:rPr>
              <w:t>常州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4" w:right="0"/>
              <w:jc w:val="center"/>
              <w:rPr>
                <w:rFonts w:ascii="宋体" w:hAnsi="宋体" w:cs="宋体" w:eastAsia="宋体" w:hint="default"/>
                <w:sz w:val="18"/>
                <w:szCs w:val="18"/>
              </w:rPr>
            </w:pPr>
            <w:r>
              <w:rPr>
                <w:rFonts w:ascii="宋体" w:hAnsi="宋体" w:cs="宋体" w:eastAsia="宋体" w:hint="default"/>
                <w:sz w:val="18"/>
                <w:szCs w:val="18"/>
              </w:rPr>
              <w:t>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1027" w:hRule="exact"/>
        </w:trPr>
        <w:tc>
          <w:tcPr>
            <w:tcW w:w="1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75"/>
              <w:jc w:val="both"/>
              <w:rPr>
                <w:rFonts w:ascii="宋体" w:hAnsi="宋体" w:cs="宋体" w:eastAsia="宋体" w:hint="default"/>
                <w:sz w:val="18"/>
                <w:szCs w:val="18"/>
              </w:rPr>
            </w:pPr>
            <w:r>
              <w:rPr>
                <w:rFonts w:ascii="宋体" w:hAnsi="宋体" w:cs="宋体" w:eastAsia="宋体" w:hint="default"/>
                <w:sz w:val="18"/>
                <w:szCs w:val="18"/>
              </w:rPr>
              <w:t>青岛万金通达经 济信息服务有限 公司</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青岛</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 w:right="0"/>
              <w:jc w:val="center"/>
              <w:rPr>
                <w:rFonts w:ascii="宋体" w:hAnsi="宋体" w:cs="宋体" w:eastAsia="宋体" w:hint="default"/>
                <w:sz w:val="18"/>
                <w:szCs w:val="18"/>
              </w:rPr>
            </w:pPr>
            <w:r>
              <w:rPr>
                <w:rFonts w:ascii="宋体" w:hAnsi="宋体" w:cs="宋体" w:eastAsia="宋体" w:hint="default"/>
                <w:sz w:val="18"/>
                <w:szCs w:val="18"/>
              </w:rPr>
              <w:t>青岛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4" w:right="0"/>
              <w:jc w:val="center"/>
              <w:rPr>
                <w:rFonts w:ascii="宋体" w:hAnsi="宋体" w:cs="宋体" w:eastAsia="宋体" w:hint="default"/>
                <w:sz w:val="18"/>
                <w:szCs w:val="18"/>
              </w:rPr>
            </w:pPr>
            <w:r>
              <w:rPr>
                <w:rFonts w:ascii="宋体" w:hAnsi="宋体" w:cs="宋体" w:eastAsia="宋体" w:hint="default"/>
                <w:sz w:val="18"/>
                <w:szCs w:val="18"/>
              </w:rPr>
              <w:t>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75"/>
              <w:jc w:val="left"/>
              <w:rPr>
                <w:rFonts w:ascii="宋体" w:hAnsi="宋体" w:cs="宋体" w:eastAsia="宋体" w:hint="default"/>
                <w:sz w:val="18"/>
                <w:szCs w:val="18"/>
              </w:rPr>
            </w:pPr>
            <w:r>
              <w:rPr>
                <w:rFonts w:ascii="宋体" w:hAnsi="宋体" w:cs="宋体" w:eastAsia="宋体" w:hint="default"/>
                <w:sz w:val="18"/>
                <w:szCs w:val="18"/>
              </w:rPr>
              <w:t>宝鸡泰鸿机电有 限公司</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宝鸡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宝鸡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生产</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75"/>
              <w:jc w:val="left"/>
              <w:rPr>
                <w:rFonts w:ascii="宋体" w:hAnsi="宋体" w:cs="宋体" w:eastAsia="宋体" w:hint="default"/>
                <w:sz w:val="18"/>
                <w:szCs w:val="18"/>
              </w:rPr>
            </w:pPr>
            <w:r>
              <w:rPr>
                <w:rFonts w:ascii="宋体" w:hAnsi="宋体" w:cs="宋体" w:eastAsia="宋体" w:hint="default"/>
                <w:sz w:val="18"/>
                <w:szCs w:val="18"/>
              </w:rPr>
              <w:t>舟山陆泰石油化 工有限公司</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舟山</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舟山</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74"/>
              <w:jc w:val="left"/>
              <w:rPr>
                <w:rFonts w:ascii="宋体" w:hAnsi="宋体" w:cs="宋体" w:eastAsia="宋体" w:hint="default"/>
                <w:sz w:val="18"/>
                <w:szCs w:val="18"/>
              </w:rPr>
            </w:pPr>
            <w:r>
              <w:rPr>
                <w:rFonts w:ascii="宋体" w:hAnsi="宋体" w:cs="宋体" w:eastAsia="宋体" w:hint="default"/>
                <w:sz w:val="18"/>
                <w:szCs w:val="18"/>
              </w:rPr>
              <w:t>枣阳市海美房地 产开发有限公司</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枣阳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枣阳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房地产</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75"/>
              <w:jc w:val="left"/>
              <w:rPr>
                <w:rFonts w:ascii="宋体" w:hAnsi="宋体" w:cs="宋体" w:eastAsia="宋体" w:hint="default"/>
                <w:sz w:val="18"/>
                <w:szCs w:val="18"/>
              </w:rPr>
            </w:pPr>
            <w:r>
              <w:rPr>
                <w:rFonts w:ascii="宋体" w:hAnsi="宋体" w:cs="宋体" w:eastAsia="宋体" w:hint="default"/>
                <w:sz w:val="18"/>
                <w:szCs w:val="18"/>
              </w:rPr>
              <w:t>枣庄海立美达模 具有限公司</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枣庄</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枣庄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生产</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75"/>
              <w:jc w:val="left"/>
              <w:rPr>
                <w:rFonts w:ascii="宋体" w:hAnsi="宋体" w:cs="宋体" w:eastAsia="宋体" w:hint="default"/>
                <w:sz w:val="18"/>
                <w:szCs w:val="18"/>
              </w:rPr>
            </w:pPr>
            <w:r>
              <w:rPr>
                <w:rFonts w:ascii="宋体" w:hAnsi="宋体" w:cs="宋体" w:eastAsia="宋体" w:hint="default"/>
                <w:sz w:val="18"/>
                <w:szCs w:val="18"/>
              </w:rPr>
              <w:t>宁波海立美达汽 车部件有限公司</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宁波</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宁波</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生产</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1027" w:hRule="exact"/>
        </w:trPr>
        <w:tc>
          <w:tcPr>
            <w:tcW w:w="1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9" w:lineRule="auto" w:before="49"/>
              <w:ind w:left="22" w:right="75"/>
              <w:jc w:val="left"/>
              <w:rPr>
                <w:rFonts w:ascii="宋体" w:hAnsi="宋体" w:cs="宋体" w:eastAsia="宋体" w:hint="default"/>
                <w:sz w:val="18"/>
                <w:szCs w:val="18"/>
              </w:rPr>
            </w:pPr>
            <w:r>
              <w:rPr>
                <w:rFonts w:ascii="宋体" w:hAnsi="宋体" w:cs="宋体" w:eastAsia="宋体" w:hint="default"/>
                <w:sz w:val="18"/>
                <w:szCs w:val="18"/>
              </w:rPr>
              <w:t>海联金汇</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 </w:t>
            </w:r>
            <w:r>
              <w:rPr>
                <w:rFonts w:ascii="宋体" w:hAnsi="宋体" w:cs="宋体" w:eastAsia="宋体" w:hint="default"/>
                <w:sz w:val="18"/>
                <w:szCs w:val="18"/>
              </w:rPr>
              <w:t>金融科技有限公 司</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4" w:right="0"/>
              <w:jc w:val="center"/>
              <w:rPr>
                <w:rFonts w:ascii="宋体" w:hAnsi="宋体" w:cs="宋体" w:eastAsia="宋体" w:hint="default"/>
                <w:sz w:val="18"/>
                <w:szCs w:val="18"/>
              </w:rPr>
            </w:pPr>
            <w:r>
              <w:rPr>
                <w:rFonts w:ascii="宋体" w:hAnsi="宋体" w:cs="宋体" w:eastAsia="宋体" w:hint="default"/>
                <w:sz w:val="18"/>
                <w:szCs w:val="18"/>
              </w:rPr>
              <w:t>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1025" w:hRule="exact"/>
        </w:trPr>
        <w:tc>
          <w:tcPr>
            <w:tcW w:w="1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49"/>
              <w:ind w:left="22" w:right="194"/>
              <w:jc w:val="both"/>
              <w:rPr>
                <w:rFonts w:ascii="宋体" w:hAnsi="宋体" w:cs="宋体" w:eastAsia="宋体" w:hint="default"/>
                <w:sz w:val="18"/>
                <w:szCs w:val="18"/>
              </w:rPr>
            </w:pPr>
            <w:r>
              <w:rPr>
                <w:rFonts w:ascii="宋体" w:hAnsi="宋体" w:cs="宋体" w:eastAsia="宋体" w:hint="default"/>
                <w:sz w:val="18"/>
                <w:szCs w:val="18"/>
              </w:rPr>
              <w:t>蜜小蜂智慧</w:t>
            </w:r>
            <w:r>
              <w:rPr>
                <w:rFonts w:ascii="Times New Roman" w:hAnsi="Times New Roman" w:cs="Times New Roman" w:eastAsia="Times New Roman" w:hint="default"/>
                <w:sz w:val="18"/>
                <w:szCs w:val="18"/>
              </w:rPr>
              <w:t>(</w:t>
            </w:r>
            <w:r>
              <w:rPr>
                <w:rFonts w:ascii="宋体" w:hAnsi="宋体" w:cs="宋体" w:eastAsia="宋体" w:hint="default"/>
                <w:sz w:val="18"/>
                <w:szCs w:val="18"/>
              </w:rPr>
              <w:t>北 京</w:t>
            </w:r>
            <w:r>
              <w:rPr>
                <w:rFonts w:ascii="Times New Roman" w:hAnsi="Times New Roman" w:cs="Times New Roman" w:eastAsia="Times New Roman" w:hint="default"/>
                <w:sz w:val="18"/>
                <w:szCs w:val="18"/>
              </w:rPr>
              <w:t>)</w:t>
            </w:r>
            <w:r>
              <w:rPr>
                <w:rFonts w:ascii="宋体" w:hAnsi="宋体" w:cs="宋体" w:eastAsia="宋体" w:hint="default"/>
                <w:sz w:val="18"/>
                <w:szCs w:val="18"/>
              </w:rPr>
              <w:t>科技有限公 司</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4" w:right="0"/>
              <w:jc w:val="center"/>
              <w:rPr>
                <w:rFonts w:ascii="宋体" w:hAnsi="宋体" w:cs="宋体" w:eastAsia="宋体" w:hint="default"/>
                <w:sz w:val="18"/>
                <w:szCs w:val="18"/>
              </w:rPr>
            </w:pPr>
            <w:r>
              <w:rPr>
                <w:rFonts w:ascii="宋体" w:hAnsi="宋体" w:cs="宋体" w:eastAsia="宋体" w:hint="default"/>
                <w:sz w:val="18"/>
                <w:szCs w:val="18"/>
              </w:rPr>
              <w:t>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75"/>
              <w:jc w:val="left"/>
              <w:rPr>
                <w:rFonts w:ascii="宋体" w:hAnsi="宋体" w:cs="宋体" w:eastAsia="宋体" w:hint="default"/>
                <w:sz w:val="18"/>
                <w:szCs w:val="18"/>
              </w:rPr>
            </w:pPr>
            <w:r>
              <w:rPr>
                <w:rFonts w:ascii="宋体" w:hAnsi="宋体" w:cs="宋体" w:eastAsia="宋体" w:hint="default"/>
                <w:sz w:val="18"/>
                <w:szCs w:val="18"/>
              </w:rPr>
              <w:t>宁德和达汽车配 件有限公司</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福建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福建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生产</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75"/>
              <w:jc w:val="left"/>
              <w:rPr>
                <w:rFonts w:ascii="宋体" w:hAnsi="宋体" w:cs="宋体" w:eastAsia="宋体" w:hint="default"/>
                <w:sz w:val="18"/>
                <w:szCs w:val="18"/>
              </w:rPr>
            </w:pPr>
            <w:r>
              <w:rPr>
                <w:rFonts w:ascii="宋体" w:hAnsi="宋体" w:cs="宋体" w:eastAsia="宋体" w:hint="default"/>
                <w:sz w:val="18"/>
                <w:szCs w:val="18"/>
              </w:rPr>
              <w:t>天津和达汽车配 件有限公司</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天津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天津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生产</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75"/>
              <w:jc w:val="left"/>
              <w:rPr>
                <w:rFonts w:ascii="宋体" w:hAnsi="宋体" w:cs="宋体" w:eastAsia="宋体" w:hint="default"/>
                <w:sz w:val="18"/>
                <w:szCs w:val="18"/>
              </w:rPr>
            </w:pPr>
            <w:r>
              <w:rPr>
                <w:rFonts w:ascii="宋体" w:hAnsi="宋体" w:cs="宋体" w:eastAsia="宋体" w:hint="default"/>
                <w:sz w:val="18"/>
                <w:szCs w:val="18"/>
              </w:rPr>
              <w:t>梅州和达汽车配 件有限公司</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广东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广东</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生产</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1025" w:hRule="exact"/>
        </w:trPr>
        <w:tc>
          <w:tcPr>
            <w:tcW w:w="1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49"/>
              <w:ind w:left="22" w:right="75"/>
              <w:jc w:val="left"/>
              <w:rPr>
                <w:rFonts w:ascii="宋体" w:hAnsi="宋体" w:cs="宋体" w:eastAsia="宋体" w:hint="default"/>
                <w:sz w:val="18"/>
                <w:szCs w:val="18"/>
              </w:rPr>
            </w:pPr>
            <w:r>
              <w:rPr>
                <w:rFonts w:ascii="宋体" w:hAnsi="宋体" w:cs="宋体" w:eastAsia="宋体" w:hint="default"/>
                <w:sz w:val="18"/>
                <w:szCs w:val="18"/>
              </w:rPr>
              <w:t>联保汇通 保险代理有限公 司</w:t>
            </w:r>
          </w:p>
        </w:tc>
        <w:tc>
          <w:tcPr>
            <w:tcW w:w="283" w:type="dxa"/>
            <w:tcBorders>
              <w:top w:val="single" w:sz="4" w:space="0" w:color="000000"/>
              <w:left w:val="single" w:sz="4" w:space="0" w:color="000000"/>
              <w:bottom w:val="single" w:sz="4" w:space="0" w:color="000000"/>
              <w:right w:val="nil" w:sz="6" w:space="0" w:color="auto"/>
            </w:tcBorders>
          </w:tcPr>
          <w:p>
            <w:pPr/>
          </w:p>
        </w:tc>
        <w:tc>
          <w:tcPr>
            <w:tcW w:w="108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0" w:right="0"/>
              <w:jc w:val="left"/>
              <w:rPr>
                <w:rFonts w:ascii="宋体" w:hAnsi="宋体" w:cs="宋体" w:eastAsia="宋体" w:hint="default"/>
                <w:sz w:val="18"/>
                <w:szCs w:val="18"/>
              </w:rPr>
            </w:pPr>
            <w:r>
              <w:rPr>
                <w:rFonts w:ascii="宋体" w:hAnsi="宋体" w:cs="宋体" w:eastAsia="宋体" w:hint="default"/>
                <w:sz w:val="18"/>
                <w:szCs w:val="18"/>
              </w:rPr>
              <w:t>广东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 w:right="0"/>
              <w:jc w:val="center"/>
              <w:rPr>
                <w:rFonts w:ascii="宋体" w:hAnsi="宋体" w:cs="宋体" w:eastAsia="宋体" w:hint="default"/>
                <w:sz w:val="18"/>
                <w:szCs w:val="18"/>
              </w:rPr>
            </w:pPr>
            <w:r>
              <w:rPr>
                <w:rFonts w:ascii="宋体" w:hAnsi="宋体" w:cs="宋体" w:eastAsia="宋体" w:hint="default"/>
                <w:sz w:val="18"/>
                <w:szCs w:val="18"/>
              </w:rPr>
              <w:t>广东</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4" w:right="0"/>
              <w:jc w:val="center"/>
              <w:rPr>
                <w:rFonts w:ascii="宋体" w:hAnsi="宋体" w:cs="宋体" w:eastAsia="宋体" w:hint="default"/>
                <w:sz w:val="18"/>
                <w:szCs w:val="18"/>
              </w:rPr>
            </w:pPr>
            <w:r>
              <w:rPr>
                <w:rFonts w:ascii="宋体" w:hAnsi="宋体" w:cs="宋体" w:eastAsia="宋体" w:hint="default"/>
                <w:sz w:val="18"/>
                <w:szCs w:val="18"/>
              </w:rPr>
              <w:t>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1027" w:hRule="exact"/>
        </w:trPr>
        <w:tc>
          <w:tcPr>
            <w:tcW w:w="1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75"/>
              <w:jc w:val="left"/>
              <w:rPr>
                <w:rFonts w:ascii="宋体" w:hAnsi="宋体" w:cs="宋体" w:eastAsia="宋体" w:hint="default"/>
                <w:sz w:val="18"/>
                <w:szCs w:val="18"/>
              </w:rPr>
            </w:pPr>
            <w:r>
              <w:rPr>
                <w:rFonts w:ascii="宋体" w:hAnsi="宋体" w:cs="宋体" w:eastAsia="宋体" w:hint="default"/>
                <w:sz w:val="18"/>
                <w:szCs w:val="18"/>
              </w:rPr>
              <w:t>联动优势 数字科技有限公 司</w:t>
            </w:r>
          </w:p>
        </w:tc>
        <w:tc>
          <w:tcPr>
            <w:tcW w:w="283" w:type="dxa"/>
            <w:tcBorders>
              <w:top w:val="single" w:sz="4" w:space="0" w:color="000000"/>
              <w:left w:val="single" w:sz="4" w:space="0" w:color="000000"/>
              <w:bottom w:val="single" w:sz="4" w:space="0" w:color="000000"/>
              <w:right w:val="nil" w:sz="6" w:space="0" w:color="auto"/>
            </w:tcBorders>
          </w:tcPr>
          <w:p>
            <w:pPr/>
          </w:p>
        </w:tc>
        <w:tc>
          <w:tcPr>
            <w:tcW w:w="108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0"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4" w:right="0"/>
              <w:jc w:val="center"/>
              <w:rPr>
                <w:rFonts w:ascii="宋体" w:hAnsi="宋体" w:cs="宋体" w:eastAsia="宋体" w:hint="default"/>
                <w:sz w:val="18"/>
                <w:szCs w:val="18"/>
              </w:rPr>
            </w:pPr>
            <w:r>
              <w:rPr>
                <w:rFonts w:ascii="宋体" w:hAnsi="宋体" w:cs="宋体" w:eastAsia="宋体" w:hint="default"/>
                <w:sz w:val="18"/>
                <w:szCs w:val="18"/>
              </w:rPr>
              <w:t>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75"/>
              <w:jc w:val="left"/>
              <w:rPr>
                <w:rFonts w:ascii="宋体" w:hAnsi="宋体" w:cs="宋体" w:eastAsia="宋体" w:hint="default"/>
                <w:sz w:val="18"/>
                <w:szCs w:val="18"/>
              </w:rPr>
            </w:pPr>
            <w:r>
              <w:rPr>
                <w:rFonts w:ascii="宋体" w:hAnsi="宋体" w:cs="宋体" w:eastAsia="宋体" w:hint="default"/>
                <w:sz w:val="18"/>
                <w:szCs w:val="18"/>
              </w:rPr>
              <w:t>北京金玉联汇科 技有限公司</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674" w:hRule="exact"/>
        </w:trPr>
        <w:tc>
          <w:tcPr>
            <w:tcW w:w="1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联动优势科技</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（加拿大）有限</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温哥华</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温哥华</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国际信息服务业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0"/>
        <w:gridCol w:w="1369"/>
        <w:gridCol w:w="1366"/>
        <w:gridCol w:w="1368"/>
        <w:gridCol w:w="1368"/>
        <w:gridCol w:w="1366"/>
        <w:gridCol w:w="1366"/>
      </w:tblGrid>
      <w:tr>
        <w:trPr>
          <w:trHeight w:val="363" w:hRule="exact"/>
        </w:trPr>
        <w:tc>
          <w:tcPr>
            <w:tcW w:w="1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75"/>
              <w:jc w:val="left"/>
              <w:rPr>
                <w:rFonts w:ascii="宋体" w:hAnsi="宋体" w:cs="宋体" w:eastAsia="宋体" w:hint="default"/>
                <w:sz w:val="18"/>
                <w:szCs w:val="18"/>
              </w:rPr>
            </w:pPr>
            <w:r>
              <w:rPr>
                <w:rFonts w:ascii="宋体" w:hAnsi="宋体" w:cs="宋体" w:eastAsia="宋体" w:hint="default"/>
                <w:sz w:val="18"/>
                <w:szCs w:val="18"/>
              </w:rPr>
              <w:t>青岛中金卓越商 业保理有限公司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青岛</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青岛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企业合并</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bookmarkStart w:name="（2）重要的非全资子公司" w:id="428"/>
      <w:bookmarkEnd w:id="428"/>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6"/>
        <w:gridCol w:w="1913"/>
        <w:gridCol w:w="1913"/>
        <w:gridCol w:w="1916"/>
      </w:tblGrid>
      <w:tr>
        <w:trPr>
          <w:trHeight w:val="76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81"/>
              <w:jc w:val="left"/>
              <w:rPr>
                <w:rFonts w:ascii="宋体" w:hAnsi="宋体" w:cs="宋体" w:eastAsia="宋体" w:hint="default"/>
                <w:sz w:val="18"/>
                <w:szCs w:val="18"/>
              </w:rPr>
            </w:pPr>
            <w:r>
              <w:rPr>
                <w:rFonts w:ascii="宋体" w:hAnsi="宋体" w:cs="宋体" w:eastAsia="宋体" w:hint="default"/>
                <w:sz w:val="18"/>
                <w:szCs w:val="18"/>
              </w:rPr>
              <w:t>上海和达汽车配件有限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3,837,599.16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5" w:right="0"/>
              <w:jc w:val="left"/>
              <w:rPr>
                <w:rFonts w:ascii="Times New Roman" w:hAnsi="Times New Roman" w:cs="Times New Roman" w:eastAsia="Times New Roman" w:hint="default"/>
                <w:sz w:val="18"/>
                <w:szCs w:val="18"/>
              </w:rPr>
            </w:pPr>
            <w:r>
              <w:rPr>
                <w:rFonts w:ascii="Times New Roman"/>
                <w:sz w:val="18"/>
              </w:rPr>
              <w:t>6,000,000.00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59,095,630.02</w:t>
            </w:r>
          </w:p>
        </w:tc>
      </w:tr>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49"/>
              <w:ind w:left="22" w:right="81"/>
              <w:jc w:val="left"/>
              <w:rPr>
                <w:rFonts w:ascii="宋体" w:hAnsi="宋体" w:cs="宋体" w:eastAsia="宋体" w:hint="default"/>
                <w:sz w:val="18"/>
                <w:szCs w:val="18"/>
              </w:rPr>
            </w:pPr>
            <w:r>
              <w:rPr>
                <w:rFonts w:ascii="宋体" w:hAnsi="宋体" w:cs="宋体" w:eastAsia="宋体" w:hint="default"/>
                <w:sz w:val="18"/>
                <w:szCs w:val="18"/>
              </w:rPr>
              <w:t>湖北海立美达汽车有限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-4,840,084.17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13,371,984.65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重要非全资子公司的主要财务信息" w:id="429"/>
      <w:bookmarkEnd w:id="429"/>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7"/>
        <w:gridCol w:w="737"/>
        <w:gridCol w:w="734"/>
        <w:gridCol w:w="737"/>
        <w:gridCol w:w="734"/>
        <w:gridCol w:w="735"/>
        <w:gridCol w:w="734"/>
        <w:gridCol w:w="737"/>
        <w:gridCol w:w="737"/>
        <w:gridCol w:w="734"/>
        <w:gridCol w:w="737"/>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181" w:right="92"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4"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340" w:hRule="exact"/>
        </w:trPr>
        <w:tc>
          <w:tcPr>
            <w:tcW w:w="7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上海和 达汽车 配件有 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244,540,</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760.54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275,436,</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637.87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519,977,</w:t>
            </w:r>
          </w:p>
          <w:p>
            <w:pPr>
              <w:pStyle w:val="TableParagraph"/>
              <w:spacing w:line="240" w:lineRule="auto" w:before="102"/>
              <w:ind w:left="184" w:right="0"/>
              <w:jc w:val="center"/>
              <w:rPr>
                <w:rFonts w:ascii="Times New Roman" w:hAnsi="Times New Roman" w:cs="Times New Roman" w:eastAsia="Times New Roman" w:hint="default"/>
                <w:sz w:val="18"/>
                <w:szCs w:val="18"/>
              </w:rPr>
            </w:pPr>
            <w:r>
              <w:rPr>
                <w:rFonts w:ascii="Times New Roman"/>
                <w:sz w:val="18"/>
              </w:rPr>
              <w:t>398.41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276,824,</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536.71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6,770,34</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1.61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283,594,</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878.32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268,524,</w:t>
            </w:r>
          </w:p>
          <w:p>
            <w:pPr>
              <w:pStyle w:val="TableParagraph"/>
              <w:spacing w:line="240" w:lineRule="auto" w:before="102"/>
              <w:ind w:left="188" w:right="0"/>
              <w:jc w:val="center"/>
              <w:rPr>
                <w:rFonts w:ascii="Times New Roman" w:hAnsi="Times New Roman" w:cs="Times New Roman" w:eastAsia="Times New Roman" w:hint="default"/>
                <w:sz w:val="18"/>
                <w:szCs w:val="18"/>
              </w:rPr>
            </w:pPr>
            <w:r>
              <w:rPr>
                <w:rFonts w:ascii="Times New Roman"/>
                <w:sz w:val="18"/>
              </w:rPr>
              <w:t>417.96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229,481,</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131.40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498,005,</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549.36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244,924,</w:t>
            </w:r>
          </w:p>
          <w:p>
            <w:pPr>
              <w:pStyle w:val="TableParagraph"/>
              <w:spacing w:line="240" w:lineRule="auto" w:before="102"/>
              <w:ind w:left="189" w:right="0"/>
              <w:jc w:val="center"/>
              <w:rPr>
                <w:rFonts w:ascii="Times New Roman" w:hAnsi="Times New Roman" w:cs="Times New Roman" w:eastAsia="Times New Roman" w:hint="default"/>
                <w:sz w:val="18"/>
                <w:szCs w:val="18"/>
              </w:rPr>
            </w:pPr>
            <w:r>
              <w:rPr>
                <w:rFonts w:ascii="Times New Roman"/>
                <w:sz w:val="18"/>
              </w:rPr>
              <w:t>715.34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8,048,71</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0.57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252,973,</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425.91</w:t>
            </w:r>
          </w:p>
        </w:tc>
      </w:tr>
      <w:tr>
        <w:trPr>
          <w:trHeight w:val="1339" w:hRule="exact"/>
        </w:trPr>
        <w:tc>
          <w:tcPr>
            <w:tcW w:w="7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161"/>
              <w:jc w:val="both"/>
              <w:rPr>
                <w:rFonts w:ascii="宋体" w:hAnsi="宋体" w:cs="宋体" w:eastAsia="宋体" w:hint="default"/>
                <w:sz w:val="18"/>
                <w:szCs w:val="18"/>
              </w:rPr>
            </w:pPr>
            <w:r>
              <w:rPr>
                <w:rFonts w:ascii="宋体" w:hAnsi="宋体" w:cs="宋体" w:eastAsia="宋体" w:hint="default"/>
                <w:sz w:val="18"/>
                <w:szCs w:val="18"/>
              </w:rPr>
              <w:t>湖北海 立美达 汽车有 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162,125,</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282.39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560,212,</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738.87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722,338,</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021.26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573,560,</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066.11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14,758,6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81.01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588,318,</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747.12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205,410,</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143.30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456,771,</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031.12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662,181,</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174.42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463,729,</w:t>
            </w:r>
          </w:p>
          <w:p>
            <w:pPr>
              <w:pStyle w:val="TableParagraph"/>
              <w:spacing w:line="240" w:lineRule="auto" w:before="105"/>
              <w:ind w:left="189" w:right="0"/>
              <w:jc w:val="center"/>
              <w:rPr>
                <w:rFonts w:ascii="Times New Roman" w:hAnsi="Times New Roman" w:cs="Times New Roman" w:eastAsia="Times New Roman" w:hint="default"/>
                <w:sz w:val="18"/>
                <w:szCs w:val="18"/>
              </w:rPr>
            </w:pPr>
            <w:r>
              <w:rPr>
                <w:rFonts w:ascii="Times New Roman"/>
                <w:sz w:val="18"/>
              </w:rPr>
              <w:t>623.34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16,031,4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35.19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479,761,</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058.53</w:t>
            </w:r>
          </w:p>
        </w:tc>
      </w:tr>
    </w:tbl>
    <w:p>
      <w:pPr>
        <w:pStyle w:val="BodyText"/>
        <w:spacing w:line="240" w:lineRule="auto" w:before="49"/>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4"/>
        <w:gridCol w:w="1063"/>
        <w:gridCol w:w="1066"/>
        <w:gridCol w:w="1063"/>
        <w:gridCol w:w="1063"/>
        <w:gridCol w:w="1064"/>
        <w:gridCol w:w="1066"/>
      </w:tblGrid>
      <w:tr>
        <w:trPr>
          <w:trHeight w:val="402" w:hRule="exact"/>
        </w:trPr>
        <w:tc>
          <w:tcPr>
            <w:tcW w:w="10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060"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59"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37" w:right="75"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5" w:hRule="exact"/>
        </w:trPr>
        <w:tc>
          <w:tcPr>
            <w:tcW w:w="10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125"/>
              <w:jc w:val="both"/>
              <w:rPr>
                <w:rFonts w:ascii="宋体" w:hAnsi="宋体" w:cs="宋体" w:eastAsia="宋体" w:hint="default"/>
                <w:sz w:val="18"/>
                <w:szCs w:val="18"/>
              </w:rPr>
            </w:pPr>
            <w:r>
              <w:rPr>
                <w:rFonts w:ascii="宋体" w:hAnsi="宋体" w:cs="宋体" w:eastAsia="宋体" w:hint="default"/>
                <w:sz w:val="18"/>
                <w:szCs w:val="18"/>
              </w:rPr>
              <w:t>上海和达汽 车配件有限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601,300,027.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15,350,396.6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15,350,396.6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84,704,146.8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644,790,513.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29,093,277.5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29,093,277.5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40,465,779.9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r>
      <w:tr>
        <w:trPr>
          <w:trHeight w:val="1027" w:hRule="exact"/>
        </w:trPr>
        <w:tc>
          <w:tcPr>
            <w:tcW w:w="10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25"/>
              <w:jc w:val="both"/>
              <w:rPr>
                <w:rFonts w:ascii="宋体" w:hAnsi="宋体" w:cs="宋体" w:eastAsia="宋体" w:hint="default"/>
                <w:sz w:val="18"/>
                <w:szCs w:val="18"/>
              </w:rPr>
            </w:pPr>
            <w:r>
              <w:rPr>
                <w:rFonts w:ascii="宋体" w:hAnsi="宋体" w:cs="宋体" w:eastAsia="宋体" w:hint="default"/>
                <w:sz w:val="18"/>
                <w:szCs w:val="18"/>
              </w:rPr>
              <w:t>湖北海立美 达汽车有限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632,625,652.</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-48,400,841.7</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-48,400,841.7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112,345,985.</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27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356,353,018.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-21,890,230.0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-21,890,230.0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30,587,277.3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4）使用企业集团资产和清偿企业集团债务的重大限制" w:id="430"/>
      <w:bookmarkEnd w:id="430"/>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5）向纳入合并财务报表范围的结构化主体提供的财务支持或其他支持" w:id="431"/>
      <w:bookmarkEnd w:id="431"/>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2、在子公司的所有者权益份额发生变化且仍控制子公司的交易" w:id="432"/>
      <w:bookmarkEnd w:id="432"/>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3、在合营安排或联营企业中的权益" w:id="433"/>
      <w:bookmarkEnd w:id="433"/>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重要的合营企业或联营企业" w:id="434"/>
      <w:bookmarkEnd w:id="434"/>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2）重要合营企业的主要财务信息" w:id="435"/>
      <w:bookmarkEnd w:id="435"/>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3）重要联营企业的主要财务信息" w:id="436"/>
      <w:bookmarkEnd w:id="436"/>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4）不重要的合营企业和联营企业的汇总财务信息" w:id="437"/>
      <w:bookmarkEnd w:id="437"/>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7"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7"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437,772.08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419,660.20</w:t>
            </w:r>
          </w:p>
        </w:tc>
      </w:tr>
      <w:tr>
        <w:trPr>
          <w:trHeight w:val="40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7"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18,111.88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-580,339.80</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18,111.88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-580,339.80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5）合营企业或联营企业向本公司转移资金的能力存在重大限制的说明" w:id="438"/>
      <w:bookmarkEnd w:id="438"/>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6）合营企业或联营企业发生的超额亏损" w:id="439"/>
      <w:bookmarkEnd w:id="439"/>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7）与合营企业投资相关的未确认承诺" w:id="440"/>
      <w:bookmarkEnd w:id="440"/>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8）与合营企业或联营企业投资相关的或有负债" w:id="441"/>
      <w:bookmarkEnd w:id="441"/>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4、重要的共同经营" w:id="442"/>
      <w:bookmarkEnd w:id="442"/>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5、在未纳入合并财务报表范围的结构化主体中的权益" w:id="443"/>
      <w:bookmarkEnd w:id="443"/>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6、其他" w:id="444"/>
      <w:bookmarkEnd w:id="444"/>
      <w:r>
        <w:rPr>
          <w:b w:val="0"/>
          <w:bCs w:val="0"/>
        </w:rPr>
      </w:r>
      <w:r>
        <w:rPr>
          <w:rFonts w:ascii="Times New Roman" w:hAnsi="Times New Roman" w:cs="Times New Roman" w:eastAsia="Times New Roman" w:hint="default"/>
        </w:rPr>
        <w:t>6</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4"/>
        <w:rPr>
          <w:rFonts w:ascii="宋体" w:hAnsi="宋体" w:cs="宋体" w:eastAsia="宋体" w:hint="default"/>
          <w:sz w:val="25"/>
          <w:szCs w:val="25"/>
        </w:rPr>
      </w:pPr>
    </w:p>
    <w:p>
      <w:pPr>
        <w:pStyle w:val="Heading2"/>
        <w:spacing w:line="240" w:lineRule="auto"/>
        <w:ind w:right="1133"/>
        <w:jc w:val="left"/>
        <w:rPr>
          <w:b w:val="0"/>
          <w:bCs w:val="0"/>
        </w:rPr>
      </w:pPr>
      <w:bookmarkStart w:name="十、与金融工具相关的风险" w:id="445"/>
      <w:bookmarkEnd w:id="445"/>
      <w:r>
        <w:rPr>
          <w:b w:val="0"/>
          <w:bCs w:val="0"/>
        </w:rPr>
      </w: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09" w:lineRule="auto"/>
        <w:ind w:right="1131" w:firstLine="360"/>
        <w:jc w:val="both"/>
      </w:pPr>
      <w:r>
        <w:rPr>
          <w:spacing w:val="-2"/>
        </w:rPr>
        <w:t>本集团的主要金融工具包括借款、应收款项、应付款项等，各项金融工具的详细情况说明见</w:t>
      </w:r>
      <w:r>
        <w:rPr>
          <w:rFonts w:ascii="Times New Roman" w:hAnsi="Times New Roman" w:cs="Times New Roman" w:eastAsia="Times New Roman" w:hint="default"/>
          <w:spacing w:val="-2"/>
        </w:rPr>
        <w:t>“</w:t>
      </w:r>
      <w:r>
        <w:rPr>
          <w:spacing w:val="-2"/>
        </w:rPr>
        <w:t>本附注六</w:t>
      </w:r>
      <w:r>
        <w:rPr>
          <w:rFonts w:ascii="Times New Roman" w:hAnsi="Times New Roman" w:cs="Times New Roman" w:eastAsia="Times New Roman" w:hint="default"/>
          <w:spacing w:val="-2"/>
        </w:rPr>
        <w:t>”</w:t>
      </w:r>
      <w:r>
        <w:rPr>
          <w:spacing w:val="-2"/>
        </w:rPr>
        <w:t>。与这些金融工</w:t>
      </w:r>
      <w:r>
        <w:rPr/>
        <w:t> </w:t>
      </w:r>
      <w:r>
        <w:rPr>
          <w:spacing w:val="-2"/>
        </w:rPr>
        <w:t>具有关的风险，以及本集团为降低这些风险所采取的风险管控政策如下所述。本集团管理层对这些风险敞口进行管理和监控</w:t>
      </w:r>
      <w:r>
        <w:rPr>
          <w:spacing w:val="-62"/>
        </w:rPr>
        <w:t> </w:t>
      </w:r>
      <w:r>
        <w:rPr>
          <w:spacing w:val="-62"/>
        </w:rPr>
      </w:r>
      <w:r>
        <w:rPr/>
        <w:t>以确保将上述风险控制在限定的范围之内。</w:t>
      </w:r>
    </w:p>
    <w:p>
      <w:pPr>
        <w:spacing w:line="240" w:lineRule="auto" w:before="3"/>
        <w:rPr>
          <w:rFonts w:ascii="宋体" w:hAnsi="宋体" w:cs="宋体" w:eastAsia="宋体" w:hint="default"/>
          <w:sz w:val="20"/>
          <w:szCs w:val="20"/>
        </w:rPr>
      </w:pPr>
    </w:p>
    <w:p>
      <w:pPr>
        <w:pStyle w:val="BodyText"/>
        <w:spacing w:line="316" w:lineRule="auto"/>
        <w:ind w:right="1034" w:firstLine="360"/>
        <w:jc w:val="left"/>
      </w:pPr>
      <w:r>
        <w:rPr/>
        <w:t>本集团从事风险管控的目标是在风险和收益之间取得适当的平衡，将风险对本集团经营业绩的负面影响降到最低水平， </w:t>
      </w:r>
      <w:r>
        <w:rPr>
          <w:spacing w:val="-2"/>
        </w:rPr>
        <w:t>保证股东及其他权益投资者的利益最大化。基于该风险管理目标，本集团风险管理的基本策略是确定和分析本集团所面临的</w:t>
      </w:r>
      <w:r>
        <w:rPr>
          <w:spacing w:val="-64"/>
        </w:rPr>
        <w:t> </w:t>
      </w:r>
      <w:r>
        <w:rPr>
          <w:spacing w:val="-64"/>
        </w:rPr>
      </w:r>
      <w:r>
        <w:rPr/>
        <w:t>各种风险，建立适当的风险承受底线并进行风险管理，及时可靠地对各种风险进行监督，将风险控制在限定的范围之内。</w:t>
      </w:r>
    </w:p>
    <w:p>
      <w:pPr>
        <w:spacing w:line="240" w:lineRule="auto" w:before="10"/>
        <w:rPr>
          <w:rFonts w:ascii="宋体" w:hAnsi="宋体" w:cs="宋体" w:eastAsia="宋体" w:hint="default"/>
          <w:sz w:val="19"/>
          <w:szCs w:val="19"/>
        </w:rPr>
      </w:pPr>
    </w:p>
    <w:p>
      <w:pPr>
        <w:pStyle w:val="BodyText"/>
        <w:spacing w:line="532" w:lineRule="auto"/>
        <w:ind w:left="513" w:right="9391"/>
        <w:jc w:val="cente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市场风险</w:t>
      </w:r>
      <w:r>
        <w:rPr>
          <w:w w:val="99"/>
        </w:rPr>
        <w:t> </w:t>
      </w:r>
      <w:r>
        <w:rPr>
          <w:rFonts w:ascii="宋体" w:hAnsi="宋体" w:cs="宋体" w:eastAsia="宋体" w:hint="default"/>
        </w:rPr>
        <w:t>1</w:t>
      </w:r>
      <w:r>
        <w:rPr/>
        <w:t>、汇率风险</w:t>
      </w:r>
    </w:p>
    <w:p>
      <w:pPr>
        <w:pStyle w:val="BodyText"/>
        <w:spacing w:line="309" w:lineRule="auto" w:before="97"/>
        <w:ind w:right="1130" w:firstLine="360"/>
        <w:jc w:val="both"/>
      </w:pPr>
      <w:r>
        <w:rPr>
          <w:spacing w:val="-2"/>
        </w:rPr>
        <w:t>本集团承受汇率风险主要与美元有关，除本集团的几个下属子公司以美元进行采购和销售外，本集团的其它主要业务活</w:t>
      </w:r>
      <w:r>
        <w:rPr/>
        <w:t> </w:t>
      </w:r>
      <w:r>
        <w:rPr>
          <w:spacing w:val="-2"/>
        </w:rPr>
        <w:t>动以人民币计价结算。于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日，除下表所述资产及负债的外币余额外，本集团的资产及负债均为人民币余额。该</w:t>
      </w:r>
      <w:r>
        <w:rPr>
          <w:spacing w:val="-59"/>
        </w:rPr>
        <w:t> </w:t>
      </w:r>
      <w:r>
        <w:rPr>
          <w:spacing w:val="-59"/>
        </w:rPr>
      </w:r>
      <w:r>
        <w:rPr/>
        <w:t>等外币余额的资产和负债产生的汇率风险可能对本集团的经营业绩产生影响。</w:t>
      </w:r>
    </w:p>
    <w:p>
      <w:pPr>
        <w:spacing w:line="240" w:lineRule="auto" w:before="10"/>
        <w:rPr>
          <w:rFonts w:ascii="宋体" w:hAnsi="宋体" w:cs="宋体" w:eastAsia="宋体" w:hint="default"/>
          <w:sz w:val="9"/>
          <w:szCs w:val="9"/>
        </w:rPr>
      </w:pPr>
    </w:p>
    <w:tbl>
      <w:tblPr>
        <w:tblW w:w="0" w:type="auto"/>
        <w:jc w:val="left"/>
        <w:tblInd w:w="145" w:type="dxa"/>
        <w:tblLayout w:type="fixed"/>
        <w:tblCellMar>
          <w:top w:w="0" w:type="dxa"/>
          <w:left w:w="0" w:type="dxa"/>
          <w:bottom w:w="0" w:type="dxa"/>
          <w:right w:w="0" w:type="dxa"/>
        </w:tblCellMar>
        <w:tblLook w:val="01E0"/>
      </w:tblPr>
      <w:tblGrid>
        <w:gridCol w:w="3519"/>
        <w:gridCol w:w="3428"/>
        <w:gridCol w:w="2693"/>
      </w:tblGrid>
      <w:tr>
        <w:trPr>
          <w:trHeight w:val="335" w:hRule="exact"/>
        </w:trPr>
        <w:tc>
          <w:tcPr>
            <w:tcW w:w="35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left="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42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right="1"/>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69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left="2" w:right="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48" w:hRule="exact"/>
        </w:trPr>
        <w:tc>
          <w:tcPr>
            <w:tcW w:w="35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28" w:type="dxa"/>
            <w:tcBorders>
              <w:top w:val="single" w:sz="10" w:space="0" w:color="000000"/>
              <w:left w:val="single" w:sz="6" w:space="0" w:color="000000"/>
              <w:bottom w:val="single" w:sz="6" w:space="0" w:color="000000"/>
              <w:right w:val="single" w:sz="6" w:space="0" w:color="000000"/>
            </w:tcBorders>
          </w:tcPr>
          <w:p>
            <w:pPr/>
          </w:p>
        </w:tc>
        <w:tc>
          <w:tcPr>
            <w:tcW w:w="2693" w:type="dxa"/>
            <w:tcBorders>
              <w:top w:val="single" w:sz="10" w:space="0" w:color="000000"/>
              <w:left w:val="single" w:sz="6" w:space="0" w:color="000000"/>
              <w:bottom w:val="single" w:sz="6" w:space="0" w:color="000000"/>
              <w:right w:val="single" w:sz="6" w:space="0" w:color="000000"/>
            </w:tcBorders>
          </w:tcPr>
          <w:p>
            <w:pPr/>
          </w:p>
        </w:tc>
      </w:tr>
      <w:tr>
        <w:trPr>
          <w:trHeight w:val="346" w:hRule="exact"/>
        </w:trPr>
        <w:tc>
          <w:tcPr>
            <w:tcW w:w="35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3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68,774,533.19</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7,651,192.88</w:t>
            </w:r>
          </w:p>
        </w:tc>
      </w:tr>
      <w:tr>
        <w:trPr>
          <w:trHeight w:val="350" w:hRule="exact"/>
        </w:trPr>
        <w:tc>
          <w:tcPr>
            <w:tcW w:w="3519" w:type="dxa"/>
            <w:tcBorders>
              <w:top w:val="single" w:sz="6" w:space="0" w:color="000000"/>
              <w:left w:val="single" w:sz="6" w:space="0" w:color="000000"/>
              <w:bottom w:val="single" w:sz="8" w:space="0" w:color="000000"/>
              <w:right w:val="single" w:sz="6" w:space="0" w:color="000000"/>
            </w:tcBorders>
            <w:shd w:val="clear" w:color="auto" w:fill="D9D9D9"/>
          </w:tcPr>
          <w:p>
            <w:pPr>
              <w:pStyle w:val="TableParagraph"/>
              <w:spacing w:line="240" w:lineRule="auto" w:before="20"/>
              <w:ind w:left="545"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3428"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294,248.57</w:t>
            </w:r>
          </w:p>
        </w:tc>
        <w:tc>
          <w:tcPr>
            <w:tcW w:w="2693"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46,500.59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3519"/>
        <w:gridCol w:w="3428"/>
        <w:gridCol w:w="2693"/>
      </w:tblGrid>
      <w:tr>
        <w:trPr>
          <w:trHeight w:val="348" w:hRule="exact"/>
        </w:trPr>
        <w:tc>
          <w:tcPr>
            <w:tcW w:w="35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545"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3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729,860.73</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19,995.86</w:t>
            </w:r>
          </w:p>
        </w:tc>
      </w:tr>
      <w:tr>
        <w:trPr>
          <w:trHeight w:val="346" w:hRule="exact"/>
        </w:trPr>
        <w:tc>
          <w:tcPr>
            <w:tcW w:w="35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545"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3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71.09</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1,036.00</w:t>
            </w:r>
          </w:p>
        </w:tc>
      </w:tr>
      <w:tr>
        <w:trPr>
          <w:trHeight w:val="348" w:hRule="exact"/>
        </w:trPr>
        <w:tc>
          <w:tcPr>
            <w:tcW w:w="35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545" w:right="0"/>
              <w:jc w:val="left"/>
              <w:rPr>
                <w:rFonts w:ascii="宋体" w:hAnsi="宋体" w:cs="宋体" w:eastAsia="宋体" w:hint="default"/>
                <w:sz w:val="18"/>
                <w:szCs w:val="18"/>
              </w:rPr>
            </w:pPr>
            <w:r>
              <w:rPr>
                <w:rFonts w:ascii="宋体" w:hAnsi="宋体" w:cs="宋体" w:eastAsia="宋体" w:hint="default"/>
                <w:sz w:val="18"/>
                <w:szCs w:val="18"/>
              </w:rPr>
              <w:t>加元</w:t>
            </w:r>
          </w:p>
        </w:tc>
        <w:tc>
          <w:tcPr>
            <w:tcW w:w="3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354.02</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358,504.83</w:t>
            </w:r>
          </w:p>
        </w:tc>
      </w:tr>
      <w:tr>
        <w:trPr>
          <w:trHeight w:val="346" w:hRule="exact"/>
        </w:trPr>
        <w:tc>
          <w:tcPr>
            <w:tcW w:w="35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545" w:right="0"/>
              <w:jc w:val="left"/>
              <w:rPr>
                <w:rFonts w:ascii="宋体" w:hAnsi="宋体" w:cs="宋体" w:eastAsia="宋体" w:hint="default"/>
                <w:sz w:val="18"/>
                <w:szCs w:val="18"/>
              </w:rPr>
            </w:pPr>
            <w:r>
              <w:rPr>
                <w:rFonts w:ascii="宋体" w:hAnsi="宋体" w:cs="宋体" w:eastAsia="宋体" w:hint="default"/>
                <w:sz w:val="18"/>
                <w:szCs w:val="18"/>
              </w:rPr>
              <w:t>瑞典克朗</w:t>
            </w:r>
          </w:p>
        </w:tc>
        <w:tc>
          <w:tcPr>
            <w:tcW w:w="3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115,565.54</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132,306.10</w:t>
            </w:r>
          </w:p>
        </w:tc>
      </w:tr>
      <w:tr>
        <w:trPr>
          <w:trHeight w:val="348" w:hRule="exact"/>
        </w:trPr>
        <w:tc>
          <w:tcPr>
            <w:tcW w:w="35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2057"/>
              <w:jc w:val="right"/>
              <w:rPr>
                <w:rFonts w:ascii="宋体" w:hAnsi="宋体" w:cs="宋体" w:eastAsia="宋体" w:hint="default"/>
                <w:sz w:val="18"/>
                <w:szCs w:val="18"/>
              </w:rPr>
            </w:pPr>
            <w:r>
              <w:rPr>
                <w:rFonts w:ascii="宋体" w:hAnsi="宋体" w:cs="宋体" w:eastAsia="宋体" w:hint="default"/>
                <w:sz w:val="18"/>
                <w:szCs w:val="18"/>
              </w:rPr>
              <w:t>澳大利亚元</w:t>
            </w:r>
          </w:p>
        </w:tc>
        <w:tc>
          <w:tcPr>
            <w:tcW w:w="3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163.53</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33.04</w:t>
            </w:r>
          </w:p>
        </w:tc>
      </w:tr>
      <w:tr>
        <w:trPr>
          <w:trHeight w:val="346" w:hRule="exact"/>
        </w:trPr>
        <w:tc>
          <w:tcPr>
            <w:tcW w:w="35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545" w:right="0"/>
              <w:jc w:val="left"/>
              <w:rPr>
                <w:rFonts w:ascii="宋体" w:hAnsi="宋体" w:cs="宋体" w:eastAsia="宋体" w:hint="default"/>
                <w:sz w:val="18"/>
                <w:szCs w:val="18"/>
              </w:rPr>
            </w:pPr>
            <w:r>
              <w:rPr>
                <w:rFonts w:ascii="宋体" w:hAnsi="宋体" w:cs="宋体" w:eastAsia="宋体" w:hint="default"/>
                <w:sz w:val="18"/>
                <w:szCs w:val="18"/>
              </w:rPr>
              <w:t>新西兰元</w:t>
            </w:r>
          </w:p>
        </w:tc>
        <w:tc>
          <w:tcPr>
            <w:tcW w:w="3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48.80</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10.39</w:t>
            </w:r>
          </w:p>
        </w:tc>
      </w:tr>
      <w:tr>
        <w:trPr>
          <w:trHeight w:val="348" w:hRule="exact"/>
        </w:trPr>
        <w:tc>
          <w:tcPr>
            <w:tcW w:w="35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545"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3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1.03</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0.20</w:t>
            </w:r>
          </w:p>
        </w:tc>
      </w:tr>
      <w:tr>
        <w:trPr>
          <w:trHeight w:val="348" w:hRule="exact"/>
        </w:trPr>
        <w:tc>
          <w:tcPr>
            <w:tcW w:w="35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545"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3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12.54</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0.34</w:t>
            </w:r>
          </w:p>
        </w:tc>
      </w:tr>
      <w:tr>
        <w:trPr>
          <w:trHeight w:val="346" w:hRule="exact"/>
        </w:trPr>
        <w:tc>
          <w:tcPr>
            <w:tcW w:w="35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545" w:right="0"/>
              <w:jc w:val="left"/>
              <w:rPr>
                <w:rFonts w:ascii="宋体" w:hAnsi="宋体" w:cs="宋体" w:eastAsia="宋体" w:hint="default"/>
                <w:sz w:val="18"/>
                <w:szCs w:val="18"/>
              </w:rPr>
            </w:pPr>
            <w:r>
              <w:rPr>
                <w:rFonts w:ascii="宋体" w:hAnsi="宋体" w:cs="宋体" w:eastAsia="宋体" w:hint="default"/>
                <w:sz w:val="18"/>
                <w:szCs w:val="18"/>
              </w:rPr>
              <w:t>瑞士法郎</w:t>
            </w:r>
          </w:p>
        </w:tc>
        <w:tc>
          <w:tcPr>
            <w:tcW w:w="3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1.08</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0.15</w:t>
            </w:r>
          </w:p>
        </w:tc>
      </w:tr>
      <w:tr>
        <w:trPr>
          <w:trHeight w:val="348" w:hRule="exact"/>
        </w:trPr>
        <w:tc>
          <w:tcPr>
            <w:tcW w:w="35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428"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5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3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7,623,964.31</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2,352,670.22</w:t>
            </w:r>
          </w:p>
        </w:tc>
      </w:tr>
      <w:tr>
        <w:trPr>
          <w:trHeight w:val="349" w:hRule="exact"/>
        </w:trPr>
        <w:tc>
          <w:tcPr>
            <w:tcW w:w="35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545"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3428"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19,662.76</w:t>
            </w:r>
          </w:p>
        </w:tc>
      </w:tr>
      <w:tr>
        <w:trPr>
          <w:trHeight w:val="348" w:hRule="exact"/>
        </w:trPr>
        <w:tc>
          <w:tcPr>
            <w:tcW w:w="35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428"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5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3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3,326,944.90</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516,045.83</w:t>
            </w:r>
          </w:p>
        </w:tc>
      </w:tr>
      <w:tr>
        <w:trPr>
          <w:trHeight w:val="350" w:hRule="exact"/>
        </w:trPr>
        <w:tc>
          <w:tcPr>
            <w:tcW w:w="3519" w:type="dxa"/>
            <w:tcBorders>
              <w:top w:val="single" w:sz="6" w:space="0" w:color="000000"/>
              <w:left w:val="single" w:sz="6" w:space="0" w:color="000000"/>
              <w:bottom w:val="single" w:sz="8" w:space="0" w:color="000000"/>
              <w:right w:val="single" w:sz="6" w:space="0" w:color="000000"/>
            </w:tcBorders>
            <w:shd w:val="clear" w:color="auto" w:fill="D9D9D9"/>
          </w:tcPr>
          <w:p>
            <w:pPr>
              <w:pStyle w:val="TableParagraph"/>
              <w:spacing w:line="240" w:lineRule="auto" w:before="20"/>
              <w:ind w:left="545"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3428"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9,208.56</w:t>
            </w:r>
          </w:p>
        </w:tc>
      </w:tr>
      <w:tr>
        <w:trPr>
          <w:trHeight w:val="346" w:hRule="exact"/>
        </w:trPr>
        <w:tc>
          <w:tcPr>
            <w:tcW w:w="3519" w:type="dxa"/>
            <w:tcBorders>
              <w:top w:val="single" w:sz="8" w:space="0" w:color="000000"/>
              <w:left w:val="single" w:sz="6" w:space="0" w:color="000000"/>
              <w:bottom w:val="single" w:sz="8" w:space="0" w:color="000000"/>
              <w:right w:val="single" w:sz="6" w:space="0" w:color="000000"/>
            </w:tcBorders>
            <w:shd w:val="clear" w:color="auto" w:fill="D9D9D9"/>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28"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
        </w:tc>
      </w:tr>
      <w:tr>
        <w:trPr>
          <w:trHeight w:val="350" w:hRule="exact"/>
        </w:trPr>
        <w:tc>
          <w:tcPr>
            <w:tcW w:w="3519" w:type="dxa"/>
            <w:tcBorders>
              <w:top w:val="single" w:sz="8"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3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32,843.95</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w w:val="95"/>
                <w:sz w:val="18"/>
              </w:rPr>
              <w:t>5,696.00</w:t>
            </w:r>
          </w:p>
        </w:tc>
      </w:tr>
      <w:tr>
        <w:trPr>
          <w:trHeight w:val="348" w:hRule="exact"/>
        </w:trPr>
        <w:tc>
          <w:tcPr>
            <w:tcW w:w="35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545" w:right="0"/>
              <w:jc w:val="left"/>
              <w:rPr>
                <w:rFonts w:ascii="宋体" w:hAnsi="宋体" w:cs="宋体" w:eastAsia="宋体" w:hint="default"/>
                <w:sz w:val="18"/>
                <w:szCs w:val="18"/>
              </w:rPr>
            </w:pPr>
            <w:r>
              <w:rPr>
                <w:rFonts w:ascii="宋体" w:hAnsi="宋体" w:cs="宋体" w:eastAsia="宋体" w:hint="default"/>
                <w:sz w:val="18"/>
                <w:szCs w:val="18"/>
              </w:rPr>
              <w:t>加元</w:t>
            </w:r>
          </w:p>
        </w:tc>
        <w:tc>
          <w:tcPr>
            <w:tcW w:w="3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5,166.34</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917.10</w:t>
            </w:r>
          </w:p>
        </w:tc>
      </w:tr>
      <w:tr>
        <w:trPr>
          <w:trHeight w:val="346" w:hRule="exact"/>
        </w:trPr>
        <w:tc>
          <w:tcPr>
            <w:tcW w:w="35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28"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5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3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3,866,542.67</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119,905.84</w:t>
            </w:r>
          </w:p>
        </w:tc>
      </w:tr>
      <w:tr>
        <w:trPr>
          <w:trHeight w:val="346" w:hRule="exact"/>
        </w:trPr>
        <w:tc>
          <w:tcPr>
            <w:tcW w:w="35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545"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3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152,169.35</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3,471.13</w:t>
            </w:r>
          </w:p>
        </w:tc>
      </w:tr>
      <w:tr>
        <w:trPr>
          <w:trHeight w:val="348" w:hRule="exact"/>
        </w:trPr>
        <w:tc>
          <w:tcPr>
            <w:tcW w:w="35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545"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3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729,716.83</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19,878.07</w:t>
            </w:r>
          </w:p>
        </w:tc>
      </w:tr>
      <w:tr>
        <w:trPr>
          <w:trHeight w:val="346" w:hRule="exact"/>
        </w:trPr>
        <w:tc>
          <w:tcPr>
            <w:tcW w:w="35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545" w:right="0"/>
              <w:jc w:val="left"/>
              <w:rPr>
                <w:rFonts w:ascii="宋体" w:hAnsi="宋体" w:cs="宋体" w:eastAsia="宋体" w:hint="default"/>
                <w:sz w:val="18"/>
                <w:szCs w:val="18"/>
              </w:rPr>
            </w:pPr>
            <w:r>
              <w:rPr>
                <w:rFonts w:ascii="宋体" w:hAnsi="宋体" w:cs="宋体" w:eastAsia="宋体" w:hint="default"/>
                <w:sz w:val="18"/>
                <w:szCs w:val="18"/>
              </w:rPr>
              <w:t>加元</w:t>
            </w:r>
          </w:p>
        </w:tc>
        <w:tc>
          <w:tcPr>
            <w:tcW w:w="3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33,884.62</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62.05</w:t>
            </w:r>
          </w:p>
        </w:tc>
      </w:tr>
      <w:tr>
        <w:trPr>
          <w:trHeight w:val="348" w:hRule="exact"/>
        </w:trPr>
        <w:tc>
          <w:tcPr>
            <w:tcW w:w="35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545" w:right="0"/>
              <w:jc w:val="left"/>
              <w:rPr>
                <w:rFonts w:ascii="宋体" w:hAnsi="宋体" w:cs="宋体" w:eastAsia="宋体" w:hint="default"/>
                <w:sz w:val="18"/>
                <w:szCs w:val="18"/>
              </w:rPr>
            </w:pPr>
            <w:r>
              <w:rPr>
                <w:rFonts w:ascii="宋体" w:hAnsi="宋体" w:cs="宋体" w:eastAsia="宋体" w:hint="default"/>
                <w:sz w:val="18"/>
                <w:szCs w:val="18"/>
              </w:rPr>
              <w:t>瑞典克朗</w:t>
            </w:r>
          </w:p>
        </w:tc>
        <w:tc>
          <w:tcPr>
            <w:tcW w:w="3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115,565.54</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132,306.10</w:t>
            </w:r>
          </w:p>
        </w:tc>
      </w:tr>
      <w:tr>
        <w:trPr>
          <w:trHeight w:val="348" w:hRule="exact"/>
        </w:trPr>
        <w:tc>
          <w:tcPr>
            <w:tcW w:w="35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2057"/>
              <w:jc w:val="right"/>
              <w:rPr>
                <w:rFonts w:ascii="宋体" w:hAnsi="宋体" w:cs="宋体" w:eastAsia="宋体" w:hint="default"/>
                <w:sz w:val="18"/>
                <w:szCs w:val="18"/>
              </w:rPr>
            </w:pPr>
            <w:r>
              <w:rPr>
                <w:rFonts w:ascii="宋体" w:hAnsi="宋体" w:cs="宋体" w:eastAsia="宋体" w:hint="default"/>
                <w:sz w:val="18"/>
                <w:szCs w:val="18"/>
              </w:rPr>
              <w:t>澳大利亚元</w:t>
            </w:r>
          </w:p>
        </w:tc>
        <w:tc>
          <w:tcPr>
            <w:tcW w:w="3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146.63</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29.96</w:t>
            </w:r>
          </w:p>
        </w:tc>
      </w:tr>
      <w:tr>
        <w:trPr>
          <w:trHeight w:val="346" w:hRule="exact"/>
        </w:trPr>
        <w:tc>
          <w:tcPr>
            <w:tcW w:w="35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545" w:right="0"/>
              <w:jc w:val="left"/>
              <w:rPr>
                <w:rFonts w:ascii="宋体" w:hAnsi="宋体" w:cs="宋体" w:eastAsia="宋体" w:hint="default"/>
                <w:sz w:val="18"/>
                <w:szCs w:val="18"/>
              </w:rPr>
            </w:pPr>
            <w:r>
              <w:rPr>
                <w:rFonts w:ascii="宋体" w:hAnsi="宋体" w:cs="宋体" w:eastAsia="宋体" w:hint="default"/>
                <w:sz w:val="18"/>
                <w:szCs w:val="18"/>
              </w:rPr>
              <w:t>新西兰元</w:t>
            </w:r>
          </w:p>
        </w:tc>
        <w:tc>
          <w:tcPr>
            <w:tcW w:w="3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48.80</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10.39</w:t>
            </w:r>
          </w:p>
        </w:tc>
      </w:tr>
      <w:tr>
        <w:trPr>
          <w:trHeight w:val="348" w:hRule="exact"/>
        </w:trPr>
        <w:tc>
          <w:tcPr>
            <w:tcW w:w="35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545"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3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4.68</w:t>
            </w:r>
          </w:p>
        </w:tc>
        <w:tc>
          <w:tcPr>
            <w:tcW w:w="2693" w:type="dxa"/>
            <w:tcBorders>
              <w:top w:val="single" w:sz="6" w:space="0" w:color="000000"/>
              <w:left w:val="single" w:sz="6" w:space="0" w:color="000000"/>
              <w:bottom w:val="single" w:sz="6" w:space="0" w:color="000000"/>
              <w:right w:val="single" w:sz="6" w:space="0" w:color="000000"/>
            </w:tcBorders>
          </w:tcPr>
          <w:p>
            <w:pPr/>
          </w:p>
        </w:tc>
      </w:tr>
      <w:tr>
        <w:trPr>
          <w:trHeight w:val="350" w:hRule="exact"/>
        </w:trPr>
        <w:tc>
          <w:tcPr>
            <w:tcW w:w="3519" w:type="dxa"/>
            <w:tcBorders>
              <w:top w:val="single" w:sz="6" w:space="0" w:color="000000"/>
              <w:left w:val="single" w:sz="6" w:space="0" w:color="000000"/>
              <w:bottom w:val="single" w:sz="8" w:space="0" w:color="000000"/>
              <w:right w:val="single" w:sz="6" w:space="0" w:color="000000"/>
            </w:tcBorders>
            <w:shd w:val="clear" w:color="auto" w:fill="D9D9D9"/>
          </w:tcPr>
          <w:p>
            <w:pPr>
              <w:pStyle w:val="TableParagraph"/>
              <w:spacing w:line="240" w:lineRule="auto" w:before="17"/>
              <w:ind w:left="545"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3428"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1.37</w:t>
            </w:r>
          </w:p>
        </w:tc>
        <w:tc>
          <w:tcPr>
            <w:tcW w:w="2693" w:type="dxa"/>
            <w:tcBorders>
              <w:top w:val="single" w:sz="6" w:space="0" w:color="000000"/>
              <w:left w:val="single" w:sz="6" w:space="0" w:color="000000"/>
              <w:bottom w:val="single" w:sz="8" w:space="0" w:color="000000"/>
              <w:right w:val="single" w:sz="6" w:space="0" w:color="000000"/>
            </w:tcBorders>
          </w:tcPr>
          <w:p>
            <w:pPr/>
          </w:p>
        </w:tc>
      </w:tr>
    </w:tbl>
    <w:p>
      <w:pPr>
        <w:spacing w:line="240" w:lineRule="auto" w:before="7"/>
        <w:rPr>
          <w:rFonts w:ascii="宋体" w:hAnsi="宋体" w:cs="宋体" w:eastAsia="宋体" w:hint="default"/>
          <w:sz w:val="15"/>
          <w:szCs w:val="15"/>
        </w:rPr>
      </w:pPr>
    </w:p>
    <w:p>
      <w:pPr>
        <w:pStyle w:val="BodyText"/>
        <w:spacing w:line="240" w:lineRule="auto" w:before="44"/>
        <w:ind w:left="513" w:right="1133"/>
        <w:jc w:val="left"/>
      </w:pPr>
      <w:r>
        <w:rPr/>
        <w:t>本集团密切关注汇率变动对本集团的影响。</w:t>
      </w:r>
    </w:p>
    <w:p>
      <w:pPr>
        <w:pStyle w:val="BodyText"/>
        <w:spacing w:line="540" w:lineRule="atLeast" w:before="25"/>
        <w:ind w:left="513" w:right="1119"/>
        <w:jc w:val="left"/>
      </w:pPr>
      <w:r>
        <w:rPr>
          <w:rFonts w:ascii="Times New Roman" w:hAnsi="Times New Roman" w:cs="Times New Roman" w:eastAsia="Times New Roman" w:hint="default"/>
        </w:rPr>
        <w:t>2</w:t>
      </w:r>
      <w:r>
        <w:rPr/>
        <w:t>、利率风险 </w:t>
      </w:r>
      <w:r>
        <w:rPr>
          <w:spacing w:val="-2"/>
        </w:rPr>
        <w:t>本集团的利率风险产生于银行借款等有息债务。浮动利率的金融负债使本集团面临现金流量利率风险，固定利率的金融</w:t>
      </w:r>
    </w:p>
    <w:p>
      <w:pPr>
        <w:pStyle w:val="BodyText"/>
        <w:spacing w:line="240" w:lineRule="auto" w:before="76"/>
        <w:ind w:right="1133"/>
        <w:jc w:val="left"/>
      </w:pPr>
      <w:r>
        <w:rPr/>
        <w:t>负债使本集团面临公允价值利率风险。本集团根据当时的市场环境来决定固定利率及浮动利率合同的相对比例。</w:t>
      </w:r>
    </w:p>
    <w:p>
      <w:pPr>
        <w:spacing w:line="240" w:lineRule="auto" w:before="2"/>
        <w:rPr>
          <w:rFonts w:ascii="宋体" w:hAnsi="宋体" w:cs="宋体" w:eastAsia="宋体" w:hint="default"/>
          <w:sz w:val="24"/>
          <w:szCs w:val="24"/>
        </w:rPr>
      </w:pPr>
    </w:p>
    <w:p>
      <w:pPr>
        <w:pStyle w:val="BodyText"/>
        <w:spacing w:line="316" w:lineRule="auto"/>
        <w:ind w:right="0" w:firstLine="360"/>
        <w:jc w:val="left"/>
      </w:pPr>
      <w:r>
        <w:rPr>
          <w:spacing w:val="-2"/>
        </w:rPr>
        <w:t>本集团因利率变动引起金融工具公允价值变动的风险主要与固定利率银行借款有关。对于固定利率借款，本集团的目标</w:t>
      </w:r>
      <w:r>
        <w:rPr/>
        <w:t> 是保持其浮动利率。</w:t>
      </w:r>
    </w:p>
    <w:p>
      <w:pPr>
        <w:spacing w:line="240" w:lineRule="auto" w:before="10"/>
        <w:rPr>
          <w:rFonts w:ascii="宋体" w:hAnsi="宋体" w:cs="宋体" w:eastAsia="宋体" w:hint="default"/>
          <w:sz w:val="19"/>
          <w:szCs w:val="19"/>
        </w:rPr>
      </w:pPr>
    </w:p>
    <w:p>
      <w:pPr>
        <w:pStyle w:val="BodyText"/>
        <w:spacing w:line="316" w:lineRule="auto"/>
        <w:ind w:right="0" w:firstLine="360"/>
        <w:jc w:val="left"/>
      </w:pPr>
      <w:r>
        <w:rPr>
          <w:spacing w:val="-2"/>
        </w:rPr>
        <w:t>本集团因利率变动引起金融工具现金流量变动的风险主要与浮动利率银行借款有关。本集团的政策是保持这些借款的浮</w:t>
      </w:r>
      <w:r>
        <w:rPr/>
        <w:t> 动利率，以消除利率变动的公允价值风险。</w:t>
      </w:r>
    </w:p>
    <w:p>
      <w:pPr>
        <w:spacing w:line="240" w:lineRule="auto" w:before="10"/>
        <w:rPr>
          <w:rFonts w:ascii="宋体" w:hAnsi="宋体" w:cs="宋体" w:eastAsia="宋体" w:hint="default"/>
          <w:sz w:val="19"/>
          <w:szCs w:val="19"/>
        </w:rPr>
      </w:pPr>
    </w:p>
    <w:p>
      <w:pPr>
        <w:pStyle w:val="BodyText"/>
        <w:spacing w:line="240" w:lineRule="auto"/>
        <w:ind w:left="513" w:right="1133"/>
        <w:jc w:val="left"/>
      </w:pPr>
      <w:r>
        <w:rPr>
          <w:rFonts w:ascii="Times New Roman" w:hAnsi="Times New Roman" w:cs="Times New Roman" w:eastAsia="Times New Roman" w:hint="default"/>
        </w:rPr>
        <w:t>3</w:t>
      </w:r>
      <w:r>
        <w:rPr/>
        <w:t>、价格风险</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034" w:firstLine="360"/>
        <w:jc w:val="left"/>
      </w:pPr>
      <w:r>
        <w:rPr>
          <w:spacing w:val="-2"/>
        </w:rPr>
        <w:t>本集团（联动优势科技有限公司外）以市场价格销售汽车及配件类产品、家电配件类产品、电机及配件类产品、模具类</w:t>
      </w:r>
      <w:r>
        <w:rPr/>
        <w:t> 产品和其他产品；联动优势科技有限公司以市场价格提供移动运营商计费结算服务、移动信息服务业务、第三方支付业务、 智慧互联营销业务、数字科技业务、金融增值服务及其他服务。因此受到此等价格波动的影响。</w:t>
      </w:r>
    </w:p>
    <w:p>
      <w:pPr>
        <w:pStyle w:val="BodyText"/>
        <w:spacing w:line="552" w:lineRule="exact" w:before="25"/>
        <w:ind w:left="513" w:right="1119"/>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信用风险</w:t>
      </w:r>
      <w:r>
        <w:rPr>
          <w:w w:val="99"/>
        </w:rPr>
        <w:t> </w:t>
      </w:r>
      <w:r>
        <w:rPr>
          <w:spacing w:val="-2"/>
        </w:rPr>
        <w:t>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日，可能引起本集团财务损失的最大信用风险敞口主要来自于各类购销合同及对外发放贷款，如合同另</w:t>
      </w:r>
    </w:p>
    <w:p>
      <w:pPr>
        <w:pStyle w:val="BodyText"/>
        <w:spacing w:line="227" w:lineRule="exact"/>
        <w:ind w:right="1133"/>
        <w:jc w:val="left"/>
      </w:pPr>
      <w:r>
        <w:rPr/>
        <w:t>一方未能履行义务而导致本集团金融资产受到损失，以及本集团承担的财务担保也会产生信用风险，具体包括：</w:t>
      </w:r>
    </w:p>
    <w:p>
      <w:pPr>
        <w:spacing w:line="240" w:lineRule="auto" w:before="2"/>
        <w:rPr>
          <w:rFonts w:ascii="宋体" w:hAnsi="宋体" w:cs="宋体" w:eastAsia="宋体" w:hint="default"/>
          <w:sz w:val="24"/>
          <w:szCs w:val="24"/>
        </w:rPr>
      </w:pPr>
    </w:p>
    <w:p>
      <w:pPr>
        <w:pStyle w:val="BodyText"/>
        <w:spacing w:line="316" w:lineRule="auto"/>
        <w:ind w:right="0" w:firstLine="360"/>
        <w:jc w:val="left"/>
      </w:pPr>
      <w:r>
        <w:rPr>
          <w:spacing w:val="-4"/>
        </w:rPr>
        <w:t>合并资产负债表中已确认了金融资产的账面金额；但对于以公允价值计量的金融工具而言，账面价值反映了其风险敞口，</w:t>
      </w:r>
      <w:r>
        <w:rPr/>
        <w:t> 但并非最大风险敞口，其最大风险敞口将随着未来公允价值的变化而改变。</w:t>
      </w:r>
    </w:p>
    <w:p>
      <w:pPr>
        <w:spacing w:line="240" w:lineRule="auto" w:before="10"/>
        <w:rPr>
          <w:rFonts w:ascii="宋体" w:hAnsi="宋体" w:cs="宋体" w:eastAsia="宋体" w:hint="default"/>
          <w:sz w:val="19"/>
          <w:szCs w:val="19"/>
        </w:rPr>
      </w:pPr>
    </w:p>
    <w:p>
      <w:pPr>
        <w:pStyle w:val="BodyText"/>
        <w:spacing w:line="319" w:lineRule="auto"/>
        <w:ind w:right="1034" w:firstLine="360"/>
        <w:jc w:val="left"/>
      </w:pPr>
      <w:r>
        <w:rPr/>
        <w:t>为降低信用风险，本集团设有独立的风险监控部门，该部门负责建立公司风险控制体系、制定客户信用等级评价原则、 </w:t>
      </w:r>
      <w:r>
        <w:rPr>
          <w:spacing w:val="-2"/>
        </w:rPr>
        <w:t>对客户信用进行评审、确定客户信用额度等工作，并执行其它监控程序以确保采取必要的措施回收过期债权。此外，本集团</w:t>
      </w:r>
      <w:r>
        <w:rPr>
          <w:spacing w:val="-64"/>
        </w:rPr>
        <w:t> </w:t>
      </w:r>
      <w:r>
        <w:rPr>
          <w:spacing w:val="-64"/>
        </w:rPr>
      </w:r>
      <w:r>
        <w:rPr>
          <w:spacing w:val="-2"/>
        </w:rPr>
        <w:t>于每个资产负债表日对每一单项应收款余额进行评估，以确保就无法回收的款项及时确认并充分计提坏账准备。因此，本集</w:t>
      </w:r>
      <w:r>
        <w:rPr>
          <w:spacing w:val="-65"/>
        </w:rPr>
        <w:t> </w:t>
      </w:r>
      <w:r>
        <w:rPr>
          <w:spacing w:val="-65"/>
        </w:rPr>
      </w:r>
      <w:r>
        <w:rPr/>
        <w:t>团管理层认为本集团所承担的信用风险已经降至较低水平。</w:t>
      </w:r>
    </w:p>
    <w:p>
      <w:pPr>
        <w:pStyle w:val="BodyText"/>
        <w:spacing w:line="552" w:lineRule="exact" w:before="25"/>
        <w:ind w:left="513" w:right="0"/>
        <w:jc w:val="left"/>
      </w:pPr>
      <w:r>
        <w:rPr/>
        <w:t>本集团的流动资金存放在信用评级较高的银行，故流动资金的信用风险较低。 </w:t>
      </w:r>
      <w:r>
        <w:rPr>
          <w:spacing w:val="-2"/>
        </w:rPr>
        <w:t>本集团采用了必要的政策确保所有销售客户均具有良好的信用记录，本集团从系统建设、风控业务架构和政策合规方面</w:t>
      </w:r>
    </w:p>
    <w:p>
      <w:pPr>
        <w:pStyle w:val="BodyText"/>
        <w:spacing w:line="561" w:lineRule="auto"/>
        <w:ind w:left="513" w:right="2834" w:hanging="361"/>
        <w:jc w:val="left"/>
      </w:pPr>
      <w:r>
        <w:rPr/>
        <w:t>控制发放贷款业务流程中的信用风险。除应收账款金额前五名外，本集团无其他重大信用集中风险。 应收账款前五名金额合计：</w:t>
      </w:r>
      <w:r>
        <w:rPr>
          <w:rFonts w:ascii="Times New Roman" w:hAnsi="Times New Roman" w:cs="Times New Roman" w:eastAsia="Times New Roman" w:hint="default"/>
        </w:rPr>
        <w:t>325,722,605.28</w:t>
      </w:r>
      <w:r>
        <w:rPr/>
        <w:t>元。</w:t>
      </w:r>
    </w:p>
    <w:p>
      <w:pPr>
        <w:pStyle w:val="BodyText"/>
        <w:spacing w:line="240" w:lineRule="auto" w:before="35"/>
        <w:ind w:left="513" w:right="1133"/>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t>流动风险</w:t>
      </w:r>
    </w:p>
    <w:p>
      <w:pPr>
        <w:spacing w:line="240" w:lineRule="auto" w:before="2"/>
        <w:rPr>
          <w:rFonts w:ascii="宋体" w:hAnsi="宋体" w:cs="宋体" w:eastAsia="宋体" w:hint="default"/>
          <w:sz w:val="23"/>
          <w:szCs w:val="23"/>
        </w:rPr>
      </w:pPr>
    </w:p>
    <w:p>
      <w:pPr>
        <w:pStyle w:val="BodyText"/>
        <w:spacing w:line="316" w:lineRule="auto"/>
        <w:ind w:right="1128" w:firstLine="360"/>
        <w:jc w:val="both"/>
      </w:pPr>
      <w:r>
        <w:rPr>
          <w:spacing w:val="-2"/>
        </w:rPr>
        <w:t>流动风险为本集团在到期日无法履行其财务义务的风险。本集团管理流动性风险的方法是确保有足够的资金流动性来履</w:t>
      </w:r>
      <w:r>
        <w:rPr/>
        <w:t> </w:t>
      </w:r>
      <w:r>
        <w:rPr>
          <w:spacing w:val="-2"/>
        </w:rPr>
        <w:t>行到期债务，而不至于造成不可接受的损失或对企业信誉造成损害。本集团定期分析负债结构和期限，以确保有充裕的资金</w:t>
      </w:r>
      <w:r>
        <w:rPr>
          <w:spacing w:val="-61"/>
        </w:rPr>
        <w:t> </w:t>
      </w:r>
      <w:r>
        <w:rPr>
          <w:spacing w:val="-61"/>
        </w:rPr>
      </w:r>
      <w:r>
        <w:rPr>
          <w:spacing w:val="-2"/>
        </w:rPr>
        <w:t>来偿还到期债务。本集团管理层对银行借款的使用情况进行监控并确保遵守借款协议。同时与金融机构保持友好合作，以获</w:t>
      </w:r>
      <w:r>
        <w:rPr>
          <w:spacing w:val="-63"/>
        </w:rPr>
        <w:t> </w:t>
      </w:r>
      <w:r>
        <w:rPr>
          <w:spacing w:val="-63"/>
        </w:rPr>
      </w:r>
      <w:r>
        <w:rPr/>
        <w:t>取足够的信用额度，减低流动性风险。</w:t>
      </w:r>
    </w:p>
    <w:p>
      <w:pPr>
        <w:spacing w:line="240" w:lineRule="auto" w:before="10"/>
        <w:rPr>
          <w:rFonts w:ascii="宋体" w:hAnsi="宋体" w:cs="宋体" w:eastAsia="宋体" w:hint="default"/>
          <w:sz w:val="19"/>
          <w:szCs w:val="19"/>
        </w:rPr>
      </w:pPr>
    </w:p>
    <w:p>
      <w:pPr>
        <w:pStyle w:val="BodyText"/>
        <w:spacing w:line="240" w:lineRule="auto"/>
        <w:ind w:left="513" w:right="1133"/>
        <w:jc w:val="left"/>
      </w:pPr>
      <w:r>
        <w:rPr/>
        <w:t>本集团持有的金融资产和金融负债按未折现剩余合同义务的到期期限分析如下：</w:t>
      </w:r>
    </w:p>
    <w:p>
      <w:pPr>
        <w:spacing w:line="240" w:lineRule="auto" w:before="2"/>
        <w:rPr>
          <w:rFonts w:ascii="宋体" w:hAnsi="宋体" w:cs="宋体" w:eastAsia="宋体" w:hint="default"/>
          <w:sz w:val="24"/>
          <w:szCs w:val="24"/>
        </w:rPr>
      </w:pPr>
    </w:p>
    <w:p>
      <w:pPr>
        <w:pStyle w:val="BodyText"/>
        <w:spacing w:line="240" w:lineRule="auto"/>
        <w:ind w:left="513" w:right="1133"/>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日金额：</w:t>
      </w:r>
    </w:p>
    <w:p>
      <w:pPr>
        <w:spacing w:line="240" w:lineRule="auto" w:before="12"/>
        <w:rPr>
          <w:rFonts w:ascii="宋体" w:hAnsi="宋体" w:cs="宋体" w:eastAsia="宋体" w:hint="default"/>
          <w:sz w:val="22"/>
          <w:szCs w:val="22"/>
        </w:rPr>
      </w:pPr>
    </w:p>
    <w:tbl>
      <w:tblPr>
        <w:tblW w:w="0" w:type="auto"/>
        <w:jc w:val="left"/>
        <w:tblInd w:w="145" w:type="dxa"/>
        <w:tblLayout w:type="fixed"/>
        <w:tblCellMar>
          <w:top w:w="0" w:type="dxa"/>
          <w:left w:w="0" w:type="dxa"/>
          <w:bottom w:w="0" w:type="dxa"/>
          <w:right w:w="0" w:type="dxa"/>
        </w:tblCellMar>
        <w:tblLook w:val="01E0"/>
      </w:tblPr>
      <w:tblGrid>
        <w:gridCol w:w="2098"/>
        <w:gridCol w:w="2122"/>
        <w:gridCol w:w="1877"/>
        <w:gridCol w:w="1844"/>
        <w:gridCol w:w="1699"/>
      </w:tblGrid>
      <w:tr>
        <w:trPr>
          <w:trHeight w:val="342" w:hRule="exact"/>
        </w:trPr>
        <w:tc>
          <w:tcPr>
            <w:tcW w:w="209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left="5"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12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left="24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年（包含</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年）以内</w:t>
            </w:r>
            <w:r>
              <w:rPr>
                <w:rFonts w:ascii="宋体" w:hAnsi="宋体" w:cs="宋体" w:eastAsia="宋体" w:hint="default"/>
                <w:sz w:val="18"/>
                <w:szCs w:val="18"/>
              </w:rPr>
            </w:r>
          </w:p>
        </w:tc>
        <w:tc>
          <w:tcPr>
            <w:tcW w:w="18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left="225"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年（包含</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年）</w:t>
            </w:r>
            <w:r>
              <w:rPr>
                <w:rFonts w:ascii="宋体" w:hAnsi="宋体" w:cs="宋体" w:eastAsia="宋体" w:hint="default"/>
                <w:sz w:val="18"/>
                <w:szCs w:val="18"/>
              </w:rPr>
            </w:r>
          </w:p>
        </w:tc>
        <w:tc>
          <w:tcPr>
            <w:tcW w:w="18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left="208"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2-3</w:t>
            </w:r>
            <w:r>
              <w:rPr>
                <w:rFonts w:ascii="宋体" w:hAnsi="宋体" w:cs="宋体" w:eastAsia="宋体" w:hint="default"/>
                <w:b/>
                <w:bCs/>
                <w:sz w:val="18"/>
                <w:szCs w:val="18"/>
              </w:rPr>
              <w:t>年（包含</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年）</w:t>
            </w:r>
            <w:r>
              <w:rPr>
                <w:rFonts w:ascii="宋体" w:hAnsi="宋体" w:cs="宋体" w:eastAsia="宋体" w:hint="default"/>
                <w:sz w:val="18"/>
                <w:szCs w:val="18"/>
              </w:rPr>
            </w:r>
          </w:p>
        </w:tc>
        <w:tc>
          <w:tcPr>
            <w:tcW w:w="169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347" w:hRule="exact"/>
        </w:trPr>
        <w:tc>
          <w:tcPr>
            <w:tcW w:w="209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9"/>
              <w:ind w:left="4" w:right="0"/>
              <w:jc w:val="left"/>
              <w:rPr>
                <w:rFonts w:ascii="宋体" w:hAnsi="宋体" w:cs="宋体" w:eastAsia="宋体" w:hint="default"/>
                <w:sz w:val="18"/>
                <w:szCs w:val="18"/>
              </w:rPr>
            </w:pPr>
            <w:r>
              <w:rPr>
                <w:rFonts w:ascii="宋体" w:hAnsi="宋体" w:cs="宋体" w:eastAsia="宋体" w:hint="default"/>
                <w:b/>
                <w:bCs/>
                <w:sz w:val="18"/>
                <w:szCs w:val="18"/>
              </w:rPr>
              <w:t>金融资产</w:t>
            </w:r>
            <w:r>
              <w:rPr>
                <w:rFonts w:ascii="宋体" w:hAnsi="宋体" w:cs="宋体" w:eastAsia="宋体" w:hint="default"/>
                <w:sz w:val="18"/>
                <w:szCs w:val="18"/>
              </w:rPr>
            </w:r>
          </w:p>
        </w:tc>
        <w:tc>
          <w:tcPr>
            <w:tcW w:w="2122" w:type="dxa"/>
            <w:tcBorders>
              <w:top w:val="single" w:sz="11" w:space="0" w:color="000000"/>
              <w:left w:val="single" w:sz="6" w:space="0" w:color="000000"/>
              <w:bottom w:val="single" w:sz="6" w:space="0" w:color="000000"/>
              <w:right w:val="single" w:sz="6" w:space="0" w:color="000000"/>
            </w:tcBorders>
          </w:tcPr>
          <w:p>
            <w:pPr/>
          </w:p>
        </w:tc>
        <w:tc>
          <w:tcPr>
            <w:tcW w:w="1877" w:type="dxa"/>
            <w:tcBorders>
              <w:top w:val="single" w:sz="11" w:space="0" w:color="000000"/>
              <w:left w:val="single" w:sz="6" w:space="0" w:color="000000"/>
              <w:bottom w:val="single" w:sz="6" w:space="0" w:color="000000"/>
              <w:right w:val="single" w:sz="6" w:space="0" w:color="000000"/>
            </w:tcBorders>
          </w:tcPr>
          <w:p>
            <w:pPr/>
          </w:p>
        </w:tc>
        <w:tc>
          <w:tcPr>
            <w:tcW w:w="1844" w:type="dxa"/>
            <w:tcBorders>
              <w:top w:val="single" w:sz="11" w:space="0" w:color="000000"/>
              <w:left w:val="single" w:sz="6" w:space="0" w:color="000000"/>
              <w:bottom w:val="single" w:sz="6" w:space="0" w:color="000000"/>
              <w:right w:val="single" w:sz="6" w:space="0" w:color="000000"/>
            </w:tcBorders>
          </w:tcPr>
          <w:p>
            <w:pPr/>
          </w:p>
        </w:tc>
        <w:tc>
          <w:tcPr>
            <w:tcW w:w="1699" w:type="dxa"/>
            <w:tcBorders>
              <w:top w:val="single" w:sz="11" w:space="0" w:color="000000"/>
              <w:left w:val="single" w:sz="6" w:space="0" w:color="000000"/>
              <w:bottom w:val="single" w:sz="6" w:space="0" w:color="000000"/>
              <w:right w:val="single" w:sz="6" w:space="0" w:color="000000"/>
            </w:tcBorders>
          </w:tcPr>
          <w:p>
            <w:pPr/>
          </w:p>
        </w:tc>
      </w:tr>
      <w:tr>
        <w:trPr>
          <w:trHeight w:val="349" w:hRule="exact"/>
        </w:trPr>
        <w:tc>
          <w:tcPr>
            <w:tcW w:w="209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1,245,031,925.52</w:t>
            </w:r>
          </w:p>
        </w:tc>
        <w:tc>
          <w:tcPr>
            <w:tcW w:w="1877"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1,245,031,925.52</w:t>
            </w:r>
          </w:p>
        </w:tc>
      </w:tr>
      <w:tr>
        <w:trPr>
          <w:trHeight w:val="346" w:hRule="exact"/>
        </w:trPr>
        <w:tc>
          <w:tcPr>
            <w:tcW w:w="209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446,648,304.40</w:t>
            </w:r>
          </w:p>
        </w:tc>
        <w:tc>
          <w:tcPr>
            <w:tcW w:w="1877"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446,648,304.40</w:t>
            </w:r>
          </w:p>
        </w:tc>
      </w:tr>
      <w:tr>
        <w:trPr>
          <w:trHeight w:val="348" w:hRule="exact"/>
        </w:trPr>
        <w:tc>
          <w:tcPr>
            <w:tcW w:w="209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195,338,309.60</w:t>
            </w:r>
          </w:p>
        </w:tc>
        <w:tc>
          <w:tcPr>
            <w:tcW w:w="1877"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195,338,309.60</w:t>
            </w:r>
          </w:p>
        </w:tc>
      </w:tr>
      <w:tr>
        <w:trPr>
          <w:trHeight w:val="346" w:hRule="exact"/>
        </w:trPr>
        <w:tc>
          <w:tcPr>
            <w:tcW w:w="209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1,038,449,611.23</w:t>
            </w:r>
          </w:p>
        </w:tc>
        <w:tc>
          <w:tcPr>
            <w:tcW w:w="1877"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1,038,449,611.23</w:t>
            </w:r>
          </w:p>
        </w:tc>
      </w:tr>
      <w:tr>
        <w:trPr>
          <w:trHeight w:val="348" w:hRule="exact"/>
        </w:trPr>
        <w:tc>
          <w:tcPr>
            <w:tcW w:w="209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178,721,069.94</w:t>
            </w:r>
          </w:p>
        </w:tc>
        <w:tc>
          <w:tcPr>
            <w:tcW w:w="1877"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178,721,069.94</w:t>
            </w:r>
          </w:p>
        </w:tc>
      </w:tr>
      <w:tr>
        <w:trPr>
          <w:trHeight w:val="348" w:hRule="exact"/>
        </w:trPr>
        <w:tc>
          <w:tcPr>
            <w:tcW w:w="209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257,354,667.42</w:t>
            </w:r>
          </w:p>
        </w:tc>
        <w:tc>
          <w:tcPr>
            <w:tcW w:w="1877"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257,354,667.42</w:t>
            </w:r>
          </w:p>
        </w:tc>
      </w:tr>
      <w:tr>
        <w:trPr>
          <w:trHeight w:val="346" w:hRule="exact"/>
        </w:trPr>
        <w:tc>
          <w:tcPr>
            <w:tcW w:w="209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b/>
                <w:bCs/>
                <w:sz w:val="18"/>
                <w:szCs w:val="18"/>
              </w:rPr>
              <w:t>金融负债</w:t>
            </w:r>
            <w:r>
              <w:rPr>
                <w:rFonts w:ascii="宋体" w:hAnsi="宋体" w:cs="宋体" w:eastAsia="宋体" w:hint="default"/>
                <w:sz w:val="18"/>
                <w:szCs w:val="18"/>
              </w:rPr>
            </w:r>
          </w:p>
        </w:tc>
        <w:tc>
          <w:tcPr>
            <w:tcW w:w="2122" w:type="dxa"/>
            <w:tcBorders>
              <w:top w:val="single" w:sz="6" w:space="0" w:color="000000"/>
              <w:left w:val="single" w:sz="6" w:space="0" w:color="000000"/>
              <w:bottom w:val="single" w:sz="6" w:space="0" w:color="000000"/>
              <w:right w:val="single" w:sz="6" w:space="0" w:color="000000"/>
            </w:tcBorders>
          </w:tcPr>
          <w:p>
            <w:pPr/>
          </w:p>
        </w:tc>
        <w:tc>
          <w:tcPr>
            <w:tcW w:w="1877"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09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365,749,220.89</w:t>
            </w:r>
          </w:p>
        </w:tc>
        <w:tc>
          <w:tcPr>
            <w:tcW w:w="1877"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365,749,220.89</w:t>
            </w:r>
          </w:p>
        </w:tc>
      </w:tr>
      <w:tr>
        <w:trPr>
          <w:trHeight w:val="348" w:hRule="exact"/>
        </w:trPr>
        <w:tc>
          <w:tcPr>
            <w:tcW w:w="209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662,121,401.64</w:t>
            </w:r>
          </w:p>
        </w:tc>
        <w:tc>
          <w:tcPr>
            <w:tcW w:w="1877"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662,121,401.64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2096"/>
        <w:gridCol w:w="2125"/>
        <w:gridCol w:w="1877"/>
        <w:gridCol w:w="1844"/>
        <w:gridCol w:w="1699"/>
      </w:tblGrid>
      <w:tr>
        <w:trPr>
          <w:trHeight w:val="348" w:hRule="exact"/>
        </w:trPr>
        <w:tc>
          <w:tcPr>
            <w:tcW w:w="209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615,881,114.44</w:t>
            </w:r>
          </w:p>
        </w:tc>
        <w:tc>
          <w:tcPr>
            <w:tcW w:w="1877"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615,881,114.44</w:t>
            </w:r>
          </w:p>
        </w:tc>
      </w:tr>
      <w:tr>
        <w:trPr>
          <w:trHeight w:val="346" w:hRule="exact"/>
        </w:trPr>
        <w:tc>
          <w:tcPr>
            <w:tcW w:w="209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49,203,651.72</w:t>
            </w:r>
          </w:p>
        </w:tc>
        <w:tc>
          <w:tcPr>
            <w:tcW w:w="1877"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49,203,651.72</w:t>
            </w:r>
          </w:p>
        </w:tc>
      </w:tr>
      <w:tr>
        <w:trPr>
          <w:trHeight w:val="348" w:hRule="exact"/>
        </w:trPr>
        <w:tc>
          <w:tcPr>
            <w:tcW w:w="209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276,769,219.90</w:t>
            </w:r>
          </w:p>
        </w:tc>
        <w:tc>
          <w:tcPr>
            <w:tcW w:w="1877"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276,769,219.90</w:t>
            </w:r>
          </w:p>
        </w:tc>
      </w:tr>
      <w:tr>
        <w:trPr>
          <w:trHeight w:val="346" w:hRule="exact"/>
        </w:trPr>
        <w:tc>
          <w:tcPr>
            <w:tcW w:w="209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22,000,000.00</w:t>
            </w:r>
          </w:p>
        </w:tc>
        <w:tc>
          <w:tcPr>
            <w:tcW w:w="1877"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22,000,000.00</w:t>
            </w:r>
          </w:p>
        </w:tc>
      </w:tr>
      <w:tr>
        <w:trPr>
          <w:trHeight w:val="348" w:hRule="exact"/>
        </w:trPr>
        <w:tc>
          <w:tcPr>
            <w:tcW w:w="209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453,712,773.26</w:t>
            </w:r>
          </w:p>
        </w:tc>
        <w:tc>
          <w:tcPr>
            <w:tcW w:w="1877"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453,712,773.26</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bookmarkStart w:name="十一、公允价值的披露" w:id="446"/>
      <w:bookmarkEnd w:id="446"/>
      <w:r>
        <w:rPr>
          <w:b w:val="0"/>
          <w:bCs w:val="0"/>
        </w:rPr>
      </w:r>
      <w:r>
        <w:rPr/>
        <w:t>十一、公允价值的披露</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1"/>
        <w:rPr>
          <w:rFonts w:ascii="宋体" w:hAnsi="宋体" w:cs="宋体" w:eastAsia="宋体" w:hint="default"/>
          <w:sz w:val="25"/>
          <w:szCs w:val="25"/>
        </w:rPr>
      </w:pPr>
    </w:p>
    <w:p>
      <w:pPr>
        <w:pStyle w:val="Heading2"/>
        <w:spacing w:line="240" w:lineRule="auto"/>
        <w:ind w:right="1133"/>
        <w:jc w:val="left"/>
        <w:rPr>
          <w:b w:val="0"/>
          <w:bCs w:val="0"/>
        </w:rPr>
      </w:pPr>
      <w:bookmarkStart w:name="十二、关联方及关联交易" w:id="447"/>
      <w:bookmarkEnd w:id="447"/>
      <w:r>
        <w:rPr>
          <w:b w:val="0"/>
          <w:bCs w:val="0"/>
        </w:rPr>
      </w:r>
      <w:r>
        <w:rPr/>
        <w:t>十二、关联方及关联交易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本企业的母公司情况" w:id="448"/>
      <w:bookmarkEnd w:id="448"/>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4"/>
        <w:gridCol w:w="1594"/>
        <w:gridCol w:w="1596"/>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2" w:right="70"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3"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青岛海立控股有限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以自有资金对外投 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8" w:right="0"/>
              <w:jc w:val="left"/>
              <w:rPr>
                <w:rFonts w:ascii="Times New Roman" w:hAnsi="Times New Roman" w:cs="Times New Roman" w:eastAsia="Times New Roman" w:hint="default"/>
                <w:sz w:val="18"/>
                <w:szCs w:val="18"/>
              </w:rPr>
            </w:pPr>
            <w:r>
              <w:rPr>
                <w:rFonts w:ascii="Times New Roman"/>
                <w:sz w:val="18"/>
              </w:rPr>
              <w:t>19.44%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19.44%</w:t>
            </w:r>
          </w:p>
        </w:tc>
      </w:tr>
    </w:tbl>
    <w:p>
      <w:pPr>
        <w:pStyle w:val="BodyText"/>
        <w:spacing w:line="561" w:lineRule="auto" w:before="49"/>
        <w:ind w:right="8414"/>
        <w:jc w:val="left"/>
      </w:pPr>
      <w:r>
        <w:rPr/>
        <w:pict>
          <v:shape style="position:absolute;margin-left:56.279999pt;margin-top:45.241722pt;width:483.1pt;height:35.450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96"/>
                    <w:gridCol w:w="2124"/>
                    <w:gridCol w:w="1560"/>
                    <w:gridCol w:w="1561"/>
                    <w:gridCol w:w="1699"/>
                  </w:tblGrid>
                  <w:tr>
                    <w:trPr>
                      <w:trHeight w:val="329" w:hRule="exact"/>
                    </w:trPr>
                    <w:tc>
                      <w:tcPr>
                        <w:tcW w:w="269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控股股东</w:t>
                        </w:r>
                        <w:r>
                          <w:rPr>
                            <w:rFonts w:ascii="宋体" w:hAnsi="宋体" w:cs="宋体" w:eastAsia="宋体" w:hint="default"/>
                            <w:sz w:val="18"/>
                            <w:szCs w:val="18"/>
                          </w:rPr>
                        </w:r>
                      </w:p>
                    </w:tc>
                    <w:tc>
                      <w:tcPr>
                        <w:tcW w:w="212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13"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12"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69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365" w:hRule="exact"/>
                    </w:trPr>
                    <w:tc>
                      <w:tcPr>
                        <w:tcW w:w="269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32"/>
                          <w:ind w:left="4" w:right="0"/>
                          <w:jc w:val="left"/>
                          <w:rPr>
                            <w:rFonts w:ascii="宋体" w:hAnsi="宋体" w:cs="宋体" w:eastAsia="宋体" w:hint="default"/>
                            <w:sz w:val="18"/>
                            <w:szCs w:val="18"/>
                          </w:rPr>
                        </w:pPr>
                        <w:r>
                          <w:rPr>
                            <w:rFonts w:ascii="宋体" w:hAnsi="宋体" w:cs="宋体" w:eastAsia="宋体" w:hint="default"/>
                            <w:sz w:val="18"/>
                            <w:szCs w:val="18"/>
                          </w:rPr>
                          <w:t>青岛海立控股有限公司</w:t>
                        </w:r>
                      </w:p>
                    </w:tc>
                    <w:tc>
                      <w:tcPr>
                        <w:tcW w:w="212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3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8,000</w:t>
                        </w:r>
                        <w:r>
                          <w:rPr>
                            <w:rFonts w:ascii="宋体" w:hAnsi="宋体" w:cs="宋体" w:eastAsia="宋体" w:hint="default"/>
                            <w:sz w:val="18"/>
                            <w:szCs w:val="18"/>
                          </w:rPr>
                          <w:t>万元</w:t>
                        </w:r>
                      </w:p>
                    </w:tc>
                    <w:tc>
                      <w:tcPr>
                        <w:tcW w:w="1560" w:type="dxa"/>
                        <w:tcBorders>
                          <w:top w:val="single" w:sz="10" w:space="0" w:color="000000"/>
                          <w:left w:val="single" w:sz="6" w:space="0" w:color="000000"/>
                          <w:bottom w:val="single" w:sz="6" w:space="0" w:color="000000"/>
                          <w:right w:val="single" w:sz="6" w:space="0" w:color="000000"/>
                        </w:tcBorders>
                      </w:tcPr>
                      <w:p>
                        <w:pPr/>
                      </w:p>
                    </w:tc>
                    <w:tc>
                      <w:tcPr>
                        <w:tcW w:w="1561" w:type="dxa"/>
                        <w:tcBorders>
                          <w:top w:val="single" w:sz="10" w:space="0" w:color="000000"/>
                          <w:left w:val="single" w:sz="6" w:space="0" w:color="000000"/>
                          <w:bottom w:val="single" w:sz="6" w:space="0" w:color="000000"/>
                          <w:right w:val="single" w:sz="6" w:space="0" w:color="000000"/>
                        </w:tcBorders>
                      </w:tcPr>
                      <w:p>
                        <w:pPr/>
                      </w:p>
                    </w:tc>
                    <w:tc>
                      <w:tcPr>
                        <w:tcW w:w="1699"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8,000</w:t>
                        </w:r>
                        <w:r>
                          <w:rPr>
                            <w:rFonts w:ascii="宋体" w:hAnsi="宋体" w:cs="宋体" w:eastAsia="宋体" w:hint="default"/>
                            <w:sz w:val="18"/>
                            <w:szCs w:val="18"/>
                          </w:rPr>
                          <w:t>万元</w:t>
                        </w:r>
                      </w:p>
                    </w:tc>
                  </w:tr>
                </w:tbl>
                <w:p>
                  <w:pPr/>
                </w:p>
              </w:txbxContent>
            </v:textbox>
            <w10:wrap type="none"/>
          </v:shape>
        </w:pict>
      </w:r>
      <w:r>
        <w:rPr/>
        <w:t>本企业的母公司情况的说明 控股股东的注册资本及其变化</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240" w:lineRule="auto" w:before="44"/>
        <w:ind w:right="1133"/>
        <w:jc w:val="left"/>
      </w:pPr>
      <w:r>
        <w:rPr/>
        <w:t>控股股东的所持股份或权益及其变化</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2696"/>
        <w:gridCol w:w="2124"/>
        <w:gridCol w:w="1560"/>
        <w:gridCol w:w="1702"/>
        <w:gridCol w:w="1558"/>
      </w:tblGrid>
      <w:tr>
        <w:trPr>
          <w:trHeight w:val="348" w:hRule="exact"/>
        </w:trPr>
        <w:tc>
          <w:tcPr>
            <w:tcW w:w="2696"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控股股东</w:t>
            </w:r>
            <w:r>
              <w:rPr>
                <w:rFonts w:ascii="宋体" w:hAnsi="宋体" w:cs="宋体" w:eastAsia="宋体" w:hint="default"/>
                <w:sz w:val="18"/>
                <w:szCs w:val="18"/>
              </w:rPr>
            </w:r>
          </w:p>
        </w:tc>
        <w:tc>
          <w:tcPr>
            <w:tcW w:w="3684"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持股金额</w:t>
            </w:r>
            <w:r>
              <w:rPr>
                <w:rFonts w:ascii="宋体" w:hAnsi="宋体" w:cs="宋体" w:eastAsia="宋体" w:hint="default"/>
                <w:sz w:val="18"/>
                <w:szCs w:val="18"/>
              </w:rPr>
            </w:r>
          </w:p>
        </w:tc>
        <w:tc>
          <w:tcPr>
            <w:tcW w:w="3260"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991"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46" w:hRule="exact"/>
        </w:trPr>
        <w:tc>
          <w:tcPr>
            <w:tcW w:w="2696" w:type="dxa"/>
            <w:vMerge/>
            <w:tcBorders>
              <w:left w:val="single" w:sz="6" w:space="0" w:color="000000"/>
              <w:bottom w:val="single" w:sz="6" w:space="0" w:color="000000"/>
              <w:right w:val="single" w:sz="6" w:space="0" w:color="000000"/>
            </w:tcBorders>
            <w:shd w:val="clear" w:color="auto" w:fill="D9D9D9"/>
          </w:tcPr>
          <w:p>
            <w:pPr/>
          </w:p>
        </w:tc>
        <w:tc>
          <w:tcPr>
            <w:tcW w:w="212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年末比例</w:t>
            </w:r>
            <w:r>
              <w:rPr>
                <w:rFonts w:ascii="宋体" w:hAnsi="宋体" w:cs="宋体" w:eastAsia="宋体" w:hint="default"/>
                <w:sz w:val="18"/>
                <w:szCs w:val="18"/>
              </w:rPr>
            </w:r>
          </w:p>
        </w:tc>
        <w:tc>
          <w:tcPr>
            <w:tcW w:w="15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年初比例</w:t>
            </w:r>
            <w:r>
              <w:rPr>
                <w:rFonts w:ascii="宋体" w:hAnsi="宋体" w:cs="宋体" w:eastAsia="宋体" w:hint="default"/>
                <w:sz w:val="18"/>
                <w:szCs w:val="18"/>
              </w:rPr>
            </w:r>
          </w:p>
        </w:tc>
      </w:tr>
      <w:tr>
        <w:trPr>
          <w:trHeight w:val="348" w:hRule="exact"/>
        </w:trPr>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青岛海立控股有限公司</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24,177.56</w:t>
            </w:r>
            <w:r>
              <w:rPr>
                <w:rFonts w:ascii="宋体" w:hAnsi="宋体" w:cs="宋体" w:eastAsia="宋体" w:hint="default"/>
                <w:sz w:val="18"/>
                <w:szCs w:val="18"/>
              </w:rPr>
              <w:t>万元</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24,177.56</w:t>
            </w:r>
            <w:r>
              <w:rPr>
                <w:rFonts w:ascii="宋体" w:hAnsi="宋体" w:cs="宋体" w:eastAsia="宋体" w:hint="default"/>
                <w:sz w:val="18"/>
                <w:szCs w:val="18"/>
              </w:rPr>
              <w:t>万元</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19.44</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19.38</w:t>
            </w:r>
          </w:p>
        </w:tc>
      </w:tr>
    </w:tbl>
    <w:p>
      <w:pPr>
        <w:pStyle w:val="BodyText"/>
        <w:spacing w:line="240" w:lineRule="auto" w:before="49"/>
        <w:ind w:right="1133"/>
        <w:jc w:val="left"/>
      </w:pPr>
      <w:r>
        <w:rPr/>
        <w:t>本企业最终控制方是孙刚、刘国平夫妇。</w:t>
      </w:r>
    </w:p>
    <w:p>
      <w:pPr>
        <w:spacing w:line="240" w:lineRule="auto" w:before="0"/>
        <w:rPr>
          <w:rFonts w:ascii="宋体" w:hAnsi="宋体" w:cs="宋体" w:eastAsia="宋体" w:hint="default"/>
          <w:sz w:val="18"/>
          <w:szCs w:val="18"/>
        </w:rPr>
      </w:pPr>
    </w:p>
    <w:p>
      <w:pPr>
        <w:spacing w:line="547" w:lineRule="auto" w:before="118"/>
        <w:ind w:left="152" w:right="6474" w:firstLine="0"/>
        <w:jc w:val="left"/>
        <w:rPr>
          <w:rFonts w:ascii="宋体" w:hAnsi="宋体" w:cs="宋体" w:eastAsia="宋体" w:hint="default"/>
          <w:sz w:val="21"/>
          <w:szCs w:val="21"/>
        </w:rPr>
      </w:pPr>
      <w:bookmarkStart w:name="2、本企业的子公司情况" w:id="449"/>
      <w:bookmarkEnd w:id="449"/>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100"/>
          <w:sz w:val="21"/>
          <w:szCs w:val="21"/>
        </w:rPr>
        <w:t> </w:t>
      </w:r>
      <w:r>
        <w:rPr>
          <w:rFonts w:ascii="宋体" w:hAnsi="宋体" w:cs="宋体" w:eastAsia="宋体" w:hint="default"/>
          <w:spacing w:val="-4"/>
          <w:sz w:val="18"/>
          <w:szCs w:val="18"/>
        </w:rPr>
        <w:t>本企业子公司的情况详见附注九、</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）相关内容。。</w:t>
      </w:r>
      <w:r>
        <w:rPr>
          <w:rFonts w:ascii="宋体" w:hAnsi="宋体" w:cs="宋体" w:eastAsia="宋体" w:hint="default"/>
          <w:spacing w:val="-75"/>
          <w:sz w:val="18"/>
          <w:szCs w:val="18"/>
        </w:rPr>
        <w:t> </w:t>
      </w:r>
      <w:r>
        <w:rPr>
          <w:rFonts w:ascii="宋体" w:hAnsi="宋体" w:cs="宋体" w:eastAsia="宋体" w:hint="default"/>
          <w:spacing w:val="-75"/>
          <w:sz w:val="18"/>
          <w:szCs w:val="18"/>
        </w:rPr>
      </w:r>
      <w:bookmarkStart w:name="3、本企业合营和联营企业情况" w:id="450"/>
      <w:bookmarkEnd w:id="450"/>
      <w:r>
        <w:rPr>
          <w:rFonts w:ascii="宋体" w:hAnsi="宋体" w:cs="宋体" w:eastAsia="宋体" w:hint="default"/>
          <w:spacing w:val="-75"/>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240" w:lineRule="auto" w:before="46"/>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4、其他关联方情况" w:id="451"/>
      <w:bookmarkEnd w:id="451"/>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9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青岛海立控股有限公司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控股股东</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青岛博苑房地产开发有限公司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受最终控制人（孙刚）控制的其他企业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青岛海基置业有限公司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受最终控制人（孙刚、刘国平）控制的其他企业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青岛天晨投资有限公司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北京博升优势科技发展有限公司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联动优势商业保理有限公司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北京博升优势科技发展有限公司之全资子公司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银联商务股份有限公司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中国银联股份有限公司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银联商务股份有限公司之控股股东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银联智惠信息服务（上海）有限公司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中国银联股份有限公司控股子公司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青岛市即墨区海立达小额贷款有限公司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刘国平任职董事</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中诚信征信有限公司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吴鹰任职董事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中嘉博创信息技术股份有限公司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吴鹰任职董事长</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北京创世漫道科技有限公司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中嘉博创信息技术服务有限公司之全资子公司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中泽嘉盟投资有限公司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吴鹰任职董事长</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卓尔智联集团有限公司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吴鹰任职董事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北京中泽启天投资中心（有限合伙）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吴鹰任职执行事务合伙人</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众安在线财产保险股份有限公司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吴鹰任职董事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北京通泰泽祥管理咨询有限公司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吴鹰任职执行董事、经理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北京阿尤卡健康科技有限公司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吴鹰任职董事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北京诸元数据科技有限公司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吴鹰任职董事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上海褚石企业管理咨询中心（有限合伙）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吴鹰任职执行事务合伙人</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天津中泽嘉盟投资咨询有限公司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吴鹰任职执行董事、经理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孝昌智汇投资中心（有限合伙）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吴鹰任职执行事务合伙人</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上海稳实投资管理中心（普通合伙）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吴鹰任职执行事务合伙人</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青岛甲乙丙丁信息技术企业（有限合伙）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孙震任职执行事务合伙人</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西藏大川信息科技有限公司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孙震任职董事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广东盈生力健康科技有限公司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孙震任职董事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青岛蔚蓝生物股份有限公司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洪晓明任职独立董事</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青岛康普顿科技股份有限公司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洪晓明任职独立董事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上海韬彤企业管理咨询合伙企业（有限合伙）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李贲任职执行事务合伙人</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青岛城市传媒股份有限公司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张鹏任职独立董事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青岛高创澳海股权投资管理有限公司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周建孚任职董事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青岛高创澳海创业投资企业（有限合伙）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青岛高创澳海股权投资管理有限公司担任普通合伙人</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青岛普拉戈工程系统有限公司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朱宏伟任职执行董事、总经理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青岛格瑞清洁设备有限公司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朱宏伟任职执行董事、总经理</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普拉格科技（深圳）有限公司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朱宏伟任职执行董事、总经理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苏州甲壳虫机器人智能科技有限责任公司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朱宏伟任职执行董事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上海贝禾资产管理有限公司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万明任职执行董事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东吴人寿保险股份有限公司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万明任职独立董事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北京通惠金桥资本管理股份有限公司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万明任职董事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华平信息技术股份有限公司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徐国亮任职独立董事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宁波保税区坤博股权投资合伙企业（普通合伙）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杨良刚任职执行事务合伙人</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孙刚</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实际控制人</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刘国平</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实际控制人、董事长兼总裁</w:t>
            </w:r>
          </w:p>
        </w:tc>
      </w:tr>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孙震</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72"/>
              <w:jc w:val="left"/>
              <w:rPr>
                <w:rFonts w:ascii="宋体" w:hAnsi="宋体" w:cs="宋体" w:eastAsia="宋体" w:hint="default"/>
                <w:sz w:val="18"/>
                <w:szCs w:val="18"/>
              </w:rPr>
            </w:pPr>
            <w:r>
              <w:rPr>
                <w:rFonts w:ascii="宋体" w:hAnsi="宋体" w:cs="宋体" w:eastAsia="宋体" w:hint="default"/>
                <w:sz w:val="18"/>
                <w:szCs w:val="18"/>
              </w:rPr>
              <w:t>董事、副总裁、最终控制人之子、青岛天晨投资有限公司法 定代表人</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洪晓明</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范厚义</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周建孚</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董事、副总裁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吴鹰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李贲</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董事、副总裁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万明</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徐国亮</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朱宏伟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张鹏</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杨良刚</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王治军</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王晶</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鲁浩</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于铁军</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亓秀美</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副总裁、董事会秘书</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陈军</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副总裁、财务负责人</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戴兵</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原董事、原执行总裁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张斌</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原董事、原执行总裁</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徐勇</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原董事</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bookmarkStart w:name="5、关联交易情况" w:id="452"/>
      <w:bookmarkEnd w:id="452"/>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1）购销商品、提供和接受劳务的关联交易" w:id="453"/>
      <w:bookmarkEnd w:id="453"/>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采购商品</w:t>
      </w:r>
      <w:r>
        <w:rPr>
          <w:rFonts w:ascii="Times New Roman" w:hAnsi="Times New Roman" w:cs="Times New Roman" w:eastAsia="Times New Roman" w:hint="default"/>
        </w:rPr>
        <w:t>/</w:t>
      </w:r>
      <w:r>
        <w:rPr/>
        <w:t>接受劳务情况表</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84"/>
        <w:gridCol w:w="1277"/>
        <w:gridCol w:w="1274"/>
        <w:gridCol w:w="1702"/>
        <w:gridCol w:w="1625"/>
        <w:gridCol w:w="1706"/>
      </w:tblGrid>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6"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9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中国银联股份有限公司</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（含子公司）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支付服务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59,280,890.33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407,467,600.00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255,309,246.97</w:t>
            </w:r>
          </w:p>
        </w:tc>
      </w:tr>
      <w:tr>
        <w:trPr>
          <w:trHeight w:val="713" w:hRule="exact"/>
        </w:trPr>
        <w:tc>
          <w:tcPr>
            <w:tcW w:w="19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银联商务股份有限公司</w:t>
            </w:r>
          </w:p>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（含子公司）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支付服务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541,127.70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10,877,700.00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819,065.97</w:t>
            </w:r>
          </w:p>
        </w:tc>
      </w:tr>
      <w:tr>
        <w:trPr>
          <w:trHeight w:val="715" w:hRule="exact"/>
        </w:trPr>
        <w:tc>
          <w:tcPr>
            <w:tcW w:w="19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149"/>
              <w:jc w:val="left"/>
              <w:rPr>
                <w:rFonts w:ascii="宋体" w:hAnsi="宋体" w:cs="宋体" w:eastAsia="宋体" w:hint="default"/>
                <w:sz w:val="18"/>
                <w:szCs w:val="18"/>
              </w:rPr>
            </w:pPr>
            <w:r>
              <w:rPr>
                <w:rFonts w:ascii="宋体" w:hAnsi="宋体" w:cs="宋体" w:eastAsia="宋体" w:hint="default"/>
                <w:sz w:val="18"/>
                <w:szCs w:val="18"/>
              </w:rPr>
              <w:t>北京创世漫道科技有限 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通道服务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3,154,176.13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53,117,500.00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71,059,789.99</w:t>
            </w:r>
          </w:p>
        </w:tc>
      </w:tr>
      <w:tr>
        <w:trPr>
          <w:trHeight w:val="713" w:hRule="exact"/>
        </w:trPr>
        <w:tc>
          <w:tcPr>
            <w:tcW w:w="19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49"/>
              <w:ind w:left="22" w:right="149"/>
              <w:jc w:val="left"/>
              <w:rPr>
                <w:rFonts w:ascii="宋体" w:hAnsi="宋体" w:cs="宋体" w:eastAsia="宋体" w:hint="default"/>
                <w:sz w:val="18"/>
                <w:szCs w:val="18"/>
              </w:rPr>
            </w:pPr>
            <w:r>
              <w:rPr>
                <w:rFonts w:ascii="宋体" w:hAnsi="宋体" w:cs="宋体" w:eastAsia="宋体" w:hint="default"/>
                <w:sz w:val="18"/>
                <w:szCs w:val="18"/>
              </w:rPr>
              <w:t>北京创世漫道科技有限 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27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691,863.48</w:t>
            </w:r>
          </w:p>
        </w:tc>
      </w:tr>
      <w:tr>
        <w:trPr>
          <w:trHeight w:val="716" w:hRule="exact"/>
        </w:trPr>
        <w:tc>
          <w:tcPr>
            <w:tcW w:w="19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49"/>
              <w:ind w:left="22" w:right="149"/>
              <w:jc w:val="left"/>
              <w:rPr>
                <w:rFonts w:ascii="宋体" w:hAnsi="宋体" w:cs="宋体" w:eastAsia="宋体" w:hint="default"/>
                <w:sz w:val="18"/>
                <w:szCs w:val="18"/>
              </w:rPr>
            </w:pPr>
            <w:r>
              <w:rPr>
                <w:rFonts w:ascii="宋体" w:hAnsi="宋体" w:cs="宋体" w:eastAsia="宋体" w:hint="default"/>
                <w:sz w:val="18"/>
                <w:szCs w:val="18"/>
              </w:rPr>
              <w:t>北京创世漫道科技有限 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短信服务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3,888.89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中诚信征信有限公司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支付服务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71,207.22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63,051,290.27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475,462,800.00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327,879,966.41</w:t>
            </w:r>
          </w:p>
        </w:tc>
      </w:tr>
    </w:tbl>
    <w:p>
      <w:pPr>
        <w:pStyle w:val="BodyText"/>
        <w:spacing w:line="240" w:lineRule="auto" w:before="49"/>
        <w:ind w:right="1133"/>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76"/>
        <w:gridCol w:w="2126"/>
        <w:gridCol w:w="2410"/>
        <w:gridCol w:w="2057"/>
      </w:tblGrid>
      <w:tr>
        <w:trPr>
          <w:trHeight w:val="401" w:hRule="exact"/>
        </w:trPr>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中国银联股份有限公司（含子公司）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支付服务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82,030.73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879,150.53</w:t>
            </w:r>
          </w:p>
        </w:tc>
      </w:tr>
      <w:tr>
        <w:trPr>
          <w:trHeight w:val="401" w:hRule="exact"/>
        </w:trPr>
        <w:tc>
          <w:tcPr>
            <w:tcW w:w="29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银联智惠信息服务（上海）有限公司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数据分析服务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11,499.10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47,516.41</w:t>
            </w:r>
          </w:p>
        </w:tc>
      </w:tr>
      <w:tr>
        <w:trPr>
          <w:trHeight w:val="404" w:hRule="exact"/>
        </w:trPr>
        <w:tc>
          <w:tcPr>
            <w:tcW w:w="29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中诚信征信有限公司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数据分析服务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8,326,309.54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8,794,286.28</w:t>
            </w:r>
          </w:p>
        </w:tc>
      </w:tr>
      <w:tr>
        <w:trPr>
          <w:trHeight w:val="401" w:hRule="exact"/>
        </w:trPr>
        <w:tc>
          <w:tcPr>
            <w:tcW w:w="29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银联商务股份有限公司（含子公司）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移动信息服务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20,888.30</w:t>
            </w:r>
          </w:p>
        </w:tc>
      </w:tr>
      <w:tr>
        <w:trPr>
          <w:trHeight w:val="403" w:hRule="exact"/>
        </w:trPr>
        <w:tc>
          <w:tcPr>
            <w:tcW w:w="29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银联商务股份有限公司（含子公司）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数据分析服务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-7,828.47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29,353.39</w:t>
            </w:r>
          </w:p>
        </w:tc>
      </w:tr>
      <w:tr>
        <w:trPr>
          <w:trHeight w:val="401" w:hRule="exact"/>
        </w:trPr>
        <w:tc>
          <w:tcPr>
            <w:tcW w:w="29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北京创世漫道科技有限公司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移动信息服务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106,564.00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455,284.83</w:t>
            </w:r>
          </w:p>
        </w:tc>
      </w:tr>
      <w:tr>
        <w:trPr>
          <w:trHeight w:val="403" w:hRule="exact"/>
        </w:trPr>
        <w:tc>
          <w:tcPr>
            <w:tcW w:w="29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联动优势商业保理有限公司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支付服务</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6,184.71</w:t>
            </w:r>
          </w:p>
        </w:tc>
      </w:tr>
      <w:tr>
        <w:trPr>
          <w:trHeight w:val="401" w:hRule="exact"/>
        </w:trPr>
        <w:tc>
          <w:tcPr>
            <w:tcW w:w="29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西藏大川信息科技有限公司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支付服务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298,225.70</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26"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8,816,800.66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10,232,664.45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关联受托管理/承包及委托管理/出包情况" w:id="454"/>
      <w:bookmarkEnd w:id="454"/>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3）关联租赁情况" w:id="455"/>
      <w:bookmarkEnd w:id="455"/>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4）关联担保情况" w:id="456"/>
      <w:bookmarkEnd w:id="456"/>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本公司作为担保方</w:t>
      </w:r>
    </w:p>
    <w:p>
      <w:pPr>
        <w:pStyle w:val="BodyText"/>
        <w:spacing w:line="240" w:lineRule="auto" w:before="115"/>
        <w:ind w:left="0" w:right="1131"/>
        <w:jc w:val="right"/>
      </w:pPr>
      <w:r>
        <w:rPr/>
        <w:t>单位：</w:t>
      </w:r>
      <w:r>
        <w:rPr>
          <w:spacing w:val="1"/>
        </w:rPr>
        <w:t> </w:t>
      </w:r>
      <w:r>
        <w:rPr/>
        <w:t>元</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54"/>
              <w:jc w:val="center"/>
              <w:rPr>
                <w:rFonts w:ascii="宋体" w:hAnsi="宋体" w:cs="宋体" w:eastAsia="宋体" w:hint="default"/>
                <w:sz w:val="18"/>
                <w:szCs w:val="18"/>
              </w:rPr>
            </w:pPr>
            <w:r>
              <w:rPr>
                <w:rFonts w:ascii="宋体" w:hAnsi="宋体" w:cs="宋体" w:eastAsia="宋体" w:hint="default"/>
                <w:sz w:val="18"/>
                <w:szCs w:val="18"/>
              </w:rPr>
              <w:t>宁波泰鸿机电有限公司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77"/>
              <w:jc w:val="left"/>
              <w:rPr>
                <w:rFonts w:ascii="宋体" w:hAnsi="宋体" w:cs="宋体" w:eastAsia="宋体" w:hint="default"/>
                <w:sz w:val="18"/>
                <w:szCs w:val="18"/>
              </w:rPr>
            </w:pPr>
            <w:r>
              <w:rPr>
                <w:rFonts w:ascii="宋体" w:hAnsi="宋体" w:cs="宋体" w:eastAsia="宋体" w:hint="default"/>
                <w:sz w:val="18"/>
                <w:szCs w:val="18"/>
              </w:rPr>
              <w:t>宁波泰鸿冲压件有限公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上海和达汽车配件有限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77"/>
              <w:jc w:val="left"/>
              <w:rPr>
                <w:rFonts w:ascii="宋体" w:hAnsi="宋体" w:cs="宋体" w:eastAsia="宋体" w:hint="default"/>
                <w:sz w:val="18"/>
                <w:szCs w:val="18"/>
              </w:rPr>
            </w:pPr>
            <w:r>
              <w:rPr>
                <w:rFonts w:ascii="宋体" w:hAnsi="宋体" w:cs="宋体" w:eastAsia="宋体" w:hint="default"/>
                <w:sz w:val="18"/>
                <w:szCs w:val="18"/>
              </w:rPr>
              <w:t>上海和达汽车配件有限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54"/>
              <w:jc w:val="center"/>
              <w:rPr>
                <w:rFonts w:ascii="宋体" w:hAnsi="宋体" w:cs="宋体" w:eastAsia="宋体" w:hint="default"/>
                <w:sz w:val="18"/>
                <w:szCs w:val="18"/>
              </w:rPr>
            </w:pPr>
            <w:r>
              <w:rPr>
                <w:rFonts w:ascii="宋体" w:hAnsi="宋体" w:cs="宋体" w:eastAsia="宋体" w:hint="default"/>
                <w:sz w:val="18"/>
                <w:szCs w:val="18"/>
              </w:rPr>
              <w:t>宁波泰鸿机电有限公司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50,500,000.00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49"/>
              <w:ind w:left="22" w:right="77"/>
              <w:jc w:val="left"/>
              <w:rPr>
                <w:rFonts w:ascii="宋体" w:hAnsi="宋体" w:cs="宋体" w:eastAsia="宋体" w:hint="default"/>
                <w:sz w:val="18"/>
                <w:szCs w:val="18"/>
              </w:rPr>
            </w:pPr>
            <w:r>
              <w:rPr>
                <w:rFonts w:ascii="宋体" w:hAnsi="宋体" w:cs="宋体" w:eastAsia="宋体" w:hint="default"/>
                <w:sz w:val="18"/>
                <w:szCs w:val="18"/>
              </w:rPr>
              <w:t>湖北海立田汽车部件限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54"/>
              <w:jc w:val="center"/>
              <w:rPr>
                <w:rFonts w:ascii="宋体" w:hAnsi="宋体" w:cs="宋体" w:eastAsia="宋体" w:hint="default"/>
                <w:sz w:val="18"/>
                <w:szCs w:val="18"/>
              </w:rPr>
            </w:pPr>
            <w:r>
              <w:rPr>
                <w:rFonts w:ascii="宋体" w:hAnsi="宋体" w:cs="宋体" w:eastAsia="宋体" w:hint="default"/>
                <w:sz w:val="18"/>
                <w:szCs w:val="18"/>
              </w:rPr>
              <w:t>宁波泰鸿机电有限公司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77"/>
              <w:jc w:val="left"/>
              <w:rPr>
                <w:rFonts w:ascii="宋体" w:hAnsi="宋体" w:cs="宋体" w:eastAsia="宋体" w:hint="default"/>
                <w:sz w:val="18"/>
                <w:szCs w:val="18"/>
              </w:rPr>
            </w:pPr>
            <w:r>
              <w:rPr>
                <w:rFonts w:ascii="宋体" w:hAnsi="宋体" w:cs="宋体" w:eastAsia="宋体" w:hint="default"/>
                <w:sz w:val="18"/>
                <w:szCs w:val="18"/>
              </w:rPr>
              <w:t>宁波泰鸿冲压件有限公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上海和达汽车配件有限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32,250,000.00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77"/>
              <w:jc w:val="left"/>
              <w:rPr>
                <w:rFonts w:ascii="宋体" w:hAnsi="宋体" w:cs="宋体" w:eastAsia="宋体" w:hint="default"/>
                <w:sz w:val="18"/>
                <w:szCs w:val="18"/>
              </w:rPr>
            </w:pPr>
            <w:r>
              <w:rPr>
                <w:rFonts w:ascii="宋体" w:hAnsi="宋体" w:cs="宋体" w:eastAsia="宋体" w:hint="default"/>
                <w:sz w:val="18"/>
                <w:szCs w:val="18"/>
              </w:rPr>
              <w:t>青岛海立达冲压件有限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湖北海立田汽车部件有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77"/>
              <w:jc w:val="left"/>
              <w:rPr>
                <w:rFonts w:ascii="宋体" w:hAnsi="宋体" w:cs="宋体" w:eastAsia="宋体" w:hint="default"/>
                <w:sz w:val="18"/>
                <w:szCs w:val="18"/>
              </w:rPr>
            </w:pPr>
            <w:r>
              <w:rPr>
                <w:rFonts w:ascii="宋体" w:hAnsi="宋体" w:cs="宋体" w:eastAsia="宋体" w:hint="default"/>
                <w:sz w:val="18"/>
                <w:szCs w:val="18"/>
              </w:rPr>
              <w:t>湖北海立美达汽车有限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59,850,000.00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5）关联方资金拆借" w:id="457"/>
      <w:bookmarkEnd w:id="457"/>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6）关联方资产转让、债务重组情况" w:id="458"/>
      <w:bookmarkEnd w:id="458"/>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7）关键管理人员报酬" w:id="459"/>
      <w:bookmarkEnd w:id="459"/>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薪酬合计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4,172,329.65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3,633,438.56</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8）其他关联交易" w:id="460"/>
      <w:bookmarkEnd w:id="460"/>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0"/>
        <w:jc w:val="left"/>
      </w:pPr>
      <w:r>
        <w:rPr/>
        <w:t>除总裁、执行总裁、副总裁、财务总监及董事会秘书关键管理人员薪酬外，本公司本年负担董事、监事及独立董事薪酬</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及津贴合计</w:t>
      </w:r>
      <w:r>
        <w:rPr>
          <w:rFonts w:ascii="Times New Roman" w:hAnsi="Times New Roman" w:cs="Times New Roman" w:eastAsia="Times New Roman" w:hint="default"/>
        </w:rPr>
        <w:t>762,068.21</w:t>
      </w:r>
      <w:r>
        <w:rPr/>
        <w:t>元。</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6、关联方应收应付款项" w:id="461"/>
      <w:bookmarkEnd w:id="461"/>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应收项目" w:id="462"/>
      <w:bookmarkEnd w:id="462"/>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401"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中国银联股份有限 公司（含子公司）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81,286.09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8,908.02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435,787.08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21,984.20</w:t>
            </w:r>
          </w:p>
        </w:tc>
      </w:tr>
      <w:tr>
        <w:trPr>
          <w:trHeight w:val="716" w:hRule="exact"/>
        </w:trPr>
        <w:tc>
          <w:tcPr>
            <w:tcW w:w="15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银联商务股份有限 公司（含子公司）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466,635.80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219,501.12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474,958.80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126,934.83</w:t>
            </w:r>
          </w:p>
        </w:tc>
      </w:tr>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北京创世漫道科技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2,310,257.50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125,682.85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268,318.23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13,415.91</w:t>
            </w: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9"/>
              <w:jc w:val="left"/>
              <w:rPr>
                <w:rFonts w:ascii="宋体" w:hAnsi="宋体" w:cs="宋体" w:eastAsia="宋体" w:hint="default"/>
                <w:sz w:val="18"/>
                <w:szCs w:val="18"/>
              </w:rPr>
            </w:pPr>
            <w:r>
              <w:rPr>
                <w:rFonts w:ascii="宋体" w:hAnsi="宋体" w:cs="宋体" w:eastAsia="宋体" w:hint="default"/>
                <w:sz w:val="18"/>
                <w:szCs w:val="18"/>
              </w:rPr>
              <w:t>中诚信征信有限公 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435,085.20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21,754.26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中国银联股份有限 公司（含子公司）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38,021.08</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38,021.08</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北京创世漫道科技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21,970.37</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5,859.26</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银联商务股份有限 公司（含子公司）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131,612.00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银联智惠信息服务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（上海）有限公司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28,956.98</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中国银联股份有限 公司（含子公司）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1,025,000.00</w:t>
            </w: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银联商务股份有限 公司（含子公司）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1,232,000.00</w:t>
            </w:r>
          </w:p>
        </w:tc>
      </w:tr>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北京创世漫道科技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应付项目" w:id="463"/>
      <w:bookmarkEnd w:id="463"/>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3"/>
        <w:gridCol w:w="2393"/>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5"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中国银联股份有限公司（含子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21,147,739.86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1,852,209.83</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 w:right="0"/>
              <w:jc w:val="center"/>
              <w:rPr>
                <w:rFonts w:ascii="宋体" w:hAnsi="宋体" w:cs="宋体" w:eastAsia="宋体" w:hint="default"/>
                <w:sz w:val="18"/>
                <w:szCs w:val="18"/>
              </w:rPr>
            </w:pPr>
            <w:r>
              <w:rPr>
                <w:rFonts w:ascii="宋体" w:hAnsi="宋体" w:cs="宋体" w:eastAsia="宋体" w:hint="default"/>
                <w:sz w:val="18"/>
                <w:szCs w:val="18"/>
              </w:rPr>
              <w:t>银联商务股份有限公司（含子</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885,041.95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1,532,920.85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3"/>
        <w:gridCol w:w="2393"/>
      </w:tblGrid>
      <w:tr>
        <w:trPr>
          <w:trHeight w:val="363"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银联智惠信息服务（上海）有 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1,649.96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1,649.96</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北京创世漫道科技有限公司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650,987.50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15,615,747.73</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中诚信征信有限公司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67,627.90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368,681.99</w:t>
            </w:r>
          </w:p>
        </w:tc>
      </w:tr>
      <w:tr>
        <w:trPr>
          <w:trHeight w:val="715"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银联智惠信息服务（上海）有 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129,663.74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141,162.84</w:t>
            </w:r>
          </w:p>
        </w:tc>
      </w:tr>
      <w:tr>
        <w:trPr>
          <w:trHeight w:val="713"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银联商务股份有限公司（含子 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473,981.86</w:t>
            </w:r>
          </w:p>
        </w:tc>
      </w:tr>
      <w:tr>
        <w:trPr>
          <w:trHeight w:val="716"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银联商务股份有限公司（含子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333,940.20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333,940.20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7、关联方承诺" w:id="464"/>
      <w:bookmarkEnd w:id="464"/>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0"/>
        <w:jc w:val="left"/>
      </w:pPr>
      <w:r>
        <w:rPr/>
        <w:t>关于关联方承诺参见第五节重要事项的</w:t>
      </w:r>
      <w:r>
        <w:rPr>
          <w:rFonts w:ascii="Times New Roman" w:hAnsi="Times New Roman" w:cs="Times New Roman" w:eastAsia="Times New Roman" w:hint="default"/>
        </w:rPr>
        <w:t>”</w:t>
      </w:r>
      <w:r>
        <w:rPr/>
        <w:t>三、公司实际控制人、股东、关联方、收购人以及公司等承诺相关方在报告期内履</w:t>
      </w:r>
      <w:r>
        <w:rPr>
          <w:spacing w:val="-75"/>
        </w:rPr>
        <w:t> </w:t>
      </w:r>
      <w:r>
        <w:rPr>
          <w:spacing w:val="-75"/>
        </w:rPr>
      </w:r>
      <w:r>
        <w:rPr/>
        <w:t>行完毕及截至报告期末超期未履行完毕的承诺事项</w:t>
      </w:r>
      <w:r>
        <w:rPr>
          <w:rFonts w:ascii="Times New Roman" w:hAnsi="Times New Roman" w:cs="Times New Roman" w:eastAsia="Times New Roman" w:hint="default"/>
        </w:rPr>
        <w:t>“</w:t>
      </w:r>
      <w:r>
        <w:rPr/>
        <w:t>。</w:t>
      </w:r>
    </w:p>
    <w:p>
      <w:pPr>
        <w:spacing w:line="240" w:lineRule="auto" w:before="2"/>
        <w:rPr>
          <w:rFonts w:ascii="宋体" w:hAnsi="宋体" w:cs="宋体" w:eastAsia="宋体" w:hint="default"/>
          <w:sz w:val="22"/>
          <w:szCs w:val="22"/>
        </w:rPr>
      </w:pPr>
    </w:p>
    <w:p>
      <w:pPr>
        <w:pStyle w:val="Heading3"/>
        <w:spacing w:line="240" w:lineRule="auto"/>
        <w:ind w:right="1133"/>
        <w:jc w:val="left"/>
        <w:rPr>
          <w:b w:val="0"/>
          <w:bCs w:val="0"/>
        </w:rPr>
      </w:pPr>
      <w:bookmarkStart w:name="8、其他" w:id="465"/>
      <w:bookmarkEnd w:id="465"/>
      <w:r>
        <w:rPr>
          <w:b w:val="0"/>
          <w:bCs w:val="0"/>
        </w:rPr>
      </w:r>
      <w:r>
        <w:rPr>
          <w:rFonts w:ascii="Times New Roman" w:hAnsi="Times New Roman" w:cs="Times New Roman" w:eastAsia="Times New Roman" w:hint="default"/>
        </w:rPr>
        <w:t>8</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3"/>
        <w:rPr>
          <w:rFonts w:ascii="宋体" w:hAnsi="宋体" w:cs="宋体" w:eastAsia="宋体" w:hint="default"/>
          <w:sz w:val="25"/>
          <w:szCs w:val="25"/>
        </w:rPr>
      </w:pPr>
    </w:p>
    <w:p>
      <w:pPr>
        <w:pStyle w:val="Heading2"/>
        <w:spacing w:line="240" w:lineRule="auto"/>
        <w:ind w:right="1133"/>
        <w:jc w:val="left"/>
        <w:rPr>
          <w:b w:val="0"/>
          <w:bCs w:val="0"/>
        </w:rPr>
      </w:pPr>
      <w:bookmarkStart w:name="十三、股份支付" w:id="466"/>
      <w:bookmarkEnd w:id="466"/>
      <w:r>
        <w:rPr>
          <w:b w:val="0"/>
          <w:bCs w:val="0"/>
        </w:rPr>
      </w:r>
      <w:r>
        <w:rPr/>
        <w:t>十三、股份支付</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股份支付总体情况" w:id="467"/>
      <w:bookmarkEnd w:id="467"/>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44,185,506.16</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限制性股票价格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元，合同剩余一年十一个月。</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以权益结算的股份支付情况" w:id="468"/>
      <w:bookmarkEnd w:id="468"/>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以授予职工权益工具在授予日的公允价值计量</w:t>
            </w:r>
          </w:p>
        </w:tc>
      </w:tr>
      <w:tr>
        <w:trPr>
          <w:trHeight w:val="674"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51"/>
              <w:jc w:val="left"/>
              <w:rPr>
                <w:rFonts w:ascii="宋体" w:hAnsi="宋体" w:cs="宋体" w:eastAsia="宋体" w:hint="default"/>
                <w:sz w:val="18"/>
                <w:szCs w:val="18"/>
              </w:rPr>
            </w:pPr>
            <w:r>
              <w:rPr>
                <w:rFonts w:ascii="宋体" w:hAnsi="宋体" w:cs="宋体" w:eastAsia="宋体" w:hint="default"/>
                <w:sz w:val="18"/>
                <w:szCs w:val="18"/>
              </w:rPr>
              <w:t>在等待期内每个资产负债表日公司根据最新取得的可行权 职工人数变动等后续信息作出最佳估计修正预计可行权的</w:t>
            </w:r>
          </w:p>
        </w:tc>
      </w:tr>
    </w:tbl>
    <w:p>
      <w:pPr>
        <w:spacing w:after="0" w:line="314"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36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权益工具数量</w:t>
            </w:r>
          </w:p>
        </w:tc>
      </w:tr>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2,974,042.50</w:t>
            </w:r>
          </w:p>
        </w:tc>
      </w:tr>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1,950,813.34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以现金结算的股份支付情况" w:id="469"/>
      <w:bookmarkEnd w:id="469"/>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4"/>
        <w:rPr>
          <w:rFonts w:ascii="宋体" w:hAnsi="宋体" w:cs="宋体" w:eastAsia="宋体" w:hint="default"/>
          <w:b/>
          <w:bCs/>
          <w:sz w:val="26"/>
          <w:szCs w:val="26"/>
        </w:rPr>
      </w:pPr>
    </w:p>
    <w:p>
      <w:pPr>
        <w:spacing w:line="547" w:lineRule="auto" w:before="0"/>
        <w:ind w:left="152" w:right="79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bookmarkStart w:name="4、股份支付的修改、终止情况" w:id="470"/>
      <w:bookmarkEnd w:id="470"/>
      <w:r>
        <w:rPr>
          <w:rFonts w:ascii="宋体" w:hAnsi="宋体" w:cs="宋体" w:eastAsia="宋体" w:hint="default"/>
          <w:sz w:val="18"/>
          <w:szCs w:val="18"/>
        </w:rPr>
      </w:r>
      <w:r>
        <w:rPr>
          <w:rFonts w:ascii="Times New Roman" w:hAnsi="Times New Roman" w:cs="Times New Roman" w:eastAsia="Times New Roman" w:hint="default"/>
          <w:b/>
          <w:bCs/>
          <w:spacing w:val="-1"/>
          <w:sz w:val="21"/>
          <w:szCs w:val="21"/>
        </w:rPr>
        <w:t>4</w:t>
      </w:r>
      <w:r>
        <w:rPr>
          <w:rFonts w:ascii="宋体" w:hAnsi="宋体" w:cs="宋体" w:eastAsia="宋体" w:hint="default"/>
          <w:b/>
          <w:bCs/>
          <w:spacing w:val="-1"/>
          <w:sz w:val="21"/>
          <w:szCs w:val="21"/>
        </w:rPr>
        <w:t>、股份支付的修改、终止情况</w:t>
      </w:r>
      <w:r>
        <w:rPr>
          <w:rFonts w:ascii="宋体" w:hAnsi="宋体" w:cs="宋体" w:eastAsia="宋体" w:hint="default"/>
          <w:b/>
          <w:bCs/>
          <w:spacing w:val="-93"/>
          <w:sz w:val="21"/>
          <w:szCs w:val="21"/>
        </w:rPr>
        <w:t> </w:t>
      </w:r>
      <w:r>
        <w:rPr>
          <w:rFonts w:ascii="宋体" w:hAnsi="宋体" w:cs="宋体" w:eastAsia="宋体" w:hint="default"/>
          <w:b/>
          <w:bCs/>
          <w:spacing w:val="-93"/>
          <w:sz w:val="21"/>
          <w:szCs w:val="21"/>
        </w:rPr>
      </w:r>
      <w:r>
        <w:rPr>
          <w:rFonts w:ascii="宋体" w:hAnsi="宋体" w:cs="宋体" w:eastAsia="宋体" w:hint="default"/>
          <w:sz w:val="18"/>
          <w:szCs w:val="18"/>
        </w:rPr>
        <w:t>无。</w:t>
      </w:r>
    </w:p>
    <w:p>
      <w:pPr>
        <w:pStyle w:val="Heading3"/>
        <w:spacing w:line="240" w:lineRule="auto" w:before="123"/>
        <w:ind w:right="1133"/>
        <w:jc w:val="left"/>
        <w:rPr>
          <w:b w:val="0"/>
          <w:bCs w:val="0"/>
        </w:rPr>
      </w:pPr>
      <w:bookmarkStart w:name="5、其他" w:id="471"/>
      <w:bookmarkEnd w:id="471"/>
      <w:r>
        <w:rPr>
          <w:b w:val="0"/>
          <w:bCs w:val="0"/>
        </w:rPr>
      </w:r>
      <w:r>
        <w:rPr>
          <w:rFonts w:ascii="Times New Roman" w:hAnsi="Times New Roman" w:cs="Times New Roman" w:eastAsia="Times New Roman" w:hint="default"/>
        </w:rPr>
        <w:t>5</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3"/>
        <w:rPr>
          <w:rFonts w:ascii="宋体" w:hAnsi="宋体" w:cs="宋体" w:eastAsia="宋体" w:hint="default"/>
          <w:sz w:val="25"/>
          <w:szCs w:val="25"/>
        </w:rPr>
      </w:pPr>
    </w:p>
    <w:p>
      <w:pPr>
        <w:pStyle w:val="Heading2"/>
        <w:spacing w:line="240" w:lineRule="auto"/>
        <w:ind w:right="1133"/>
        <w:jc w:val="left"/>
        <w:rPr>
          <w:b w:val="0"/>
          <w:bCs w:val="0"/>
        </w:rPr>
      </w:pPr>
      <w:bookmarkStart w:name="十四、承诺及或有事项" w:id="472"/>
      <w:bookmarkEnd w:id="472"/>
      <w:r>
        <w:rPr>
          <w:b w:val="0"/>
          <w:bCs w:val="0"/>
        </w:rPr>
      </w:r>
      <w:r>
        <w:rPr/>
        <w:t>十四、承诺及或有事项</w:t>
      </w:r>
      <w:r>
        <w:rPr>
          <w:b w:val="0"/>
          <w:bCs w:val="0"/>
        </w:rPr>
      </w:r>
    </w:p>
    <w:p>
      <w:pPr>
        <w:spacing w:line="240" w:lineRule="auto" w:before="12"/>
        <w:rPr>
          <w:rFonts w:ascii="宋体" w:hAnsi="宋体" w:cs="宋体" w:eastAsia="宋体" w:hint="default"/>
          <w:b/>
          <w:bCs/>
          <w:sz w:val="24"/>
          <w:szCs w:val="24"/>
        </w:rPr>
      </w:pPr>
    </w:p>
    <w:p>
      <w:pPr>
        <w:spacing w:line="544" w:lineRule="auto" w:before="0"/>
        <w:ind w:left="152" w:right="6974" w:firstLine="0"/>
        <w:jc w:val="left"/>
        <w:rPr>
          <w:rFonts w:ascii="宋体" w:hAnsi="宋体" w:cs="宋体" w:eastAsia="宋体" w:hint="default"/>
          <w:sz w:val="18"/>
          <w:szCs w:val="18"/>
        </w:rPr>
      </w:pPr>
      <w:bookmarkStart w:name="1、重要承诺事项" w:id="473"/>
      <w:bookmarkEnd w:id="473"/>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spacing w:val="-103"/>
          <w:sz w:val="21"/>
          <w:szCs w:val="21"/>
        </w:rPr>
        <w:t> </w:t>
      </w:r>
      <w:r>
        <w:rPr>
          <w:rFonts w:ascii="宋体" w:hAnsi="宋体" w:cs="宋体" w:eastAsia="宋体" w:hint="default"/>
          <w:sz w:val="18"/>
          <w:szCs w:val="18"/>
        </w:rPr>
        <w:t>资产负债表日存在的重要承诺 已签订的正在或准备履行的租赁合同及财务影响</w:t>
      </w:r>
    </w:p>
    <w:p>
      <w:pPr>
        <w:pStyle w:val="BodyText"/>
        <w:spacing w:line="240" w:lineRule="auto" w:before="85"/>
        <w:ind w:right="1133"/>
        <w:jc w:val="left"/>
      </w:pP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(T)</w:t>
      </w:r>
      <w:r>
        <w:rPr/>
        <w:t>，本集团就厂房租赁等项目之不可撤销经营租赁所需于下列期间承担款项如下：</w:t>
      </w:r>
    </w:p>
    <w:p>
      <w:pPr>
        <w:spacing w:line="240" w:lineRule="auto" w:before="2"/>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4710"/>
        <w:gridCol w:w="4791"/>
      </w:tblGrid>
      <w:tr>
        <w:trPr>
          <w:trHeight w:val="335" w:hRule="exact"/>
        </w:trPr>
        <w:tc>
          <w:tcPr>
            <w:tcW w:w="47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left="4" w:right="0"/>
              <w:jc w:val="left"/>
              <w:rPr>
                <w:rFonts w:ascii="宋体" w:hAnsi="宋体" w:cs="宋体" w:eastAsia="宋体" w:hint="default"/>
                <w:sz w:val="18"/>
                <w:szCs w:val="18"/>
              </w:rPr>
            </w:pPr>
            <w:r>
              <w:rPr>
                <w:rFonts w:ascii="宋体" w:hAnsi="宋体" w:cs="宋体" w:eastAsia="宋体" w:hint="default"/>
                <w:sz w:val="18"/>
                <w:szCs w:val="18"/>
              </w:rPr>
              <w:t>期间</w:t>
            </w:r>
          </w:p>
        </w:tc>
        <w:tc>
          <w:tcPr>
            <w:tcW w:w="479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left="2" w:right="0"/>
              <w:jc w:val="left"/>
              <w:rPr>
                <w:rFonts w:ascii="宋体" w:hAnsi="宋体" w:cs="宋体" w:eastAsia="宋体" w:hint="default"/>
                <w:sz w:val="18"/>
                <w:szCs w:val="18"/>
              </w:rPr>
            </w:pPr>
            <w:r>
              <w:rPr>
                <w:rFonts w:ascii="宋体" w:hAnsi="宋体" w:cs="宋体" w:eastAsia="宋体" w:hint="default"/>
                <w:sz w:val="18"/>
                <w:szCs w:val="18"/>
              </w:rPr>
              <w:t>经营租赁</w:t>
            </w:r>
          </w:p>
        </w:tc>
      </w:tr>
      <w:tr>
        <w:trPr>
          <w:trHeight w:val="347" w:hRule="exact"/>
        </w:trPr>
        <w:tc>
          <w:tcPr>
            <w:tcW w:w="47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T+1</w:t>
            </w:r>
            <w:r>
              <w:rPr>
                <w:rFonts w:ascii="宋体" w:hAnsi="宋体" w:cs="宋体" w:eastAsia="宋体" w:hint="default"/>
                <w:sz w:val="18"/>
                <w:szCs w:val="18"/>
              </w:rPr>
              <w:t>年</w:t>
            </w:r>
          </w:p>
        </w:tc>
        <w:tc>
          <w:tcPr>
            <w:tcW w:w="4791"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51,061,977.90</w:t>
            </w:r>
          </w:p>
        </w:tc>
      </w:tr>
      <w:tr>
        <w:trPr>
          <w:trHeight w:val="347" w:hRule="exact"/>
        </w:trPr>
        <w:tc>
          <w:tcPr>
            <w:tcW w:w="47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9"/>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T+2</w:t>
            </w:r>
            <w:r>
              <w:rPr>
                <w:rFonts w:ascii="宋体" w:hAnsi="宋体" w:cs="宋体" w:eastAsia="宋体" w:hint="default"/>
                <w:sz w:val="18"/>
                <w:szCs w:val="18"/>
              </w:rPr>
              <w:t>年</w:t>
            </w:r>
          </w:p>
        </w:tc>
        <w:tc>
          <w:tcPr>
            <w:tcW w:w="4791"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46,618,926.00</w:t>
            </w:r>
          </w:p>
        </w:tc>
      </w:tr>
      <w:tr>
        <w:trPr>
          <w:trHeight w:val="347" w:hRule="exact"/>
        </w:trPr>
        <w:tc>
          <w:tcPr>
            <w:tcW w:w="47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T+3</w:t>
            </w:r>
            <w:r>
              <w:rPr>
                <w:rFonts w:ascii="宋体" w:hAnsi="宋体" w:cs="宋体" w:eastAsia="宋体" w:hint="default"/>
                <w:sz w:val="18"/>
                <w:szCs w:val="18"/>
              </w:rPr>
              <w:t>年</w:t>
            </w:r>
          </w:p>
        </w:tc>
        <w:tc>
          <w:tcPr>
            <w:tcW w:w="4791"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45,848,571.27</w:t>
            </w:r>
          </w:p>
        </w:tc>
      </w:tr>
      <w:tr>
        <w:trPr>
          <w:trHeight w:val="348" w:hRule="exact"/>
        </w:trPr>
        <w:tc>
          <w:tcPr>
            <w:tcW w:w="47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9"/>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T+3</w:t>
            </w:r>
            <w:r>
              <w:rPr>
                <w:rFonts w:ascii="宋体" w:hAnsi="宋体" w:cs="宋体" w:eastAsia="宋体" w:hint="default"/>
                <w:sz w:val="18"/>
                <w:szCs w:val="18"/>
              </w:rPr>
              <w:t>年以后</w:t>
            </w:r>
          </w:p>
        </w:tc>
        <w:tc>
          <w:tcPr>
            <w:tcW w:w="4791"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46,692,652.38</w:t>
            </w:r>
          </w:p>
        </w:tc>
      </w:tr>
      <w:tr>
        <w:trPr>
          <w:trHeight w:val="347" w:hRule="exact"/>
        </w:trPr>
        <w:tc>
          <w:tcPr>
            <w:tcW w:w="47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9"/>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1"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6"/>
              <w:ind w:right="1"/>
              <w:jc w:val="right"/>
              <w:rPr>
                <w:rFonts w:ascii="Times New Roman" w:hAnsi="Times New Roman" w:cs="Times New Roman" w:eastAsia="Times New Roman" w:hint="default"/>
                <w:sz w:val="18"/>
                <w:szCs w:val="18"/>
              </w:rPr>
            </w:pPr>
            <w:r>
              <w:rPr>
                <w:rFonts w:ascii="Times New Roman"/>
                <w:b/>
                <w:spacing w:val="-1"/>
                <w:sz w:val="18"/>
              </w:rPr>
              <w:t>190,222,127.55</w:t>
            </w:r>
            <w:r>
              <w:rPr>
                <w:rFonts w:ascii="Times New Roman"/>
                <w:spacing w:val="-1"/>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或有事项" w:id="474"/>
      <w:bookmarkEnd w:id="474"/>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3、其他" w:id="475"/>
      <w:bookmarkEnd w:id="475"/>
      <w:r>
        <w:rPr>
          <w:b w:val="0"/>
          <w:bCs w:val="0"/>
        </w:rPr>
      </w:r>
      <w:r>
        <w:rPr>
          <w:rFonts w:ascii="Times New Roman" w:hAnsi="Times New Roman" w:cs="Times New Roman" w:eastAsia="Times New Roman" w:hint="default"/>
        </w:rPr>
        <w:t>3</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after="0" w:line="240"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bookmarkStart w:name="十五、资产负债表日后事项" w:id="476"/>
      <w:bookmarkEnd w:id="476"/>
      <w:r>
        <w:rPr>
          <w:b w:val="0"/>
          <w:bCs w:val="0"/>
        </w:rPr>
      </w:r>
      <w:r>
        <w:rPr/>
        <w:t>十五、资产负债表日后事项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重要的非调整事项" w:id="477"/>
      <w:bookmarkEnd w:id="477"/>
      <w:r>
        <w:rPr>
          <w:b w:val="0"/>
          <w:bCs w:val="0"/>
        </w:rPr>
      </w:r>
      <w:r>
        <w:rPr>
          <w:rFonts w:ascii="Times New Roman" w:hAnsi="Times New Roman" w:cs="Times New Roman" w:eastAsia="Times New Roman" w:hint="default"/>
        </w:rPr>
        <w:t>1</w:t>
      </w:r>
      <w:r>
        <w:rPr/>
        <w:t>、重要的非调整事项</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2、利润分配情况" w:id="478"/>
      <w:bookmarkEnd w:id="478"/>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24"/>
          <w:szCs w:val="24"/>
        </w:rPr>
      </w:pPr>
    </w:p>
    <w:p>
      <w:pPr>
        <w:pStyle w:val="Heading3"/>
        <w:spacing w:line="240" w:lineRule="auto" w:before="36"/>
        <w:ind w:right="1133"/>
        <w:jc w:val="left"/>
        <w:rPr>
          <w:b w:val="0"/>
          <w:bCs w:val="0"/>
        </w:rPr>
      </w:pPr>
      <w:bookmarkStart w:name="3、销售退回" w:id="479"/>
      <w:bookmarkEnd w:id="479"/>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1"/>
        <w:ind w:right="1133"/>
        <w:jc w:val="left"/>
        <w:rPr>
          <w:b w:val="0"/>
          <w:bCs w:val="0"/>
        </w:rPr>
      </w:pPr>
      <w:bookmarkStart w:name="4、其他资产负债表日后事项说明" w:id="480"/>
      <w:bookmarkEnd w:id="480"/>
      <w:r>
        <w:rPr>
          <w:b w:val="0"/>
          <w:bCs w:val="0"/>
        </w:rPr>
      </w:r>
      <w:r>
        <w:rPr>
          <w:rFonts w:ascii="Times New Roman" w:hAnsi="Times New Roman" w:cs="Times New Roman" w:eastAsia="Times New Roman" w:hint="default"/>
        </w:rPr>
        <w:t>4</w:t>
      </w:r>
      <w:r>
        <w:rPr/>
        <w:t>、其他资产负债表日后事项说明</w:t>
      </w:r>
      <w:r>
        <w:rPr>
          <w:b w:val="0"/>
          <w:bCs w:val="0"/>
        </w:rPr>
      </w:r>
    </w:p>
    <w:p>
      <w:pPr>
        <w:pStyle w:val="BodyText"/>
        <w:spacing w:line="560" w:lineRule="atLeast" w:before="20"/>
        <w:ind w:left="513" w:right="1123"/>
        <w:jc w:val="left"/>
      </w:pPr>
      <w:r>
        <w:rPr/>
        <w:t>（</w:t>
      </w:r>
      <w:r>
        <w:rPr>
          <w:rFonts w:ascii="宋体" w:hAnsi="宋体" w:cs="宋体" w:eastAsia="宋体" w:hint="default"/>
        </w:rPr>
        <w:t>1</w:t>
      </w:r>
      <w:r>
        <w:rPr/>
        <w:t>）关于回购公司股份进展情况 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日召开的第四届董事会第六次（临时）会议，审议通过了《关于采用集中竞价方式回购公司股份的</w:t>
      </w:r>
    </w:p>
    <w:p>
      <w:pPr>
        <w:pStyle w:val="BodyText"/>
        <w:spacing w:line="300" w:lineRule="auto" w:before="63"/>
        <w:ind w:right="0"/>
        <w:jc w:val="left"/>
      </w:pPr>
      <w:r>
        <w:rPr>
          <w:spacing w:val="-2"/>
        </w:rPr>
        <w:t>方案》，并于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15</w:t>
      </w:r>
      <w:r>
        <w:rPr>
          <w:spacing w:val="-2"/>
        </w:rPr>
        <w:t>日披露了《回购股份报告书》。公司于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17</w:t>
      </w:r>
      <w:r>
        <w:rPr>
          <w:spacing w:val="-2"/>
        </w:rPr>
        <w:t>日首次通过股份回购专用证券账户以集中竞价</w:t>
      </w:r>
      <w:r>
        <w:rPr>
          <w:spacing w:val="-55"/>
        </w:rPr>
        <w:t> </w:t>
      </w:r>
      <w:r>
        <w:rPr>
          <w:spacing w:val="-55"/>
        </w:rPr>
      </w:r>
      <w:r>
        <w:rPr>
          <w:spacing w:val="-2"/>
        </w:rPr>
        <w:t>交易方式回购公司股份。公司于</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12</w:t>
      </w:r>
      <w:r>
        <w:rPr>
          <w:spacing w:val="-2"/>
        </w:rPr>
        <w:t>日召开的第四届董事会第十二次（临时）会议和第四届监事会第十一次（临时）</w:t>
      </w:r>
      <w:r>
        <w:rPr>
          <w:spacing w:val="-60"/>
        </w:rPr>
        <w:t> </w:t>
      </w:r>
      <w:r>
        <w:rPr>
          <w:spacing w:val="-60"/>
        </w:rPr>
      </w:r>
      <w:r>
        <w:rPr/>
        <w:t>会议审议通过了《关于终止回购公司股份的议案》，但该议案未获得</w:t>
      </w:r>
      <w:r>
        <w:rPr>
          <w:rFonts w:ascii="Times New Roman" w:hAnsi="Times New Roman" w:cs="Times New Roman" w:eastAsia="Times New Roman" w:hint="default"/>
        </w:rPr>
        <w:t>2020</w:t>
      </w:r>
      <w:r>
        <w:rPr/>
        <w:t>年第二次临时股东大会审议通过。截至</w:t>
      </w:r>
      <w:r>
        <w:rPr>
          <w:rFonts w:ascii="宋体" w:hAnsi="宋体" w:cs="宋体" w:eastAsia="宋体" w:hint="default"/>
        </w:rPr>
        <w:t>2020</w:t>
      </w:r>
      <w:r>
        <w:rPr/>
        <w:t>年</w:t>
      </w:r>
      <w:r>
        <w:rPr>
          <w:rFonts w:ascii="宋体" w:hAnsi="宋体" w:cs="宋体" w:eastAsia="宋体" w:hint="default"/>
        </w:rPr>
        <w:t>4</w:t>
      </w:r>
      <w:r>
        <w:rPr/>
        <w:t>月</w:t>
      </w:r>
      <w:r>
        <w:rPr>
          <w:spacing w:val="-85"/>
        </w:rPr>
        <w:t> </w:t>
      </w:r>
      <w:r>
        <w:rPr>
          <w:rFonts w:ascii="宋体" w:hAnsi="宋体" w:cs="宋体" w:eastAsia="宋体" w:hint="default"/>
          <w:spacing w:val="4"/>
        </w:rPr>
        <w:t>28</w:t>
      </w:r>
      <w:r>
        <w:rPr>
          <w:spacing w:val="4"/>
        </w:rPr>
        <w:t>日，公司已通过股份回购专用证券账户以集中竞价交易方式累计回购公司股份</w:t>
      </w:r>
      <w:r>
        <w:rPr>
          <w:rFonts w:ascii="宋体" w:hAnsi="宋体" w:cs="宋体" w:eastAsia="宋体" w:hint="default"/>
          <w:spacing w:val="4"/>
        </w:rPr>
        <w:t>25,799,400</w:t>
      </w:r>
      <w:r>
        <w:rPr>
          <w:spacing w:val="4"/>
        </w:rPr>
        <w:t>股，约占当前公司总股本的</w:t>
      </w:r>
    </w:p>
    <w:p>
      <w:pPr>
        <w:pStyle w:val="BodyText"/>
        <w:spacing w:line="240" w:lineRule="auto" w:before="31"/>
        <w:ind w:right="1133"/>
        <w:jc w:val="left"/>
      </w:pPr>
      <w:r>
        <w:rPr>
          <w:rFonts w:ascii="宋体" w:hAnsi="宋体" w:cs="宋体" w:eastAsia="宋体" w:hint="default"/>
        </w:rPr>
        <w:t>2.08%</w:t>
      </w:r>
      <w:r>
        <w:rPr/>
        <w:t>，最高成交价为</w:t>
      </w:r>
      <w:r>
        <w:rPr>
          <w:rFonts w:ascii="宋体" w:hAnsi="宋体" w:cs="宋体" w:eastAsia="宋体" w:hint="default"/>
        </w:rPr>
        <w:t>9.30</w:t>
      </w:r>
      <w:r>
        <w:rPr/>
        <w:t>元</w:t>
      </w:r>
      <w:r>
        <w:rPr>
          <w:rFonts w:ascii="宋体" w:hAnsi="宋体" w:cs="宋体" w:eastAsia="宋体" w:hint="default"/>
        </w:rPr>
        <w:t>/</w:t>
      </w:r>
      <w:r>
        <w:rPr/>
        <w:t>股，最低成交价为</w:t>
      </w:r>
      <w:r>
        <w:rPr>
          <w:rFonts w:ascii="宋体" w:hAnsi="宋体" w:cs="宋体" w:eastAsia="宋体" w:hint="default"/>
        </w:rPr>
        <w:t>6.27</w:t>
      </w:r>
      <w:r>
        <w:rPr/>
        <w:t>元</w:t>
      </w:r>
      <w:r>
        <w:rPr>
          <w:rFonts w:ascii="宋体" w:hAnsi="宋体" w:cs="宋体" w:eastAsia="宋体" w:hint="default"/>
        </w:rPr>
        <w:t>/</w:t>
      </w:r>
      <w:r>
        <w:rPr/>
        <w:t>股，成交总金额为</w:t>
      </w:r>
      <w:r>
        <w:rPr>
          <w:rFonts w:ascii="宋体" w:hAnsi="宋体" w:cs="宋体" w:eastAsia="宋体" w:hint="default"/>
        </w:rPr>
        <w:t>197,996,985.08</w:t>
      </w:r>
      <w:r>
        <w:rPr/>
        <w:t>元（含交易费用）。</w:t>
      </w:r>
    </w:p>
    <w:p>
      <w:pPr>
        <w:pStyle w:val="BodyText"/>
        <w:spacing w:line="552" w:lineRule="exact" w:before="85"/>
        <w:ind w:left="513" w:right="1133"/>
        <w:jc w:val="left"/>
        <w:rPr>
          <w:rFonts w:ascii="Times New Roman" w:hAnsi="Times New Roman" w:cs="Times New Roman" w:eastAsia="Times New Roman" w:hint="default"/>
        </w:rPr>
      </w:pPr>
      <w:r>
        <w:rPr/>
        <w:t>（</w:t>
      </w:r>
      <w:r>
        <w:rPr>
          <w:rFonts w:ascii="宋体" w:hAnsi="宋体" w:cs="宋体" w:eastAsia="宋体" w:hint="default"/>
        </w:rPr>
        <w:t>2</w:t>
      </w:r>
      <w:r>
        <w:rPr/>
        <w:t>）关于股权激励计划终止实施及部分限制性股票回购注销进展情况 公司分别于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13</w:t>
      </w:r>
      <w:r>
        <w:rPr/>
        <w:t>日的公司第四届董事会第十次（临时）会议和第四届监事会第九次（临时）会议以及</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2</w:t>
      </w:r>
    </w:p>
    <w:p>
      <w:pPr>
        <w:pStyle w:val="BodyText"/>
        <w:spacing w:line="300" w:lineRule="auto"/>
        <w:ind w:right="1129"/>
        <w:jc w:val="both"/>
      </w:pPr>
      <w:r>
        <w:rPr>
          <w:spacing w:val="-2"/>
        </w:rPr>
        <w:t>月</w:t>
      </w:r>
      <w:r>
        <w:rPr>
          <w:rFonts w:ascii="Times New Roman" w:hAnsi="Times New Roman" w:cs="Times New Roman" w:eastAsia="Times New Roman" w:hint="default"/>
          <w:spacing w:val="-2"/>
        </w:rPr>
        <w:t>10</w:t>
      </w:r>
      <w:r>
        <w:rPr>
          <w:spacing w:val="-2"/>
        </w:rPr>
        <w:t>日召开</w:t>
      </w:r>
      <w:r>
        <w:rPr>
          <w:rFonts w:ascii="Times New Roman" w:hAnsi="Times New Roman" w:cs="Times New Roman" w:eastAsia="Times New Roman" w:hint="default"/>
          <w:spacing w:val="-2"/>
        </w:rPr>
        <w:t>2020</w:t>
      </w:r>
      <w:r>
        <w:rPr>
          <w:spacing w:val="-2"/>
        </w:rPr>
        <w:t>年第一次临时股东大会，审议通过了《关于回购注销不符合激励条件激励对象的限制性股票并终止实施</w:t>
      </w:r>
      <w:r>
        <w:rPr>
          <w:rFonts w:ascii="Times New Roman" w:hAnsi="Times New Roman" w:cs="Times New Roman" w:eastAsia="Times New Roman" w:hint="default"/>
          <w:spacing w:val="-2"/>
        </w:rPr>
        <w:t>2018</w:t>
      </w:r>
      <w:r>
        <w:rPr>
          <w:rFonts w:ascii="Times New Roman" w:hAnsi="Times New Roman" w:cs="Times New Roman" w:eastAsia="Times New Roman" w:hint="default"/>
          <w:spacing w:val="-12"/>
        </w:rPr>
        <w:t> </w:t>
      </w:r>
      <w:r>
        <w:rPr>
          <w:rFonts w:ascii="Times New Roman" w:hAnsi="Times New Roman" w:cs="Times New Roman" w:eastAsia="Times New Roman" w:hint="default"/>
          <w:spacing w:val="-12"/>
        </w:rPr>
      </w:r>
      <w:r>
        <w:rPr/>
        <w:t>年限制性股票激励计划暨回购注销已授予但尚未解除限售的全部限制性股票的议案》，同意公司回购注销</w:t>
      </w:r>
      <w:r>
        <w:rPr>
          <w:rFonts w:ascii="Times New Roman" w:hAnsi="Times New Roman" w:cs="Times New Roman" w:eastAsia="Times New Roman" w:hint="default"/>
        </w:rPr>
        <w:t>4</w:t>
      </w:r>
      <w:r>
        <w:rPr/>
        <w:t>名离职激励对象</w:t>
      </w:r>
      <w:r>
        <w:rPr>
          <w:spacing w:val="-82"/>
        </w:rPr>
        <w:t> </w:t>
      </w:r>
      <w:r>
        <w:rPr/>
        <w:t>已授予但尚未解除限售的限制性股票</w:t>
      </w:r>
      <w:r>
        <w:rPr>
          <w:rFonts w:ascii="Times New Roman" w:hAnsi="Times New Roman" w:cs="Times New Roman" w:eastAsia="Times New Roman" w:hint="default"/>
        </w:rPr>
        <w:t>251.40</w:t>
      </w:r>
      <w:r>
        <w:rPr/>
        <w:t>万股，回购价格为</w:t>
      </w:r>
      <w:r>
        <w:rPr>
          <w:rFonts w:ascii="Times New Roman" w:hAnsi="Times New Roman" w:cs="Times New Roman" w:eastAsia="Times New Roman" w:hint="default"/>
        </w:rPr>
        <w:t>5.01</w:t>
      </w:r>
      <w:r>
        <w:rPr/>
        <w:t>元；同意公司终止实施</w:t>
      </w:r>
      <w:r>
        <w:rPr>
          <w:rFonts w:ascii="Times New Roman" w:hAnsi="Times New Roman" w:cs="Times New Roman" w:eastAsia="Times New Roman" w:hint="default"/>
        </w:rPr>
        <w:t>2018</w:t>
      </w:r>
      <w:r>
        <w:rPr/>
        <w:t>年限制性股票激励计划并回购 注销已授予但尚未解除限售的其他剩余限制性股票</w:t>
      </w:r>
      <w:r>
        <w:rPr>
          <w:rFonts w:ascii="Times New Roman" w:hAnsi="Times New Roman" w:cs="Times New Roman" w:eastAsia="Times New Roman" w:hint="default"/>
        </w:rPr>
        <w:t>318.60</w:t>
      </w:r>
      <w:r>
        <w:rPr/>
        <w:t>万股，回购价格为</w:t>
      </w:r>
      <w:r>
        <w:rPr>
          <w:rFonts w:ascii="Times New Roman" w:hAnsi="Times New Roman" w:cs="Times New Roman" w:eastAsia="Times New Roman" w:hint="default"/>
        </w:rPr>
        <w:t>5.10</w:t>
      </w:r>
      <w:r>
        <w:rPr/>
        <w:t>元。本次全部回购注销已授予但尚未解除限</w:t>
      </w:r>
      <w:r>
        <w:rPr>
          <w:spacing w:val="-85"/>
        </w:rPr>
        <w:t> </w:t>
      </w:r>
      <w:r>
        <w:rPr>
          <w:spacing w:val="-85"/>
        </w:rPr>
      </w:r>
      <w:r>
        <w:rPr>
          <w:spacing w:val="-1"/>
        </w:rPr>
        <w:t>售的限制性股票合计</w:t>
      </w:r>
      <w:r>
        <w:rPr>
          <w:rFonts w:ascii="Times New Roman" w:hAnsi="Times New Roman" w:cs="Times New Roman" w:eastAsia="Times New Roman" w:hint="default"/>
          <w:spacing w:val="-1"/>
        </w:rPr>
        <w:t>570</w:t>
      </w:r>
      <w:r>
        <w:rPr>
          <w:spacing w:val="-1"/>
        </w:rPr>
        <w:t>万股，占公司当时总股本的</w:t>
      </w:r>
      <w:r>
        <w:rPr>
          <w:rFonts w:ascii="Times New Roman" w:hAnsi="Times New Roman" w:cs="Times New Roman" w:eastAsia="Times New Roman" w:hint="default"/>
          <w:spacing w:val="-1"/>
        </w:rPr>
        <w:t>0.46%</w:t>
      </w:r>
      <w:r>
        <w:rPr>
          <w:spacing w:val="-1"/>
        </w:rPr>
        <w:t>。截止</w:t>
      </w:r>
      <w:r>
        <w:rPr>
          <w:rFonts w:ascii="Times New Roman" w:hAnsi="Times New Roman" w:cs="Times New Roman" w:eastAsia="Times New Roman" w:hint="default"/>
          <w:spacing w:val="-1"/>
        </w:rPr>
        <w:t>2020</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14</w:t>
      </w:r>
      <w:r>
        <w:rPr>
          <w:spacing w:val="-1"/>
        </w:rPr>
        <w:t>日，上述限制性股票已在中国证券登记结算有</w:t>
      </w:r>
      <w:r>
        <w:rPr>
          <w:spacing w:val="-41"/>
        </w:rPr>
        <w:t> </w:t>
      </w:r>
      <w:r>
        <w:rPr>
          <w:spacing w:val="-41"/>
        </w:rPr>
      </w:r>
      <w:r>
        <w:rPr/>
        <w:t>限责任公司深圳分公司完成注销手续。</w:t>
      </w:r>
    </w:p>
    <w:p>
      <w:pPr>
        <w:pStyle w:val="BodyText"/>
        <w:spacing w:line="552" w:lineRule="exact" w:before="40"/>
        <w:ind w:left="513" w:right="1123"/>
        <w:jc w:val="left"/>
      </w:pPr>
      <w:r>
        <w:rPr/>
        <w:t>（</w:t>
      </w:r>
      <w:r>
        <w:rPr>
          <w:rFonts w:ascii="宋体" w:hAnsi="宋体" w:cs="宋体" w:eastAsia="宋体" w:hint="default"/>
        </w:rPr>
        <w:t>3</w:t>
      </w:r>
      <w:r>
        <w:rPr/>
        <w:t>）关于公司非公开发行股票相关事宜 公司于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13</w:t>
      </w:r>
      <w:r>
        <w:rPr/>
        <w:t>日召开的第四届董事会第十二次（临时）会议和第四届监事会第十一次（临时）会议审议通过了关</w:t>
      </w:r>
    </w:p>
    <w:p>
      <w:pPr>
        <w:pStyle w:val="BodyText"/>
        <w:spacing w:line="300" w:lineRule="auto"/>
        <w:ind w:right="1040"/>
        <w:jc w:val="left"/>
      </w:pPr>
      <w:r>
        <w:rPr/>
        <w:t>于公司非公开发行股票的相关议案，</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日公司召开了</w:t>
      </w:r>
      <w:r>
        <w:rPr>
          <w:rFonts w:ascii="Times New Roman" w:hAnsi="Times New Roman" w:cs="Times New Roman" w:eastAsia="Times New Roman" w:hint="default"/>
        </w:rPr>
        <w:t>2020</w:t>
      </w:r>
      <w:r>
        <w:rPr/>
        <w:t>年第二次临时股东大会审议关于公司非公开发行股票相</w:t>
      </w:r>
      <w:r>
        <w:rPr>
          <w:spacing w:val="-87"/>
        </w:rPr>
        <w:t> </w:t>
      </w:r>
      <w:r>
        <w:rPr>
          <w:spacing w:val="-87"/>
        </w:rPr>
      </w:r>
      <w:r>
        <w:rPr>
          <w:spacing w:val="-1"/>
        </w:rPr>
        <w:t>关议案，由于同意票数未能达到出席股东大会有表决权股份总数的</w:t>
      </w:r>
      <w:r>
        <w:rPr>
          <w:rFonts w:ascii="Times New Roman" w:hAnsi="Times New Roman" w:cs="Times New Roman" w:eastAsia="Times New Roman" w:hint="default"/>
          <w:spacing w:val="-1"/>
        </w:rPr>
        <w:t>2/3</w:t>
      </w:r>
      <w:r>
        <w:rPr>
          <w:spacing w:val="-1"/>
        </w:rPr>
        <w:t>，公司非公开发行股票事项未获得股东大会审议通过。</w:t>
      </w:r>
    </w:p>
    <w:p>
      <w:pPr>
        <w:pStyle w:val="BodyText"/>
        <w:spacing w:line="552" w:lineRule="exact" w:before="21"/>
        <w:ind w:left="513" w:right="0"/>
        <w:jc w:val="left"/>
      </w:pPr>
      <w:r>
        <w:rPr/>
        <w:t>（</w:t>
      </w:r>
      <w:r>
        <w:rPr>
          <w:rFonts w:ascii="宋体" w:hAnsi="宋体" w:cs="宋体" w:eastAsia="宋体" w:hint="default"/>
        </w:rPr>
        <w:t>4</w:t>
      </w:r>
      <w:r>
        <w:rPr/>
        <w:t>）关于公司受让上海和达汽车配件有限公司</w:t>
      </w:r>
      <w:r>
        <w:rPr>
          <w:rFonts w:ascii="Times New Roman" w:hAnsi="Times New Roman" w:cs="Times New Roman" w:eastAsia="Times New Roman" w:hint="default"/>
        </w:rPr>
        <w:t>25%</w:t>
      </w:r>
      <w:r>
        <w:rPr/>
        <w:t>股权事项 </w:t>
      </w:r>
      <w:r>
        <w:rPr>
          <w:spacing w:val="-2"/>
        </w:rPr>
        <w:t>公司于</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6</w:t>
      </w:r>
      <w:r>
        <w:rPr>
          <w:spacing w:val="-2"/>
        </w:rPr>
        <w:t>日与宁波阮润庆泰股权投资合伙企业（有限合伙）签订股权收购协议书，公司受让宁波阮润庆泰股权</w:t>
      </w:r>
    </w:p>
    <w:p>
      <w:pPr>
        <w:pStyle w:val="BodyText"/>
        <w:spacing w:line="241" w:lineRule="exact"/>
        <w:ind w:right="1133"/>
        <w:jc w:val="left"/>
      </w:pPr>
      <w:r>
        <w:rPr/>
        <w:t>投资合伙企业（有限合伙）持有的上海和达汽车配件有限公司</w:t>
      </w:r>
      <w:r>
        <w:rPr>
          <w:rFonts w:ascii="Times New Roman" w:hAnsi="Times New Roman" w:cs="Times New Roman" w:eastAsia="Times New Roman" w:hint="default"/>
        </w:rPr>
        <w:t>25%</w:t>
      </w:r>
      <w:r>
        <w:rPr/>
        <w:t>股权，股权转让价格为</w:t>
      </w:r>
      <w:r>
        <w:rPr>
          <w:rFonts w:ascii="Times New Roman" w:hAnsi="Times New Roman" w:cs="Times New Roman" w:eastAsia="Times New Roman" w:hint="default"/>
        </w:rPr>
        <w:t>61,780,650</w:t>
      </w:r>
      <w:r>
        <w:rPr/>
        <w:t>元</w:t>
      </w:r>
      <w:r>
        <w:rPr>
          <w:rFonts w:ascii="Times New Roman" w:hAnsi="Times New Roman" w:cs="Times New Roman" w:eastAsia="Times New Roman" w:hint="default"/>
        </w:rPr>
        <w:t>.</w:t>
      </w:r>
      <w:r>
        <w:rPr/>
        <w:t>公司已于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p>
    <w:p>
      <w:pPr>
        <w:pStyle w:val="BodyText"/>
        <w:spacing w:line="240" w:lineRule="auto" w:before="62"/>
        <w:ind w:right="0"/>
        <w:jc w:val="left"/>
      </w:pPr>
      <w:r>
        <w:rPr>
          <w:rFonts w:ascii="Times New Roman" w:hAnsi="Times New Roman" w:cs="Times New Roman" w:eastAsia="Times New Roman" w:hint="default"/>
        </w:rPr>
        <w:t>30</w:t>
      </w:r>
      <w:r>
        <w:rPr/>
        <w:t>日支付</w:t>
      </w:r>
      <w:r>
        <w:rPr>
          <w:rFonts w:ascii="Times New Roman" w:hAnsi="Times New Roman" w:cs="Times New Roman" w:eastAsia="Times New Roman" w:hint="default"/>
        </w:rPr>
        <w:t>30%</w:t>
      </w:r>
      <w:r>
        <w:rPr/>
        <w:t>股权转让款，目前正在办理工商变更过程，待工商变更结束后，公司支付剩余</w:t>
      </w:r>
      <w:r>
        <w:rPr>
          <w:rFonts w:ascii="Times New Roman" w:hAnsi="Times New Roman" w:cs="Times New Roman" w:eastAsia="Times New Roman" w:hint="default"/>
        </w:rPr>
        <w:t>70%</w:t>
      </w:r>
      <w:r>
        <w:rPr/>
        <w:t>股权转让款。本次股权转让</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结束后，上海和达汽车配件有限公司将成为公司的全资子公司。</w:t>
      </w:r>
    </w:p>
    <w:p>
      <w:pPr>
        <w:pStyle w:val="BodyText"/>
        <w:spacing w:line="540" w:lineRule="atLeast" w:before="26"/>
        <w:ind w:left="513" w:right="1123"/>
        <w:jc w:val="left"/>
      </w:pPr>
      <w:r>
        <w:rPr/>
        <w:t>（</w:t>
      </w:r>
      <w:r>
        <w:rPr>
          <w:rFonts w:ascii="Times New Roman" w:hAnsi="Times New Roman" w:cs="Times New Roman" w:eastAsia="Times New Roman" w:hint="default"/>
        </w:rPr>
        <w:t>5</w:t>
      </w:r>
      <w:r>
        <w:rPr/>
        <w:t>）对新型冠状病毒肺炎疫情的影响评估 新型冠状病毒肺炎疫情自</w:t>
      </w:r>
      <w:r>
        <w:rPr>
          <w:rFonts w:ascii="宋体" w:hAnsi="宋体" w:cs="宋体" w:eastAsia="宋体" w:hint="default"/>
        </w:rPr>
        <w:t>2020</w:t>
      </w:r>
      <w:r>
        <w:rPr/>
        <w:t>年</w:t>
      </w:r>
      <w:r>
        <w:rPr>
          <w:rFonts w:ascii="宋体" w:hAnsi="宋体" w:cs="宋体" w:eastAsia="宋体" w:hint="default"/>
        </w:rPr>
        <w:t>1</w:t>
      </w:r>
      <w:r>
        <w:rPr/>
        <w:t>月以来先后在国内外爆发，对疫情的防控工作正在全球范围内持续进行。本集团积极</w:t>
      </w:r>
    </w:p>
    <w:p>
      <w:pPr>
        <w:pStyle w:val="BodyText"/>
        <w:spacing w:line="240" w:lineRule="auto" w:before="76"/>
        <w:ind w:right="1133"/>
        <w:jc w:val="left"/>
      </w:pPr>
      <w:r>
        <w:rPr/>
        <w:t>响应并严格执行党和国家各级政府对疫情防控的各项规定和要求，制定了详细的管控措施，保证了生产的正常运行。</w:t>
      </w:r>
    </w:p>
    <w:p>
      <w:pPr>
        <w:spacing w:line="240" w:lineRule="auto" w:before="2"/>
        <w:rPr>
          <w:rFonts w:ascii="宋体" w:hAnsi="宋体" w:cs="宋体" w:eastAsia="宋体" w:hint="default"/>
          <w:sz w:val="24"/>
          <w:szCs w:val="24"/>
        </w:rPr>
      </w:pPr>
    </w:p>
    <w:p>
      <w:pPr>
        <w:pStyle w:val="BodyText"/>
        <w:spacing w:line="316" w:lineRule="auto"/>
        <w:ind w:right="0" w:firstLine="360"/>
        <w:jc w:val="left"/>
      </w:pPr>
      <w:r>
        <w:rPr>
          <w:spacing w:val="-2"/>
        </w:rPr>
        <w:t>本集团预计此次疫情将对本集团的生产和经营有一定的影响，未来存在不确定性因素。本集团将继续密切关注疫情的发</w:t>
      </w:r>
      <w:r>
        <w:rPr/>
        <w:t> 展情况，并评估和积极应对其对本集团财务状况、经营成果等方面的影响。</w:t>
      </w:r>
    </w:p>
    <w:p>
      <w:pPr>
        <w:spacing w:line="240" w:lineRule="auto" w:before="11"/>
        <w:rPr>
          <w:rFonts w:ascii="宋体" w:hAnsi="宋体" w:cs="宋体" w:eastAsia="宋体" w:hint="default"/>
          <w:sz w:val="20"/>
          <w:szCs w:val="20"/>
        </w:rPr>
      </w:pPr>
    </w:p>
    <w:p>
      <w:pPr>
        <w:spacing w:line="506" w:lineRule="auto" w:before="0"/>
        <w:ind w:left="152" w:right="8585" w:firstLine="0"/>
        <w:jc w:val="left"/>
        <w:rPr>
          <w:rFonts w:ascii="宋体" w:hAnsi="宋体" w:cs="宋体" w:eastAsia="宋体" w:hint="default"/>
          <w:sz w:val="18"/>
          <w:szCs w:val="18"/>
        </w:rPr>
      </w:pPr>
      <w:bookmarkStart w:name="十六、其他重要事项" w:id="481"/>
      <w:bookmarkEnd w:id="481"/>
      <w:r>
        <w:rPr/>
      </w:r>
      <w:r>
        <w:rPr>
          <w:rFonts w:ascii="宋体" w:hAnsi="宋体" w:cs="宋体" w:eastAsia="宋体" w:hint="default"/>
          <w:b/>
          <w:bCs/>
          <w:sz w:val="24"/>
          <w:szCs w:val="24"/>
        </w:rPr>
        <w:t>十六、其他重要事项</w:t>
      </w:r>
      <w:r>
        <w:rPr>
          <w:rFonts w:ascii="宋体" w:hAnsi="宋体" w:cs="宋体" w:eastAsia="宋体" w:hint="default"/>
          <w:b/>
          <w:bCs/>
          <w:w w:val="99"/>
          <w:sz w:val="24"/>
          <w:szCs w:val="24"/>
        </w:rPr>
        <w:t> </w:t>
      </w:r>
      <w:bookmarkStart w:name="1、前期会计差错更正" w:id="482"/>
      <w:bookmarkEnd w:id="482"/>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、前期会计差错更正</w:t>
      </w:r>
      <w:r>
        <w:rPr>
          <w:rFonts w:ascii="宋体" w:hAnsi="宋体" w:cs="宋体" w:eastAsia="宋体" w:hint="default"/>
          <w:b/>
          <w:bCs/>
          <w:w w:val="100"/>
          <w:sz w:val="21"/>
          <w:szCs w:val="21"/>
        </w:rPr>
        <w:t> </w:t>
      </w:r>
      <w:r>
        <w:rPr>
          <w:rFonts w:ascii="宋体" w:hAnsi="宋体" w:cs="宋体" w:eastAsia="宋体" w:hint="default"/>
          <w:sz w:val="18"/>
          <w:szCs w:val="18"/>
        </w:rPr>
        <w:t>无。</w:t>
      </w:r>
    </w:p>
    <w:p>
      <w:pPr>
        <w:pStyle w:val="Heading3"/>
        <w:spacing w:line="240" w:lineRule="auto" w:before="156"/>
        <w:ind w:right="1133"/>
        <w:jc w:val="left"/>
        <w:rPr>
          <w:b w:val="0"/>
          <w:bCs w:val="0"/>
        </w:rPr>
      </w:pPr>
      <w:bookmarkStart w:name="2、债务重组" w:id="483"/>
      <w:bookmarkEnd w:id="483"/>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3、资产置换" w:id="484"/>
      <w:bookmarkEnd w:id="484"/>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4、年金计划" w:id="485"/>
      <w:bookmarkEnd w:id="485"/>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5、终止经营" w:id="486"/>
      <w:bookmarkEnd w:id="486"/>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6、分部信息" w:id="487"/>
      <w:bookmarkEnd w:id="487"/>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报告分部的确定依据与会计政策" w:id="488"/>
      <w:bookmarkEnd w:id="488"/>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pStyle w:val="BodyText"/>
        <w:spacing w:line="550" w:lineRule="atLeast" w:before="28"/>
        <w:ind w:left="513" w:right="0"/>
        <w:jc w:val="left"/>
      </w:pPr>
      <w:r>
        <w:rPr/>
        <w:t>报告分部的确定依据与会计政策 </w:t>
      </w:r>
      <w:r>
        <w:rPr>
          <w:spacing w:val="-2"/>
        </w:rPr>
        <w:t>本公司以内部组织结构、管理要求、内部报告制度、经营业务板块为依据确定经营分部。本公司的经营分部是指同时满</w:t>
      </w:r>
    </w:p>
    <w:p>
      <w:pPr>
        <w:pStyle w:val="BodyText"/>
        <w:spacing w:line="240" w:lineRule="auto" w:before="76"/>
        <w:ind w:right="1133"/>
        <w:jc w:val="left"/>
      </w:pPr>
      <w:r>
        <w:rPr/>
        <w:t>足下列条件的组成部分：</w:t>
      </w:r>
    </w:p>
    <w:p>
      <w:pPr>
        <w:spacing w:line="240" w:lineRule="auto" w:before="2"/>
        <w:rPr>
          <w:rFonts w:ascii="宋体" w:hAnsi="宋体" w:cs="宋体" w:eastAsia="宋体" w:hint="default"/>
          <w:sz w:val="24"/>
          <w:szCs w:val="24"/>
        </w:rPr>
      </w:pPr>
    </w:p>
    <w:p>
      <w:pPr>
        <w:pStyle w:val="BodyText"/>
        <w:spacing w:line="240" w:lineRule="auto"/>
        <w:ind w:left="513" w:right="1133"/>
        <w:jc w:val="left"/>
      </w:pPr>
      <w:r>
        <w:rPr/>
        <w:t>（</w:t>
      </w:r>
      <w:r>
        <w:rPr>
          <w:rFonts w:ascii="Times New Roman" w:hAnsi="Times New Roman" w:cs="Times New Roman" w:eastAsia="Times New Roman" w:hint="default"/>
        </w:rPr>
        <w:t>1</w:t>
      </w:r>
      <w:r>
        <w:rPr/>
        <w:t>）该组成部分能够在日常活动中产生收入、发生费用；</w:t>
      </w:r>
    </w:p>
    <w:p>
      <w:pPr>
        <w:spacing w:line="240" w:lineRule="auto" w:before="2"/>
        <w:rPr>
          <w:rFonts w:ascii="宋体" w:hAnsi="宋体" w:cs="宋体" w:eastAsia="宋体" w:hint="default"/>
          <w:sz w:val="23"/>
          <w:szCs w:val="23"/>
        </w:rPr>
      </w:pPr>
    </w:p>
    <w:p>
      <w:pPr>
        <w:pStyle w:val="BodyText"/>
        <w:spacing w:line="240" w:lineRule="auto"/>
        <w:ind w:left="513" w:right="1133"/>
        <w:jc w:val="left"/>
      </w:pPr>
      <w:r>
        <w:rPr/>
        <w:t>（</w:t>
      </w:r>
      <w:r>
        <w:rPr>
          <w:rFonts w:ascii="Times New Roman" w:hAnsi="Times New Roman" w:cs="Times New Roman" w:eastAsia="Times New Roman" w:hint="default"/>
        </w:rPr>
        <w:t>2</w:t>
      </w:r>
      <w:r>
        <w:rPr/>
        <w:t>）管理层能够定期评价该组成部分的经营成果，以决定向其配置资源、评价其业绩；</w:t>
      </w:r>
    </w:p>
    <w:p>
      <w:pPr>
        <w:spacing w:line="240" w:lineRule="auto" w:before="2"/>
        <w:rPr>
          <w:rFonts w:ascii="宋体" w:hAnsi="宋体" w:cs="宋体" w:eastAsia="宋体" w:hint="default"/>
          <w:sz w:val="23"/>
          <w:szCs w:val="23"/>
        </w:rPr>
      </w:pPr>
    </w:p>
    <w:p>
      <w:pPr>
        <w:pStyle w:val="BodyText"/>
        <w:spacing w:line="240" w:lineRule="auto"/>
        <w:ind w:left="513" w:right="1133"/>
        <w:jc w:val="left"/>
      </w:pPr>
      <w:r>
        <w:rPr/>
        <w:t>（</w:t>
      </w:r>
      <w:r>
        <w:rPr>
          <w:rFonts w:ascii="Times New Roman" w:hAnsi="Times New Roman" w:cs="Times New Roman" w:eastAsia="Times New Roman" w:hint="default"/>
        </w:rPr>
        <w:t>3</w:t>
      </w:r>
      <w:r>
        <w:rPr/>
        <w:t>）能够取得该组成部分的财务状况、经营成果和现金流量等有关会计信息。</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513" w:right="1133"/>
        <w:jc w:val="left"/>
      </w:pPr>
      <w:r>
        <w:rPr/>
        <w:t>据此，本公司报告分部划分为智能制造分部和金融科技分部。</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2）报告分部的财务信息" w:id="489"/>
      <w:bookmarkEnd w:id="489"/>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2"/>
        <w:gridCol w:w="1925"/>
        <w:gridCol w:w="1916"/>
        <w:gridCol w:w="1913"/>
        <w:gridCol w:w="1916"/>
      </w:tblGrid>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4" w:right="0"/>
              <w:jc w:val="left"/>
              <w:rPr>
                <w:rFonts w:ascii="宋体" w:hAnsi="宋体" w:cs="宋体" w:eastAsia="宋体" w:hint="default"/>
                <w:sz w:val="18"/>
                <w:szCs w:val="18"/>
              </w:rPr>
            </w:pPr>
            <w:r>
              <w:rPr>
                <w:rFonts w:ascii="宋体" w:hAnsi="宋体" w:cs="宋体" w:eastAsia="宋体" w:hint="default"/>
                <w:sz w:val="18"/>
                <w:szCs w:val="18"/>
              </w:rPr>
              <w:t>智能制造分部</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金融科技分部</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4,356,594,354.20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955,370,463.72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9,126,116.36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5,302,838,701.56</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3,940,227,147.84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632,100,464.28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4,990,330.20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4,567,337,281.92</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224,817,517.21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-413,635,865.57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2,249,087,376.01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-2,437,905,724.37</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26,675,906.06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-7,656,137.00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19,019,769.06</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198,141,611.15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-405,979,728.57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2,249,087,376.01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-2,456,925,493.43</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8,599,791,638.45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1,643,190,049.65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3,565,857,962.28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6,677,123,725.82</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1,982,103,898.14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842,719,086.81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2,774,822,984.95</w:t>
            </w:r>
          </w:p>
        </w:tc>
      </w:tr>
    </w:tbl>
    <w:p>
      <w:pPr>
        <w:spacing w:line="240" w:lineRule="auto" w:before="3"/>
        <w:rPr>
          <w:rFonts w:ascii="宋体" w:hAnsi="宋体" w:cs="宋体" w:eastAsia="宋体" w:hint="default"/>
          <w:sz w:val="19"/>
          <w:szCs w:val="19"/>
        </w:rPr>
      </w:pPr>
    </w:p>
    <w:p>
      <w:pPr>
        <w:pStyle w:val="Heading3"/>
        <w:spacing w:line="240" w:lineRule="auto" w:before="36"/>
        <w:ind w:right="0"/>
        <w:jc w:val="both"/>
        <w:rPr>
          <w:b w:val="0"/>
          <w:bCs w:val="0"/>
        </w:rPr>
      </w:pPr>
      <w:bookmarkStart w:name="7、其他对投资者决策有影响的重要交易和事项" w:id="490"/>
      <w:bookmarkEnd w:id="490"/>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pStyle w:val="BodyText"/>
        <w:spacing w:line="550" w:lineRule="atLeast" w:before="43"/>
        <w:ind w:left="513" w:right="1123"/>
        <w:jc w:val="left"/>
      </w:pPr>
      <w:r>
        <w:rPr/>
        <w:t>（</w:t>
      </w:r>
      <w:r>
        <w:rPr>
          <w:rFonts w:ascii="Times New Roman" w:hAnsi="Times New Roman" w:cs="Times New Roman" w:eastAsia="Times New Roman" w:hint="default"/>
        </w:rPr>
        <w:t>1</w:t>
      </w:r>
      <w:r>
        <w:rPr/>
        <w:t>）关于公司第二次回购公司股份进展情况 公司分别于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8</w:t>
      </w:r>
      <w:r>
        <w:rPr/>
        <w:t>日、</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24</w:t>
      </w:r>
      <w:r>
        <w:rPr/>
        <w:t>日召开的第三届董事会第三十一次（临时）会议、</w:t>
      </w:r>
      <w:r>
        <w:rPr>
          <w:rFonts w:ascii="Times New Roman" w:hAnsi="Times New Roman" w:cs="Times New Roman" w:eastAsia="Times New Roman" w:hint="default"/>
        </w:rPr>
        <w:t>2018</w:t>
      </w:r>
      <w:r>
        <w:rPr/>
        <w:t>年第二次临时股东大会，审议</w:t>
      </w:r>
    </w:p>
    <w:p>
      <w:pPr>
        <w:pStyle w:val="BodyText"/>
        <w:spacing w:line="307" w:lineRule="auto" w:before="63"/>
        <w:ind w:right="1128"/>
        <w:jc w:val="both"/>
      </w:pPr>
      <w:r>
        <w:rPr>
          <w:spacing w:val="-2"/>
        </w:rPr>
        <w:t>通过了《关于采用集中竞价方式回购公司股份的预案》、《关于提请股东大会授权公司董事会全权办理回购股份相关事宜的</w:t>
      </w:r>
      <w:r>
        <w:rPr>
          <w:spacing w:val="-66"/>
        </w:rPr>
        <w:t> </w:t>
      </w:r>
      <w:r>
        <w:rPr>
          <w:spacing w:val="-66"/>
        </w:rPr>
      </w:r>
      <w:r>
        <w:rPr>
          <w:spacing w:val="-2"/>
        </w:rPr>
        <w:t>议案》，并于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31</w:t>
      </w:r>
      <w:r>
        <w:rPr>
          <w:spacing w:val="-2"/>
        </w:rPr>
        <w:t>日披露了《回购股份报告书》。截至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21</w:t>
      </w:r>
      <w:r>
        <w:rPr>
          <w:spacing w:val="-2"/>
        </w:rPr>
        <w:t>日，公司本次回购股份计划已全部实施完毕，累</w:t>
      </w:r>
      <w:r>
        <w:rPr>
          <w:spacing w:val="-63"/>
        </w:rPr>
        <w:t> </w:t>
      </w:r>
      <w:r>
        <w:rPr>
          <w:spacing w:val="-63"/>
        </w:rPr>
      </w:r>
      <w:r>
        <w:rPr>
          <w:spacing w:val="-1"/>
        </w:rPr>
        <w:t>计回购股份</w:t>
      </w:r>
      <w:r>
        <w:rPr>
          <w:rFonts w:ascii="Times New Roman" w:hAnsi="Times New Roman" w:cs="Times New Roman" w:eastAsia="Times New Roman" w:hint="default"/>
          <w:spacing w:val="-1"/>
        </w:rPr>
        <w:t>37,919,094</w:t>
      </w:r>
      <w:r>
        <w:rPr>
          <w:spacing w:val="-1"/>
        </w:rPr>
        <w:t>股，占公司当时总股本</w:t>
      </w:r>
      <w:r>
        <w:rPr>
          <w:rFonts w:ascii="Times New Roman" w:hAnsi="Times New Roman" w:cs="Times New Roman" w:eastAsia="Times New Roman" w:hint="default"/>
          <w:spacing w:val="-1"/>
        </w:rPr>
        <w:t>3.04%</w:t>
      </w:r>
      <w:r>
        <w:rPr>
          <w:spacing w:val="-1"/>
        </w:rPr>
        <w:t>，最高成交价为</w:t>
      </w:r>
      <w:r>
        <w:rPr>
          <w:rFonts w:ascii="Times New Roman" w:hAnsi="Times New Roman" w:cs="Times New Roman" w:eastAsia="Times New Roman" w:hint="default"/>
          <w:spacing w:val="-1"/>
        </w:rPr>
        <w:t>11.1598</w:t>
      </w:r>
      <w:r>
        <w:rPr>
          <w:spacing w:val="-1"/>
        </w:rPr>
        <w:t>元</w:t>
      </w:r>
      <w:r>
        <w:rPr>
          <w:rFonts w:ascii="Times New Roman" w:hAnsi="Times New Roman" w:cs="Times New Roman" w:eastAsia="Times New Roman" w:hint="default"/>
          <w:spacing w:val="-1"/>
        </w:rPr>
        <w:t>/</w:t>
      </w:r>
      <w:r>
        <w:rPr>
          <w:spacing w:val="-1"/>
        </w:rPr>
        <w:t>股，最低成交价为</w:t>
      </w:r>
      <w:r>
        <w:rPr>
          <w:rFonts w:ascii="Times New Roman" w:hAnsi="Times New Roman" w:cs="Times New Roman" w:eastAsia="Times New Roman" w:hint="default"/>
          <w:spacing w:val="-1"/>
        </w:rPr>
        <w:t>9.60</w:t>
      </w:r>
      <w:r>
        <w:rPr>
          <w:spacing w:val="-1"/>
        </w:rPr>
        <w:t>元</w:t>
      </w:r>
      <w:r>
        <w:rPr>
          <w:rFonts w:ascii="Times New Roman" w:hAnsi="Times New Roman" w:cs="Times New Roman" w:eastAsia="Times New Roman" w:hint="default"/>
          <w:spacing w:val="-1"/>
        </w:rPr>
        <w:t>/</w:t>
      </w:r>
      <w:r>
        <w:rPr>
          <w:spacing w:val="-1"/>
        </w:rPr>
        <w:t>股，支付的总金额为</w:t>
      </w:r>
      <w:r>
        <w:rPr>
          <w:spacing w:val="-45"/>
        </w:rPr>
        <w:t> </w:t>
      </w:r>
      <w:r>
        <w:rPr>
          <w:spacing w:val="-45"/>
        </w:rPr>
      </w:r>
      <w:r>
        <w:rPr>
          <w:rFonts w:ascii="Times New Roman" w:hAnsi="Times New Roman" w:cs="Times New Roman" w:eastAsia="Times New Roman" w:hint="default"/>
        </w:rPr>
        <w:t>393,365,756.19</w:t>
      </w:r>
      <w:r>
        <w:rPr/>
        <w:t>元（不含交易费用）。</w:t>
      </w:r>
    </w:p>
    <w:p>
      <w:pPr>
        <w:pStyle w:val="BodyText"/>
        <w:spacing w:line="552" w:lineRule="exact" w:before="15"/>
        <w:ind w:left="513" w:right="1133"/>
        <w:jc w:val="left"/>
      </w:pPr>
      <w:r>
        <w:rPr/>
        <w:t>（</w:t>
      </w:r>
      <w:r>
        <w:rPr>
          <w:rFonts w:ascii="Times New Roman" w:hAnsi="Times New Roman" w:cs="Times New Roman" w:eastAsia="Times New Roman" w:hint="default"/>
        </w:rPr>
        <w:t>2</w:t>
      </w:r>
      <w:r>
        <w:rPr/>
        <w:t>）关于调整部分回购股份用途事宜 </w:t>
      </w:r>
      <w:r>
        <w:rPr>
          <w:spacing w:val="-2"/>
        </w:rPr>
        <w:t>公司分别于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15</w:t>
      </w:r>
      <w:r>
        <w:rPr>
          <w:spacing w:val="-2"/>
        </w:rPr>
        <w:t>日、</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10</w:t>
      </w:r>
      <w:r>
        <w:rPr>
          <w:spacing w:val="-2"/>
        </w:rPr>
        <w:t>日召开的公司第四届董事会第四次会议、</w:t>
      </w:r>
      <w:r>
        <w:rPr>
          <w:rFonts w:ascii="Times New Roman" w:hAnsi="Times New Roman" w:cs="Times New Roman" w:eastAsia="Times New Roman" w:hint="default"/>
          <w:spacing w:val="-2"/>
        </w:rPr>
        <w:t>2018</w:t>
      </w:r>
      <w:r>
        <w:rPr>
          <w:spacing w:val="-2"/>
        </w:rPr>
        <w:t>年度股东大会，审议通过了《关</w:t>
      </w:r>
    </w:p>
    <w:p>
      <w:pPr>
        <w:pStyle w:val="BodyText"/>
        <w:spacing w:line="300" w:lineRule="auto"/>
        <w:ind w:right="1131"/>
        <w:jc w:val="both"/>
      </w:pPr>
      <w:r>
        <w:rPr>
          <w:spacing w:val="-1"/>
        </w:rPr>
        <w:t>于调整部分回购股份用途的议案》，同意公司第一次回购剩余库存股</w:t>
      </w:r>
      <w:r>
        <w:rPr>
          <w:rFonts w:ascii="Times New Roman" w:hAnsi="Times New Roman" w:cs="Times New Roman" w:eastAsia="Times New Roman" w:hint="default"/>
          <w:spacing w:val="-1"/>
        </w:rPr>
        <w:t>100,000</w:t>
      </w:r>
      <w:r>
        <w:rPr>
          <w:spacing w:val="-1"/>
        </w:rPr>
        <w:t>股的用途调整为</w:t>
      </w:r>
      <w:r>
        <w:rPr>
          <w:rFonts w:ascii="Times New Roman" w:hAnsi="Times New Roman" w:cs="Times New Roman" w:eastAsia="Times New Roman" w:hint="default"/>
          <w:spacing w:val="-1"/>
        </w:rPr>
        <w:t>“</w:t>
      </w:r>
      <w:r>
        <w:rPr>
          <w:spacing w:val="-1"/>
        </w:rPr>
        <w:t>公司本次回购股份拟用于后期</w:t>
      </w:r>
      <w:r>
        <w:rPr>
          <w:spacing w:val="-64"/>
        </w:rPr>
        <w:t> </w:t>
      </w:r>
      <w:r>
        <w:rPr>
          <w:spacing w:val="-2"/>
        </w:rPr>
        <w:t>员工持股计划或者股权激励，如未能在股份回购实施完成之后</w:t>
      </w:r>
      <w:r>
        <w:rPr>
          <w:rFonts w:ascii="Times New Roman" w:hAnsi="Times New Roman" w:cs="Times New Roman" w:eastAsia="Times New Roman" w:hint="default"/>
          <w:spacing w:val="-2"/>
        </w:rPr>
        <w:t>36</w:t>
      </w:r>
      <w:r>
        <w:rPr>
          <w:spacing w:val="-2"/>
        </w:rPr>
        <w:t>个月内使用完毕已回购股份，尚未使用的已回购股份将予以</w:t>
      </w:r>
      <w:r>
        <w:rPr>
          <w:spacing w:val="-62"/>
        </w:rPr>
        <w:t> </w:t>
      </w:r>
      <w:r>
        <w:rPr>
          <w:spacing w:val="-62"/>
        </w:rPr>
      </w:r>
      <w:r>
        <w:rPr/>
        <w:t>注销</w:t>
      </w:r>
      <w:r>
        <w:rPr>
          <w:rFonts w:ascii="Times New Roman" w:hAnsi="Times New Roman" w:cs="Times New Roman" w:eastAsia="Times New Roman" w:hint="default"/>
        </w:rPr>
        <w:t>”</w:t>
      </w:r>
      <w:r>
        <w:rPr/>
        <w:t>。第二次回购剩余库存股</w:t>
      </w:r>
      <w:r>
        <w:rPr>
          <w:rFonts w:ascii="Times New Roman" w:hAnsi="Times New Roman" w:cs="Times New Roman" w:eastAsia="Times New Roman" w:hint="default"/>
        </w:rPr>
        <w:t>37,919,094</w:t>
      </w:r>
      <w:r>
        <w:rPr/>
        <w:t>股的用途调整为</w:t>
      </w:r>
      <w:r>
        <w:rPr>
          <w:rFonts w:ascii="Times New Roman" w:hAnsi="Times New Roman" w:cs="Times New Roman" w:eastAsia="Times New Roman" w:hint="default"/>
        </w:rPr>
        <w:t>“</w:t>
      </w:r>
      <w:r>
        <w:rPr/>
        <w:t>公司本次回购股份的</w:t>
      </w:r>
      <w:r>
        <w:rPr>
          <w:rFonts w:ascii="Times New Roman" w:hAnsi="Times New Roman" w:cs="Times New Roman" w:eastAsia="Times New Roman" w:hint="default"/>
        </w:rPr>
        <w:t>50%</w:t>
      </w:r>
      <w:r>
        <w:rPr/>
        <w:t>用于公司员工持股计划或者股权激励、</w:t>
      </w:r>
      <w:r>
        <w:rPr>
          <w:spacing w:val="-44"/>
        </w:rPr>
        <w:t> </w:t>
      </w:r>
      <w:r>
        <w:rPr>
          <w:spacing w:val="-44"/>
        </w:rPr>
      </w:r>
      <w:r>
        <w:rPr>
          <w:rFonts w:ascii="Times New Roman" w:hAnsi="Times New Roman" w:cs="Times New Roman" w:eastAsia="Times New Roman" w:hint="default"/>
          <w:spacing w:val="-1"/>
        </w:rPr>
        <w:t>50%</w:t>
      </w:r>
      <w:r>
        <w:rPr>
          <w:spacing w:val="-1"/>
        </w:rPr>
        <w:t>用于转换公司发行的可转换为股票的公司债券，如未能在股份回购实施完成之后</w:t>
      </w:r>
      <w:r>
        <w:rPr>
          <w:rFonts w:ascii="Times New Roman" w:hAnsi="Times New Roman" w:cs="Times New Roman" w:eastAsia="Times New Roman" w:hint="default"/>
          <w:spacing w:val="-1"/>
        </w:rPr>
        <w:t>36</w:t>
      </w:r>
      <w:r>
        <w:rPr>
          <w:spacing w:val="-1"/>
        </w:rPr>
        <w:t>个月内使用完毕已回购股份，尚未使</w:t>
      </w:r>
      <w:r>
        <w:rPr>
          <w:spacing w:val="-88"/>
        </w:rPr>
        <w:t> </w:t>
      </w:r>
      <w:r>
        <w:rPr>
          <w:spacing w:val="-88"/>
        </w:rPr>
      </w:r>
      <w:r>
        <w:rPr/>
        <w:t>用的已回购股份将予以注销</w:t>
      </w:r>
      <w:r>
        <w:rPr>
          <w:rFonts w:ascii="Times New Roman" w:hAnsi="Times New Roman" w:cs="Times New Roman" w:eastAsia="Times New Roman" w:hint="default"/>
        </w:rPr>
        <w:t>”</w:t>
      </w:r>
      <w:r>
        <w:rPr/>
        <w:t>。</w:t>
      </w:r>
    </w:p>
    <w:p>
      <w:pPr>
        <w:pStyle w:val="BodyText"/>
        <w:spacing w:line="552" w:lineRule="exact" w:before="21"/>
        <w:ind w:left="513" w:right="1133"/>
        <w:jc w:val="left"/>
      </w:pPr>
      <w:r>
        <w:rPr/>
        <w:t>（</w:t>
      </w:r>
      <w:r>
        <w:rPr>
          <w:rFonts w:ascii="Times New Roman" w:hAnsi="Times New Roman" w:cs="Times New Roman" w:eastAsia="Times New Roman" w:hint="default"/>
        </w:rPr>
        <w:t>3</w:t>
      </w:r>
      <w:r>
        <w:rPr/>
        <w:t>）关于募投项目结项暨使用部分节余募集资金回购公司股份事宜 </w:t>
      </w:r>
      <w:r>
        <w:rPr>
          <w:spacing w:val="-2"/>
        </w:rPr>
        <w:t>公司分别于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15</w:t>
      </w:r>
      <w:r>
        <w:rPr>
          <w:spacing w:val="-2"/>
        </w:rPr>
        <w:t>日、</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10</w:t>
      </w:r>
      <w:r>
        <w:rPr>
          <w:spacing w:val="-2"/>
        </w:rPr>
        <w:t>日召开的公司第四届董事会第四次会议、</w:t>
      </w:r>
      <w:r>
        <w:rPr>
          <w:rFonts w:ascii="Times New Roman" w:hAnsi="Times New Roman" w:cs="Times New Roman" w:eastAsia="Times New Roman" w:hint="default"/>
          <w:spacing w:val="-2"/>
        </w:rPr>
        <w:t>2018</w:t>
      </w:r>
      <w:r>
        <w:rPr>
          <w:spacing w:val="-2"/>
        </w:rPr>
        <w:t>年度股东大会，审议通过了《关</w:t>
      </w:r>
    </w:p>
    <w:p>
      <w:pPr>
        <w:pStyle w:val="BodyText"/>
        <w:spacing w:line="300" w:lineRule="auto"/>
        <w:ind w:right="1131"/>
        <w:jc w:val="both"/>
      </w:pPr>
      <w:r>
        <w:rPr>
          <w:spacing w:val="-3"/>
        </w:rPr>
        <w:t>于募投项目结项暨使用部分节余募集资金回购公司股份的议案》，同意公司募投项目</w:t>
      </w:r>
      <w:r>
        <w:rPr>
          <w:rFonts w:ascii="Times New Roman" w:hAnsi="Times New Roman" w:cs="Times New Roman" w:eastAsia="Times New Roman" w:hint="default"/>
          <w:spacing w:val="-3"/>
        </w:rPr>
        <w:t>“</w:t>
      </w:r>
      <w:r>
        <w:rPr>
          <w:spacing w:val="-3"/>
        </w:rPr>
        <w:t>移动互联网智能融合支付云平台</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跨</w:t>
      </w:r>
      <w:r>
        <w:rPr>
          <w:spacing w:val="-66"/>
        </w:rPr>
        <w:t> </w:t>
      </w:r>
      <w:r>
        <w:rPr>
          <w:spacing w:val="-1"/>
        </w:rPr>
        <w:t>境电商综合服务平台</w:t>
      </w:r>
      <w:r>
        <w:rPr>
          <w:rFonts w:ascii="Times New Roman" w:hAnsi="Times New Roman" w:cs="Times New Roman" w:eastAsia="Times New Roman" w:hint="default"/>
          <w:spacing w:val="-1"/>
        </w:rPr>
        <w:t>”</w:t>
      </w:r>
      <w:r>
        <w:rPr>
          <w:spacing w:val="-1"/>
        </w:rPr>
        <w:t>和</w:t>
      </w:r>
      <w:r>
        <w:rPr>
          <w:rFonts w:ascii="Times New Roman" w:hAnsi="Times New Roman" w:cs="Times New Roman" w:eastAsia="Times New Roman" w:hint="default"/>
          <w:spacing w:val="-1"/>
        </w:rPr>
        <w:t>“</w:t>
      </w:r>
      <w:r>
        <w:rPr>
          <w:spacing w:val="-1"/>
        </w:rPr>
        <w:t>支付本次交易中介机构相关费用</w:t>
      </w:r>
      <w:r>
        <w:rPr>
          <w:rFonts w:ascii="Times New Roman" w:hAnsi="Times New Roman" w:cs="Times New Roman" w:eastAsia="Times New Roman" w:hint="default"/>
          <w:spacing w:val="-1"/>
        </w:rPr>
        <w:t>”</w:t>
      </w:r>
      <w:r>
        <w:rPr>
          <w:spacing w:val="-1"/>
        </w:rPr>
        <w:t>的结项，并将节余募集资金</w:t>
      </w:r>
      <w:r>
        <w:rPr>
          <w:rFonts w:ascii="Times New Roman" w:hAnsi="Times New Roman" w:cs="Times New Roman" w:eastAsia="Times New Roman" w:hint="default"/>
          <w:spacing w:val="-1"/>
        </w:rPr>
        <w:t>4</w:t>
      </w:r>
      <w:r>
        <w:rPr>
          <w:spacing w:val="-1"/>
        </w:rPr>
        <w:t>亿元用于回购公司股份，剩余募集资</w:t>
      </w:r>
      <w:r>
        <w:rPr>
          <w:spacing w:val="-88"/>
        </w:rPr>
        <w:t> </w:t>
      </w:r>
      <w:r>
        <w:rPr>
          <w:spacing w:val="-88"/>
        </w:rPr>
      </w:r>
      <w:r>
        <w:rPr/>
        <w:t>金继续存放于公司募集资金专用账户中，后续根据公司发展实际需要，由公司股东大会审议使用。</w:t>
      </w:r>
    </w:p>
    <w:p>
      <w:pPr>
        <w:spacing w:line="240" w:lineRule="auto" w:before="10"/>
        <w:rPr>
          <w:rFonts w:ascii="宋体" w:hAnsi="宋体" w:cs="宋体" w:eastAsia="宋体" w:hint="default"/>
          <w:sz w:val="20"/>
          <w:szCs w:val="20"/>
        </w:rPr>
      </w:pPr>
    </w:p>
    <w:p>
      <w:pPr>
        <w:pStyle w:val="BodyText"/>
        <w:spacing w:line="300" w:lineRule="auto"/>
        <w:ind w:right="1129" w:firstLine="360"/>
        <w:jc w:val="both"/>
      </w:pP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日召开的第四届董事会第六次（临时）会议，审议通过了《关于采用集中竞价方式回购公司股份的 </w:t>
      </w:r>
      <w:r>
        <w:rPr>
          <w:spacing w:val="-2"/>
        </w:rPr>
        <w:t>方案》，并于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15</w:t>
      </w:r>
      <w:r>
        <w:rPr>
          <w:spacing w:val="-2"/>
        </w:rPr>
        <w:t>日披露了《回购股份报告书》。公司于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17</w:t>
      </w:r>
      <w:r>
        <w:rPr>
          <w:spacing w:val="-2"/>
        </w:rPr>
        <w:t>日首次通过股份回购专用证券账户以集中竞价</w:t>
      </w:r>
      <w:r>
        <w:rPr>
          <w:spacing w:val="-55"/>
        </w:rPr>
        <w:t> </w:t>
      </w:r>
      <w:r>
        <w:rPr>
          <w:spacing w:val="-55"/>
        </w:rPr>
      </w:r>
      <w:r>
        <w:rPr/>
        <w:t>交易方式回购公司股份，截至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日，公司已通过股份回购专用证券账户以集中竞价交易方式累计回购公司股份</w:t>
      </w:r>
    </w:p>
    <w:p>
      <w:pPr>
        <w:spacing w:after="0" w:line="300"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both"/>
      </w:pPr>
      <w:r>
        <w:rPr>
          <w:rFonts w:ascii="Times New Roman" w:hAnsi="Times New Roman" w:cs="Times New Roman" w:eastAsia="Times New Roman" w:hint="default"/>
        </w:rPr>
        <w:t>25,799,400</w:t>
      </w:r>
      <w:r>
        <w:rPr/>
        <w:t>股，约占公司总股本的</w:t>
      </w:r>
      <w:r>
        <w:rPr>
          <w:rFonts w:ascii="Times New Roman" w:hAnsi="Times New Roman" w:cs="Times New Roman" w:eastAsia="Times New Roman" w:hint="default"/>
        </w:rPr>
        <w:t>2.07%</w:t>
      </w:r>
      <w:r>
        <w:rPr/>
        <w:t>，最高成交价为</w:t>
      </w:r>
      <w:r>
        <w:rPr>
          <w:rFonts w:ascii="Times New Roman" w:hAnsi="Times New Roman" w:cs="Times New Roman" w:eastAsia="Times New Roman" w:hint="default"/>
        </w:rPr>
        <w:t>9.30</w:t>
      </w:r>
      <w:r>
        <w:rPr/>
        <w:t>元</w:t>
      </w:r>
      <w:r>
        <w:rPr>
          <w:rFonts w:ascii="Times New Roman" w:hAnsi="Times New Roman" w:cs="Times New Roman" w:eastAsia="Times New Roman" w:hint="default"/>
        </w:rPr>
        <w:t>/</w:t>
      </w:r>
      <w:r>
        <w:rPr/>
        <w:t>股，最低成交价为</w:t>
      </w:r>
      <w:r>
        <w:rPr>
          <w:rFonts w:ascii="Times New Roman" w:hAnsi="Times New Roman" w:cs="Times New Roman" w:eastAsia="Times New Roman" w:hint="default"/>
        </w:rPr>
        <w:t>6.27</w:t>
      </w:r>
      <w:r>
        <w:rPr/>
        <w:t>元</w:t>
      </w:r>
      <w:r>
        <w:rPr>
          <w:rFonts w:ascii="Times New Roman" w:hAnsi="Times New Roman" w:cs="Times New Roman" w:eastAsia="Times New Roman" w:hint="default"/>
        </w:rPr>
        <w:t>/</w:t>
      </w:r>
      <w:r>
        <w:rPr/>
        <w:t>股，成交总金额为</w:t>
      </w:r>
      <w:r>
        <w:rPr>
          <w:rFonts w:ascii="Times New Roman" w:hAnsi="Times New Roman" w:cs="Times New Roman" w:eastAsia="Times New Roman" w:hint="default"/>
        </w:rPr>
        <w:t>197,949,632.06</w:t>
      </w:r>
      <w:r>
        <w:rPr/>
        <w:t>元</w:t>
      </w:r>
    </w:p>
    <w:p>
      <w:pPr>
        <w:pStyle w:val="BodyText"/>
        <w:spacing w:line="240" w:lineRule="auto" w:before="63"/>
        <w:ind w:right="0"/>
        <w:jc w:val="both"/>
      </w:pPr>
      <w:r>
        <w:rPr/>
        <w:t>（不含交易费用）。</w:t>
      </w:r>
    </w:p>
    <w:p>
      <w:pPr>
        <w:pStyle w:val="BodyText"/>
        <w:spacing w:line="550" w:lineRule="atLeast" w:before="15"/>
        <w:ind w:left="513" w:right="1123"/>
        <w:jc w:val="left"/>
      </w:pPr>
      <w:r>
        <w:rPr/>
        <w:t>（</w:t>
      </w:r>
      <w:r>
        <w:rPr>
          <w:rFonts w:ascii="Times New Roman" w:hAnsi="Times New Roman" w:cs="Times New Roman" w:eastAsia="Times New Roman" w:hint="default"/>
        </w:rPr>
        <w:t>4</w:t>
      </w:r>
      <w:r>
        <w:rPr/>
        <w:t>）关于部分限制性股票回购注销事宜 因公司</w:t>
      </w:r>
      <w:r>
        <w:rPr>
          <w:rFonts w:ascii="Times New Roman" w:hAnsi="Times New Roman" w:cs="Times New Roman" w:eastAsia="Times New Roman" w:hint="default"/>
        </w:rPr>
        <w:t>2018</w:t>
      </w:r>
      <w:r>
        <w:rPr/>
        <w:t>年归属于上市公司的净利润未达到公司股权激励草案规定的解除限售期条件，公司分别于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15</w:t>
      </w:r>
      <w:r>
        <w:rPr/>
        <w:t>日、</w:t>
      </w:r>
    </w:p>
    <w:p>
      <w:pPr>
        <w:pStyle w:val="BodyText"/>
        <w:spacing w:line="300" w:lineRule="auto" w:before="63"/>
        <w:ind w:right="1128"/>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日召开的公司第四届董事会第四次会议、</w:t>
      </w:r>
      <w:r>
        <w:rPr>
          <w:rFonts w:ascii="Times New Roman" w:hAnsi="Times New Roman" w:cs="Times New Roman" w:eastAsia="Times New Roman" w:hint="default"/>
        </w:rPr>
        <w:t>2018</w:t>
      </w:r>
      <w:r>
        <w:rPr/>
        <w:t>年度股东大会，审议通过了《关于回购注销未达到第一个解除限</w:t>
      </w:r>
      <w:r>
        <w:rPr>
          <w:spacing w:val="-87"/>
        </w:rPr>
        <w:t> </w:t>
      </w:r>
      <w:r>
        <w:rPr>
          <w:spacing w:val="-87"/>
        </w:rPr>
      </w:r>
      <w:r>
        <w:rPr>
          <w:spacing w:val="-3"/>
        </w:rPr>
        <w:t>售期条件的限制性股票的议案》，公司拟向</w:t>
      </w:r>
      <w:r>
        <w:rPr>
          <w:rFonts w:ascii="Times New Roman" w:hAnsi="Times New Roman" w:cs="Times New Roman" w:eastAsia="Times New Roman" w:hint="default"/>
          <w:spacing w:val="-3"/>
        </w:rPr>
        <w:t>24</w:t>
      </w:r>
      <w:r>
        <w:rPr>
          <w:spacing w:val="-3"/>
        </w:rPr>
        <w:t>名激励对象回购其持有的已获授但未达第一个解除限售期条件的限制性股票</w:t>
      </w:r>
      <w:r>
        <w:rPr>
          <w:rFonts w:ascii="Times New Roman" w:hAnsi="Times New Roman" w:cs="Times New Roman" w:eastAsia="Times New Roman" w:hint="default"/>
          <w:spacing w:val="-3"/>
        </w:rPr>
        <w:t>380</w:t>
      </w:r>
      <w:r>
        <w:rPr>
          <w:rFonts w:ascii="Times New Roman" w:hAnsi="Times New Roman" w:cs="Times New Roman" w:eastAsia="Times New Roman" w:hint="default"/>
          <w:spacing w:val="1"/>
        </w:rPr>
        <w:t> </w:t>
      </w:r>
      <w:r>
        <w:rPr/>
        <w:t>万股，占股权激励授予限制性股票总数的</w:t>
      </w:r>
      <w:r>
        <w:rPr>
          <w:rFonts w:ascii="Times New Roman" w:hAnsi="Times New Roman" w:cs="Times New Roman" w:eastAsia="Times New Roman" w:hint="default"/>
        </w:rPr>
        <w:t>40%</w:t>
      </w:r>
      <w:r>
        <w:rPr/>
        <w:t>，占当时公司总股本的</w:t>
      </w:r>
      <w:r>
        <w:rPr>
          <w:rFonts w:ascii="Times New Roman" w:hAnsi="Times New Roman" w:cs="Times New Roman" w:eastAsia="Times New Roman" w:hint="default"/>
        </w:rPr>
        <w:t>0.305%</w:t>
      </w:r>
      <w:r>
        <w:rPr/>
        <w:t>，回购价格为</w:t>
      </w:r>
      <w:r>
        <w:rPr>
          <w:rFonts w:ascii="Times New Roman" w:hAnsi="Times New Roman" w:cs="Times New Roman" w:eastAsia="Times New Roman" w:hint="default"/>
        </w:rPr>
        <w:t>5.04</w:t>
      </w:r>
      <w:r>
        <w:rPr/>
        <w:t>元</w:t>
      </w:r>
      <w:r>
        <w:rPr>
          <w:rFonts w:ascii="Times New Roman" w:hAnsi="Times New Roman" w:cs="Times New Roman" w:eastAsia="Times New Roman" w:hint="default"/>
        </w:rPr>
        <w:t>/</w:t>
      </w:r>
      <w:r>
        <w:rPr/>
        <w:t>股。截止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10</w:t>
      </w:r>
      <w:r>
        <w:rPr/>
        <w:t>日，</w:t>
      </w:r>
      <w:r>
        <w:rPr>
          <w:spacing w:val="-84"/>
        </w:rPr>
        <w:t> </w:t>
      </w:r>
      <w:r>
        <w:rPr/>
        <w:t>上述限制性股票已在中国证券登记结算有限责任公司深圳分公司完成注销手续。</w:t>
      </w:r>
    </w:p>
    <w:p>
      <w:pPr>
        <w:spacing w:line="240" w:lineRule="auto" w:before="10"/>
        <w:rPr>
          <w:rFonts w:ascii="宋体" w:hAnsi="宋体" w:cs="宋体" w:eastAsia="宋体" w:hint="default"/>
          <w:sz w:val="20"/>
          <w:szCs w:val="20"/>
        </w:rPr>
      </w:pPr>
    </w:p>
    <w:p>
      <w:pPr>
        <w:pStyle w:val="BodyText"/>
        <w:spacing w:line="240" w:lineRule="auto"/>
        <w:ind w:left="513" w:right="1133"/>
        <w:jc w:val="left"/>
      </w:pPr>
      <w:r>
        <w:rPr/>
        <w:t>（</w:t>
      </w:r>
      <w:r>
        <w:rPr>
          <w:rFonts w:ascii="Times New Roman" w:hAnsi="Times New Roman" w:cs="Times New Roman" w:eastAsia="Times New Roman" w:hint="default"/>
        </w:rPr>
        <w:t>5</w:t>
      </w:r>
      <w:r>
        <w:rPr/>
        <w:t>）关于重大资产重组业绩补偿的事宜</w:t>
      </w:r>
    </w:p>
    <w:p>
      <w:pPr>
        <w:spacing w:line="240" w:lineRule="auto" w:before="2"/>
        <w:rPr>
          <w:rFonts w:ascii="宋体" w:hAnsi="宋体" w:cs="宋体" w:eastAsia="宋体" w:hint="default"/>
          <w:sz w:val="23"/>
          <w:szCs w:val="23"/>
        </w:rPr>
      </w:pPr>
    </w:p>
    <w:p>
      <w:pPr>
        <w:pStyle w:val="BodyText"/>
        <w:spacing w:line="302" w:lineRule="auto"/>
        <w:ind w:right="1130" w:firstLine="360"/>
        <w:jc w:val="both"/>
      </w:pPr>
      <w:r>
        <w:rPr>
          <w:spacing w:val="-1"/>
        </w:rPr>
        <w:t>由于联动优势</w:t>
      </w:r>
      <w:r>
        <w:rPr>
          <w:rFonts w:ascii="Times New Roman" w:hAnsi="Times New Roman" w:cs="Times New Roman" w:eastAsia="Times New Roman" w:hint="default"/>
          <w:spacing w:val="-1"/>
        </w:rPr>
        <w:t>2016-2018</w:t>
      </w:r>
      <w:r>
        <w:rPr>
          <w:spacing w:val="-1"/>
        </w:rPr>
        <w:t>年度累计实现的净利润数低于累计承诺净利润数，差额为</w:t>
      </w:r>
      <w:r>
        <w:rPr>
          <w:rFonts w:ascii="Times New Roman" w:hAnsi="Times New Roman" w:cs="Times New Roman" w:eastAsia="Times New Roman" w:hint="default"/>
          <w:spacing w:val="-1"/>
        </w:rPr>
        <w:t>4,123.82</w:t>
      </w:r>
      <w:r>
        <w:rPr>
          <w:spacing w:val="-1"/>
        </w:rPr>
        <w:t>万元。根据博升优势与公司签</w:t>
      </w:r>
      <w:r>
        <w:rPr/>
        <w:t> </w:t>
      </w:r>
      <w:r>
        <w:rPr>
          <w:spacing w:val="-2"/>
        </w:rPr>
        <w:t>署的《业绩补偿协议》、《补充协议》规定，业绩承诺期满后，依据联动优势专项审核报告，若联动优势于业绩承诺期间累</w:t>
      </w:r>
      <w:r>
        <w:rPr>
          <w:spacing w:val="-65"/>
        </w:rPr>
        <w:t> </w:t>
      </w:r>
      <w:r>
        <w:rPr>
          <w:spacing w:val="-65"/>
        </w:rPr>
      </w:r>
      <w:r>
        <w:rPr>
          <w:spacing w:val="-2"/>
        </w:rPr>
        <w:t>计实现的联动优势实际净利润数低于累计的联动优势承诺净利润数，则差额部分由博升优势以现金方式在联动优势</w:t>
      </w:r>
      <w:r>
        <w:rPr>
          <w:rFonts w:ascii="Times New Roman" w:hAnsi="Times New Roman" w:cs="Times New Roman" w:eastAsia="Times New Roman" w:hint="default"/>
          <w:spacing w:val="-2"/>
        </w:rPr>
        <w:t>2018</w:t>
      </w:r>
      <w:r>
        <w:rPr>
          <w:spacing w:val="-2"/>
        </w:rPr>
        <w:t>年专</w:t>
      </w:r>
      <w:r>
        <w:rPr>
          <w:spacing w:val="-64"/>
        </w:rPr>
        <w:t> </w:t>
      </w:r>
      <w:r>
        <w:rPr>
          <w:spacing w:val="-2"/>
        </w:rPr>
        <w:t>项审核报告出具之日起三个月内一次性对本公司进行补偿。若博升优势未能按照前述约定在联动优势</w:t>
      </w:r>
      <w:r>
        <w:rPr>
          <w:rFonts w:ascii="Times New Roman" w:hAnsi="Times New Roman" w:cs="Times New Roman" w:eastAsia="Times New Roman" w:hint="default"/>
          <w:spacing w:val="-2"/>
        </w:rPr>
        <w:t>2018</w:t>
      </w:r>
      <w:r>
        <w:rPr>
          <w:spacing w:val="-2"/>
        </w:rPr>
        <w:t>年专项审核报告出</w:t>
      </w:r>
      <w:r>
        <w:rPr>
          <w:spacing w:val="-61"/>
        </w:rPr>
        <w:t> </w:t>
      </w:r>
      <w:r>
        <w:rPr>
          <w:spacing w:val="-61"/>
        </w:rPr>
      </w:r>
      <w:r>
        <w:rPr>
          <w:spacing w:val="-2"/>
        </w:rPr>
        <w:t>具之日起三个月内对公司进行现金补偿，则博升优势应在本公司</w:t>
      </w:r>
      <w:r>
        <w:rPr>
          <w:rFonts w:ascii="Times New Roman" w:hAnsi="Times New Roman" w:cs="Times New Roman" w:eastAsia="Times New Roman" w:hint="default"/>
          <w:spacing w:val="-2"/>
        </w:rPr>
        <w:t>2018</w:t>
      </w:r>
      <w:r>
        <w:rPr>
          <w:spacing w:val="-2"/>
        </w:rPr>
        <w:t>年年度报告出具之日起四个月内通过减持本公司股份所</w:t>
      </w:r>
      <w:r>
        <w:rPr>
          <w:spacing w:val="-62"/>
        </w:rPr>
        <w:t> </w:t>
      </w:r>
      <w:r>
        <w:rPr>
          <w:spacing w:val="-62"/>
        </w:rPr>
      </w:r>
      <w:r>
        <w:rPr/>
        <w:t>得现金进行补偿。公司于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10</w:t>
      </w:r>
      <w:r>
        <w:rPr/>
        <w:t>日收到博升优势出具的《股份减持计划告知函》，博升优势拟减持其持有的本公司股</w:t>
      </w:r>
      <w:r>
        <w:rPr>
          <w:spacing w:val="-85"/>
        </w:rPr>
        <w:t> </w:t>
      </w:r>
      <w:r>
        <w:rPr>
          <w:spacing w:val="-85"/>
        </w:rPr>
      </w:r>
      <w:r>
        <w:rPr>
          <w:spacing w:val="-2"/>
        </w:rPr>
        <w:t>份不超过</w:t>
      </w:r>
      <w:r>
        <w:rPr>
          <w:rFonts w:ascii="Times New Roman" w:hAnsi="Times New Roman" w:cs="Times New Roman" w:eastAsia="Times New Roman" w:hint="default"/>
          <w:spacing w:val="-2"/>
        </w:rPr>
        <w:t>37,420,056</w:t>
      </w:r>
      <w:r>
        <w:rPr>
          <w:spacing w:val="-2"/>
        </w:rPr>
        <w:t>股，减持资金拟用于向本公司支付业绩补偿款及补充流动资金。公司已于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14</w:t>
      </w:r>
      <w:r>
        <w:rPr>
          <w:spacing w:val="-2"/>
        </w:rPr>
        <w:t>日收到博升优势的</w:t>
      </w:r>
      <w:r>
        <w:rPr>
          <w:spacing w:val="-52"/>
        </w:rPr>
        <w:t> </w:t>
      </w:r>
      <w:r>
        <w:rPr>
          <w:spacing w:val="-52"/>
        </w:rPr>
      </w:r>
      <w:r>
        <w:rPr/>
        <w:t>业绩补偿款</w:t>
      </w:r>
      <w:r>
        <w:rPr>
          <w:rFonts w:ascii="Times New Roman" w:hAnsi="Times New Roman" w:cs="Times New Roman" w:eastAsia="Times New Roman" w:hint="default"/>
        </w:rPr>
        <w:t>4,123.82</w:t>
      </w:r>
      <w:r>
        <w:rPr/>
        <w:t>万元。</w:t>
      </w:r>
    </w:p>
    <w:p>
      <w:pPr>
        <w:spacing w:line="240" w:lineRule="auto" w:before="2"/>
        <w:rPr>
          <w:rFonts w:ascii="宋体" w:hAnsi="宋体" w:cs="宋体" w:eastAsia="宋体" w:hint="default"/>
          <w:sz w:val="19"/>
          <w:szCs w:val="19"/>
        </w:rPr>
      </w:pPr>
    </w:p>
    <w:p>
      <w:pPr>
        <w:pStyle w:val="BodyText"/>
        <w:spacing w:line="240" w:lineRule="auto"/>
        <w:ind w:left="513" w:right="1133"/>
        <w:jc w:val="left"/>
      </w:pPr>
      <w:r>
        <w:rPr/>
        <w:t>（</w:t>
      </w:r>
      <w:r>
        <w:rPr>
          <w:rFonts w:ascii="Times New Roman" w:hAnsi="Times New Roman" w:cs="Times New Roman" w:eastAsia="Times New Roman" w:hint="default"/>
        </w:rPr>
        <w:t>6</w:t>
      </w:r>
      <w:r>
        <w:rPr/>
        <w:t>）部分限售股解除限售并上市流通事宜</w:t>
      </w:r>
    </w:p>
    <w:p>
      <w:pPr>
        <w:spacing w:line="240" w:lineRule="auto" w:before="2"/>
        <w:rPr>
          <w:rFonts w:ascii="宋体" w:hAnsi="宋体" w:cs="宋体" w:eastAsia="宋体" w:hint="default"/>
          <w:sz w:val="23"/>
          <w:szCs w:val="23"/>
        </w:rPr>
      </w:pPr>
    </w:p>
    <w:p>
      <w:pPr>
        <w:pStyle w:val="BodyText"/>
        <w:spacing w:line="300" w:lineRule="auto"/>
        <w:ind w:right="1128" w:firstLine="360"/>
        <w:jc w:val="both"/>
      </w:pP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25</w:t>
      </w:r>
      <w:r>
        <w:rPr>
          <w:spacing w:val="-1"/>
        </w:rPr>
        <w:t>日，博升优势持有的本公司限售股中的</w:t>
      </w:r>
      <w:r>
        <w:rPr>
          <w:rFonts w:ascii="Times New Roman" w:hAnsi="Times New Roman" w:cs="Times New Roman" w:eastAsia="Times New Roman" w:hint="default"/>
          <w:spacing w:val="-1"/>
        </w:rPr>
        <w:t>42,833,136</w:t>
      </w:r>
      <w:r>
        <w:rPr>
          <w:spacing w:val="-1"/>
        </w:rPr>
        <w:t>股解除限售并上市流通，占公司当时总股本</w:t>
      </w:r>
      <w:r>
        <w:rPr>
          <w:rFonts w:ascii="Times New Roman" w:hAnsi="Times New Roman" w:cs="Times New Roman" w:eastAsia="Times New Roman" w:hint="default"/>
          <w:spacing w:val="-1"/>
        </w:rPr>
        <w:t>3.44%</w:t>
      </w:r>
      <w:r>
        <w:rPr>
          <w:spacing w:val="-1"/>
        </w:rPr>
        <w:t>，本次</w:t>
      </w:r>
      <w:r>
        <w:rPr/>
        <w:t> 解除限售后，博升优势所持有股份全部为无限售流通</w:t>
      </w:r>
      <w:r>
        <w:rPr>
          <w:rFonts w:ascii="Times New Roman" w:hAnsi="Times New Roman" w:cs="Times New Roman" w:eastAsia="Times New Roman" w:hint="default"/>
        </w:rPr>
        <w:t>A</w:t>
      </w:r>
      <w:r>
        <w:rPr/>
        <w:t>股。</w:t>
      </w:r>
    </w:p>
    <w:p>
      <w:pPr>
        <w:spacing w:line="240" w:lineRule="auto" w:before="4"/>
        <w:rPr>
          <w:rFonts w:ascii="宋体" w:hAnsi="宋体" w:cs="宋体" w:eastAsia="宋体" w:hint="default"/>
          <w:sz w:val="19"/>
          <w:szCs w:val="19"/>
        </w:rPr>
      </w:pPr>
    </w:p>
    <w:p>
      <w:pPr>
        <w:pStyle w:val="BodyText"/>
        <w:spacing w:line="240" w:lineRule="auto"/>
        <w:ind w:left="513" w:right="1133"/>
        <w:jc w:val="left"/>
      </w:pPr>
      <w:r>
        <w:rPr/>
        <w:t>（</w:t>
      </w:r>
      <w:r>
        <w:rPr>
          <w:rFonts w:ascii="Times New Roman" w:hAnsi="Times New Roman" w:cs="Times New Roman" w:eastAsia="Times New Roman" w:hint="default"/>
        </w:rPr>
        <w:t>7</w:t>
      </w:r>
      <w:r>
        <w:rPr/>
        <w:t>）从有限合伙企业退伙的相关事宜</w:t>
      </w:r>
    </w:p>
    <w:p>
      <w:pPr>
        <w:spacing w:line="240" w:lineRule="auto" w:before="2"/>
        <w:rPr>
          <w:rFonts w:ascii="宋体" w:hAnsi="宋体" w:cs="宋体" w:eastAsia="宋体" w:hint="default"/>
          <w:sz w:val="23"/>
          <w:szCs w:val="23"/>
        </w:rPr>
      </w:pPr>
    </w:p>
    <w:p>
      <w:pPr>
        <w:pStyle w:val="BodyText"/>
        <w:spacing w:line="304" w:lineRule="auto"/>
        <w:ind w:right="1128" w:firstLine="36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11</w:t>
      </w:r>
      <w:r>
        <w:rPr>
          <w:spacing w:val="-2"/>
        </w:rPr>
        <w:t>日公司召开了第三届董事会第三十三次（临时）会议，会议审议通过了《关于使用自筹资金投资有限合伙</w:t>
      </w:r>
      <w:r>
        <w:rPr/>
        <w:t> </w:t>
      </w:r>
      <w:r>
        <w:rPr>
          <w:spacing w:val="-2"/>
        </w:rPr>
        <w:t>企业的议案》，同意公司使用自筹资金</w:t>
      </w:r>
      <w:r>
        <w:rPr>
          <w:rFonts w:ascii="Times New Roman" w:hAnsi="Times New Roman" w:cs="Times New Roman" w:eastAsia="Times New Roman" w:hint="default"/>
          <w:spacing w:val="-2"/>
        </w:rPr>
        <w:t>3</w:t>
      </w:r>
      <w:r>
        <w:rPr>
          <w:spacing w:val="-2"/>
        </w:rPr>
        <w:t>亿元人民币以有限合伙人身份入伙宁波产融创享股权投资合伙企业（以下简称</w:t>
      </w:r>
      <w:r>
        <w:rPr>
          <w:rFonts w:ascii="Times New Roman" w:hAnsi="Times New Roman" w:cs="Times New Roman" w:eastAsia="Times New Roman" w:hint="default"/>
          <w:spacing w:val="-2"/>
        </w:rPr>
        <w:t>“</w:t>
      </w:r>
      <w:r>
        <w:rPr>
          <w:spacing w:val="-2"/>
        </w:rPr>
        <w:t>合伙</w:t>
      </w:r>
      <w:r>
        <w:rPr>
          <w:spacing w:val="-52"/>
        </w:rPr>
        <w:t> </w:t>
      </w:r>
      <w:r>
        <w:rPr/>
        <w:t>企业</w:t>
      </w:r>
      <w:r>
        <w:rPr>
          <w:rFonts w:ascii="Times New Roman" w:hAnsi="Times New Roman" w:cs="Times New Roman" w:eastAsia="Times New Roman" w:hint="default"/>
        </w:rPr>
        <w:t>”</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月，因自完成本公司入伙合伙企业工商注册登记以来，合伙企业尚未有实质性业务进展，公司基于资金</w:t>
      </w:r>
      <w:r>
        <w:rPr>
          <w:spacing w:val="-77"/>
        </w:rPr>
        <w:t> </w:t>
      </w:r>
      <w:r>
        <w:rPr>
          <w:spacing w:val="-77"/>
        </w:rPr>
      </w:r>
      <w:r>
        <w:rPr>
          <w:spacing w:val="-2"/>
        </w:rPr>
        <w:t>使用效率及运营方面考虑，向合伙企业提出退伙请求。合伙企业全体合伙人一致同意公司退伙，公司与合伙企业及其执行事</w:t>
      </w:r>
      <w:r>
        <w:rPr>
          <w:spacing w:val="-61"/>
        </w:rPr>
        <w:t> </w:t>
      </w:r>
      <w:r>
        <w:rPr>
          <w:spacing w:val="-61"/>
        </w:rPr>
      </w:r>
      <w:r>
        <w:rPr/>
        <w:t>务合伙人宁波九通投资管理合伙企业（有限合伙）共同签署了《退伙协议》，同意公司以入伙价格退出合伙企业。</w:t>
      </w:r>
    </w:p>
    <w:p>
      <w:pPr>
        <w:spacing w:line="240" w:lineRule="auto" w:before="6"/>
        <w:rPr>
          <w:rFonts w:ascii="宋体" w:hAnsi="宋体" w:cs="宋体" w:eastAsia="宋体" w:hint="default"/>
          <w:sz w:val="20"/>
          <w:szCs w:val="20"/>
        </w:rPr>
      </w:pPr>
    </w:p>
    <w:p>
      <w:pPr>
        <w:pStyle w:val="BodyText"/>
        <w:spacing w:line="240" w:lineRule="auto"/>
        <w:ind w:left="513" w:right="1133"/>
        <w:jc w:val="left"/>
      </w:pPr>
      <w:r>
        <w:rPr/>
        <w:t>（</w:t>
      </w:r>
      <w:r>
        <w:rPr>
          <w:rFonts w:ascii="Times New Roman" w:hAnsi="Times New Roman" w:cs="Times New Roman" w:eastAsia="Times New Roman" w:hint="default"/>
        </w:rPr>
        <w:t>8</w:t>
      </w:r>
      <w:r>
        <w:rPr/>
        <w:t>）关于较大应收款项计提坏账准备事宜</w:t>
      </w:r>
    </w:p>
    <w:p>
      <w:pPr>
        <w:pStyle w:val="BodyText"/>
        <w:spacing w:line="552" w:lineRule="exact" w:before="72"/>
        <w:ind w:left="513" w:right="1033"/>
        <w:jc w:val="left"/>
      </w:pPr>
      <w:r>
        <w:rPr/>
        <w:t>①青岛腾龙众力汽车配件制造有限公司（以下简称青岛腾龙） 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日，公司对青岛腾龙的应收账款</w:t>
      </w:r>
      <w:r>
        <w:rPr>
          <w:rFonts w:ascii="Times New Roman" w:hAnsi="Times New Roman" w:cs="Times New Roman" w:eastAsia="Times New Roman" w:hint="default"/>
        </w:rPr>
        <w:t>2,956.12</w:t>
      </w:r>
      <w:r>
        <w:rPr/>
        <w:t>万元，公司按照预期信用损失率计提坏账准备</w:t>
      </w:r>
      <w:r>
        <w:rPr>
          <w:rFonts w:ascii="Times New Roman" w:hAnsi="Times New Roman" w:cs="Times New Roman" w:eastAsia="Times New Roman" w:hint="default"/>
        </w:rPr>
        <w:t>1,478.06</w:t>
      </w:r>
      <w:r>
        <w:rPr/>
        <w:t>万元。</w:t>
      </w:r>
    </w:p>
    <w:p>
      <w:pPr>
        <w:pStyle w:val="BodyText"/>
        <w:spacing w:line="304" w:lineRule="auto"/>
        <w:ind w:right="1131"/>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月，因买卖合同纠纷，公司向即墨区人民法院提起诉讼主张青岛腾龙支付公司货款；</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月，即墨区人民法院下</w:t>
      </w:r>
      <w:r>
        <w:rPr>
          <w:spacing w:val="-60"/>
        </w:rPr>
        <w:t> </w:t>
      </w:r>
      <w:r>
        <w:rPr>
          <w:spacing w:val="-60"/>
        </w:rPr>
      </w:r>
      <w:r>
        <w:rPr/>
        <w:t>达判决书，判决青岛腾龙于本判决生效后十日内支付本公司货款。但后续经公司多次催收，青岛腾龙一直未予支付。</w:t>
      </w:r>
      <w:r>
        <w:rPr>
          <w:rFonts w:ascii="Times New Roman" w:hAnsi="Times New Roman" w:cs="Times New Roman" w:eastAsia="Times New Roman" w:hint="default"/>
        </w:rPr>
        <w:t>2019</w:t>
      </w:r>
      <w:r>
        <w:rPr>
          <w:rFonts w:ascii="Times New Roman" w:hAnsi="Times New Roman" w:cs="Times New Roman" w:eastAsia="Times New Roman" w:hint="default"/>
          <w:spacing w:val="42"/>
        </w:rPr>
        <w:t> </w:t>
      </w:r>
      <w:r>
        <w:rPr>
          <w:rFonts w:ascii="Times New Roman" w:hAnsi="Times New Roman" w:cs="Times New Roman" w:eastAsia="Times New Roman" w:hint="default"/>
          <w:spacing w:val="42"/>
        </w:rPr>
      </w:r>
      <w:r>
        <w:rPr>
          <w:spacing w:val="-2"/>
        </w:rPr>
        <w:t>年</w:t>
      </w:r>
      <w:r>
        <w:rPr>
          <w:rFonts w:ascii="Times New Roman" w:hAnsi="Times New Roman" w:cs="Times New Roman" w:eastAsia="Times New Roman" w:hint="default"/>
          <w:spacing w:val="-2"/>
        </w:rPr>
        <w:t>1</w:t>
      </w:r>
      <w:r>
        <w:rPr>
          <w:spacing w:val="-2"/>
        </w:rPr>
        <w:t>月，公司作为对青岛腾龙相关土地、房产的首封债权人向即墨区人民法院申请诉讼执行，</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9</w:t>
      </w:r>
      <w:r>
        <w:rPr>
          <w:spacing w:val="-2"/>
        </w:rPr>
        <w:t>月，相关土地、房产被</w:t>
      </w:r>
      <w:r>
        <w:rPr>
          <w:spacing w:val="-60"/>
        </w:rPr>
        <w:t> </w:t>
      </w:r>
      <w:r>
        <w:rPr>
          <w:spacing w:val="-60"/>
        </w:rPr>
      </w:r>
      <w:r>
        <w:rPr>
          <w:spacing w:val="-2"/>
        </w:rPr>
        <w:t>司法机关司法拍卖，但截至报告期末，因拍卖程序中止，公司应收账款尚未收回。截至本报告作出之日，相关土地、房产已</w:t>
      </w:r>
      <w:r>
        <w:rPr>
          <w:spacing w:val="-68"/>
        </w:rPr>
        <w:t> </w:t>
      </w:r>
      <w:r>
        <w:rPr>
          <w:spacing w:val="-68"/>
        </w:rPr>
      </w:r>
      <w:r>
        <w:rPr/>
        <w:t>继续提起司法拍卖，公司将按照相关司法程序积极推进货款追讨事宜。</w:t>
      </w:r>
    </w:p>
    <w:p>
      <w:pPr>
        <w:spacing w:line="240" w:lineRule="auto" w:before="6"/>
        <w:rPr>
          <w:rFonts w:ascii="宋体" w:hAnsi="宋体" w:cs="宋体" w:eastAsia="宋体" w:hint="default"/>
          <w:sz w:val="20"/>
          <w:szCs w:val="20"/>
        </w:rPr>
      </w:pPr>
    </w:p>
    <w:p>
      <w:pPr>
        <w:pStyle w:val="BodyText"/>
        <w:spacing w:line="240" w:lineRule="auto"/>
        <w:ind w:left="513" w:right="1133"/>
        <w:jc w:val="left"/>
      </w:pPr>
      <w:r>
        <w:rPr/>
        <w:t>②山东辰佰电子商务有限责任公司（以下简称山东辰佰）</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513" w:right="1133"/>
        <w:jc w:val="left"/>
      </w:pPr>
      <w:r>
        <w:rPr/>
        <w:t>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日，公司对山东辰佰的其他应收款</w:t>
      </w:r>
      <w:r>
        <w:rPr>
          <w:rFonts w:ascii="宋体" w:hAnsi="宋体" w:cs="宋体" w:eastAsia="宋体" w:hint="default"/>
        </w:rPr>
        <w:t>4,530</w:t>
      </w:r>
      <w:r>
        <w:rPr/>
        <w:t>万元，公司按照预期信用损失率计提坏账准备</w:t>
      </w:r>
      <w:r>
        <w:rPr>
          <w:rFonts w:ascii="宋体" w:hAnsi="宋体" w:cs="宋体" w:eastAsia="宋体" w:hint="default"/>
        </w:rPr>
        <w:t>4,530</w:t>
      </w:r>
      <w:r>
        <w:rPr/>
        <w:t>万元。</w:t>
      </w:r>
    </w:p>
    <w:p>
      <w:pPr>
        <w:spacing w:line="240" w:lineRule="auto" w:before="3"/>
        <w:rPr>
          <w:rFonts w:ascii="宋体" w:hAnsi="宋体" w:cs="宋体" w:eastAsia="宋体" w:hint="default"/>
          <w:sz w:val="24"/>
          <w:szCs w:val="24"/>
        </w:rPr>
      </w:pPr>
    </w:p>
    <w:p>
      <w:pPr>
        <w:pStyle w:val="BodyText"/>
        <w:spacing w:line="316" w:lineRule="auto"/>
        <w:ind w:right="1034" w:firstLine="360"/>
        <w:jc w:val="left"/>
      </w:pPr>
      <w:r>
        <w:rPr>
          <w:rFonts w:ascii="宋体" w:hAnsi="宋体" w:cs="宋体" w:eastAsia="宋体" w:hint="default"/>
        </w:rPr>
        <w:t>2019</w:t>
      </w:r>
      <w:r>
        <w:rPr/>
        <w:t>年</w:t>
      </w:r>
      <w:r>
        <w:rPr>
          <w:rFonts w:ascii="宋体" w:hAnsi="宋体" w:cs="宋体" w:eastAsia="宋体" w:hint="default"/>
        </w:rPr>
        <w:t>6</w:t>
      </w:r>
      <w:r>
        <w:rPr/>
        <w:t>月，公司三级全资子公司联动优势电子商务有限公司（以下简称联动商务）与山东辰佰、山东聚广信息技术有 </w:t>
      </w:r>
      <w:r>
        <w:rPr>
          <w:spacing w:val="-2"/>
        </w:rPr>
        <w:t>限公司（以下简称山东聚广）签订《联动优势</w:t>
      </w:r>
      <w:r>
        <w:rPr>
          <w:rFonts w:ascii="宋体" w:hAnsi="宋体" w:cs="宋体" w:eastAsia="宋体" w:hint="default"/>
          <w:spacing w:val="-2"/>
        </w:rPr>
        <w:t>U</w:t>
      </w:r>
      <w:r>
        <w:rPr>
          <w:spacing w:val="-2"/>
        </w:rPr>
        <w:t>付服务协议》和《补充服务协议》，约定联动商务为其提供当日结算服务和</w:t>
      </w:r>
      <w:r>
        <w:rPr>
          <w:rFonts w:ascii="宋体" w:hAnsi="宋体" w:cs="宋体" w:eastAsia="宋体" w:hint="default"/>
          <w:spacing w:val="-2"/>
        </w:rPr>
        <w:t>U</w:t>
      </w:r>
      <w:r>
        <w:rPr>
          <w:rFonts w:ascii="宋体" w:hAnsi="宋体" w:cs="宋体" w:eastAsia="宋体" w:hint="default"/>
          <w:spacing w:val="-68"/>
        </w:rPr>
        <w:t> </w:t>
      </w:r>
      <w:r>
        <w:rPr>
          <w:spacing w:val="-2"/>
        </w:rPr>
        <w:t>付付款服务。</w:t>
      </w:r>
      <w:r>
        <w:rPr>
          <w:rFonts w:ascii="宋体" w:hAnsi="宋体" w:cs="宋体" w:eastAsia="宋体" w:hint="default"/>
          <w:spacing w:val="-2"/>
        </w:rPr>
        <w:t>2019</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17</w:t>
      </w:r>
      <w:r>
        <w:rPr>
          <w:spacing w:val="-2"/>
        </w:rPr>
        <w:t>日、</w:t>
      </w:r>
      <w:r>
        <w:rPr>
          <w:rFonts w:ascii="宋体" w:hAnsi="宋体" w:cs="宋体" w:eastAsia="宋体" w:hint="default"/>
          <w:spacing w:val="-2"/>
        </w:rPr>
        <w:t>9</w:t>
      </w:r>
      <w:r>
        <w:rPr>
          <w:spacing w:val="-2"/>
        </w:rPr>
        <w:t>月</w:t>
      </w:r>
      <w:r>
        <w:rPr>
          <w:rFonts w:ascii="宋体" w:hAnsi="宋体" w:cs="宋体" w:eastAsia="宋体" w:hint="default"/>
          <w:spacing w:val="-2"/>
        </w:rPr>
        <w:t>20</w:t>
      </w:r>
      <w:r>
        <w:rPr>
          <w:spacing w:val="-2"/>
        </w:rPr>
        <w:t>日，联动商务相继接到河南省桐柏县、吉林省图们市公安局的协查通知，得知山东聚广</w:t>
      </w:r>
      <w:r>
        <w:rPr>
          <w:spacing w:val="-59"/>
        </w:rPr>
        <w:t> </w:t>
      </w:r>
      <w:r>
        <w:rPr>
          <w:spacing w:val="-59"/>
        </w:rPr>
      </w:r>
      <w:r>
        <w:rPr>
          <w:spacing w:val="-2"/>
        </w:rPr>
        <w:t>的银行账户因涉及刑事案件被公安机关冻结。后经多次交涉、催收，山东辰佰向联动商务支付</w:t>
      </w:r>
      <w:r>
        <w:rPr>
          <w:rFonts w:ascii="宋体" w:hAnsi="宋体" w:cs="宋体" w:eastAsia="宋体" w:hint="default"/>
          <w:spacing w:val="-2"/>
        </w:rPr>
        <w:t>1,000</w:t>
      </w:r>
      <w:r>
        <w:rPr>
          <w:spacing w:val="-2"/>
        </w:rPr>
        <w:t>万元，剩余</w:t>
      </w:r>
      <w:r>
        <w:rPr>
          <w:rFonts w:ascii="宋体" w:hAnsi="宋体" w:cs="宋体" w:eastAsia="宋体" w:hint="default"/>
          <w:spacing w:val="-2"/>
        </w:rPr>
        <w:t>4,530</w:t>
      </w:r>
      <w:r>
        <w:rPr>
          <w:spacing w:val="-2"/>
        </w:rPr>
        <w:t>万元至</w:t>
      </w:r>
      <w:r>
        <w:rPr>
          <w:spacing w:val="-56"/>
        </w:rPr>
        <w:t> </w:t>
      </w:r>
      <w:r>
        <w:rPr>
          <w:spacing w:val="-56"/>
        </w:rPr>
      </w:r>
      <w:r>
        <w:rPr/>
        <w:t>今未予支付。经查，山东聚广、山东辰佰未有其他有效资产可供追偿，</w:t>
      </w:r>
      <w:r>
        <w:rPr>
          <w:spacing w:val="-48"/>
        </w:rPr>
        <w:t> </w:t>
      </w:r>
      <w:r>
        <w:rPr>
          <w:rFonts w:ascii="宋体" w:hAnsi="宋体" w:cs="宋体" w:eastAsia="宋体" w:hint="default"/>
        </w:rPr>
        <w:t>2020</w:t>
      </w:r>
      <w:r>
        <w:rPr/>
        <w:t>年</w:t>
      </w:r>
      <w:r>
        <w:rPr>
          <w:rFonts w:ascii="宋体" w:hAnsi="宋体" w:cs="宋体" w:eastAsia="宋体" w:hint="default"/>
        </w:rPr>
        <w:t>1</w:t>
      </w:r>
      <w:r>
        <w:rPr/>
        <w:t>月</w:t>
      </w:r>
      <w:r>
        <w:rPr>
          <w:rFonts w:ascii="宋体" w:hAnsi="宋体" w:cs="宋体" w:eastAsia="宋体" w:hint="default"/>
        </w:rPr>
        <w:t>11</w:t>
      </w:r>
      <w:r>
        <w:rPr/>
        <w:t>日，联动商务向山东莱西市公安分局提 交《刑事报案书》，截至本报告作出之日，莱西公安分局正处于立案前侦查阶段，尚未向联动商务出具正式立案受理文件， 待案件受理后，公司将另行发布相关临时公告。</w:t>
      </w:r>
    </w:p>
    <w:p>
      <w:pPr>
        <w:spacing w:line="240" w:lineRule="auto" w:before="10"/>
        <w:rPr>
          <w:rFonts w:ascii="宋体" w:hAnsi="宋体" w:cs="宋体" w:eastAsia="宋体" w:hint="default"/>
          <w:sz w:val="19"/>
          <w:szCs w:val="19"/>
        </w:rPr>
      </w:pPr>
    </w:p>
    <w:p>
      <w:pPr>
        <w:pStyle w:val="BodyText"/>
        <w:spacing w:line="240" w:lineRule="auto"/>
        <w:ind w:left="513" w:right="1133"/>
        <w:jc w:val="left"/>
      </w:pPr>
      <w:r>
        <w:rPr/>
        <w:t>③江苏沃银数据服务有限公司（以下简称江苏沃银）</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7"/>
          <w:szCs w:val="17"/>
        </w:rPr>
      </w:pPr>
    </w:p>
    <w:p>
      <w:pPr>
        <w:pStyle w:val="BodyText"/>
        <w:spacing w:line="367" w:lineRule="auto"/>
        <w:ind w:right="1127" w:firstLine="374"/>
        <w:jc w:val="left"/>
      </w:pPr>
      <w:r>
        <w:rPr/>
        <w:t>截至</w:t>
      </w:r>
      <w:r>
        <w:rPr>
          <w:spacing w:val="-42"/>
        </w:rPr>
        <w:t> </w:t>
      </w:r>
      <w:r>
        <w:rPr>
          <w:rFonts w:ascii="宋体" w:hAnsi="宋体" w:cs="宋体" w:eastAsia="宋体" w:hint="default"/>
        </w:rPr>
        <w:t>2019</w:t>
      </w:r>
      <w:r>
        <w:rPr>
          <w:rFonts w:ascii="宋体" w:hAnsi="宋体" w:cs="宋体" w:eastAsia="宋体" w:hint="default"/>
          <w:spacing w:val="-41"/>
        </w:rPr>
        <w:t> </w:t>
      </w:r>
      <w:r>
        <w:rPr/>
        <w:t>年</w:t>
      </w:r>
      <w:r>
        <w:rPr>
          <w:spacing w:val="-44"/>
        </w:rPr>
        <w:t> </w:t>
      </w:r>
      <w:r>
        <w:rPr>
          <w:rFonts w:ascii="宋体" w:hAnsi="宋体" w:cs="宋体" w:eastAsia="宋体" w:hint="default"/>
        </w:rPr>
        <w:t>12</w:t>
      </w:r>
      <w:r>
        <w:rPr>
          <w:rFonts w:ascii="宋体" w:hAnsi="宋体" w:cs="宋体" w:eastAsia="宋体" w:hint="default"/>
          <w:spacing w:val="-41"/>
        </w:rPr>
        <w:t> </w:t>
      </w:r>
      <w:r>
        <w:rPr/>
        <w:t>月</w:t>
      </w:r>
      <w:r>
        <w:rPr>
          <w:spacing w:val="-44"/>
        </w:rPr>
        <w:t> </w:t>
      </w:r>
      <w:r>
        <w:rPr>
          <w:rFonts w:ascii="宋体" w:hAnsi="宋体" w:cs="宋体" w:eastAsia="宋体" w:hint="default"/>
        </w:rPr>
        <w:t>31</w:t>
      </w:r>
      <w:r>
        <w:rPr>
          <w:rFonts w:ascii="宋体" w:hAnsi="宋体" w:cs="宋体" w:eastAsia="宋体" w:hint="default"/>
          <w:spacing w:val="-41"/>
        </w:rPr>
        <w:t> </w:t>
      </w:r>
      <w:r>
        <w:rPr/>
        <w:t>日，公司对江苏沃银的其他应收款</w:t>
      </w:r>
      <w:r>
        <w:rPr>
          <w:spacing w:val="-42"/>
        </w:rPr>
        <w:t> </w:t>
      </w:r>
      <w:r>
        <w:rPr>
          <w:rFonts w:ascii="宋体" w:hAnsi="宋体" w:cs="宋体" w:eastAsia="宋体" w:hint="default"/>
        </w:rPr>
        <w:t>652.71</w:t>
      </w:r>
      <w:r>
        <w:rPr>
          <w:rFonts w:ascii="宋体" w:hAnsi="宋体" w:cs="宋体" w:eastAsia="宋体" w:hint="default"/>
          <w:spacing w:val="-40"/>
        </w:rPr>
        <w:t> </w:t>
      </w:r>
      <w:r>
        <w:rPr/>
        <w:t>万元，公司按照预期信用损失率计提坏账准备</w:t>
      </w:r>
      <w:r>
        <w:rPr>
          <w:spacing w:val="-42"/>
        </w:rPr>
        <w:t> </w:t>
      </w:r>
      <w:r>
        <w:rPr>
          <w:rFonts w:ascii="宋体" w:hAnsi="宋体" w:cs="宋体" w:eastAsia="宋体" w:hint="default"/>
        </w:rPr>
        <w:t>652.71 </w:t>
      </w:r>
      <w:r>
        <w:rPr/>
        <w:t>万元。</w:t>
      </w:r>
    </w:p>
    <w:p>
      <w:pPr>
        <w:spacing w:line="240" w:lineRule="auto" w:before="1"/>
        <w:rPr>
          <w:rFonts w:ascii="宋体" w:hAnsi="宋体" w:cs="宋体" w:eastAsia="宋体" w:hint="default"/>
          <w:sz w:val="26"/>
          <w:szCs w:val="26"/>
        </w:rPr>
      </w:pPr>
    </w:p>
    <w:p>
      <w:pPr>
        <w:pStyle w:val="BodyText"/>
        <w:spacing w:line="367" w:lineRule="auto"/>
        <w:ind w:right="1041" w:firstLine="374"/>
        <w:jc w:val="both"/>
      </w:pPr>
      <w:r>
        <w:rPr/>
        <w:t>联动商务与江苏沃银签署了《联动优势银行卡收单业务外包服务协议》，由江苏沃银为联动商务提供银行卡收单业务 中的商户拓展服务。由江苏沃银拓展的江苏直连业务商户存在交易结算款</w:t>
      </w:r>
      <w:r>
        <w:rPr>
          <w:spacing w:val="-42"/>
        </w:rPr>
        <w:t> </w:t>
      </w:r>
      <w:r>
        <w:rPr>
          <w:rFonts w:ascii="宋体" w:hAnsi="宋体" w:cs="宋体" w:eastAsia="宋体" w:hint="default"/>
        </w:rPr>
        <w:t>1,033.89</w:t>
      </w:r>
      <w:r>
        <w:rPr>
          <w:rFonts w:ascii="宋体" w:hAnsi="宋体" w:cs="宋体" w:eastAsia="宋体" w:hint="default"/>
          <w:spacing w:val="-42"/>
        </w:rPr>
        <w:t> </w:t>
      </w:r>
      <w:r>
        <w:rPr/>
        <w:t>万元不到账，江苏沃银一直不予垫付交 </w:t>
      </w:r>
      <w:r>
        <w:rPr>
          <w:spacing w:val="-2"/>
        </w:rPr>
        <w:t>易结算资金，联动商务需先行垫付。目前公安机关正在侦查过程中，但是联动商务收回垫付款项尚未有实质性进展。截至报</w:t>
      </w:r>
      <w:r>
        <w:rPr>
          <w:spacing w:val="-65"/>
        </w:rPr>
        <w:t> </w:t>
      </w:r>
      <w:r>
        <w:rPr>
          <w:spacing w:val="-65"/>
        </w:rPr>
      </w:r>
      <w:r>
        <w:rPr/>
        <w:t>告期末联动商务已垫付</w:t>
      </w:r>
      <w:r>
        <w:rPr>
          <w:spacing w:val="-42"/>
        </w:rPr>
        <w:t> </w:t>
      </w:r>
      <w:r>
        <w:rPr>
          <w:rFonts w:ascii="宋体" w:hAnsi="宋体" w:cs="宋体" w:eastAsia="宋体" w:hint="default"/>
          <w:spacing w:val="-1"/>
        </w:rPr>
        <w:t>652.71</w:t>
      </w:r>
      <w:r>
        <w:rPr>
          <w:rFonts w:ascii="宋体" w:hAnsi="宋体" w:cs="宋体" w:eastAsia="宋体" w:hint="default"/>
          <w:spacing w:val="-44"/>
        </w:rPr>
        <w:t> </w:t>
      </w:r>
      <w:r>
        <w:rPr>
          <w:spacing w:val="-2"/>
        </w:rPr>
        <w:t>万元。结合前述案件进展以及江苏沃银的现状，联动商务判断完全收回垫付款项的难度较大。</w:t>
      </w:r>
    </w:p>
    <w:p>
      <w:pPr>
        <w:spacing w:line="240" w:lineRule="auto" w:before="3"/>
        <w:rPr>
          <w:rFonts w:ascii="宋体" w:hAnsi="宋体" w:cs="宋体" w:eastAsia="宋体" w:hint="default"/>
          <w:sz w:val="18"/>
          <w:szCs w:val="18"/>
        </w:rPr>
      </w:pPr>
    </w:p>
    <w:p>
      <w:pPr>
        <w:pStyle w:val="Heading3"/>
        <w:spacing w:line="240" w:lineRule="auto"/>
        <w:ind w:right="1133"/>
        <w:jc w:val="left"/>
        <w:rPr>
          <w:b w:val="0"/>
          <w:bCs w:val="0"/>
        </w:rPr>
      </w:pPr>
      <w:bookmarkStart w:name="8、其他" w:id="491"/>
      <w:bookmarkEnd w:id="491"/>
      <w:r>
        <w:rPr>
          <w:b w:val="0"/>
          <w:bCs w:val="0"/>
        </w:rPr>
      </w:r>
      <w:r>
        <w:rPr>
          <w:rFonts w:ascii="Times New Roman" w:hAnsi="Times New Roman" w:cs="Times New Roman" w:eastAsia="Times New Roman" w:hint="default"/>
        </w:rPr>
        <w:t>8</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1"/>
        <w:rPr>
          <w:rFonts w:ascii="宋体" w:hAnsi="宋体" w:cs="宋体" w:eastAsia="宋体" w:hint="default"/>
          <w:sz w:val="25"/>
          <w:szCs w:val="25"/>
        </w:rPr>
      </w:pPr>
    </w:p>
    <w:p>
      <w:pPr>
        <w:pStyle w:val="Heading2"/>
        <w:spacing w:line="240" w:lineRule="auto"/>
        <w:ind w:right="1133"/>
        <w:jc w:val="left"/>
        <w:rPr>
          <w:b w:val="0"/>
          <w:bCs w:val="0"/>
        </w:rPr>
      </w:pPr>
      <w:bookmarkStart w:name="十七、母公司财务报表主要项目注释" w:id="492"/>
      <w:bookmarkEnd w:id="492"/>
      <w:r>
        <w:rPr>
          <w:b w:val="0"/>
          <w:bCs w:val="0"/>
        </w:rPr>
      </w:r>
      <w:r>
        <w:rPr/>
        <w:t>十七、母公司财务报表主要项目注释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应收账款" w:id="493"/>
      <w:bookmarkEnd w:id="493"/>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应收账款分类披露" w:id="494"/>
      <w:bookmarkEnd w:id="494"/>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4"/>
        <w:gridCol w:w="761"/>
        <w:gridCol w:w="763"/>
        <w:gridCol w:w="790"/>
        <w:gridCol w:w="775"/>
        <w:gridCol w:w="797"/>
        <w:gridCol w:w="800"/>
        <w:gridCol w:w="790"/>
        <w:gridCol w:w="931"/>
      </w:tblGrid>
      <w:tr>
        <w:trPr>
          <w:trHeight w:val="396"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5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5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8"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572" w:type="dxa"/>
            <w:gridSpan w:val="2"/>
            <w:vMerge/>
            <w:tcBorders>
              <w:left w:val="single" w:sz="4" w:space="0" w:color="000000"/>
              <w:bottom w:val="single" w:sz="4" w:space="0" w:color="000000"/>
              <w:right w:val="single" w:sz="4" w:space="0" w:color="000000"/>
            </w:tcBorders>
            <w:shd w:val="clear" w:color="auto" w:fill="D2D2D2"/>
          </w:tcPr>
          <w:p>
            <w:pPr/>
          </w:p>
        </w:tc>
        <w:tc>
          <w:tcPr>
            <w:tcW w:w="1589"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7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31,401,7</w:t>
            </w:r>
          </w:p>
          <w:p>
            <w:pPr>
              <w:pStyle w:val="TableParagraph"/>
              <w:spacing w:line="240" w:lineRule="auto" w:before="105"/>
              <w:ind w:left="329" w:right="0"/>
              <w:jc w:val="left"/>
              <w:rPr>
                <w:rFonts w:ascii="Times New Roman" w:hAnsi="Times New Roman" w:cs="Times New Roman" w:eastAsia="Times New Roman" w:hint="default"/>
                <w:sz w:val="18"/>
                <w:szCs w:val="18"/>
              </w:rPr>
            </w:pPr>
            <w:r>
              <w:rPr>
                <w:rFonts w:ascii="Times New Roman"/>
                <w:sz w:val="18"/>
              </w:rPr>
              <w:t>96.88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13.53%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16,621,1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81.88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9" w:right="0"/>
              <w:jc w:val="center"/>
              <w:rPr>
                <w:rFonts w:ascii="Times New Roman" w:hAnsi="Times New Roman" w:cs="Times New Roman" w:eastAsia="Times New Roman" w:hint="default"/>
                <w:sz w:val="18"/>
                <w:szCs w:val="18"/>
              </w:rPr>
            </w:pPr>
            <w:r>
              <w:rPr>
                <w:rFonts w:ascii="Times New Roman"/>
                <w:sz w:val="18"/>
              </w:rPr>
              <w:t>52.93%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14,780,61</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5.00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1,455,973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0.70%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1,455,973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单项金额重大并单 项计提坏账准备的 应收账款</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1" w:right="0"/>
              <w:jc w:val="left"/>
              <w:rPr>
                <w:rFonts w:ascii="Times New Roman" w:hAnsi="Times New Roman" w:cs="Times New Roman" w:eastAsia="Times New Roman" w:hint="default"/>
                <w:sz w:val="18"/>
                <w:szCs w:val="18"/>
              </w:rPr>
            </w:pPr>
            <w:r>
              <w:rPr>
                <w:rFonts w:ascii="Times New Roman"/>
                <w:sz w:val="18"/>
              </w:rPr>
              <w:t>29,561,2</w:t>
            </w:r>
          </w:p>
          <w:p>
            <w:pPr>
              <w:pStyle w:val="TableParagraph"/>
              <w:spacing w:line="240" w:lineRule="auto" w:before="105"/>
              <w:ind w:left="337" w:right="0"/>
              <w:jc w:val="left"/>
              <w:rPr>
                <w:rFonts w:ascii="Times New Roman" w:hAnsi="Times New Roman" w:cs="Times New Roman" w:eastAsia="Times New Roman" w:hint="default"/>
                <w:sz w:val="18"/>
                <w:szCs w:val="18"/>
              </w:rPr>
            </w:pPr>
            <w:r>
              <w:rPr>
                <w:rFonts w:ascii="Times New Roman"/>
                <w:sz w:val="18"/>
              </w:rPr>
              <w:t>30.01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12.74%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14,780,6</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15.01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9" w:right="0"/>
              <w:jc w:val="center"/>
              <w:rPr>
                <w:rFonts w:ascii="Times New Roman" w:hAnsi="Times New Roman" w:cs="Times New Roman" w:eastAsia="Times New Roman" w:hint="default"/>
                <w:sz w:val="18"/>
                <w:szCs w:val="18"/>
              </w:rPr>
            </w:pPr>
            <w:r>
              <w:rPr>
                <w:rFonts w:ascii="Times New Roman"/>
                <w:sz w:val="18"/>
              </w:rPr>
              <w:t>50.00%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14,780,61</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5.00</w:t>
            </w:r>
          </w:p>
        </w:tc>
        <w:tc>
          <w:tcPr>
            <w:tcW w:w="77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8"/>
              <w:ind w:left="12" w:right="0"/>
              <w:jc w:val="left"/>
              <w:rPr>
                <w:rFonts w:ascii="宋体" w:hAnsi="宋体" w:cs="宋体" w:eastAsia="宋体" w:hint="default"/>
                <w:sz w:val="18"/>
                <w:szCs w:val="18"/>
              </w:rPr>
            </w:pPr>
            <w:r>
              <w:rPr>
                <w:rFonts w:ascii="宋体" w:hAnsi="宋体" w:cs="宋体" w:eastAsia="宋体" w:hint="default"/>
                <w:sz w:val="18"/>
                <w:szCs w:val="18"/>
              </w:rPr>
              <w:t>单项金额不重大但</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11" w:right="0"/>
              <w:jc w:val="left"/>
              <w:rPr>
                <w:rFonts w:ascii="Times New Roman" w:hAnsi="Times New Roman" w:cs="Times New Roman" w:eastAsia="Times New Roman" w:hint="default"/>
                <w:sz w:val="18"/>
                <w:szCs w:val="18"/>
              </w:rPr>
            </w:pPr>
            <w:r>
              <w:rPr>
                <w:rFonts w:ascii="Times New Roman"/>
                <w:sz w:val="18"/>
              </w:rPr>
              <w:t>1,840,56</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98" w:right="0"/>
              <w:jc w:val="left"/>
              <w:rPr>
                <w:rFonts w:ascii="Times New Roman" w:hAnsi="Times New Roman" w:cs="Times New Roman" w:eastAsia="Times New Roman" w:hint="default"/>
                <w:sz w:val="18"/>
                <w:szCs w:val="18"/>
              </w:rPr>
            </w:pPr>
            <w:r>
              <w:rPr>
                <w:rFonts w:ascii="Times New Roman"/>
                <w:sz w:val="18"/>
              </w:rPr>
              <w:t>1,840,56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4"/>
        <w:gridCol w:w="761"/>
        <w:gridCol w:w="763"/>
        <w:gridCol w:w="790"/>
        <w:gridCol w:w="775"/>
        <w:gridCol w:w="797"/>
        <w:gridCol w:w="800"/>
        <w:gridCol w:w="790"/>
        <w:gridCol w:w="931"/>
      </w:tblGrid>
      <w:tr>
        <w:trPr>
          <w:trHeight w:val="675" w:hRule="exact"/>
        </w:trPr>
        <w:tc>
          <w:tcPr>
            <w:tcW w:w="16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8"/>
              <w:ind w:left="24" w:right="159"/>
              <w:jc w:val="left"/>
              <w:rPr>
                <w:rFonts w:ascii="宋体" w:hAnsi="宋体" w:cs="宋体" w:eastAsia="宋体" w:hint="default"/>
                <w:sz w:val="18"/>
                <w:szCs w:val="18"/>
              </w:rPr>
            </w:pPr>
            <w:r>
              <w:rPr>
                <w:rFonts w:ascii="宋体" w:hAnsi="宋体" w:cs="宋体" w:eastAsia="宋体" w:hint="default"/>
                <w:sz w:val="18"/>
                <w:szCs w:val="18"/>
              </w:rPr>
              <w:t>单项计提坏账准备 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17" w:right="0"/>
              <w:jc w:val="left"/>
              <w:rPr>
                <w:rFonts w:ascii="Times New Roman" w:hAnsi="Times New Roman" w:cs="Times New Roman" w:eastAsia="Times New Roman" w:hint="default"/>
                <w:sz w:val="18"/>
                <w:szCs w:val="18"/>
              </w:rPr>
            </w:pPr>
            <w:r>
              <w:rPr>
                <w:rFonts w:ascii="Times New Roman"/>
                <w:sz w:val="18"/>
              </w:rPr>
              <w:t>6.87</w:t>
            </w:r>
          </w:p>
        </w:tc>
        <w:tc>
          <w:tcPr>
            <w:tcW w:w="76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15" w:right="0"/>
              <w:jc w:val="left"/>
              <w:rPr>
                <w:rFonts w:ascii="Times New Roman" w:hAnsi="Times New Roman" w:cs="Times New Roman" w:eastAsia="Times New Roman" w:hint="default"/>
                <w:sz w:val="18"/>
                <w:szCs w:val="18"/>
              </w:rPr>
            </w:pPr>
            <w:r>
              <w:rPr>
                <w:rFonts w:ascii="Times New Roman"/>
                <w:sz w:val="18"/>
              </w:rPr>
              <w:t>6.87</w:t>
            </w: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200,606,</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718.38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86.47%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7,122,99</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8.64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193,483,7</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19.74</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206,445,0</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12.97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99.30%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11,707,48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0.42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194,737,53</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2.55</w:t>
            </w:r>
          </w:p>
        </w:tc>
      </w:tr>
      <w:tr>
        <w:trPr>
          <w:trHeight w:val="40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185,856,</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753.19</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80.11%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7,122,99</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8.64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178,733,7</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54.55</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177,380,7</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70.94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85.32%</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11,707,48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0.42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165,673,29</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0.52</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内部往来组合</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14,749,9</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65.19</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6.36%</w:t>
            </w: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14,749,96</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5.19</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29,064,24</w:t>
            </w:r>
          </w:p>
          <w:p>
            <w:pPr>
              <w:pStyle w:val="TableParagraph"/>
              <w:spacing w:line="240" w:lineRule="auto" w:before="105"/>
              <w:ind w:left="429" w:right="0"/>
              <w:jc w:val="left"/>
              <w:rPr>
                <w:rFonts w:ascii="Times New Roman" w:hAnsi="Times New Roman" w:cs="Times New Roman" w:eastAsia="Times New Roman" w:hint="default"/>
                <w:sz w:val="18"/>
                <w:szCs w:val="18"/>
              </w:rPr>
            </w:pPr>
            <w:r>
              <w:rPr>
                <w:rFonts w:ascii="Times New Roman"/>
                <w:sz w:val="18"/>
              </w:rPr>
              <w:t>2.03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13.98%</w:t>
            </w:r>
          </w:p>
        </w:tc>
        <w:tc>
          <w:tcPr>
            <w:tcW w:w="80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29,064,242.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03</w:t>
            </w: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232,008,</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515.26</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23,744,1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80.52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10.23%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208,264,3</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34.74</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207,900,9</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86.14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13,163,45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3.59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194,737,53</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2.55</w:t>
            </w:r>
          </w:p>
        </w:tc>
      </w:tr>
    </w:tbl>
    <w:p>
      <w:pPr>
        <w:pStyle w:val="BodyText"/>
        <w:spacing w:line="240" w:lineRule="auto" w:before="49"/>
        <w:ind w:right="1133"/>
        <w:jc w:val="left"/>
      </w:pPr>
      <w:r>
        <w:rPr/>
        <w:t>按单项计提坏账准备：</w:t>
      </w:r>
      <w:r>
        <w:rPr>
          <w:rFonts w:ascii="Times New Roman" w:hAnsi="Times New Roman" w:cs="Times New Roman" w:eastAsia="Times New Roman" w:hint="default"/>
        </w:rPr>
        <w:t>14,780,615.01</w:t>
      </w:r>
      <w:r>
        <w:rPr>
          <w:rFonts w:ascii="Times New Roman" w:hAnsi="Times New Roman" w:cs="Times New Roman" w:eastAsia="Times New Roman" w:hint="default"/>
          <w:spacing w:val="2"/>
        </w:rPr>
        <w:t> </w:t>
      </w:r>
      <w:r>
        <w:rPr/>
        <w:t>元</w:t>
      </w:r>
    </w:p>
    <w:p>
      <w:pPr>
        <w:pStyle w:val="BodyText"/>
        <w:spacing w:line="240" w:lineRule="auto" w:before="103"/>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29,561,230.01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14,780,615.01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诉讼执行中</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29,561,230.01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14,780,615.01</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按单项计提坏账准备：</w:t>
      </w:r>
      <w:r>
        <w:rPr>
          <w:rFonts w:ascii="Times New Roman" w:hAnsi="Times New Roman" w:cs="Times New Roman" w:eastAsia="Times New Roman" w:hint="default"/>
        </w:rPr>
        <w:t>1,840,566.87 </w:t>
      </w:r>
      <w:r>
        <w:rPr/>
        <w:t>元</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384,593.70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384,593.70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1,455,973.17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1,455,973.17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1,840,566.87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1,840,566.87</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pStyle w:val="BodyText"/>
        <w:spacing w:line="360" w:lineRule="auto" w:before="49"/>
        <w:ind w:right="1155"/>
        <w:jc w:val="left"/>
      </w:pPr>
      <w:r>
        <w:rPr/>
        <w:t>按单项计提坏账准备： 无。</w:t>
      </w:r>
    </w:p>
    <w:p>
      <w:pPr>
        <w:pStyle w:val="BodyText"/>
        <w:spacing w:line="240" w:lineRule="auto" w:before="25"/>
        <w:ind w:right="-15"/>
        <w:jc w:val="left"/>
      </w:pPr>
      <w:r>
        <w:rPr/>
        <w:t>按组合计提坏账准备：</w:t>
      </w:r>
      <w:r>
        <w:rPr>
          <w:rFonts w:ascii="Times New Roman" w:hAnsi="Times New Roman" w:cs="Times New Roman" w:eastAsia="Times New Roman" w:hint="default"/>
        </w:rPr>
        <w:t>7,122,998.64 </w:t>
      </w:r>
      <w:r>
        <w:rPr/>
        <w:t>元</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128" w:space="5701"/>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w:t>
            </w:r>
            <w:r>
              <w:rPr>
                <w:rFonts w:ascii="宋体" w:hAnsi="宋体" w:cs="宋体" w:eastAsia="宋体" w:hint="default"/>
                <w:sz w:val="18"/>
                <w:szCs w:val="18"/>
              </w:rPr>
              <w:t>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182,196,444.15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5,465,893.33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2,494,407.73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498,881.55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15,355.09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7,677.54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年（含）</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1,150,546.22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1,150,546.22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185,856,753.19</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7,122,998.64</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如是按照预期信用损失一般模型计提应收账款坏账准备，请参照其他应收款的披露方式披露坏账准备的相关信息：</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5" w:footer="980" w:top="1060" w:bottom="1160" w:left="980" w:right="0"/>
        </w:sectPr>
      </w:pPr>
    </w:p>
    <w:p>
      <w:pPr>
        <w:pStyle w:val="BodyText"/>
        <w:spacing w:line="3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534" w:space="7295"/>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193"/>
              <w:jc w:val="right"/>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196,946,409.34</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2,879,001.43</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29,576,585.10</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2,606,519.39</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2,606,519.39</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193"/>
              <w:jc w:val="righ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232,008,515.26</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本期计提、收回或转回的坏账准备情况" w:id="495"/>
      <w:bookmarkEnd w:id="495"/>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t>本期计提坏账准备情况：</w:t>
      </w:r>
    </w:p>
    <w:p>
      <w:pPr>
        <w:pStyle w:val="BodyText"/>
        <w:spacing w:line="240" w:lineRule="auto" w:before="11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1"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72"/>
              <w:jc w:val="both"/>
              <w:rPr>
                <w:rFonts w:ascii="宋体" w:hAnsi="宋体" w:cs="宋体" w:eastAsia="宋体" w:hint="default"/>
                <w:sz w:val="18"/>
                <w:szCs w:val="18"/>
              </w:rPr>
            </w:pPr>
            <w:r>
              <w:rPr>
                <w:rFonts w:ascii="宋体" w:hAnsi="宋体" w:cs="宋体" w:eastAsia="宋体" w:hint="default"/>
                <w:sz w:val="18"/>
                <w:szCs w:val="18"/>
              </w:rPr>
              <w:t>单项金额重大并 单项计提坏账准 备的应收账款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5,995,936.24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8,784,678.77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14,780,615.01</w:t>
            </w:r>
          </w:p>
        </w:tc>
      </w:tr>
      <w:tr>
        <w:trPr>
          <w:trHeight w:val="1028"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72"/>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备的应收账款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5,711,544.18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1,411,454.46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7,122,998.64</w:t>
            </w: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72"/>
              <w:jc w:val="both"/>
              <w:rPr>
                <w:rFonts w:ascii="宋体" w:hAnsi="宋体" w:cs="宋体" w:eastAsia="宋体" w:hint="default"/>
                <w:sz w:val="18"/>
                <w:szCs w:val="18"/>
              </w:rPr>
            </w:pPr>
            <w:r>
              <w:rPr>
                <w:rFonts w:ascii="宋体" w:hAnsi="宋体" w:cs="宋体" w:eastAsia="宋体" w:hint="default"/>
                <w:sz w:val="18"/>
                <w:szCs w:val="18"/>
              </w:rPr>
              <w:t>单项金额不重大 但单项计提坏账 准备的应收账款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1,455,973.17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384,593.70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1,840,566.87</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13,163,453.59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10,580,726.93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23,744,180.52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本期实际核销的应收账款情况" w:id="496"/>
      <w:bookmarkEnd w:id="496"/>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1"/>
        <w:ind w:right="1133"/>
        <w:jc w:val="left"/>
        <w:rPr>
          <w:b w:val="0"/>
          <w:bCs w:val="0"/>
        </w:rPr>
      </w:pPr>
      <w:bookmarkStart w:name="（4）按欠款方归集的期末余额前五名的应收账款情况" w:id="497"/>
      <w:bookmarkEnd w:id="497"/>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4"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921" w:right="111" w:hanging="812"/>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36,560,820.19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1,096,824.61</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29,561,230.01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12.74%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14,780,615.01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20,612,156.46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618,364.69</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11,566,645.99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346,999.38</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11,141,322.61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334,239.68</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109,442,175.26</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6"/>
              <w:jc w:val="right"/>
              <w:rPr>
                <w:rFonts w:ascii="Times New Roman" w:hAnsi="Times New Roman" w:cs="Times New Roman" w:eastAsia="Times New Roman" w:hint="default"/>
                <w:sz w:val="18"/>
                <w:szCs w:val="18"/>
              </w:rPr>
            </w:pPr>
            <w:r>
              <w:rPr>
                <w:rFonts w:ascii="Times New Roman"/>
                <w:sz w:val="18"/>
              </w:rPr>
              <w:t>47.17%</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5）因金融资产转移而终止确认的应收账款" w:id="498"/>
      <w:bookmarkEnd w:id="498"/>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6）转移应收账款且继续涉入形成的资产、负债金额" w:id="499"/>
      <w:bookmarkEnd w:id="499"/>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2、其他应收款" w:id="500"/>
      <w:bookmarkEnd w:id="500"/>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727,278,013.90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546,149,579.42</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727,278,013.90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646,149,579.42</w:t>
            </w:r>
          </w:p>
        </w:tc>
      </w:tr>
    </w:tbl>
    <w:p>
      <w:pPr>
        <w:spacing w:line="240" w:lineRule="auto" w:before="3"/>
        <w:rPr>
          <w:rFonts w:ascii="宋体" w:hAnsi="宋体" w:cs="宋体" w:eastAsia="宋体" w:hint="default"/>
          <w:sz w:val="19"/>
          <w:szCs w:val="19"/>
        </w:rPr>
      </w:pPr>
    </w:p>
    <w:p>
      <w:pPr>
        <w:pStyle w:val="Heading3"/>
        <w:spacing w:line="513" w:lineRule="auto" w:before="36"/>
        <w:ind w:right="9173"/>
        <w:jc w:val="left"/>
        <w:rPr>
          <w:rFonts w:ascii="宋体" w:hAnsi="宋体" w:cs="宋体" w:eastAsia="宋体" w:hint="default"/>
          <w:b w:val="0"/>
          <w:bCs w:val="0"/>
          <w:sz w:val="18"/>
          <w:szCs w:val="18"/>
        </w:rPr>
      </w:pPr>
      <w:bookmarkStart w:name="（1）应收利息" w:id="501"/>
      <w:bookmarkEnd w:id="501"/>
      <w:r>
        <w:rPr>
          <w:b w:val="0"/>
          <w:bCs w:val="0"/>
        </w:rPr>
      </w:r>
      <w:r>
        <w:rPr/>
        <w:t>（</w:t>
      </w:r>
      <w:r>
        <w:rPr>
          <w:rFonts w:ascii="Times New Roman" w:hAnsi="Times New Roman" w:cs="Times New Roman" w:eastAsia="Times New Roman" w:hint="default"/>
        </w:rPr>
        <w:t>1</w:t>
      </w:r>
      <w:r>
        <w:rPr/>
        <w:t>）应收利息</w:t>
      </w:r>
      <w:r>
        <w:rPr>
          <w:w w:val="100"/>
        </w:rPr>
        <w:t> </w:t>
      </w:r>
      <w:bookmarkStart w:name="1）应收利息分类" w:id="502"/>
      <w:bookmarkEnd w:id="502"/>
      <w:r>
        <w:rPr>
          <w:w w:val="100"/>
        </w:rPr>
      </w:r>
      <w:r>
        <w:rPr>
          <w:rFonts w:ascii="Times New Roman" w:hAnsi="Times New Roman" w:cs="Times New Roman" w:eastAsia="Times New Roman" w:hint="default"/>
        </w:rPr>
        <w:t>1</w:t>
      </w:r>
      <w:r>
        <w:rPr/>
        <w:t>）应收利息分类</w:t>
      </w:r>
      <w:r>
        <w:rPr>
          <w:spacing w:val="-103"/>
        </w:rPr>
        <w:t> </w:t>
      </w:r>
      <w:r>
        <w:rPr>
          <w:rFonts w:ascii="宋体" w:hAnsi="宋体" w:cs="宋体" w:eastAsia="宋体" w:hint="default"/>
          <w:b w:val="0"/>
          <w:bCs w:val="0"/>
          <w:sz w:val="18"/>
          <w:szCs w:val="18"/>
        </w:rPr>
        <w:t>无。</w:t>
      </w:r>
    </w:p>
    <w:p>
      <w:pPr>
        <w:pStyle w:val="Heading3"/>
        <w:spacing w:line="240" w:lineRule="auto" w:before="148"/>
        <w:ind w:right="1133"/>
        <w:jc w:val="left"/>
        <w:rPr>
          <w:b w:val="0"/>
          <w:bCs w:val="0"/>
        </w:rPr>
      </w:pPr>
      <w:bookmarkStart w:name="2）重要逾期利息" w:id="503"/>
      <w:bookmarkEnd w:id="503"/>
      <w:r>
        <w:rPr>
          <w:b w:val="0"/>
          <w:bCs w:val="0"/>
        </w:rPr>
      </w:r>
      <w:r>
        <w:rPr>
          <w:rFonts w:ascii="Times New Roman" w:hAnsi="Times New Roman" w:cs="Times New Roman" w:eastAsia="Times New Roman" w:hint="default"/>
        </w:rPr>
        <w:t>2</w:t>
      </w:r>
      <w:r>
        <w:rPr/>
        <w:t>）重要逾期利息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3）坏账准备计提情况" w:id="504"/>
      <w:bookmarkEnd w:id="504"/>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bookmarkStart w:name="（2）应收股利" w:id="505"/>
      <w:bookmarkEnd w:id="505"/>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应收股利分类" w:id="506"/>
      <w:bookmarkEnd w:id="506"/>
      <w:r>
        <w:rPr>
          <w:b w:val="0"/>
          <w:bCs w:val="0"/>
        </w:rPr>
      </w:r>
      <w:r>
        <w:rPr>
          <w:rFonts w:ascii="Times New Roman" w:hAnsi="Times New Roman" w:cs="Times New Roman" w:eastAsia="Times New Roman" w:hint="default"/>
        </w:rPr>
        <w:t>1</w:t>
      </w:r>
      <w:r>
        <w:rPr/>
        <w:t>）应收股利分类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联动优势科技有限公司</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100,000,000.00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100,000,000.00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重要的账龄超过1年的应收股利" w:id="507"/>
      <w:bookmarkEnd w:id="507"/>
      <w:r>
        <w:rPr>
          <w:b w:val="0"/>
          <w:bCs w:val="0"/>
        </w:rPr>
      </w:r>
      <w:r>
        <w:rPr>
          <w:rFonts w:ascii="Times New Roman" w:hAnsi="Times New Roman" w:cs="Times New Roman" w:eastAsia="Times New Roman" w:hint="default"/>
        </w:rPr>
        <w:t>2</w:t>
      </w:r>
      <w:r>
        <w:rPr/>
        <w:t>）重要的账龄超过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3）坏账准备计提情况" w:id="508"/>
      <w:bookmarkEnd w:id="508"/>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bookmarkStart w:name="（3）其他应收款" w:id="509"/>
      <w:bookmarkEnd w:id="509"/>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其他应收款按款项性质分类情况" w:id="510"/>
      <w:bookmarkEnd w:id="510"/>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资金往来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533,005,033.99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545,122,339.20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57,000.00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1,074,228.00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代扣代缴款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280,385.46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386,602.25</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0.41</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退伙款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733,342,419.45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546,583,169.86</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坏账准备计提情况" w:id="511"/>
      <w:bookmarkEnd w:id="511"/>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6" w:type="dxa"/>
        <w:tblLayout w:type="fixed"/>
        <w:tblCellMar>
          <w:top w:w="0" w:type="dxa"/>
          <w:left w:w="0" w:type="dxa"/>
          <w:bottom w:w="0" w:type="dxa"/>
          <w:right w:w="0" w:type="dxa"/>
        </w:tblCellMar>
        <w:tblLook w:val="01E0"/>
      </w:tblPr>
      <w:tblGrid>
        <w:gridCol w:w="1887"/>
        <w:gridCol w:w="1663"/>
        <w:gridCol w:w="2098"/>
        <w:gridCol w:w="2101"/>
        <w:gridCol w:w="1805"/>
      </w:tblGrid>
      <w:tr>
        <w:trPr>
          <w:trHeight w:val="403" w:hRule="exact"/>
        </w:trPr>
        <w:tc>
          <w:tcPr>
            <w:tcW w:w="1887"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3" w:hRule="exact"/>
        </w:trPr>
        <w:tc>
          <w:tcPr>
            <w:tcW w:w="18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57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560"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717"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0" w:hRule="exact"/>
        </w:trPr>
        <w:tc>
          <w:tcPr>
            <w:tcW w:w="1887"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3"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1" w:type="dxa"/>
            <w:vMerge/>
            <w:tcBorders>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433,590.44</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433,590.44</w:t>
            </w:r>
          </w:p>
        </w:tc>
      </w:tr>
      <w:tr>
        <w:trPr>
          <w:trHeight w:val="161" w:hRule="exact"/>
        </w:trPr>
        <w:tc>
          <w:tcPr>
            <w:tcW w:w="1887"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6"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887" w:type="dxa"/>
            <w:vMerge/>
            <w:tcBorders>
              <w:left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7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1" w:hRule="exact"/>
        </w:trPr>
        <w:tc>
          <w:tcPr>
            <w:tcW w:w="1887" w:type="dxa"/>
            <w:vMerge/>
            <w:tcBorders>
              <w:left w:val="single" w:sz="4" w:space="0" w:color="000000"/>
              <w:bottom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5,630,815.11</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5,630,815.11</w:t>
            </w:r>
          </w:p>
        </w:tc>
      </w:tr>
      <w:tr>
        <w:trPr>
          <w:trHeight w:val="403" w:hRule="exact"/>
        </w:trPr>
        <w:tc>
          <w:tcPr>
            <w:tcW w:w="1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6,064,405.55</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6,064,405.55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pStyle w:val="BodyText"/>
        <w:spacing w:line="240" w:lineRule="auto" w:before="49"/>
        <w:ind w:right="-20"/>
        <w:jc w:val="left"/>
      </w:pPr>
      <w:r>
        <w:rPr/>
        <w:t>损失准备本期变动金额重大的账面余额变动情况</w:t>
      </w:r>
    </w:p>
    <w:p>
      <w:pPr>
        <w:pStyle w:val="BodyText"/>
        <w:spacing w:line="340" w:lineRule="auto" w:before="115"/>
        <w:ind w:right="1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0"/>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933" w:space="4896"/>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733,281,925.42</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5,494.03</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55,000.00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5,000.00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733,342,419.45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本期计提、收回或转回的坏账准备情况" w:id="512"/>
      <w:bookmarkEnd w:id="512"/>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本期计提坏账准备情况：</w:t>
      </w:r>
    </w:p>
    <w:p>
      <w:pPr>
        <w:pStyle w:val="BodyText"/>
        <w:spacing w:line="240" w:lineRule="auto" w:before="115"/>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80"/>
        <w:gridCol w:w="1088"/>
        <w:gridCol w:w="1332"/>
        <w:gridCol w:w="1330"/>
        <w:gridCol w:w="1090"/>
        <w:gridCol w:w="1577"/>
        <w:gridCol w:w="1574"/>
      </w:tblGrid>
      <w:tr>
        <w:trPr>
          <w:trHeight w:val="403" w:hRule="exact"/>
        </w:trPr>
        <w:tc>
          <w:tcPr>
            <w:tcW w:w="15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80" w:type="dxa"/>
            <w:vMerge/>
            <w:tcBorders>
              <w:left w:val="single" w:sz="4" w:space="0" w:color="000000"/>
              <w:bottom w:val="single" w:sz="4" w:space="0" w:color="000000"/>
              <w:right w:val="single" w:sz="4" w:space="0" w:color="000000"/>
            </w:tcBorders>
            <w:shd w:val="clear" w:color="auto" w:fill="D2D2D2"/>
          </w:tcPr>
          <w:p>
            <w:pPr/>
          </w:p>
        </w:tc>
        <w:tc>
          <w:tcPr>
            <w:tcW w:w="1088" w:type="dxa"/>
            <w:vMerge/>
            <w:tcBorders>
              <w:left w:val="single" w:sz="4" w:space="0" w:color="000000"/>
              <w:bottom w:val="single" w:sz="4" w:space="0" w:color="000000"/>
              <w:right w:val="single" w:sz="4" w:space="0" w:color="000000"/>
            </w:tcBorders>
            <w:shd w:val="clear" w:color="auto" w:fill="D2D2D2"/>
          </w:tcPr>
          <w:p>
            <w:pP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0"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4"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5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4" w:right="105"/>
              <w:jc w:val="left"/>
              <w:rPr>
                <w:rFonts w:ascii="宋体" w:hAnsi="宋体" w:cs="宋体" w:eastAsia="宋体" w:hint="default"/>
                <w:sz w:val="18"/>
                <w:szCs w:val="18"/>
              </w:rPr>
            </w:pPr>
            <w:r>
              <w:rPr>
                <w:rFonts w:ascii="宋体" w:hAnsi="宋体" w:cs="宋体" w:eastAsia="宋体" w:hint="default"/>
                <w:sz w:val="18"/>
                <w:szCs w:val="18"/>
              </w:rPr>
              <w:t>处于第一阶段的其 他应收款</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433,590.44</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5,630,815.11</w:t>
            </w:r>
          </w:p>
        </w:tc>
        <w:tc>
          <w:tcPr>
            <w:tcW w:w="13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6,064,405.55</w:t>
            </w:r>
          </w:p>
        </w:tc>
      </w:tr>
      <w:tr>
        <w:trPr>
          <w:trHeight w:val="401" w:hRule="exact"/>
        </w:trPr>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433,590.44</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5,630,815.11</w:t>
            </w:r>
          </w:p>
        </w:tc>
        <w:tc>
          <w:tcPr>
            <w:tcW w:w="13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6,064,405.55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4）本期实际核销的其他应收款情况" w:id="513"/>
      <w:bookmarkEnd w:id="513"/>
      <w:r>
        <w:rPr>
          <w:b w:val="0"/>
          <w:bCs w:val="0"/>
        </w:rPr>
      </w:r>
      <w:r>
        <w:rPr>
          <w:rFonts w:ascii="Times New Roman" w:hAnsi="Times New Roman" w:cs="Times New Roman" w:eastAsia="Times New Roman" w:hint="default"/>
        </w:rPr>
        <w:t>4</w:t>
      </w:r>
      <w:r>
        <w:rPr/>
        <w:t>）本期实际核销的其他应收款情况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5）按欠款方归集的期末余额前五名的其他应收款情况" w:id="514"/>
      <w:bookmarkEnd w:id="514"/>
      <w:r>
        <w:rPr>
          <w:b w:val="0"/>
          <w:bCs w:val="0"/>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6"/>
        <w:gridCol w:w="1615"/>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6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369,349,184.46</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50.37%</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退伙款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27.27%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403" w:hRule="exact"/>
        </w:trPr>
        <w:tc>
          <w:tcPr>
            <w:tcW w:w="16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75,277,555.69</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10.26%</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32,282,329.08</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6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25,988,574.89</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3.54%</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702,897,644.12</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95.84%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6）涉及政府补助的应收款项" w:id="515"/>
      <w:bookmarkEnd w:id="515"/>
      <w:r>
        <w:rPr>
          <w:b w:val="0"/>
          <w:bCs w:val="0"/>
        </w:rPr>
      </w:r>
      <w:r>
        <w:rPr>
          <w:rFonts w:ascii="Times New Roman" w:hAnsi="Times New Roman" w:cs="Times New Roman" w:eastAsia="Times New Roman" w:hint="default"/>
        </w:rPr>
        <w:t>6</w:t>
      </w:r>
      <w:r>
        <w:rPr/>
        <w:t>）涉及政府补助的应收款项</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无。</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7）因金融资产转移而终止确认的其他应收款" w:id="516"/>
      <w:bookmarkEnd w:id="516"/>
      <w:r>
        <w:rPr>
          <w:b w:val="0"/>
          <w:bCs w:val="0"/>
        </w:rPr>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8）转移其他应收款且继续涉入形成的资产、负债金额" w:id="517"/>
      <w:bookmarkEnd w:id="517"/>
      <w:r>
        <w:rPr>
          <w:b w:val="0"/>
          <w:bCs w:val="0"/>
        </w:rPr>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3、长期股权投资" w:id="518"/>
      <w:bookmarkEnd w:id="518"/>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8"/>
        <w:gridCol w:w="1366"/>
        <w:gridCol w:w="1368"/>
        <w:gridCol w:w="1366"/>
        <w:gridCol w:w="1368"/>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4"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4,702,895,457.76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4,702,895,457.76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4,690,595,457.76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4,690,595,457.76</w:t>
            </w:r>
          </w:p>
        </w:tc>
      </w:tr>
      <w:tr>
        <w:trPr>
          <w:trHeight w:val="71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437,772.08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437,772.08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419,660.20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419,660.20</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4,703,333,229.84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4,703,333,229.84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4,691,015,117.96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4,691,015,117.96</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1）对子公司投资" w:id="519"/>
      <w:bookmarkEnd w:id="519"/>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66"/>
        <w:gridCol w:w="1429"/>
        <w:gridCol w:w="1133"/>
        <w:gridCol w:w="991"/>
        <w:gridCol w:w="1277"/>
        <w:gridCol w:w="850"/>
        <w:gridCol w:w="1419"/>
        <w:gridCol w:w="1207"/>
      </w:tblGrid>
      <w:tr>
        <w:trPr>
          <w:trHeight w:val="403" w:hRule="exact"/>
        </w:trPr>
        <w:tc>
          <w:tcPr>
            <w:tcW w:w="12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429"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94"/>
              <w:ind w:left="587" w:right="50" w:hanging="54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425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94"/>
              <w:ind w:left="585" w:right="41" w:hanging="54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120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4"/>
              <w:ind w:left="417" w:right="59"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401" w:hRule="exact"/>
        </w:trPr>
        <w:tc>
          <w:tcPr>
            <w:tcW w:w="1266" w:type="dxa"/>
            <w:vMerge/>
            <w:tcBorders>
              <w:left w:val="single" w:sz="4" w:space="0" w:color="000000"/>
              <w:bottom w:val="single" w:sz="4" w:space="0" w:color="000000"/>
              <w:right w:val="single" w:sz="4" w:space="0" w:color="000000"/>
            </w:tcBorders>
            <w:shd w:val="clear" w:color="auto" w:fill="D2D2D2"/>
          </w:tcPr>
          <w:p>
            <w:pPr/>
          </w:p>
        </w:tc>
        <w:tc>
          <w:tcPr>
            <w:tcW w:w="1429"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9" w:type="dxa"/>
            <w:vMerge/>
            <w:tcBorders>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2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153"/>
              <w:jc w:val="left"/>
              <w:rPr>
                <w:rFonts w:ascii="宋体" w:hAnsi="宋体" w:cs="宋体" w:eastAsia="宋体" w:hint="default"/>
                <w:sz w:val="18"/>
                <w:szCs w:val="18"/>
              </w:rPr>
            </w:pPr>
            <w:r>
              <w:rPr>
                <w:rFonts w:ascii="宋体" w:hAnsi="宋体" w:cs="宋体" w:eastAsia="宋体" w:hint="default"/>
                <w:sz w:val="18"/>
                <w:szCs w:val="18"/>
              </w:rPr>
              <w:t>青岛海立达冲 压件有限公司</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269,808,955.89</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269,808,955.89</w:t>
            </w: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49"/>
              <w:ind w:left="22" w:right="153"/>
              <w:jc w:val="left"/>
              <w:rPr>
                <w:rFonts w:ascii="宋体" w:hAnsi="宋体" w:cs="宋体" w:eastAsia="宋体" w:hint="default"/>
                <w:sz w:val="18"/>
                <w:szCs w:val="18"/>
              </w:rPr>
            </w:pPr>
            <w:r>
              <w:rPr>
                <w:rFonts w:ascii="宋体" w:hAnsi="宋体" w:cs="宋体" w:eastAsia="宋体" w:hint="default"/>
                <w:sz w:val="18"/>
                <w:szCs w:val="18"/>
              </w:rPr>
              <w:t>青岛海立美达 电机有限公司</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121,720,779.33</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121,720,779.33</w:t>
            </w: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153"/>
              <w:jc w:val="left"/>
              <w:rPr>
                <w:rFonts w:ascii="宋体" w:hAnsi="宋体" w:cs="宋体" w:eastAsia="宋体" w:hint="default"/>
                <w:sz w:val="18"/>
                <w:szCs w:val="18"/>
              </w:rPr>
            </w:pPr>
            <w:r>
              <w:rPr>
                <w:rFonts w:ascii="宋体" w:hAnsi="宋体" w:cs="宋体" w:eastAsia="宋体" w:hint="default"/>
                <w:sz w:val="18"/>
                <w:szCs w:val="18"/>
              </w:rPr>
              <w:t>青岛海立美达 模具有限公司</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6,413,863.78</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6,413,863.78</w:t>
            </w: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153"/>
              <w:jc w:val="both"/>
              <w:rPr>
                <w:rFonts w:ascii="宋体" w:hAnsi="宋体" w:cs="宋体" w:eastAsia="宋体" w:hint="default"/>
                <w:sz w:val="18"/>
                <w:szCs w:val="18"/>
              </w:rPr>
            </w:pPr>
            <w:r>
              <w:rPr>
                <w:rFonts w:ascii="宋体" w:hAnsi="宋体" w:cs="宋体" w:eastAsia="宋体" w:hint="default"/>
                <w:sz w:val="18"/>
                <w:szCs w:val="18"/>
              </w:rPr>
              <w:t>青岛海立美达 精密机械制造 有限公司</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153"/>
              <w:jc w:val="left"/>
              <w:rPr>
                <w:rFonts w:ascii="宋体" w:hAnsi="宋体" w:cs="宋体" w:eastAsia="宋体" w:hint="default"/>
                <w:sz w:val="18"/>
                <w:szCs w:val="18"/>
              </w:rPr>
            </w:pPr>
            <w:r>
              <w:rPr>
                <w:rFonts w:ascii="宋体" w:hAnsi="宋体" w:cs="宋体" w:eastAsia="宋体" w:hint="default"/>
                <w:sz w:val="18"/>
                <w:szCs w:val="18"/>
              </w:rPr>
              <w:t>宁波泰鸿机电 有限公司</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214,736,900.00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214,736,900.00</w:t>
            </w: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153"/>
              <w:jc w:val="both"/>
              <w:rPr>
                <w:rFonts w:ascii="宋体" w:hAnsi="宋体" w:cs="宋体" w:eastAsia="宋体" w:hint="default"/>
                <w:sz w:val="18"/>
                <w:szCs w:val="18"/>
              </w:rPr>
            </w:pPr>
            <w:r>
              <w:rPr>
                <w:rFonts w:ascii="宋体" w:hAnsi="宋体" w:cs="宋体" w:eastAsia="宋体" w:hint="default"/>
                <w:sz w:val="18"/>
                <w:szCs w:val="18"/>
              </w:rPr>
              <w:t>湖南海立美达 钢板加工配送 有限公司</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153"/>
              <w:jc w:val="both"/>
              <w:rPr>
                <w:rFonts w:ascii="宋体" w:hAnsi="宋体" w:cs="宋体" w:eastAsia="宋体" w:hint="default"/>
                <w:sz w:val="18"/>
                <w:szCs w:val="18"/>
              </w:rPr>
            </w:pPr>
            <w:r>
              <w:rPr>
                <w:rFonts w:ascii="宋体" w:hAnsi="宋体" w:cs="宋体" w:eastAsia="宋体" w:hint="default"/>
                <w:sz w:val="18"/>
                <w:szCs w:val="18"/>
              </w:rPr>
              <w:t>烟台海立美达 精密钢制品有 限公司</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20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66"/>
        <w:gridCol w:w="1429"/>
        <w:gridCol w:w="1133"/>
        <w:gridCol w:w="991"/>
        <w:gridCol w:w="1277"/>
        <w:gridCol w:w="850"/>
        <w:gridCol w:w="1419"/>
        <w:gridCol w:w="1207"/>
      </w:tblGrid>
      <w:tr>
        <w:trPr>
          <w:trHeight w:val="1025" w:hRule="exact"/>
        </w:trPr>
        <w:tc>
          <w:tcPr>
            <w:tcW w:w="12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49"/>
              <w:ind w:left="22" w:right="153"/>
              <w:jc w:val="both"/>
              <w:rPr>
                <w:rFonts w:ascii="宋体" w:hAnsi="宋体" w:cs="宋体" w:eastAsia="宋体" w:hint="default"/>
                <w:sz w:val="18"/>
                <w:szCs w:val="18"/>
              </w:rPr>
            </w:pPr>
            <w:r>
              <w:rPr>
                <w:rFonts w:ascii="宋体" w:hAnsi="宋体" w:cs="宋体" w:eastAsia="宋体" w:hint="default"/>
                <w:sz w:val="18"/>
                <w:szCs w:val="18"/>
              </w:rPr>
              <w:t>湖北海立田汽 车部件有限公 司</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36,800,000.00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36,800,000.00</w:t>
            </w: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海立美达香港 有限公司</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3,092,800.00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3,092,800.00</w:t>
            </w: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153"/>
              <w:jc w:val="left"/>
              <w:rPr>
                <w:rFonts w:ascii="宋体" w:hAnsi="宋体" w:cs="宋体" w:eastAsia="宋体" w:hint="default"/>
                <w:sz w:val="18"/>
                <w:szCs w:val="18"/>
              </w:rPr>
            </w:pPr>
            <w:r>
              <w:rPr>
                <w:rFonts w:ascii="宋体" w:hAnsi="宋体" w:cs="宋体" w:eastAsia="宋体" w:hint="default"/>
                <w:sz w:val="18"/>
                <w:szCs w:val="18"/>
              </w:rPr>
              <w:t>上海海众实业 发展有限公司</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湖北海立美达 汽车有限公司</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118,989,380.00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118,989,380.00</w:t>
            </w: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153"/>
              <w:jc w:val="left"/>
              <w:rPr>
                <w:rFonts w:ascii="宋体" w:hAnsi="宋体" w:cs="宋体" w:eastAsia="宋体" w:hint="default"/>
                <w:sz w:val="18"/>
                <w:szCs w:val="18"/>
              </w:rPr>
            </w:pPr>
            <w:r>
              <w:rPr>
                <w:rFonts w:ascii="宋体" w:hAnsi="宋体" w:cs="宋体" w:eastAsia="宋体" w:hint="default"/>
                <w:sz w:val="18"/>
                <w:szCs w:val="18"/>
              </w:rPr>
              <w:t>联动优势科技 有限公司</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3,658,834,178.76</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3,658,834,178.76</w:t>
            </w: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上海和达汽车 配件有限公司</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190,198,600.00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190,198,600.00</w:t>
            </w: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153"/>
              <w:jc w:val="left"/>
              <w:rPr>
                <w:rFonts w:ascii="宋体" w:hAnsi="宋体" w:cs="宋体" w:eastAsia="宋体" w:hint="default"/>
                <w:sz w:val="18"/>
                <w:szCs w:val="18"/>
              </w:rPr>
            </w:pPr>
            <w:r>
              <w:rPr>
                <w:rFonts w:ascii="宋体" w:hAnsi="宋体" w:cs="宋体" w:eastAsia="宋体" w:hint="default"/>
                <w:sz w:val="18"/>
                <w:szCs w:val="18"/>
              </w:rPr>
              <w:t>青岛海立美达 科技有限公司</w:t>
            </w:r>
          </w:p>
        </w:tc>
        <w:tc>
          <w:tcPr>
            <w:tcW w:w="142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江苏盛世通钢 铁供应链管理 有限公司</w:t>
            </w:r>
          </w:p>
        </w:tc>
        <w:tc>
          <w:tcPr>
            <w:tcW w:w="142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1,400,000.00</w:t>
            </w: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153"/>
              <w:jc w:val="left"/>
              <w:rPr>
                <w:rFonts w:ascii="宋体" w:hAnsi="宋体" w:cs="宋体" w:eastAsia="宋体" w:hint="default"/>
                <w:sz w:val="18"/>
                <w:szCs w:val="18"/>
              </w:rPr>
            </w:pPr>
            <w:r>
              <w:rPr>
                <w:rFonts w:ascii="宋体" w:hAnsi="宋体" w:cs="宋体" w:eastAsia="宋体" w:hint="default"/>
                <w:sz w:val="18"/>
                <w:szCs w:val="18"/>
              </w:rPr>
              <w:t>青岛中安美达 技术有限公司</w:t>
            </w:r>
          </w:p>
        </w:tc>
        <w:tc>
          <w:tcPr>
            <w:tcW w:w="142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900,000.00</w:t>
            </w: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4,690,595,457.76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4,702,895,457.76</w:t>
            </w:r>
          </w:p>
        </w:tc>
        <w:tc>
          <w:tcPr>
            <w:tcW w:w="120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对联营、合营企业投资" w:id="520"/>
      <w:bookmarkEnd w:id="520"/>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1046"/>
        <w:gridCol w:w="566"/>
        <w:gridCol w:w="142"/>
        <w:gridCol w:w="637"/>
        <w:gridCol w:w="799"/>
        <w:gridCol w:w="797"/>
        <w:gridCol w:w="800"/>
        <w:gridCol w:w="797"/>
        <w:gridCol w:w="799"/>
        <w:gridCol w:w="620"/>
        <w:gridCol w:w="977"/>
        <w:gridCol w:w="797"/>
      </w:tblGrid>
      <w:tr>
        <w:trPr>
          <w:trHeight w:val="402"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10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00" w:lineRule="auto"/>
              <w:ind w:left="218" w:right="36"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595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9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期末余额</w:t>
            </w:r>
          </w:p>
          <w:p>
            <w:pPr>
              <w:pStyle w:val="TableParagraph"/>
              <w:spacing w:line="240" w:lineRule="auto" w:before="76"/>
              <w:ind w:left="6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账面价值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1046" w:type="dxa"/>
            <w:vMerge/>
            <w:tcBorders>
              <w:left w:val="single" w:sz="4" w:space="0" w:color="000000"/>
              <w:bottom w:val="single" w:sz="4" w:space="0" w:color="000000"/>
              <w:right w:val="single" w:sz="4" w:space="0" w:color="000000"/>
            </w:tcBorders>
            <w:shd w:val="clear" w:color="auto" w:fill="D2D2D2"/>
          </w:tcPr>
          <w:p>
            <w:pPr/>
          </w:p>
        </w:tc>
        <w:tc>
          <w:tcPr>
            <w:tcW w:w="70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9" w:right="77" w:hanging="180"/>
              <w:jc w:val="left"/>
              <w:rPr>
                <w:rFonts w:ascii="宋体" w:hAnsi="宋体" w:cs="宋体" w:eastAsia="宋体" w:hint="default"/>
                <w:sz w:val="18"/>
                <w:szCs w:val="18"/>
              </w:rPr>
            </w:pPr>
            <w:r>
              <w:rPr>
                <w:rFonts w:ascii="宋体" w:hAnsi="宋体" w:cs="宋体" w:eastAsia="宋体" w:hint="default"/>
                <w:sz w:val="18"/>
                <w:szCs w:val="18"/>
              </w:rPr>
              <w:t>追加投 资</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3" w:right="41" w:hanging="181"/>
              <w:jc w:val="left"/>
              <w:rPr>
                <w:rFonts w:ascii="宋体" w:hAnsi="宋体" w:cs="宋体" w:eastAsia="宋体" w:hint="default"/>
                <w:sz w:val="18"/>
                <w:szCs w:val="18"/>
              </w:rPr>
            </w:pPr>
            <w:r>
              <w:rPr>
                <w:rFonts w:ascii="宋体" w:hAnsi="宋体" w:cs="宋体" w:eastAsia="宋体" w:hint="default"/>
                <w:sz w:val="18"/>
                <w:szCs w:val="18"/>
              </w:rPr>
              <w:t>减少投 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7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652" w:hRule="exact"/>
        </w:trPr>
        <w:tc>
          <w:tcPr>
            <w:tcW w:w="7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2" w:lineRule="auto" w:before="52"/>
              <w:ind w:left="24" w:right="41"/>
              <w:jc w:val="left"/>
              <w:rPr>
                <w:rFonts w:ascii="Times New Roman" w:hAnsi="Times New Roman" w:cs="Times New Roman" w:eastAsia="Times New Roman" w:hint="default"/>
                <w:sz w:val="18"/>
                <w:szCs w:val="18"/>
              </w:rPr>
            </w:pPr>
            <w:r>
              <w:rPr>
                <w:rFonts w:ascii="宋体" w:hAnsi="宋体" w:cs="宋体" w:eastAsia="宋体" w:hint="default"/>
                <w:sz w:val="18"/>
                <w:szCs w:val="18"/>
              </w:rPr>
              <w:t>河北雄安 泽兴股权 投资基金 </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 伙</w:t>
            </w:r>
            <w:r>
              <w:rPr>
                <w:rFonts w:ascii="Times New Roman" w:hAnsi="Times New Roman" w:cs="Times New Roman" w:eastAsia="Times New Roman" w:hint="default"/>
                <w:sz w:val="18"/>
                <w:szCs w:val="18"/>
              </w:rPr>
              <w:t>)</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419,660.20</w:t>
            </w:r>
          </w:p>
        </w:tc>
        <w:tc>
          <w:tcPr>
            <w:tcW w:w="566" w:type="dxa"/>
            <w:tcBorders>
              <w:top w:val="single" w:sz="4" w:space="0" w:color="000000"/>
              <w:left w:val="single" w:sz="4" w:space="0" w:color="000000"/>
              <w:bottom w:val="single" w:sz="4" w:space="0" w:color="000000"/>
              <w:right w:val="single" w:sz="4" w:space="0" w:color="000000"/>
            </w:tcBorders>
          </w:tcPr>
          <w:p>
            <w:pPr/>
          </w:p>
        </w:tc>
        <w:tc>
          <w:tcPr>
            <w:tcW w:w="778" w:type="dxa"/>
            <w:gridSpan w:val="2"/>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18,111.88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437,772.08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419,660.20</w:t>
            </w:r>
          </w:p>
        </w:tc>
        <w:tc>
          <w:tcPr>
            <w:tcW w:w="566" w:type="dxa"/>
            <w:tcBorders>
              <w:top w:val="single" w:sz="4" w:space="0" w:color="000000"/>
              <w:left w:val="single" w:sz="4" w:space="0" w:color="000000"/>
              <w:bottom w:val="single" w:sz="4" w:space="0" w:color="000000"/>
              <w:right w:val="single" w:sz="4" w:space="0" w:color="000000"/>
            </w:tcBorders>
          </w:tcPr>
          <w:p>
            <w:pPr/>
          </w:p>
        </w:tc>
        <w:tc>
          <w:tcPr>
            <w:tcW w:w="778" w:type="dxa"/>
            <w:gridSpan w:val="2"/>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18,111.88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437,772.08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419,660.20</w:t>
            </w:r>
          </w:p>
        </w:tc>
        <w:tc>
          <w:tcPr>
            <w:tcW w:w="566" w:type="dxa"/>
            <w:tcBorders>
              <w:top w:val="single" w:sz="4" w:space="0" w:color="000000"/>
              <w:left w:val="single" w:sz="4" w:space="0" w:color="000000"/>
              <w:bottom w:val="single" w:sz="4" w:space="0" w:color="000000"/>
              <w:right w:val="single" w:sz="4" w:space="0" w:color="000000"/>
            </w:tcBorders>
          </w:tcPr>
          <w:p>
            <w:pPr/>
          </w:p>
        </w:tc>
        <w:tc>
          <w:tcPr>
            <w:tcW w:w="778" w:type="dxa"/>
            <w:gridSpan w:val="2"/>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18,111.88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437,772.08</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3）其他说明" w:id="521"/>
      <w:bookmarkEnd w:id="521"/>
      <w:r>
        <w:rPr>
          <w:b w:val="0"/>
          <w:bCs w:val="0"/>
        </w:rPr>
      </w:r>
      <w:r>
        <w:rPr/>
        <w:t>（</w:t>
      </w:r>
      <w:r>
        <w:rPr>
          <w:rFonts w:ascii="Times New Roman" w:hAnsi="Times New Roman" w:cs="Times New Roman" w:eastAsia="Times New Roman" w:hint="default"/>
        </w:rPr>
        <w:t>3</w:t>
      </w:r>
      <w:r>
        <w:rPr/>
        <w:t>）其他说明</w:t>
      </w:r>
      <w:r>
        <w:rPr>
          <w:b w:val="0"/>
          <w:bCs w:val="0"/>
        </w:rPr>
      </w:r>
    </w:p>
    <w:p>
      <w:pPr>
        <w:pStyle w:val="BodyText"/>
        <w:spacing w:line="430" w:lineRule="atLeast" w:before="164"/>
        <w:ind w:left="513" w:right="0"/>
        <w:jc w:val="left"/>
      </w:pPr>
      <w:r>
        <w:rPr/>
        <w:t>注</w:t>
      </w:r>
      <w:r>
        <w:rPr>
          <w:rFonts w:ascii="Times New Roman" w:hAnsi="Times New Roman" w:cs="Times New Roman" w:eastAsia="Times New Roman" w:hint="default"/>
        </w:rPr>
        <w:t>1</w:t>
      </w:r>
      <w:r>
        <w:rPr/>
        <w:t>：报告期公司向子公司青岛海立美达科技有限公司出资</w:t>
      </w:r>
      <w:r>
        <w:rPr>
          <w:rFonts w:ascii="Times New Roman" w:hAnsi="Times New Roman" w:cs="Times New Roman" w:eastAsia="Times New Roman" w:hint="default"/>
        </w:rPr>
        <w:t>1,000</w:t>
      </w:r>
      <w:r>
        <w:rPr/>
        <w:t>万元。</w:t>
      </w:r>
      <w:r>
        <w:rPr>
          <w:spacing w:val="-87"/>
        </w:rPr>
        <w:t> </w:t>
      </w:r>
      <w:r>
        <w:rPr>
          <w:spacing w:val="-2"/>
        </w:rPr>
        <w:t>注</w:t>
      </w:r>
      <w:r>
        <w:rPr>
          <w:rFonts w:ascii="Times New Roman" w:hAnsi="Times New Roman" w:cs="Times New Roman" w:eastAsia="Times New Roman" w:hint="default"/>
          <w:spacing w:val="-2"/>
        </w:rPr>
        <w:t>2</w:t>
      </w:r>
      <w:r>
        <w:rPr>
          <w:spacing w:val="-2"/>
        </w:rPr>
        <w:t>：江苏盛世通钢铁供应链管理有限公司：根据</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29</w:t>
      </w:r>
      <w:r>
        <w:rPr>
          <w:spacing w:val="-2"/>
        </w:rPr>
        <w:t>日，公司与郭慧签订的合资协议约定，新公司由本公司与</w:t>
      </w:r>
    </w:p>
    <w:p>
      <w:pPr>
        <w:pStyle w:val="BodyText"/>
        <w:spacing w:line="240" w:lineRule="auto" w:before="63"/>
        <w:ind w:right="1133"/>
        <w:jc w:val="left"/>
      </w:pPr>
      <w:r>
        <w:rPr/>
        <w:t>郭慧共同认缴出资</w:t>
      </w:r>
      <w:r>
        <w:rPr>
          <w:rFonts w:ascii="Times New Roman" w:hAnsi="Times New Roman" w:cs="Times New Roman" w:eastAsia="Times New Roman" w:hint="default"/>
        </w:rPr>
        <w:t>2,000</w:t>
      </w:r>
      <w:r>
        <w:rPr/>
        <w:t>万元，其中本公司认缴出资</w:t>
      </w:r>
      <w:r>
        <w:rPr>
          <w:rFonts w:ascii="Times New Roman" w:hAnsi="Times New Roman" w:cs="Times New Roman" w:eastAsia="Times New Roman" w:hint="default"/>
        </w:rPr>
        <w:t>1,400</w:t>
      </w:r>
      <w:r>
        <w:rPr/>
        <w:t>万元，实际出资</w:t>
      </w:r>
      <w:r>
        <w:rPr>
          <w:rFonts w:ascii="Times New Roman" w:hAnsi="Times New Roman" w:cs="Times New Roman" w:eastAsia="Times New Roman" w:hint="default"/>
        </w:rPr>
        <w:t>140</w:t>
      </w:r>
      <w:r>
        <w:rPr/>
        <w:t>万元。</w:t>
      </w:r>
    </w:p>
    <w:p>
      <w:pPr>
        <w:spacing w:line="240" w:lineRule="auto" w:before="13"/>
        <w:rPr>
          <w:rFonts w:ascii="宋体" w:hAnsi="宋体" w:cs="宋体" w:eastAsia="宋体" w:hint="default"/>
          <w:sz w:val="13"/>
          <w:szCs w:val="13"/>
        </w:rPr>
      </w:pPr>
    </w:p>
    <w:p>
      <w:pPr>
        <w:pStyle w:val="BodyText"/>
        <w:spacing w:line="300" w:lineRule="auto"/>
        <w:ind w:right="0" w:firstLine="360"/>
        <w:jc w:val="left"/>
      </w:pPr>
      <w:r>
        <w:rPr>
          <w:spacing w:val="-2"/>
        </w:rPr>
        <w:t>注</w:t>
      </w:r>
      <w:r>
        <w:rPr>
          <w:rFonts w:ascii="Times New Roman" w:hAnsi="Times New Roman" w:cs="Times New Roman" w:eastAsia="Times New Roman" w:hint="default"/>
          <w:spacing w:val="-2"/>
        </w:rPr>
        <w:t>3</w:t>
      </w:r>
      <w:r>
        <w:rPr>
          <w:spacing w:val="-2"/>
        </w:rPr>
        <w:t>：青岛中安美达信息技术有限公司：根据</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8</w:t>
      </w:r>
      <w:r>
        <w:rPr>
          <w:spacing w:val="-2"/>
        </w:rPr>
        <w:t>日，公司与姚龙、路轩签订的合资协议约定，新公司由本公司</w:t>
      </w:r>
      <w:r>
        <w:rPr/>
        <w:t> 与姚龙、路轩共同认缴出资</w:t>
      </w:r>
      <w:r>
        <w:rPr>
          <w:rFonts w:ascii="Times New Roman" w:hAnsi="Times New Roman" w:cs="Times New Roman" w:eastAsia="Times New Roman" w:hint="default"/>
        </w:rPr>
        <w:t>1,000</w:t>
      </w:r>
      <w:r>
        <w:rPr/>
        <w:t>万元，其中本公司认缴出资</w:t>
      </w:r>
      <w:r>
        <w:rPr>
          <w:rFonts w:ascii="Times New Roman" w:hAnsi="Times New Roman" w:cs="Times New Roman" w:eastAsia="Times New Roman" w:hint="default"/>
        </w:rPr>
        <w:t>750</w:t>
      </w:r>
      <w:r>
        <w:rPr/>
        <w:t>万元，实际出资</w:t>
      </w:r>
      <w:r>
        <w:rPr>
          <w:rFonts w:ascii="Times New Roman" w:hAnsi="Times New Roman" w:cs="Times New Roman" w:eastAsia="Times New Roman" w:hint="default"/>
        </w:rPr>
        <w:t>90</w:t>
      </w:r>
      <w:r>
        <w:rPr/>
        <w:t>万元。</w:t>
      </w:r>
    </w:p>
    <w:p>
      <w:pPr>
        <w:pStyle w:val="BodyText"/>
        <w:spacing w:line="300" w:lineRule="auto" w:before="133"/>
        <w:ind w:right="1134" w:firstLine="360"/>
        <w:jc w:val="left"/>
      </w:pPr>
      <w:r>
        <w:rPr/>
        <w:t>注</w:t>
      </w:r>
      <w:r>
        <w:rPr>
          <w:rFonts w:ascii="Times New Roman" w:hAnsi="Times New Roman" w:cs="Times New Roman" w:eastAsia="Times New Roman" w:hint="default"/>
        </w:rPr>
        <w:t>4:</w:t>
      </w:r>
      <w:r>
        <w:rPr/>
        <w:t>河北雄安泽兴股权投资基金</w:t>
      </w:r>
      <w:r>
        <w:rPr>
          <w:rFonts w:ascii="Times New Roman" w:hAnsi="Times New Roman" w:cs="Times New Roman" w:eastAsia="Times New Roman" w:hint="default"/>
        </w:rPr>
        <w:t>(</w:t>
      </w:r>
      <w:r>
        <w:rPr/>
        <w:t>有限合伙</w:t>
      </w:r>
      <w:r>
        <w:rPr>
          <w:rFonts w:ascii="Times New Roman" w:hAnsi="Times New Roman" w:cs="Times New Roman" w:eastAsia="Times New Roman" w:hint="default"/>
        </w:rPr>
        <w:t>)</w:t>
      </w:r>
      <w:r>
        <w:rPr/>
        <w:t>：由上海稳实投资管理中心（普通合伙）、中嘉博创信息技术股份有限公司 和本公司共同出资</w:t>
      </w:r>
      <w:r>
        <w:rPr>
          <w:rFonts w:ascii="Times New Roman" w:hAnsi="Times New Roman" w:cs="Times New Roman" w:eastAsia="Times New Roman" w:hint="default"/>
        </w:rPr>
        <w:t>30,100</w:t>
      </w:r>
      <w:r>
        <w:rPr/>
        <w:t>万元，其中本公司认缴出资</w:t>
      </w:r>
      <w:r>
        <w:rPr>
          <w:rFonts w:ascii="Times New Roman" w:hAnsi="Times New Roman" w:cs="Times New Roman" w:eastAsia="Times New Roman" w:hint="default"/>
        </w:rPr>
        <w:t>1.5</w:t>
      </w:r>
      <w:r>
        <w:rPr/>
        <w:t>亿元，实际出资</w:t>
      </w:r>
      <w:r>
        <w:rPr>
          <w:rFonts w:ascii="Times New Roman" w:hAnsi="Times New Roman" w:cs="Times New Roman" w:eastAsia="Times New Roman" w:hint="default"/>
        </w:rPr>
        <w:t>100</w:t>
      </w:r>
      <w:r>
        <w:rPr/>
        <w:t>万元。</w:t>
      </w:r>
    </w:p>
    <w:p>
      <w:pPr>
        <w:spacing w:line="240" w:lineRule="auto" w:before="4"/>
        <w:rPr>
          <w:rFonts w:ascii="宋体" w:hAnsi="宋体" w:cs="宋体" w:eastAsia="宋体" w:hint="default"/>
          <w:sz w:val="22"/>
          <w:szCs w:val="22"/>
        </w:rPr>
      </w:pPr>
    </w:p>
    <w:p>
      <w:pPr>
        <w:pStyle w:val="Heading3"/>
        <w:spacing w:line="240" w:lineRule="auto"/>
        <w:ind w:right="1133"/>
        <w:jc w:val="left"/>
        <w:rPr>
          <w:b w:val="0"/>
          <w:bCs w:val="0"/>
        </w:rPr>
      </w:pPr>
      <w:bookmarkStart w:name="4、营业收入和营业成本" w:id="522"/>
      <w:bookmarkEnd w:id="522"/>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6"/>
        <w:gridCol w:w="1835"/>
        <w:gridCol w:w="1913"/>
        <w:gridCol w:w="1913"/>
        <w:gridCol w:w="1916"/>
      </w:tblGrid>
      <w:tr>
        <w:trPr>
          <w:trHeight w:val="206" w:hRule="exact"/>
        </w:trPr>
        <w:tc>
          <w:tcPr>
            <w:tcW w:w="19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0" w:hRule="exact"/>
        </w:trPr>
        <w:tc>
          <w:tcPr>
            <w:tcW w:w="19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96"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2,436,246,942.40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2,347,981,843.33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1,836,197,572.34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1,717,381,810.27</w:t>
            </w: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8,609,988.18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5,712,311.89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5,708,091.48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641,306.92</w:t>
            </w:r>
          </w:p>
        </w:tc>
      </w:tr>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2,444,856,930.58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2,353,694,155.22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1,841,905,663.82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1,718,023,117.19</w:t>
            </w:r>
          </w:p>
        </w:tc>
      </w:tr>
    </w:tbl>
    <w:p>
      <w:pPr>
        <w:pStyle w:val="BodyText"/>
        <w:spacing w:line="240" w:lineRule="auto" w:before="49"/>
        <w:ind w:right="1133"/>
        <w:jc w:val="left"/>
      </w:pPr>
      <w:r>
        <w:rPr/>
        <w:t>是否已执行新收入准则</w:t>
      </w:r>
    </w:p>
    <w:p>
      <w:pPr>
        <w:pStyle w:val="BodyText"/>
        <w:spacing w:line="240" w:lineRule="auto" w:before="117"/>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bookmarkStart w:name="5、投资收益" w:id="523"/>
      <w:bookmarkEnd w:id="523"/>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6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268,707,380.57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454,120,000.00</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6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18,111.88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-580,339.80</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8,282,247.74</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277,007,740.19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453,539,660.20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6、其他" w:id="524"/>
      <w:bookmarkEnd w:id="524"/>
      <w:r>
        <w:rPr>
          <w:b w:val="0"/>
          <w:bCs w:val="0"/>
        </w:rPr>
      </w:r>
      <w:r>
        <w:rPr>
          <w:rFonts w:ascii="Times New Roman" w:hAnsi="Times New Roman" w:cs="Times New Roman" w:eastAsia="Times New Roman" w:hint="default"/>
        </w:rPr>
        <w:t>6</w:t>
      </w:r>
      <w:r>
        <w:rPr/>
        <w:t>、其他</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3"/>
        <w:rPr>
          <w:rFonts w:ascii="宋体" w:hAnsi="宋体" w:cs="宋体" w:eastAsia="宋体" w:hint="default"/>
          <w:sz w:val="25"/>
          <w:szCs w:val="25"/>
        </w:rPr>
      </w:pPr>
    </w:p>
    <w:p>
      <w:pPr>
        <w:pStyle w:val="Heading2"/>
        <w:spacing w:line="240" w:lineRule="auto"/>
        <w:ind w:right="1133"/>
        <w:jc w:val="left"/>
        <w:rPr>
          <w:b w:val="0"/>
          <w:bCs w:val="0"/>
        </w:rPr>
      </w:pPr>
      <w:bookmarkStart w:name="十八、补充资料" w:id="525"/>
      <w:bookmarkEnd w:id="525"/>
      <w:r>
        <w:rPr>
          <w:b w:val="0"/>
          <w:bCs w:val="0"/>
        </w:rPr>
      </w:r>
      <w:r>
        <w:rPr/>
        <w:t>十八、补充资料</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当期非经常性损益明细表" w:id="526"/>
      <w:bookmarkEnd w:id="526"/>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w:t>
      </w:r>
      <w:r>
        <w:rPr>
          <w:spacing w:val="1"/>
        </w:rPr>
        <w:t> </w:t>
      </w:r>
      <w:r>
        <w:rPr/>
        <w:t>元</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1,140,201.88</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22,217,804.42</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4,478,540.21</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9,447,495.45</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7,605,144.00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1,913,935.00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27,764,962.96</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2、净资产收益率及每股收益" w:id="527"/>
      <w:bookmarkEnd w:id="527"/>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2"/>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64"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2"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-1.99</w:t>
            </w:r>
          </w:p>
        </w:tc>
      </w:tr>
      <w:tr>
        <w:trPr>
          <w:trHeight w:val="713"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08"/>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-2.02</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bookmarkStart w:name="3、境内外会计准则下会计数据差异" w:id="528"/>
      <w:bookmarkEnd w:id="528"/>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同时按照国际会计准则与按中国会计准则披露的财务报告中净利润和净资产差异情况" w:id="529"/>
      <w:bookmarkEnd w:id="529"/>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2）同时按照境外会计准则与按中国会计准则披露的财务报告中净利润和净资产差异情况" w:id="530"/>
      <w:bookmarkEnd w:id="530"/>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6"/>
          <w:szCs w:val="26"/>
        </w:rPr>
      </w:pPr>
    </w:p>
    <w:p>
      <w:pPr>
        <w:pStyle w:val="Heading3"/>
        <w:spacing w:line="259" w:lineRule="auto"/>
        <w:ind w:right="1133"/>
        <w:jc w:val="left"/>
        <w:rPr>
          <w:b w:val="0"/>
          <w:bCs w:val="0"/>
        </w:rPr>
      </w:pPr>
      <w:bookmarkStart w:name="（3）境内外会计准则下会计数据差异原因说明，对已经境外审计机构审计的数据进行差异" w:id="531"/>
      <w:bookmarkEnd w:id="531"/>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5"/>
        </w:rPr>
        <w:t> </w:t>
      </w:r>
      <w:r>
        <w:rPr>
          <w:spacing w:val="-65"/>
        </w:rPr>
      </w:r>
      <w:r>
        <w:rPr/>
        <w:t>明该境外机构的名称</w:t>
      </w:r>
      <w:r>
        <w:rPr>
          <w:b w:val="0"/>
          <w:bCs w:val="0"/>
        </w:rPr>
      </w:r>
    </w:p>
    <w:p>
      <w:pPr>
        <w:spacing w:after="0" w:line="259" w:lineRule="auto"/>
        <w:jc w:val="left"/>
        <w:sectPr>
          <w:pgSz w:w="11910" w:h="16840"/>
          <w:pgMar w:header="745" w:footer="980" w:top="1060" w:bottom="1160" w:left="980" w:right="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285" w:right="1133"/>
        <w:jc w:val="left"/>
        <w:rPr>
          <w:b w:val="0"/>
          <w:bCs w:val="0"/>
        </w:rPr>
      </w:pPr>
      <w:bookmarkStart w:name="第十三节 备查文件目录" w:id="532"/>
      <w:bookmarkEnd w:id="532"/>
      <w:r>
        <w:rPr>
          <w:b w:val="0"/>
          <w:bCs w:val="0"/>
        </w:rPr>
      </w:r>
      <w:bookmarkStart w:name="_bookmark12" w:id="533"/>
      <w:bookmarkEnd w:id="533"/>
      <w:r>
        <w:rPr>
          <w:b w:val="0"/>
          <w:bCs w:val="0"/>
        </w:rPr>
      </w:r>
      <w:r>
        <w:rPr/>
        <w:t>第十三节</w:t>
      </w:r>
      <w:r>
        <w:rPr>
          <w:spacing w:val="-6"/>
        </w:rPr>
        <w:t> </w:t>
      </w:r>
      <w:r>
        <w:rPr/>
        <w:t>备查文件目录</w:t>
      </w:r>
      <w:r>
        <w:rPr>
          <w:b w:val="0"/>
          <w:bCs w:val="0"/>
        </w:rPr>
      </w:r>
    </w:p>
    <w:p>
      <w:pPr>
        <w:spacing w:line="240" w:lineRule="auto" w:before="6"/>
        <w:rPr>
          <w:rFonts w:ascii="宋体" w:hAnsi="宋体" w:cs="宋体" w:eastAsia="宋体" w:hint="default"/>
          <w:b/>
          <w:bCs/>
          <w:sz w:val="42"/>
          <w:szCs w:val="42"/>
        </w:rPr>
      </w:pPr>
    </w:p>
    <w:p>
      <w:pPr>
        <w:pStyle w:val="BodyText"/>
        <w:spacing w:line="314" w:lineRule="auto"/>
        <w:ind w:right="2491"/>
        <w:jc w:val="left"/>
      </w:pPr>
      <w:r>
        <w:rPr/>
        <w:t>一、载有法定代表人、主管会计工作负责人、会计机构负责人（会计主管人员）签名并盖章的会计报表。 二、载有会计师事务所盖章、注册会计师签名并盖章的审计报告原件。 三、报告期内在中国证监会指定媒体上公开披露过的所有公司文件的正本及公告的原稿。 四、载有法定代表人签名的</w:t>
      </w:r>
      <w:r>
        <w:rPr>
          <w:rFonts w:ascii="Times New Roman" w:hAnsi="Times New Roman" w:cs="Times New Roman" w:eastAsia="Times New Roman" w:hint="default"/>
        </w:rPr>
        <w:t>2019</w:t>
      </w:r>
      <w:r>
        <w:rPr/>
        <w:t>年年度报告文本原件。 五、以上备查文件的备置地点：公司证券投资部。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9"/>
          <w:szCs w:val="19"/>
        </w:rPr>
      </w:pPr>
    </w:p>
    <w:p>
      <w:pPr>
        <w:pStyle w:val="BodyText"/>
        <w:spacing w:line="319" w:lineRule="auto"/>
        <w:ind w:left="7993" w:right="1114" w:hanging="361"/>
        <w:jc w:val="left"/>
      </w:pPr>
      <w:r>
        <w:rPr/>
        <w:t>海联金汇科技股份有限公司 法定代表人：刘国平</w:t>
      </w:r>
    </w:p>
    <w:p>
      <w:pPr>
        <w:pStyle w:val="BodyText"/>
        <w:spacing w:line="240" w:lineRule="auto" w:before="17"/>
        <w:ind w:left="0" w:right="1488"/>
        <w:jc w:val="right"/>
      </w:pP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w:t>
      </w:r>
    </w:p>
    <w:sectPr>
      <w:pgSz w:w="11910" w:h="16840"/>
      <w:pgMar w:header="745" w:footer="980"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S Gothic">
    <w:altName w:val="MS Gothic"/>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714264" type="#_x0000_t75" stroked="false">
          <v:imagedata r:id="rId1" o:title=""/>
        </v:shape>
      </w:pict>
    </w:r>
    <w:r>
      <w:rPr/>
      <w:pict>
        <v:shape style="position:absolute;margin-left:533.099976pt;margin-top:795.637939pt;width:6.5pt;height:11pt;mso-position-horizontal-relative:page;mso-position-vertical-relative:page;z-index:-171424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714216" type="#_x0000_t75" stroked="false">
          <v:imagedata r:id="rId1" o:title=""/>
        </v:shape>
      </w:pict>
    </w:r>
    <w:r>
      <w:rPr/>
      <w:pict>
        <v:shape style="position:absolute;margin-left:527.659973pt;margin-top:781.933899pt;width:13.15pt;height:11pt;mso-position-horizontal-relative:page;mso-position-vertical-relative:page;z-index:-17141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714168" type="#_x0000_t75" stroked="false">
          <v:imagedata r:id="rId1" o:title=""/>
        </v:shape>
      </w:pict>
    </w:r>
    <w:r>
      <w:rPr/>
      <w:pict>
        <v:shape style="position:absolute;margin-left:527.659973pt;margin-top:781.933899pt;width:13.15pt;height:11pt;mso-position-horizontal-relative:page;mso-position-vertical-relative:page;z-index:-17141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50</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714120" type="#_x0000_t75" stroked="false">
          <v:imagedata r:id="rId1" o:title=""/>
        </v:shape>
      </w:pict>
    </w:r>
    <w:r>
      <w:rPr/>
      <w:pict>
        <v:shape style="position:absolute;margin-left:524.099976pt;margin-top:781.933899pt;width:15.7pt;height:11pt;mso-position-horizontal-relative:page;mso-position-vertical-relative:page;z-index:-171409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714072" type="#_x0000_t75" stroked="false">
          <v:imagedata r:id="rId1" o:title=""/>
        </v:shape>
      </w:pict>
    </w:r>
    <w:r>
      <w:rPr/>
      <w:pict>
        <v:shape style="position:absolute;margin-left:523.099976pt;margin-top:781.933899pt;width:17.7pt;height:11pt;mso-position-horizontal-relative:page;mso-position-vertical-relative:page;z-index:-17140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714024" type="#_x0000_t75" stroked="false">
          <v:imagedata r:id="rId1" o:title=""/>
        </v:shape>
      </w:pict>
    </w:r>
    <w:r>
      <w:rPr/>
      <w:pict>
        <v:shape style="position:absolute;margin-left:523.460022pt;margin-top:781.933899pt;width:17.3pt;height:11pt;mso-position-horizontal-relative:page;mso-position-vertical-relative:page;z-index:-17140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713976" type="#_x0000_t75" stroked="false">
          <v:imagedata r:id="rId1" o:title=""/>
        </v:shape>
      </w:pict>
    </w:r>
    <w:r>
      <w:rPr/>
      <w:pict>
        <v:shape style="position:absolute;margin-left:523.099976pt;margin-top:781.933899pt;width:17.7pt;height:11pt;mso-position-horizontal-relative:page;mso-position-vertical-relative:page;z-index:-17139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713928" type="#_x0000_t75" stroked="false">
          <v:imagedata r:id="rId1" o:title=""/>
        </v:shape>
      </w:pict>
    </w:r>
    <w:r>
      <w:rPr/>
      <w:pict>
        <v:shape style="position:absolute;margin-left:524.099976pt;margin-top:781.933899pt;width:15.7pt;height:11pt;mso-position-horizontal-relative:page;mso-position-vertical-relative:page;z-index:-171390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713880" type="#_x0000_t75" stroked="false">
          <v:imagedata r:id="rId1" o:title=""/>
        </v:shape>
      </w:pict>
    </w:r>
    <w:r>
      <w:rPr/>
      <w:pict>
        <v:shape style="position:absolute;margin-left:523.099976pt;margin-top:781.933899pt;width:17.7pt;height:11pt;mso-position-horizontal-relative:page;mso-position-vertical-relative:page;z-index:-17138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201</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070007pt;margin-top:36.265610pt;width:195.75pt;height:11.5pt;mso-position-horizontal-relative:page;mso-position-vertical-relative:page;z-index:-1714288" type="#_x0000_t202" filled="false" stroked="false">
          <v:textbox inset="0,0,0,0">
            <w:txbxContent>
              <w:p>
                <w:pPr>
                  <w:pStyle w:val="BodyText"/>
                  <w:spacing w:line="214" w:lineRule="exact"/>
                  <w:ind w:left="20" w:right="0"/>
                  <w:jc w:val="left"/>
                </w:pPr>
                <w:r>
                  <w:rPr/>
                  <w:t>海联金汇科技股份有限公司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8"/>
      <w:ind w:left="152"/>
    </w:pPr>
    <w:rPr>
      <w:rFonts w:ascii="宋体" w:hAnsi="宋体" w:eastAsia="宋体"/>
      <w:b/>
      <w:bCs/>
      <w:sz w:val="24"/>
      <w:szCs w:val="24"/>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513"/>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Heading4" w:type="paragraph">
    <w:name w:val="Heading 4"/>
    <w:basedOn w:val="Normal"/>
    <w:uiPriority w:val="1"/>
    <w:qFormat/>
    <w:pPr>
      <w:ind w:left="513"/>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haili.com.cn/" TargetMode="External"/><Relationship Id="rId10" Type="http://schemas.openxmlformats.org/officeDocument/2006/relationships/hyperlink" Target="mailto:hlmo@haili.com.cn" TargetMode="External"/><Relationship Id="rId11" Type="http://schemas.openxmlformats.org/officeDocument/2006/relationships/hyperlink" Target="mailto:qixiumei@haili.com.cn" TargetMode="External"/><Relationship Id="rId12" Type="http://schemas.openxmlformats.org/officeDocument/2006/relationships/hyperlink" Target="mailto:wangyulin@haili.com.cn" TargetMode="External"/><Relationship Id="rId13" Type="http://schemas.openxmlformats.org/officeDocument/2006/relationships/hyperlink" Target="http://www.cninfo.com.cn/" TargetMode="Externa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hyperlink" Target="http://www.cninfo.com.cn&#30340;/" TargetMode="External"/><Relationship Id="rId17" Type="http://schemas.openxmlformats.org/officeDocument/2006/relationships/footer" Target="footer5.xml"/><Relationship Id="rId18" Type="http://schemas.openxmlformats.org/officeDocument/2006/relationships/image" Target="media/image3.jpeg"/><Relationship Id="rId19" Type="http://schemas.openxmlformats.org/officeDocument/2006/relationships/footer" Target="footer6.xml"/><Relationship Id="rId20" Type="http://schemas.openxmlformats.org/officeDocument/2006/relationships/footer" Target="footer7.xml"/><Relationship Id="rId21" Type="http://schemas.openxmlformats.org/officeDocument/2006/relationships/image" Target="media/image4.png"/><Relationship Id="rId22" Type="http://schemas.openxmlformats.org/officeDocument/2006/relationships/footer" Target="footer8.xml"/><Relationship Id="rId23" Type="http://schemas.openxmlformats.org/officeDocument/2006/relationships/footer" Target="footer9.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海联金汇科技股份有限公司</dc:creator>
  <dc:title>海联金汇科技股份有限公司2019年年度报告全文</dc:title>
  <dcterms:created xsi:type="dcterms:W3CDTF">2020-05-19T22:14:11Z</dcterms:created>
  <dcterms:modified xsi:type="dcterms:W3CDTF">2020-05-19T22:14:11Z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2020-04-28T00:00:00Z</vt:filetime>
  </property>
  <property fmtid="{D5CDD505-2E9C-101B-9397-08002B2CF9AE}" pid="3" name="Creator">
    <vt:lpwstr>Microsoft® Office Word 2007</vt:lpwstr>
  </property>
  <property fmtid="{D5CDD505-2E9C-101B-9397-08002B2CF9AE}" pid="4" name="LastSaved">
    <vt:filetime>2020-05-19T00:00:00Z</vt:filetime>
  </property>
</Properties>
</file>