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5774" w:lineRule="exact"/>
        <w:ind w:left="289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4"/>
          <w:sz w:val="20"/>
          <w:szCs w:val="20"/>
        </w:rPr>
        <w:drawing>
          <wp:inline distT="0" distB="0" distL="0" distR="0">
            <wp:extent cx="2645135" cy="366674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645135" cy="3666744"/>
                    </a:xfrm>
                    <a:prstGeom prst="rect">
                      <a:avLst/>
                    </a:prstGeom>
                  </pic:spPr>
                </pic:pic>
              </a:graphicData>
            </a:graphic>
          </wp:inline>
        </w:drawing>
      </w:r>
      <w:r>
        <w:rPr>
          <w:rFonts w:ascii="Times New Roman" w:hAnsi="Times New Roman" w:cs="Times New Roman" w:eastAsia="Times New Roman" w:hint="default"/>
          <w:position w:val="-11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广东群兴玩具股份有限公司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4"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3"/>
        <w:rPr>
          <w:rFonts w:ascii="宋体" w:hAnsi="宋体" w:cs="宋体" w:eastAsia="宋体" w:hint="default"/>
          <w:b/>
          <w:bCs/>
          <w:sz w:val="25"/>
          <w:szCs w:val="25"/>
        </w:rPr>
      </w:pPr>
    </w:p>
    <w:p>
      <w:pPr>
        <w:spacing w:before="0"/>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2014</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年</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月</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267,600,000 </w:t>
      </w:r>
      <w:r>
        <w:rPr>
          <w:rFonts w:ascii="宋体" w:hAnsi="宋体" w:cs="宋体" w:eastAsia="宋体" w:hint="default"/>
          <w:b/>
          <w:bCs/>
          <w:sz w:val="28"/>
          <w:szCs w:val="28"/>
        </w:rPr>
        <w:t>股为基数，向全体股东每</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元（含</w:t>
      </w:r>
      <w:r>
        <w:rPr>
          <w:rFonts w:ascii="宋体" w:hAnsi="宋体" w:cs="宋体" w:eastAsia="宋体" w:hint="default"/>
          <w:sz w:val="28"/>
          <w:szCs w:val="28"/>
        </w:rPr>
      </w:r>
    </w:p>
    <w:p>
      <w:pPr>
        <w:spacing w:line="446" w:lineRule="auto" w:before="237"/>
        <w:ind w:left="716" w:right="0" w:hanging="562"/>
        <w:jc w:val="left"/>
        <w:rPr>
          <w:rFonts w:ascii="宋体" w:hAnsi="宋体" w:cs="宋体" w:eastAsia="宋体" w:hint="default"/>
          <w:sz w:val="28"/>
          <w:szCs w:val="28"/>
        </w:rPr>
      </w:pPr>
      <w:r>
        <w:rPr>
          <w:rFonts w:ascii="宋体" w:hAnsi="宋体" w:cs="宋体" w:eastAsia="宋体" w:hint="default"/>
          <w:b/>
          <w:bCs/>
          <w:spacing w:val="-24"/>
          <w:w w:val="99"/>
          <w:sz w:val="28"/>
          <w:szCs w:val="28"/>
        </w:rPr>
        <w:t>税），送红股</w:t>
      </w:r>
      <w:r>
        <w:rPr>
          <w:rFonts w:ascii="宋体" w:hAnsi="宋体" w:cs="宋体" w:eastAsia="宋体" w:hint="default"/>
          <w:b/>
          <w:bCs/>
          <w:spacing w:val="-67"/>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w w:val="99"/>
          <w:sz w:val="28"/>
          <w:szCs w:val="28"/>
        </w:rPr>
        <w:t> </w:t>
      </w:r>
      <w:r>
        <w:rPr>
          <w:rFonts w:ascii="Times New Roman" w:hAnsi="Times New Roman" w:cs="Times New Roman" w:eastAsia="Times New Roman" w:hint="default"/>
          <w:b/>
          <w:bCs/>
          <w:w w:val="99"/>
          <w:sz w:val="28"/>
          <w:szCs w:val="28"/>
        </w:rPr>
        <w:t>12</w:t>
      </w:r>
      <w:r>
        <w:rPr>
          <w:rFonts w:ascii="Times New Roman" w:hAnsi="Times New Roman" w:cs="Times New Roman" w:eastAsia="Times New Roman" w:hint="default"/>
          <w:b/>
          <w:bCs/>
          <w:spacing w:val="1"/>
          <w:w w:val="99"/>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130"/>
          <w:w w:val="99"/>
          <w:sz w:val="28"/>
          <w:szCs w:val="28"/>
        </w:rPr>
        <w:t> </w:t>
      </w:r>
      <w:r>
        <w:rPr>
          <w:rFonts w:ascii="宋体" w:hAnsi="宋体" w:cs="宋体" w:eastAsia="宋体" w:hint="default"/>
          <w:b/>
          <w:bCs/>
          <w:w w:val="95"/>
          <w:sz w:val="28"/>
          <w:szCs w:val="28"/>
        </w:rPr>
        <w:t>公司负责人林伟章、主管会计工作负责人乔新睿及会计机构负责人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59"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陈轲声明：保证年度报告中财务报告的真实、准确、完整。</w:t>
      </w:r>
      <w:r>
        <w:rPr>
          <w:rFonts w:ascii="宋体" w:hAnsi="宋体" w:cs="宋体" w:eastAsia="宋体" w:hint="default"/>
          <w:sz w:val="28"/>
          <w:szCs w:val="28"/>
        </w:rPr>
      </w:r>
    </w:p>
    <w:p>
      <w:pPr>
        <w:spacing w:after="0" w:line="359"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83" w:val="right" w:leader="dot"/>
            </w:tabs>
            <w:spacing w:line="240" w:lineRule="auto"/>
            <w:ind w:left="154"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left="154"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内部控制</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136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公司、本公司、股份公司、群兴玩具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广东群兴投资有限公司，系群兴玩具之控股股东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本公司控股股东</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林伟章和黄仕群</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汕头市童乐乐玩具有限公司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星创互联、标的公司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星创互联（北京）科技有限公司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9"/>
          <w:szCs w:val="19"/>
        </w:rPr>
      </w:pPr>
    </w:p>
    <w:p>
      <w:pPr>
        <w:spacing w:before="1"/>
        <w:ind w:left="2786" w:right="3761"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spacing w:line="410"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3"/>
          <w:w w:val="95"/>
          <w:sz w:val="28"/>
          <w:szCs w:val="28"/>
        </w:rPr>
        <w:t>本报告中涉及的未来发展陈述，属于计划性事项，不构成公司对投资者的</w:t>
      </w:r>
      <w:r>
        <w:rPr>
          <w:rFonts w:ascii="宋体" w:hAnsi="宋体" w:cs="宋体" w:eastAsia="宋体" w:hint="default"/>
          <w:b/>
          <w:bCs/>
          <w:w w:val="99"/>
          <w:sz w:val="28"/>
          <w:szCs w:val="28"/>
        </w:rPr>
        <w:t> </w:t>
      </w:r>
      <w:r>
        <w:rPr>
          <w:rFonts w:ascii="宋体" w:hAnsi="宋体" w:cs="宋体" w:eastAsia="宋体" w:hint="default"/>
          <w:b/>
          <w:bCs/>
          <w:sz w:val="28"/>
          <w:szCs w:val="28"/>
        </w:rPr>
        <w:t>实质承诺，敬请投资者注意投资风险。</w:t>
      </w:r>
      <w:r>
        <w:rPr>
          <w:rFonts w:ascii="宋体" w:hAnsi="宋体" w:cs="宋体" w:eastAsia="宋体" w:hint="default"/>
          <w:sz w:val="28"/>
          <w:szCs w:val="28"/>
        </w:rPr>
      </w:r>
    </w:p>
    <w:p>
      <w:pPr>
        <w:spacing w:after="0" w:line="410" w:lineRule="auto"/>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3763"/>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shd w:val="clear" w:color="auto" w:fill="CCE8CF"/>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群兴玩具</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002575</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群兴玩具</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 QUNXING TOYS JOINT-STOCK CO.,</w:t>
            </w:r>
            <w:r>
              <w:rPr>
                <w:rFonts w:ascii="Times New Roman"/>
                <w:spacing w:val="-30"/>
                <w:sz w:val="18"/>
              </w:rPr>
              <w:t> </w:t>
            </w:r>
            <w:r>
              <w:rPr>
                <w:rFonts w:ascii="Times New Roman"/>
                <w:spacing w:val="-5"/>
                <w:sz w:val="18"/>
              </w:rPr>
              <w:t>LTD.</w:t>
            </w:r>
          </w:p>
        </w:tc>
      </w:tr>
      <w:tr>
        <w:trPr>
          <w:trHeight w:val="401"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QUNXING</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林伟章</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广东汕头市澄海区莱芜经济开发试验区莱美工业区</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515800</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广东省深圳市南山区科苑路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号科兴科学园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color w:val="0562C1"/>
                  <w:sz w:val="18"/>
                </w:rPr>
                <w:t>http://www.qunxingtoys.com</w:t>
              </w:r>
              <w:r>
                <w:rPr>
                  <w:rFonts w:ascii="Times New Roman"/>
                  <w:sz w:val="18"/>
                </w:rPr>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color w:val="0562C1"/>
                  <w:sz w:val="18"/>
                </w:rPr>
                <w:t>info@qunxingtoys.com</w:t>
              </w:r>
              <w:r>
                <w:rPr>
                  <w:rFonts w:ascii="Times New Roman"/>
                  <w:sz w:val="18"/>
                </w:rPr>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r>
        <w:rPr/>
        <w:pict>
          <v:group style="position:absolute;margin-left:172.339996pt;margin-top:-37.954361pt;width:104.9pt;height:.1pt;mso-position-horizontal-relative:page;mso-position-vertical-relative:paragraph;z-index:-746200" coordorigin="3447,-759" coordsize="2098,2">
            <v:shape style="position:absolute;left:3447;top:-759;width:2098;height:2" coordorigin="3447,-759" coordsize="2098,0" path="m3447,-759l5545,-759e" filled="false" stroked="true" strokeweight=".42pt" strokecolor="#0562c1">
              <v:path arrowok="t"/>
            </v:shape>
            <w10:wrap type="none"/>
          </v:group>
        </w:pict>
      </w:r>
      <w:r>
        <w:rPr/>
        <w:pict>
          <v:group style="position:absolute;margin-left:172.339996pt;margin-top:-17.83436pt;width:85.05pt;height:.1pt;mso-position-horizontal-relative:page;mso-position-vertical-relative:paragraph;z-index:-746176" coordorigin="3447,-357" coordsize="1701,2">
            <v:shape style="position:absolute;left:3447;top:-357;width:1701;height:2" coordorigin="3447,-357" coordsize="1701,0" path="m3447,-357l5148,-357e" filled="false" stroked="true" strokeweight=".42pt" strokecolor="#0562c1">
              <v:path arrowok="t"/>
            </v:shape>
            <w10:wrap type="none"/>
          </v:group>
        </w:pict>
      </w: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01"/>
        <w:gridCol w:w="3179"/>
        <w:gridCol w:w="3179"/>
      </w:tblGrid>
      <w:tr>
        <w:trPr>
          <w:trHeight w:val="402"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吴董宇</w:t>
            </w:r>
          </w:p>
        </w:tc>
      </w:tr>
      <w:tr>
        <w:trPr>
          <w:trHeight w:val="161" w:hRule="exact"/>
        </w:trPr>
        <w:tc>
          <w:tcPr>
            <w:tcW w:w="3201" w:type="dxa"/>
            <w:tcBorders>
              <w:top w:val="single" w:sz="4" w:space="0" w:color="000000"/>
              <w:left w:val="single" w:sz="4" w:space="0" w:color="000000"/>
              <w:bottom w:val="nil" w:sz="6" w:space="0" w:color="auto"/>
              <w:right w:val="single" w:sz="13" w:space="0" w:color="CCE8CF"/>
            </w:tcBorders>
            <w:shd w:val="clear" w:color="auto" w:fill="D2D2D2"/>
          </w:tcPr>
          <w:p>
            <w:pPr/>
          </w:p>
        </w:tc>
        <w:tc>
          <w:tcPr>
            <w:tcW w:w="3179"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1"/>
              <w:ind w:left="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广东省深圳市南山区科苑路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号科兴科 学园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w:t>
            </w:r>
          </w:p>
        </w:tc>
        <w:tc>
          <w:tcPr>
            <w:tcW w:w="3179" w:type="dxa"/>
            <w:vMerge w:val="restart"/>
            <w:tcBorders>
              <w:top w:val="single" w:sz="4" w:space="0" w:color="000000"/>
              <w:left w:val="single" w:sz="4" w:space="0" w:color="000000"/>
              <w:right w:val="single" w:sz="4" w:space="0" w:color="000000"/>
            </w:tcBorders>
            <w:shd w:val="clear" w:color="auto" w:fill="CCE8CF"/>
          </w:tcPr>
          <w:p>
            <w:pPr>
              <w:pStyle w:val="TableParagraph"/>
              <w:spacing w:line="300" w:lineRule="auto" w:before="51"/>
              <w:ind w:left="22" w:right="9"/>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广东省深圳市南山区科苑路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号科兴科 学园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B1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603</w:t>
            </w:r>
          </w:p>
        </w:tc>
      </w:tr>
      <w:tr>
        <w:trPr>
          <w:trHeight w:val="392" w:hRule="exact"/>
        </w:trPr>
        <w:tc>
          <w:tcPr>
            <w:tcW w:w="3201"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9" w:type="dxa"/>
            <w:vMerge/>
            <w:tcBorders>
              <w:left w:val="single" w:sz="9" w:space="0" w:color="D2D2D2"/>
              <w:right w:val="single" w:sz="4" w:space="0" w:color="000000"/>
            </w:tcBorders>
            <w:shd w:val="clear" w:color="auto" w:fill="CCE8CF"/>
          </w:tcPr>
          <w:p>
            <w:pPr/>
          </w:p>
        </w:tc>
        <w:tc>
          <w:tcPr>
            <w:tcW w:w="3179" w:type="dxa"/>
            <w:vMerge/>
            <w:tcBorders>
              <w:left w:val="single" w:sz="4" w:space="0" w:color="000000"/>
              <w:right w:val="single" w:sz="4" w:space="0" w:color="000000"/>
            </w:tcBorders>
            <w:shd w:val="clear" w:color="auto" w:fill="CCE8CF"/>
          </w:tcPr>
          <w:p>
            <w:pPr/>
          </w:p>
        </w:tc>
      </w:tr>
      <w:tr>
        <w:trPr>
          <w:trHeight w:val="161" w:hRule="exact"/>
        </w:trPr>
        <w:tc>
          <w:tcPr>
            <w:tcW w:w="3201" w:type="dxa"/>
            <w:tcBorders>
              <w:top w:val="nil" w:sz="6" w:space="0" w:color="auto"/>
              <w:left w:val="single" w:sz="4" w:space="0" w:color="000000"/>
              <w:bottom w:val="single" w:sz="4" w:space="0" w:color="000000"/>
              <w:right w:val="single" w:sz="13" w:space="0" w:color="CCE8CF"/>
            </w:tcBorders>
            <w:shd w:val="clear" w:color="auto" w:fill="D2D2D2"/>
          </w:tcPr>
          <w:p>
            <w:pPr/>
          </w:p>
        </w:tc>
        <w:tc>
          <w:tcPr>
            <w:tcW w:w="3179" w:type="dxa"/>
            <w:vMerge/>
            <w:tcBorders>
              <w:left w:val="single" w:sz="9" w:space="0" w:color="D2D2D2"/>
              <w:bottom w:val="single" w:sz="4" w:space="0" w:color="000000"/>
              <w:right w:val="single" w:sz="4" w:space="0" w:color="000000"/>
            </w:tcBorders>
            <w:shd w:val="clear" w:color="auto" w:fill="CCE8CF"/>
          </w:tcPr>
          <w:p>
            <w:pPr/>
          </w:p>
        </w:tc>
        <w:tc>
          <w:tcPr>
            <w:tcW w:w="3179"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0755-86520802</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0755-86520802</w:t>
            </w: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0755-86520803</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0755-86520803</w:t>
            </w: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info@qunxingtoys.com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公司董秘办公室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44"/>
        <w:ind w:left="0" w:right="1141" w:firstLine="0"/>
        <w:jc w:val="right"/>
        <w:rPr>
          <w:rFonts w:ascii="宋体" w:hAnsi="宋体" w:cs="宋体" w:eastAsia="宋体" w:hint="default"/>
          <w:sz w:val="18"/>
          <w:szCs w:val="18"/>
        </w:rPr>
      </w:pPr>
      <w:r>
        <w:rPr/>
        <w:pict>
          <v:shape style="position:absolute;margin-left:57.029999pt;margin-top:-185.968262pt;width:478.55pt;height:397.4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广东汕头市澄海区 莱芜经济开发试验 区莱美工业区</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440583000000290</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440583193166057</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19316605-7</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shd w:val="clear" w:color="auto" w:fill="CCE8CF"/>
                      </w:tcPr>
                      <w:p>
                        <w:pPr/>
                      </w:p>
                    </w:tc>
                  </w:tr>
                  <w:tr>
                    <w:trPr>
                      <w:trHeight w:val="317"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317"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广东汕头市澄海区 莱芜经济开发试验 区莱美工业区</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440583000000290</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440583193166057</w:t>
                        </w:r>
                      </w:p>
                    </w:tc>
                    <w:tc>
                      <w:tcPr>
                        <w:tcW w:w="1595"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19316605-7</w:t>
                        </w: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shd w:val="clear" w:color="auto" w:fill="CCE8CF"/>
                      </w:tcPr>
                      <w:p>
                        <w:pPr/>
                      </w:p>
                    </w:tc>
                    <w:tc>
                      <w:tcPr>
                        <w:tcW w:w="1595" w:type="dxa"/>
                        <w:vMerge/>
                        <w:tcBorders>
                          <w:left w:val="single" w:sz="4" w:space="0" w:color="000000"/>
                          <w:right w:val="single" w:sz="4" w:space="0" w:color="000000"/>
                        </w:tcBorders>
                        <w:shd w:val="clear" w:color="auto" w:fill="CCE8CF"/>
                      </w:tcPr>
                      <w:p>
                        <w:pPr/>
                      </w:p>
                    </w:tc>
                  </w:tr>
                  <w:tr>
                    <w:trPr>
                      <w:trHeight w:val="317"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shd w:val="clear" w:color="auto" w:fill="CCE8CF"/>
                      </w:tcPr>
                      <w:p>
                        <w:pPr/>
                      </w:p>
                    </w:tc>
                    <w:tc>
                      <w:tcPr>
                        <w:tcW w:w="1595" w:type="dxa"/>
                        <w:vMerge/>
                        <w:tcBorders>
                          <w:left w:val="single" w:sz="4" w:space="0" w:color="000000"/>
                          <w:bottom w:val="single" w:sz="4" w:space="0" w:color="000000"/>
                          <w:right w:val="single" w:sz="4" w:space="0" w:color="000000"/>
                        </w:tcBorders>
                        <w:shd w:val="clear" w:color="auto" w:fill="CCE8CF"/>
                      </w:tcPr>
                      <w:p>
                        <w:pPr/>
                      </w:p>
                    </w:tc>
                  </w:tr>
                  <w:tr>
                    <w:trPr>
                      <w:trHeight w:val="2033" w:hRule="exact"/>
                    </w:trPr>
                    <w:tc>
                      <w:tcPr>
                        <w:tcW w:w="317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9" w:space="0" w:color="D2D2D2"/>
                          <w:right w:val="single" w:sz="4" w:space="0" w:color="000000"/>
                        </w:tcBorders>
                        <w:shd w:val="clear" w:color="auto" w:fill="CCE8CF"/>
                      </w:tcPr>
                      <w:p>
                        <w:pPr>
                          <w:pStyle w:val="TableParagraph"/>
                          <w:spacing w:line="314" w:lineRule="auto" w:before="51"/>
                          <w:ind w:left="17"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）公司经中国证监会以证监许可</w:t>
                        </w:r>
                        <w:r>
                          <w:rPr>
                            <w:rFonts w:ascii="Times New Roman" w:hAnsi="Times New Roman" w:cs="Times New Roman" w:eastAsia="Times New Roman" w:hint="default"/>
                            <w:sz w:val="18"/>
                            <w:szCs w:val="18"/>
                          </w:rPr>
                          <w:t>[2011]486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号《关于核准广东群兴玩具股份有 限公司首次公开发行股票的批复》核准，于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日在深圳证券交易所 中小企业板上市。公司的经营范围为：生产、加工、销售；玩具，塑料制品，五 </w:t>
                        </w:r>
                        <w:r>
                          <w:rPr>
                            <w:rFonts w:ascii="宋体" w:hAnsi="宋体" w:cs="宋体" w:eastAsia="宋体" w:hint="default"/>
                            <w:spacing w:val="-3"/>
                            <w:sz w:val="18"/>
                            <w:szCs w:val="18"/>
                          </w:rPr>
                          <w:t>金制品；动漫软件设计、开发、制作；童车、手推车、婴儿床、学步车、三轮车</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婴儿车、行李车、自行车、电动车、摇篮车、摇椅、儿童摇床；废旧塑料回收、 加工；货物进出口、技术进出口（法律、行政法规禁止的项目除外；法律、行政 </w:t>
                        </w:r>
                        <w:r>
                          <w:rPr>
                            <w:rFonts w:ascii="宋体" w:hAnsi="宋体" w:cs="宋体" w:eastAsia="宋体" w:hint="default"/>
                            <w:spacing w:val="-7"/>
                            <w:sz w:val="18"/>
                            <w:szCs w:val="18"/>
                          </w:rPr>
                          <w:t>法规限制的项目须取得许可后方可经营）。（</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年第三次临时股东大会审议通过，公司的经营范围变更为：生产、加工、销售； 玩具，塑料制品，五金制品；动漫软件设计、开发、制作；童车、手推车、婴儿 床、学步车、三轮车、婴儿车、行李车、自行车、电动车、摇篮车、摇椅、儿童 摇床；废旧塑料回收、加工；对高新科技项目、文化产业项目、文化休闲娱乐服 务业的投资；对软件业、金融业、租赁和商务服务业的投资；工业产品设计，多 媒体和动漫技术的研发，电子信息技术的应用和开发；房屋（物业）租赁、机械 设备租赁、仪器仪表租赁；货物进出口、技术进出口（法律、行政法规禁止的项 </w:t>
                        </w:r>
                        <w:r>
                          <w:rPr>
                            <w:rFonts w:ascii="宋体" w:hAnsi="宋体" w:cs="宋体" w:eastAsia="宋体" w:hint="default"/>
                            <w:spacing w:val="-4"/>
                            <w:sz w:val="18"/>
                            <w:szCs w:val="18"/>
                          </w:rPr>
                          <w:t>目除外；法律、行政法规限制的项目须取得许可后方可经营）。</w:t>
                        </w:r>
                      </w:p>
                    </w:tc>
                  </w:tr>
                  <w:tr>
                    <w:trPr>
                      <w:trHeight w:val="704" w:hRule="exact"/>
                    </w:trPr>
                    <w:tc>
                      <w:tcPr>
                        <w:tcW w:w="317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9" w:space="0" w:color="D2D2D2"/>
                          <w:right w:val="single" w:sz="4" w:space="0" w:color="000000"/>
                        </w:tcBorders>
                        <w:shd w:val="clear" w:color="auto" w:fill="CCE8CF"/>
                      </w:tcPr>
                      <w:p>
                        <w:pPr/>
                      </w:p>
                    </w:tc>
                  </w:tr>
                  <w:tr>
                    <w:trPr>
                      <w:trHeight w:val="2033" w:hRule="exact"/>
                    </w:trPr>
                    <w:tc>
                      <w:tcPr>
                        <w:tcW w:w="317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31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上海南京东路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陈琼  钟宇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荣超大厦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甘露、唐伟</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404,163,124.81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500,877,242.70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504,756,863.91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14,865,866.87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24,470,802.60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43,583,081.13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14,670,929.55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23,587,550.98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39,740,978.00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-6,097,695.83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71,867,490.88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-108.48%</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22,284,764.78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987,413,485.10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935,674,245.19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998,124,606.08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903,204,791.29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901,710,416.99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884,001,961.18</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非经常性损益项目及金额" w:id="13"/>
      <w:bookmarkEnd w:id="13"/>
      <w:r>
        <w:rPr>
          <w:b w:val="0"/>
          <w:bCs w:val="0"/>
        </w:rPr>
      </w:r>
      <w:r>
        <w:rPr/>
        <w:t>二、非经常性损益项目及金额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-9,301.97</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-22,910.10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-21,067.85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720,857.48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1,035,043.48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4,466,050.48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-341,156.42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172,315.07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-110,482.66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-126,623.01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82,197.52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64,979.11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174,573.82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685,077.02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194,937.32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883,251.62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3,842,103.13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3" w:right="112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6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四节 董事会报告" w:id="14"/>
      <w:bookmarkEnd w:id="14"/>
      <w:r>
        <w:rPr>
          <w:b w:val="0"/>
          <w:bCs w:val="0"/>
        </w:rPr>
      </w:r>
      <w:bookmarkStart w:name="_bookmark3" w:id="15"/>
      <w:bookmarkEnd w:id="15"/>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16"/>
      <w:bookmarkEnd w:id="16"/>
      <w:r>
        <w:rPr>
          <w:b w:val="0"/>
          <w:bCs w:val="0"/>
        </w:rPr>
      </w:r>
      <w:r>
        <w:rPr/>
        <w:t>一、概述</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0"/>
        <w:jc w:val="left"/>
      </w:pPr>
      <w:r>
        <w:rPr>
          <w:rFonts w:ascii="宋体" w:hAnsi="宋体" w:cs="宋体" w:eastAsia="宋体" w:hint="default"/>
          <w:spacing w:val="-1"/>
        </w:rPr>
        <w:t>2014</w:t>
      </w:r>
      <w:r>
        <w:rPr>
          <w:spacing w:val="-1"/>
        </w:rPr>
        <w:t>年，对于中国玩具业是充满挑战的一年。玩具企业面临原材料价格及汇率浮动、劳动力成本上涨所带</w:t>
      </w:r>
      <w:r>
        <w:rPr>
          <w:spacing w:val="-82"/>
        </w:rPr>
        <w:t> </w:t>
      </w:r>
      <w:r>
        <w:rPr>
          <w:spacing w:val="-82"/>
        </w:rPr>
      </w:r>
      <w:r>
        <w:rPr>
          <w:spacing w:val="-1"/>
        </w:rPr>
        <w:t>来的压力，公司全年营业收入和净利润都下降。</w:t>
      </w:r>
      <w:r>
        <w:rPr>
          <w:rFonts w:ascii="宋体" w:hAnsi="宋体" w:cs="宋体" w:eastAsia="宋体" w:hint="default"/>
          <w:spacing w:val="-1"/>
        </w:rPr>
        <w:t>2014</w:t>
      </w:r>
      <w:r>
        <w:rPr>
          <w:spacing w:val="-1"/>
        </w:rPr>
        <w:t>年，公司仍然是国内最大的自主品牌电子电动玩具企</w:t>
      </w:r>
      <w:r>
        <w:rPr>
          <w:spacing w:val="-80"/>
        </w:rPr>
        <w:t> </w:t>
      </w:r>
      <w:r>
        <w:rPr>
          <w:spacing w:val="-80"/>
        </w:rPr>
      </w:r>
      <w:r>
        <w:rPr>
          <w:spacing w:val="-1"/>
        </w:rPr>
        <w:t>业之一，专注于电子电动玩具的研发设计、生产及销售业务，继续巩固公司在玩具行业特别是童车这一细</w:t>
      </w:r>
      <w:r>
        <w:rPr>
          <w:spacing w:val="-82"/>
        </w:rPr>
        <w:t> </w:t>
      </w:r>
      <w:r>
        <w:rPr>
          <w:spacing w:val="-82"/>
        </w:rPr>
      </w:r>
      <w:r>
        <w:rPr>
          <w:spacing w:val="-1"/>
        </w:rPr>
        <w:t>分市场的地位，仍根据市场需求，不断研发新产品，加大市场推广工作力度，努力在多个渠道进行营销推</w:t>
      </w:r>
      <w:r>
        <w:rPr>
          <w:spacing w:val="-86"/>
        </w:rPr>
        <w:t> </w:t>
      </w:r>
      <w:r>
        <w:rPr>
          <w:spacing w:val="-86"/>
        </w:rPr>
      </w:r>
      <w:r>
        <w:rPr/>
        <w:t>广及市场开拓。 </w:t>
      </w:r>
      <w:r>
        <w:rPr>
          <w:spacing w:val="-1"/>
        </w:rPr>
        <w:t>随着互联网和移动智能终端的普及，网络游戏等新兴的娱乐形态受到消费者的青睐，</w:t>
      </w:r>
      <w:r>
        <w:rPr>
          <w:rFonts w:ascii="宋体" w:hAnsi="宋体" w:cs="宋体" w:eastAsia="宋体" w:hint="default"/>
          <w:spacing w:val="-1"/>
        </w:rPr>
        <w:t>2014</w:t>
      </w:r>
      <w:r>
        <w:rPr>
          <w:spacing w:val="-1"/>
        </w:rPr>
        <w:t>年董事会按照既</w:t>
      </w:r>
      <w:r>
        <w:rPr>
          <w:spacing w:val="-79"/>
        </w:rPr>
        <w:t> </w:t>
      </w:r>
      <w:r>
        <w:rPr>
          <w:spacing w:val="-79"/>
        </w:rPr>
      </w:r>
      <w:r>
        <w:rPr>
          <w:spacing w:val="-1"/>
        </w:rPr>
        <w:t>定的</w:t>
      </w:r>
      <w:r>
        <w:rPr>
          <w:rFonts w:ascii="宋体" w:hAnsi="宋体" w:cs="宋体" w:eastAsia="宋体" w:hint="default"/>
          <w:spacing w:val="-1"/>
        </w:rPr>
        <w:t>2014</w:t>
      </w:r>
      <w:r>
        <w:rPr>
          <w:spacing w:val="-1"/>
        </w:rPr>
        <w:t>年公司经营计划执行战略转型，依据股东会的授权进行了拟发行股份及支付现金总价人民币</w:t>
      </w:r>
      <w:r>
        <w:rPr>
          <w:rFonts w:ascii="宋体" w:hAnsi="宋体" w:cs="宋体" w:eastAsia="宋体" w:hint="default"/>
          <w:spacing w:val="-1"/>
        </w:rPr>
        <w:t>14.4</w:t>
      </w:r>
      <w:r>
        <w:rPr>
          <w:rFonts w:ascii="宋体" w:hAnsi="宋体" w:cs="宋体" w:eastAsia="宋体" w:hint="default"/>
          <w:spacing w:val="-78"/>
        </w:rPr>
        <w:t> </w:t>
      </w:r>
      <w:r>
        <w:rPr>
          <w:spacing w:val="-1"/>
        </w:rPr>
        <w:t>亿元收购手机游戏研发企业星创互联（北京）科技有限公司</w:t>
      </w:r>
      <w:r>
        <w:rPr>
          <w:rFonts w:ascii="宋体" w:hAnsi="宋体" w:cs="宋体" w:eastAsia="宋体" w:hint="default"/>
          <w:spacing w:val="-1"/>
        </w:rPr>
        <w:t>100%</w:t>
      </w:r>
      <w:r>
        <w:rPr>
          <w:spacing w:val="-1"/>
        </w:rPr>
        <w:t>股权的重大资产重组事项，依据双方签订</w:t>
      </w:r>
      <w:r>
        <w:rPr>
          <w:spacing w:val="-82"/>
        </w:rPr>
        <w:t> </w:t>
      </w:r>
      <w:r>
        <w:rPr>
          <w:spacing w:val="-82"/>
        </w:rPr>
      </w:r>
      <w:r>
        <w:rPr>
          <w:spacing w:val="-1"/>
        </w:rPr>
        <w:t>的《发行股份及支付现金购买资产协议》星创互联公司截止到</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日实际实现净利润</w:t>
      </w:r>
      <w:r>
        <w:rPr>
          <w:rFonts w:ascii="宋体" w:hAnsi="宋体" w:cs="宋体" w:eastAsia="宋体" w:hint="default"/>
          <w:spacing w:val="-1"/>
        </w:rPr>
        <w:t>12690.65</w:t>
      </w:r>
      <w:r>
        <w:rPr>
          <w:spacing w:val="-1"/>
        </w:rPr>
        <w:t>万</w:t>
      </w:r>
      <w:r>
        <w:rPr>
          <w:spacing w:val="-77"/>
        </w:rPr>
        <w:t> </w:t>
      </w:r>
      <w:r>
        <w:rPr>
          <w:spacing w:val="-1"/>
        </w:rPr>
        <w:t>元。如果能如期收购成功，合并将立即股东们带来大量的可分配收益，大幅度的提升公司的盈利能力和发</w:t>
      </w:r>
      <w:r>
        <w:rPr>
          <w:spacing w:val="-83"/>
        </w:rPr>
        <w:t> </w:t>
      </w:r>
      <w:r>
        <w:rPr>
          <w:spacing w:val="-83"/>
        </w:rPr>
      </w:r>
      <w:r>
        <w:rPr>
          <w:spacing w:val="-1"/>
        </w:rPr>
        <w:t>展潜力。</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5</w:t>
      </w:r>
      <w:r>
        <w:rPr>
          <w:spacing w:val="-1"/>
        </w:rPr>
        <w:t>日，经中国证监会上市公司并购重组审核委员会</w:t>
      </w:r>
      <w:r>
        <w:rPr>
          <w:rFonts w:ascii="宋体" w:hAnsi="宋体" w:cs="宋体" w:eastAsia="宋体" w:hint="default"/>
          <w:spacing w:val="-1"/>
        </w:rPr>
        <w:t>2015</w:t>
      </w:r>
      <w:r>
        <w:rPr>
          <w:spacing w:val="-1"/>
        </w:rPr>
        <w:t>年第</w:t>
      </w:r>
      <w:r>
        <w:rPr>
          <w:rFonts w:ascii="宋体" w:hAnsi="宋体" w:cs="宋体" w:eastAsia="宋体" w:hint="default"/>
          <w:spacing w:val="-1"/>
        </w:rPr>
        <w:t>12</w:t>
      </w:r>
      <w:r>
        <w:rPr>
          <w:spacing w:val="-1"/>
        </w:rPr>
        <w:t>次工作会议审核，公司发</w:t>
      </w:r>
      <w:r>
        <w:rPr>
          <w:spacing w:val="-81"/>
        </w:rPr>
        <w:t> </w:t>
      </w:r>
      <w:r>
        <w:rPr>
          <w:spacing w:val="-81"/>
        </w:rPr>
      </w:r>
      <w:r>
        <w:rPr>
          <w:spacing w:val="-1"/>
        </w:rPr>
        <w:t>行股份及支付现金购买资产并募集配套资金事项未获得通过。公司暂未收到中国证监会不予核准的书面文</w:t>
      </w:r>
      <w:r>
        <w:rPr>
          <w:spacing w:val="-81"/>
        </w:rPr>
        <w:t> </w:t>
      </w:r>
      <w:r>
        <w:rPr>
          <w:spacing w:val="-81"/>
        </w:rPr>
      </w:r>
      <w:r>
        <w:rPr/>
        <w:t>件。</w:t>
      </w:r>
    </w:p>
    <w:p>
      <w:pPr>
        <w:pStyle w:val="BodyText"/>
        <w:spacing w:line="273" w:lineRule="auto" w:before="7"/>
        <w:ind w:right="1131"/>
        <w:jc w:val="both"/>
      </w:pPr>
      <w:r>
        <w:rPr>
          <w:spacing w:val="-4"/>
        </w:rPr>
        <w:t>报告期内，</w:t>
      </w:r>
      <w:r>
        <w:rPr>
          <w:rFonts w:ascii="宋体" w:hAnsi="宋体" w:cs="宋体" w:eastAsia="宋体" w:hint="default"/>
          <w:spacing w:val="-4"/>
        </w:rPr>
        <w:t>2014</w:t>
      </w:r>
      <w:r>
        <w:rPr>
          <w:spacing w:val="-4"/>
        </w:rPr>
        <w:t>年度公司实现营业收入</w:t>
      </w:r>
      <w:r>
        <w:rPr>
          <w:rFonts w:ascii="宋体" w:hAnsi="宋体" w:cs="宋体" w:eastAsia="宋体" w:hint="default"/>
          <w:spacing w:val="-4"/>
        </w:rPr>
        <w:t>404,163,124.81</w:t>
      </w:r>
      <w:r>
        <w:rPr>
          <w:spacing w:val="-4"/>
        </w:rPr>
        <w:t>元，同比增长</w:t>
      </w:r>
      <w:r>
        <w:rPr>
          <w:rFonts w:ascii="宋体" w:hAnsi="宋体" w:cs="宋体" w:eastAsia="宋体" w:hint="default"/>
          <w:spacing w:val="-4"/>
        </w:rPr>
        <w:t>-19.30%</w:t>
      </w:r>
      <w:r>
        <w:rPr>
          <w:spacing w:val="-4"/>
        </w:rPr>
        <w:t>；实现利润总额</w:t>
      </w:r>
      <w:r>
        <w:rPr>
          <w:rFonts w:ascii="宋体" w:hAnsi="宋体" w:cs="宋体" w:eastAsia="宋体" w:hint="default"/>
          <w:spacing w:val="-4"/>
        </w:rPr>
        <w:t>17,640,632.34</w:t>
      </w:r>
      <w:r>
        <w:rPr>
          <w:rFonts w:ascii="宋体" w:hAnsi="宋体" w:cs="宋体" w:eastAsia="宋体" w:hint="default"/>
          <w:spacing w:val="-78"/>
        </w:rPr>
        <w:t> </w:t>
      </w:r>
      <w:r>
        <w:rPr/>
        <w:t>元，同比增长</w:t>
      </w:r>
      <w:r>
        <w:rPr>
          <w:rFonts w:ascii="宋体" w:hAnsi="宋体" w:cs="宋体" w:eastAsia="宋体" w:hint="default"/>
        </w:rPr>
        <w:t>-37.30%</w:t>
      </w:r>
      <w:r>
        <w:rPr/>
        <w:t>；实现净利润</w:t>
      </w:r>
      <w:r>
        <w:rPr>
          <w:rFonts w:ascii="宋体" w:hAnsi="宋体" w:cs="宋体" w:eastAsia="宋体" w:hint="default"/>
        </w:rPr>
        <w:t>14,865,866.87</w:t>
      </w:r>
      <w:r>
        <w:rPr/>
        <w:t>元，同比增长</w:t>
      </w:r>
      <w:r>
        <w:rPr>
          <w:rFonts w:ascii="宋体" w:hAnsi="宋体" w:cs="宋体" w:eastAsia="宋体" w:hint="default"/>
        </w:rPr>
        <w:t>-39.25%</w:t>
      </w:r>
      <w:r>
        <w:rPr/>
        <w:t>。</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bookmarkStart w:name="二、主营业务分析" w:id="17"/>
      <w:bookmarkEnd w:id="17"/>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概述" w:id="18"/>
      <w:bookmarkEnd w:id="18"/>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10"/>
        <w:jc w:val="both"/>
      </w:pPr>
      <w:r>
        <w:rPr/>
        <w:t>公司的经营范围：生产、加工、销售；玩具，塑料制品，五金制品；动漫软件设计、开发、制作；童车、 </w:t>
      </w:r>
      <w:r>
        <w:rPr>
          <w:spacing w:val="-1"/>
        </w:rPr>
        <w:t>手推车、婴儿床、学步车、三轮车、婴儿车、行李车、自行车、电动车、摇篮车、摇椅、儿童摇床；废旧</w:t>
      </w:r>
      <w:r>
        <w:rPr>
          <w:spacing w:val="-89"/>
        </w:rPr>
        <w:t> </w:t>
      </w:r>
      <w:r>
        <w:rPr>
          <w:spacing w:val="-89"/>
        </w:rPr>
      </w:r>
      <w:r>
        <w:rPr>
          <w:spacing w:val="-1"/>
        </w:rPr>
        <w:t>塑料回收、加工；对高新科技项目、文化产业项目、文化休闲娱乐服务业的投资；对软件业、金融业、租</w:t>
      </w:r>
      <w:r>
        <w:rPr>
          <w:spacing w:val="-85"/>
        </w:rPr>
        <w:t> </w:t>
      </w:r>
      <w:r>
        <w:rPr>
          <w:spacing w:val="-85"/>
        </w:rPr>
      </w:r>
      <w:r>
        <w:rPr>
          <w:spacing w:val="-5"/>
        </w:rPr>
        <w:t>赁和商务服务业的投资；工业产品设计，多媒体和动漫技术的研发，电子信息技术的应用和开发；房屋（物</w:t>
      </w:r>
      <w:r>
        <w:rPr/>
        <w:t> 业）租赁、机械设备租赁、仪器仪表租赁；货物进出口、技术进出口（法律、行政法规禁止的项目除外； 法律、行政法规限制的项目须取得许可后方可经营）。</w:t>
      </w:r>
    </w:p>
    <w:p>
      <w:pPr>
        <w:spacing w:line="240" w:lineRule="auto" w:before="7"/>
        <w:rPr>
          <w:rFonts w:ascii="宋体" w:hAnsi="宋体" w:cs="宋体" w:eastAsia="宋体" w:hint="default"/>
          <w:sz w:val="29"/>
          <w:szCs w:val="29"/>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pStyle w:val="BodyText"/>
        <w:spacing w:line="271" w:lineRule="auto" w:before="90"/>
        <w:ind w:right="1130"/>
        <w:jc w:val="both"/>
      </w:pPr>
      <w:r>
        <w:rPr>
          <w:spacing w:val="-1"/>
        </w:rPr>
        <w:t>随着互联网和移动智能终端的普及，网络游戏等新兴的娱乐形态受到消费者的青睐，</w:t>
      </w:r>
      <w:r>
        <w:rPr>
          <w:rFonts w:ascii="宋体" w:hAnsi="宋体" w:cs="宋体" w:eastAsia="宋体" w:hint="default"/>
          <w:spacing w:val="-1"/>
        </w:rPr>
        <w:t>2014</w:t>
      </w:r>
      <w:r>
        <w:rPr>
          <w:spacing w:val="-1"/>
        </w:rPr>
        <w:t>年董事会按照既</w:t>
      </w:r>
      <w:r>
        <w:rPr>
          <w:spacing w:val="-79"/>
        </w:rPr>
        <w:t> </w:t>
      </w:r>
      <w:r>
        <w:rPr>
          <w:spacing w:val="-79"/>
        </w:rPr>
      </w:r>
      <w:r>
        <w:rPr>
          <w:spacing w:val="-1"/>
        </w:rPr>
        <w:t>定的</w:t>
      </w:r>
      <w:r>
        <w:rPr>
          <w:rFonts w:ascii="Times New Roman" w:hAnsi="Times New Roman" w:cs="Times New Roman" w:eastAsia="Times New Roman" w:hint="default"/>
          <w:spacing w:val="-1"/>
        </w:rPr>
        <w:t>2014</w:t>
      </w:r>
      <w:r>
        <w:rPr>
          <w:spacing w:val="-1"/>
        </w:rPr>
        <w:t>年公司经营计划执行战略转型，依据股东会的授权进行了拟发行股份及支付现金总价人民币</w:t>
      </w:r>
      <w:r>
        <w:rPr>
          <w:rFonts w:ascii="宋体" w:hAnsi="宋体" w:cs="宋体" w:eastAsia="宋体" w:hint="default"/>
          <w:spacing w:val="-1"/>
        </w:rPr>
        <w:t>14.4</w:t>
      </w:r>
      <w:r>
        <w:rPr>
          <w:rFonts w:ascii="宋体" w:hAnsi="宋体" w:cs="宋体" w:eastAsia="宋体" w:hint="default"/>
          <w:spacing w:val="-78"/>
        </w:rPr>
        <w:t> </w:t>
      </w:r>
      <w:r>
        <w:rPr>
          <w:spacing w:val="-1"/>
        </w:rPr>
        <w:t>亿元收购手机游戏研发企业星创互联（北京）科技有限公司</w:t>
      </w:r>
      <w:r>
        <w:rPr>
          <w:rFonts w:ascii="宋体" w:hAnsi="宋体" w:cs="宋体" w:eastAsia="宋体" w:hint="default"/>
          <w:spacing w:val="-1"/>
        </w:rPr>
        <w:t>100%</w:t>
      </w:r>
      <w:r>
        <w:rPr>
          <w:spacing w:val="-1"/>
        </w:rPr>
        <w:t>股权的重大资产重组事项，依据双方签订</w:t>
      </w:r>
      <w:r>
        <w:rPr>
          <w:spacing w:val="-82"/>
        </w:rPr>
        <w:t> </w:t>
      </w:r>
      <w:r>
        <w:rPr>
          <w:spacing w:val="-82"/>
        </w:rPr>
      </w:r>
      <w:r>
        <w:rPr>
          <w:spacing w:val="-1"/>
        </w:rPr>
        <w:t>的《发行股份及支付现金购买资产协议》星创互联公司截止到</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日实际实现净利润</w:t>
      </w:r>
      <w:r>
        <w:rPr>
          <w:rFonts w:ascii="宋体" w:hAnsi="宋体" w:cs="宋体" w:eastAsia="宋体" w:hint="default"/>
          <w:spacing w:val="-1"/>
        </w:rPr>
        <w:t>12690.65</w:t>
      </w:r>
      <w:r>
        <w:rPr>
          <w:spacing w:val="-1"/>
        </w:rPr>
        <w:t>万</w:t>
      </w:r>
      <w:r>
        <w:rPr>
          <w:spacing w:val="-77"/>
        </w:rPr>
        <w:t> </w:t>
      </w:r>
      <w:r>
        <w:rPr>
          <w:spacing w:val="-1"/>
        </w:rPr>
        <w:t>元。如果能如期收购成功，合并将立即股东们带来大量的可分配收益，大幅度的提升公司的盈利能力和发</w:t>
      </w:r>
      <w:r>
        <w:rPr>
          <w:spacing w:val="-83"/>
        </w:rPr>
        <w:t> </w:t>
      </w:r>
      <w:r>
        <w:rPr>
          <w:spacing w:val="-83"/>
        </w:rPr>
      </w:r>
      <w:r>
        <w:rPr>
          <w:spacing w:val="-1"/>
        </w:rPr>
        <w:t>展潜力。</w:t>
      </w:r>
      <w:r>
        <w:rPr>
          <w:rFonts w:ascii="宋体" w:hAnsi="宋体" w:cs="宋体" w:eastAsia="宋体" w:hint="default"/>
          <w:spacing w:val="-1"/>
        </w:rPr>
        <w:t>2015</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5</w:t>
      </w:r>
      <w:r>
        <w:rPr>
          <w:spacing w:val="-1"/>
        </w:rPr>
        <w:t>日，经中国证监会上市公司并购重组审核委员会</w:t>
      </w:r>
      <w:r>
        <w:rPr>
          <w:rFonts w:ascii="宋体" w:hAnsi="宋体" w:cs="宋体" w:eastAsia="宋体" w:hint="default"/>
          <w:spacing w:val="-1"/>
        </w:rPr>
        <w:t>2015</w:t>
      </w:r>
      <w:r>
        <w:rPr>
          <w:spacing w:val="-1"/>
        </w:rPr>
        <w:t>年第</w:t>
      </w:r>
      <w:r>
        <w:rPr>
          <w:rFonts w:ascii="宋体" w:hAnsi="宋体" w:cs="宋体" w:eastAsia="宋体" w:hint="default"/>
          <w:spacing w:val="-1"/>
        </w:rPr>
        <w:t>12</w:t>
      </w:r>
      <w:r>
        <w:rPr>
          <w:spacing w:val="-1"/>
        </w:rPr>
        <w:t>次工作会议审核，公司发</w:t>
      </w:r>
      <w:r>
        <w:rPr>
          <w:spacing w:val="-81"/>
        </w:rPr>
        <w:t> </w:t>
      </w:r>
      <w:r>
        <w:rPr>
          <w:spacing w:val="-81"/>
        </w:rPr>
      </w:r>
      <w:r>
        <w:rPr>
          <w:spacing w:val="-1"/>
        </w:rPr>
        <w:t>行股份及支付现金购买资产并募集配套资金事项未获得通过。公司暂未收到中国证监会不予核准的书面文</w:t>
      </w:r>
      <w:r>
        <w:rPr>
          <w:spacing w:val="-81"/>
        </w:rPr>
        <w:t> </w:t>
      </w:r>
      <w:r>
        <w:rPr>
          <w:spacing w:val="-81"/>
        </w:rPr>
      </w:r>
      <w:r>
        <w:rPr/>
        <w:t>件。</w:t>
      </w:r>
    </w:p>
    <w:p>
      <w:pPr>
        <w:spacing w:before="75"/>
        <w:ind w:left="154"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3"/>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收入" w:id="19"/>
      <w:bookmarkEnd w:id="19"/>
      <w:r>
        <w:rPr>
          <w:b w:val="0"/>
          <w:bCs w:val="0"/>
        </w:rPr>
      </w:r>
      <w:r>
        <w:rPr>
          <w:rFonts w:ascii="Times New Roman" w:hAnsi="Times New Roman" w:cs="Times New Roman" w:eastAsia="Times New Roman" w:hint="default"/>
        </w:rPr>
        <w:t>2</w:t>
      </w:r>
      <w:r>
        <w:rPr/>
        <w:t>、收入</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6"/>
        <w:gridCol w:w="1594"/>
        <w:gridCol w:w="1594"/>
        <w:gridCol w:w="1595"/>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32,448,084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50,294,871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-35.48%</w:t>
            </w:r>
          </w:p>
        </w:tc>
      </w:tr>
      <w:tr>
        <w:trPr>
          <w:trHeight w:val="402" w:hRule="exact"/>
        </w:trPr>
        <w:tc>
          <w:tcPr>
            <w:tcW w:w="1608" w:type="dxa"/>
            <w:vMerge/>
            <w:tcBorders>
              <w:left w:val="single" w:sz="4" w:space="0" w:color="000000"/>
              <w:right w:val="single" w:sz="13" w:space="0" w:color="D2D2D2"/>
            </w:tcBorders>
            <w:shd w:val="clear" w:color="auto" w:fill="CCE8C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31,396,323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50,583,702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-37.93%</w:t>
            </w:r>
          </w:p>
        </w:tc>
      </w:tr>
      <w:tr>
        <w:trPr>
          <w:trHeight w:val="403" w:hRule="exact"/>
        </w:trPr>
        <w:tc>
          <w:tcPr>
            <w:tcW w:w="1608" w:type="dxa"/>
            <w:vMerge/>
            <w:tcBorders>
              <w:left w:val="single" w:sz="4" w:space="0" w:color="000000"/>
              <w:bottom w:val="single" w:sz="4" w:space="0" w:color="000000"/>
              <w:right w:val="single" w:sz="13" w:space="0" w:color="D2D2D2"/>
            </w:tcBorders>
            <w:shd w:val="clear" w:color="auto" w:fill="CCE8CF"/>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w:t>
            </w:r>
            <w:r>
              <w:rPr>
                <w:rFonts w:ascii="Times New Roman" w:hAnsi="Times New Roman" w:cs="Times New Roman" w:eastAsia="Times New Roman" w:hint="default"/>
                <w:sz w:val="18"/>
                <w:szCs w:val="18"/>
              </w:rPr>
              <w:t>/</w:t>
            </w:r>
            <w:r>
              <w:rPr>
                <w:rFonts w:ascii="宋体" w:hAnsi="宋体" w:cs="宋体" w:eastAsia="宋体" w:hint="default"/>
                <w:sz w:val="18"/>
                <w:szCs w:val="18"/>
              </w:rPr>
              <w:t>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1,590,479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2,642,240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2"/>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公司重大的在手订单情况</w:t>
      </w:r>
    </w:p>
    <w:p>
      <w:pPr>
        <w:spacing w:line="338" w:lineRule="auto" w:before="4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3"/>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194,876,456.39</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397"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7"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香港添丰行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72,264,691.52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17.88%</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34,900,947.60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国际玩具贸易有限公司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31,767,962.91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汕头市迪华贸易有限公司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29,212,375.86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汕头市怡盛贸易有限公司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26,730,478.50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r>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194,876,456.39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成本" w:id="20"/>
      <w:bookmarkEnd w:id="20"/>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319,771,959.92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388,919,652.80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-17.78%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after="0"/>
        <w:jc w:val="left"/>
        <w:rPr>
          <w:rFonts w:ascii="宋体" w:hAnsi="宋体" w:cs="宋体" w:eastAsia="宋体" w:hint="default"/>
          <w:sz w:val="18"/>
          <w:szCs w:val="18"/>
        </w:rPr>
        <w:sectPr>
          <w:footerReference w:type="default" r:id="rId12"/>
          <w:pgSz w:w="11910" w:h="16840"/>
          <w:pgMar w:footer="979" w:header="747" w:top="1060" w:bottom="1160" w:left="980" w:right="0"/>
          <w:pgNumType w:start="11"/>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100,295,720.80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97,019,378.60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121,229,838.80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132,994,317.20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6,652,991.40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10,193,297.09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81,381,822.22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113,535,274.44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9,226,785.34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25,516,337.52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-63.84%</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984,801.37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9,661,047.95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-89.81%</w:t>
            </w:r>
          </w:p>
        </w:tc>
      </w:tr>
    </w:tbl>
    <w:p>
      <w:pPr>
        <w:spacing w:line="357" w:lineRule="auto" w:before="51"/>
        <w:ind w:left="15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183,136,974.05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24"/>
        <w:gridCol w:w="3168"/>
        <w:gridCol w:w="2322"/>
        <w:gridCol w:w="3143"/>
      </w:tblGrid>
      <w:tr>
        <w:trPr>
          <w:trHeight w:val="403"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right="62"/>
              <w:jc w:val="center"/>
              <w:rPr>
                <w:rFonts w:ascii="宋体" w:hAnsi="宋体" w:cs="宋体" w:eastAsia="宋体" w:hint="default"/>
                <w:sz w:val="18"/>
                <w:szCs w:val="18"/>
              </w:rPr>
            </w:pPr>
            <w:r>
              <w:rPr>
                <w:rFonts w:ascii="宋体" w:hAnsi="宋体" w:cs="宋体" w:eastAsia="宋体" w:hint="default"/>
                <w:sz w:val="18"/>
                <w:szCs w:val="18"/>
              </w:rPr>
              <w:t>中国石化化工销售有限公司汕头经营部</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80,241,561.88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23.00%</w:t>
            </w:r>
          </w:p>
        </w:tc>
      </w:tr>
      <w:tr>
        <w:trPr>
          <w:trHeight w:val="161"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汕头市澄海区港口建筑工程有限公司</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（原：莱芜分公司）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49,542,695.28</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14.00%</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68" w:type="dxa"/>
            <w:vMerge/>
            <w:tcBorders>
              <w:left w:val="single" w:sz="9" w:space="0" w:color="D2D2D2"/>
              <w:right w:val="single" w:sz="4" w:space="0" w:color="000000"/>
            </w:tcBorders>
            <w:shd w:val="clear" w:color="auto" w:fill="CCE8CF"/>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shd w:val="clear" w:color="auto" w:fill="CCE8CF"/>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161"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2"/>
              <w:ind w:left="16" w:right="75"/>
              <w:jc w:val="left"/>
              <w:rPr>
                <w:rFonts w:ascii="宋体" w:hAnsi="宋体" w:cs="宋体" w:eastAsia="宋体" w:hint="default"/>
                <w:sz w:val="18"/>
                <w:szCs w:val="18"/>
              </w:rPr>
            </w:pPr>
            <w:r>
              <w:rPr>
                <w:rFonts w:ascii="宋体" w:hAnsi="宋体" w:cs="宋体" w:eastAsia="宋体" w:hint="default"/>
                <w:sz w:val="18"/>
                <w:szCs w:val="18"/>
              </w:rPr>
              <w:t>中国石油天然气股份有限公司华南化工 销售汕头分公司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28,959,829.06</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68" w:type="dxa"/>
            <w:vMerge/>
            <w:tcBorders>
              <w:left w:val="single" w:sz="9" w:space="0" w:color="D2D2D2"/>
              <w:right w:val="single" w:sz="4" w:space="0" w:color="000000"/>
            </w:tcBorders>
            <w:shd w:val="clear" w:color="auto" w:fill="CCE8CF"/>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shd w:val="clear" w:color="auto" w:fill="CCE8CF"/>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161"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2"/>
              <w:ind w:left="16" w:right="195"/>
              <w:jc w:val="left"/>
              <w:rPr>
                <w:rFonts w:ascii="Times New Roman" w:hAnsi="Times New Roman" w:cs="Times New Roman" w:eastAsia="Times New Roman" w:hint="default"/>
                <w:sz w:val="18"/>
                <w:szCs w:val="18"/>
              </w:rPr>
            </w:pPr>
            <w:r>
              <w:rPr>
                <w:rFonts w:ascii="宋体" w:hAnsi="宋体" w:cs="宋体" w:eastAsia="宋体" w:hint="default"/>
                <w:sz w:val="18"/>
                <w:szCs w:val="18"/>
              </w:rPr>
              <w:t>汕头市柏亚进出口有限公司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广东柏亚 进出口有限公司</w:t>
            </w:r>
            <w:r>
              <w:rPr>
                <w:rFonts w:ascii="Times New Roman" w:hAnsi="Times New Roman" w:cs="Times New Roman" w:eastAsia="Times New Roman" w:hint="default"/>
                <w:sz w:val="18"/>
                <w:szCs w:val="18"/>
              </w:rPr>
              <w:t>)</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13,394,615.38</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68" w:type="dxa"/>
            <w:vMerge/>
            <w:tcBorders>
              <w:left w:val="single" w:sz="9" w:space="0" w:color="D2D2D2"/>
              <w:right w:val="single" w:sz="4" w:space="0" w:color="000000"/>
            </w:tcBorders>
            <w:shd w:val="clear" w:color="auto" w:fill="CCE8CF"/>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shd w:val="clear" w:color="auto" w:fill="CCE8CF"/>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161" w:hRule="exact"/>
        </w:trPr>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8"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2"/>
              <w:ind w:left="16" w:right="75"/>
              <w:jc w:val="left"/>
              <w:rPr>
                <w:rFonts w:ascii="宋体" w:hAnsi="宋体" w:cs="宋体" w:eastAsia="宋体" w:hint="default"/>
                <w:sz w:val="18"/>
                <w:szCs w:val="18"/>
              </w:rPr>
            </w:pPr>
            <w:r>
              <w:rPr>
                <w:rFonts w:ascii="宋体" w:hAnsi="宋体" w:cs="宋体" w:eastAsia="宋体" w:hint="default"/>
                <w:sz w:val="18"/>
                <w:szCs w:val="18"/>
              </w:rPr>
              <w:t>汕头市澄海区电力公司（广东电网汕头 澄海供电局）</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3" w:right="0"/>
              <w:jc w:val="left"/>
              <w:rPr>
                <w:rFonts w:ascii="Times New Roman" w:hAnsi="Times New Roman" w:cs="Times New Roman" w:eastAsia="Times New Roman" w:hint="default"/>
                <w:sz w:val="18"/>
                <w:szCs w:val="18"/>
              </w:rPr>
            </w:pPr>
            <w:r>
              <w:rPr>
                <w:rFonts w:ascii="Times New Roman"/>
                <w:sz w:val="18"/>
              </w:rPr>
              <w:t>10,998,272.44</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w:t>
            </w:r>
          </w:p>
        </w:tc>
      </w:tr>
      <w:tr>
        <w:trPr>
          <w:trHeight w:val="391" w:hRule="exact"/>
        </w:trPr>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68" w:type="dxa"/>
            <w:vMerge/>
            <w:tcBorders>
              <w:left w:val="single" w:sz="9" w:space="0" w:color="D2D2D2"/>
              <w:right w:val="single" w:sz="4" w:space="0" w:color="000000"/>
            </w:tcBorders>
            <w:shd w:val="clear" w:color="auto" w:fill="CCE8CF"/>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68" w:type="dxa"/>
            <w:vMerge/>
            <w:tcBorders>
              <w:left w:val="single" w:sz="9" w:space="0" w:color="D2D2D2"/>
              <w:bottom w:val="single" w:sz="4" w:space="0" w:color="000000"/>
              <w:right w:val="single" w:sz="4" w:space="0" w:color="000000"/>
            </w:tcBorders>
            <w:shd w:val="clear" w:color="auto" w:fill="CCE8CF"/>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3" w:hRule="exact"/>
        </w:trPr>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183,136,974.05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费用" w:id="21"/>
      <w:bookmarkEnd w:id="21"/>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810"/>
        <w:gridCol w:w="1729"/>
        <w:gridCol w:w="1731"/>
        <w:gridCol w:w="1410"/>
        <w:gridCol w:w="2667"/>
      </w:tblGrid>
      <w:tr>
        <w:trPr>
          <w:trHeight w:val="412" w:hRule="exact"/>
        </w:trPr>
        <w:tc>
          <w:tcPr>
            <w:tcW w:w="18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72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5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339" w:right="0"/>
              <w:jc w:val="left"/>
              <w:rPr>
                <w:rFonts w:ascii="宋体" w:hAnsi="宋体" w:cs="宋体" w:eastAsia="宋体" w:hint="default"/>
                <w:sz w:val="18"/>
                <w:szCs w:val="18"/>
              </w:rPr>
            </w:pPr>
            <w:r>
              <w:rPr>
                <w:rFonts w:ascii="宋体" w:hAnsi="宋体" w:cs="宋体" w:eastAsia="宋体" w:hint="default"/>
                <w:sz w:val="18"/>
                <w:szCs w:val="18"/>
              </w:rPr>
              <w:t>同比增长</w:t>
            </w:r>
          </w:p>
        </w:tc>
        <w:tc>
          <w:tcPr>
            <w:tcW w:w="26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34" w:hRule="exact"/>
        </w:trPr>
        <w:tc>
          <w:tcPr>
            <w:tcW w:w="18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2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14,866,476.03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22,462,254.22</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-33.82%</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left"/>
              <w:rPr>
                <w:rFonts w:ascii="宋体" w:hAnsi="宋体" w:cs="宋体" w:eastAsia="宋体" w:hint="default"/>
                <w:sz w:val="18"/>
                <w:szCs w:val="18"/>
              </w:rPr>
            </w:pPr>
            <w:r>
              <w:rPr>
                <w:rFonts w:ascii="宋体" w:hAnsi="宋体" w:cs="宋体" w:eastAsia="宋体" w:hint="default"/>
                <w:sz w:val="18"/>
                <w:szCs w:val="18"/>
              </w:rPr>
              <w:t>销售收入下降</w:t>
            </w:r>
          </w:p>
        </w:tc>
      </w:tr>
      <w:tr>
        <w:trPr>
          <w:trHeight w:val="654" w:hRule="exact"/>
        </w:trPr>
        <w:tc>
          <w:tcPr>
            <w:tcW w:w="18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2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45,841,007.59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56,683,336.81</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-19.13%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4"/>
              <w:jc w:val="left"/>
              <w:rPr>
                <w:rFonts w:ascii="宋体" w:hAnsi="宋体" w:cs="宋体" w:eastAsia="宋体" w:hint="default"/>
                <w:sz w:val="18"/>
                <w:szCs w:val="18"/>
              </w:rPr>
            </w:pPr>
            <w:r>
              <w:rPr>
                <w:rFonts w:ascii="宋体" w:hAnsi="宋体" w:cs="宋体" w:eastAsia="宋体" w:hint="default"/>
                <w:spacing w:val="-4"/>
                <w:sz w:val="18"/>
                <w:szCs w:val="18"/>
              </w:rPr>
              <w:t>销售收入下降，缩减了业务招待费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和研发费用导致</w:t>
            </w:r>
          </w:p>
        </w:tc>
      </w:tr>
      <w:tr>
        <w:trPr>
          <w:trHeight w:val="433" w:hRule="exact"/>
        </w:trPr>
        <w:tc>
          <w:tcPr>
            <w:tcW w:w="18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2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6"/>
              <w:ind w:right="2"/>
              <w:jc w:val="right"/>
              <w:rPr>
                <w:rFonts w:ascii="Times New Roman" w:hAnsi="Times New Roman" w:cs="Times New Roman" w:eastAsia="Times New Roman" w:hint="default"/>
                <w:sz w:val="18"/>
                <w:szCs w:val="18"/>
              </w:rPr>
            </w:pPr>
            <w:r>
              <w:rPr>
                <w:rFonts w:ascii="Times New Roman"/>
                <w:spacing w:val="-1"/>
                <w:sz w:val="18"/>
              </w:rPr>
              <w:t>1,195,180.27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789,979.79</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51.29%</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left"/>
              <w:rPr>
                <w:rFonts w:ascii="宋体" w:hAnsi="宋体" w:cs="宋体" w:eastAsia="宋体" w:hint="default"/>
                <w:sz w:val="18"/>
                <w:szCs w:val="18"/>
              </w:rPr>
            </w:pPr>
            <w:r>
              <w:rPr>
                <w:rFonts w:ascii="宋体" w:hAnsi="宋体" w:cs="宋体" w:eastAsia="宋体" w:hint="default"/>
                <w:sz w:val="18"/>
                <w:szCs w:val="18"/>
              </w:rPr>
              <w:t>短期借款增加导致</w:t>
            </w:r>
          </w:p>
        </w:tc>
      </w:tr>
      <w:tr>
        <w:trPr>
          <w:trHeight w:val="655" w:hRule="exact"/>
        </w:trPr>
        <w:tc>
          <w:tcPr>
            <w:tcW w:w="18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72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2,774,765.47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3,664,324.64</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-24.28%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9"/>
                <w:sz w:val="18"/>
                <w:szCs w:val="18"/>
              </w:rPr>
              <w:t>销售收入下降导致利润总额下降 </w:t>
            </w:r>
            <w:r>
              <w:rPr>
                <w:rFonts w:ascii="宋体" w:hAnsi="宋体" w:cs="宋体" w:eastAsia="宋体" w:hint="default"/>
                <w:sz w:val="18"/>
                <w:szCs w:val="18"/>
              </w:rPr>
              <w:t>导致</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810"/>
        <w:gridCol w:w="1729"/>
        <w:gridCol w:w="1731"/>
        <w:gridCol w:w="1410"/>
        <w:gridCol w:w="2667"/>
      </w:tblGrid>
      <w:tr>
        <w:trPr>
          <w:trHeight w:val="342" w:hRule="exact"/>
        </w:trPr>
        <w:tc>
          <w:tcPr>
            <w:tcW w:w="181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80" w:right="0"/>
              <w:jc w:val="left"/>
              <w:rPr>
                <w:rFonts w:ascii="Times New Roman" w:hAnsi="Times New Roman" w:cs="Times New Roman" w:eastAsia="Times New Roman" w:hint="default"/>
                <w:sz w:val="18"/>
                <w:szCs w:val="18"/>
              </w:rPr>
            </w:pPr>
            <w:r>
              <w:rPr>
                <w:rFonts w:ascii="Times New Roman"/>
                <w:sz w:val="18"/>
              </w:rPr>
              <w:t>64,677,429.36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80" w:right="0"/>
              <w:jc w:val="left"/>
              <w:rPr>
                <w:rFonts w:ascii="Times New Roman" w:hAnsi="Times New Roman" w:cs="Times New Roman" w:eastAsia="Times New Roman" w:hint="default"/>
                <w:sz w:val="18"/>
                <w:szCs w:val="18"/>
              </w:rPr>
            </w:pPr>
            <w:r>
              <w:rPr>
                <w:rFonts w:ascii="Times New Roman"/>
                <w:sz w:val="18"/>
              </w:rPr>
              <w:t>83,599,895.46</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80" w:right="0"/>
              <w:jc w:val="left"/>
              <w:rPr>
                <w:rFonts w:ascii="Times New Roman" w:hAnsi="Times New Roman" w:cs="Times New Roman" w:eastAsia="Times New Roman" w:hint="default"/>
                <w:sz w:val="18"/>
                <w:szCs w:val="18"/>
              </w:rPr>
            </w:pPr>
            <w:r>
              <w:rPr>
                <w:rFonts w:ascii="Times New Roman"/>
                <w:sz w:val="18"/>
              </w:rPr>
              <w:t>-22.63%</w:t>
            </w:r>
          </w:p>
        </w:tc>
        <w:tc>
          <w:tcPr>
            <w:tcW w:w="26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54" w:right="0"/>
        <w:jc w:val="left"/>
        <w:rPr>
          <w:b w:val="0"/>
          <w:bCs w:val="0"/>
        </w:rPr>
      </w:pPr>
      <w:bookmarkStart w:name="5、研发支出" w:id="22"/>
      <w:bookmarkEnd w:id="22"/>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52"/>
        <w:gridCol w:w="2423"/>
        <w:gridCol w:w="2423"/>
        <w:gridCol w:w="2423"/>
      </w:tblGrid>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7"/>
                <w:sz w:val="18"/>
                <w:szCs w:val="18"/>
              </w:rPr>
              <w:t> </w:t>
            </w:r>
            <w:r>
              <w:rPr>
                <w:rFonts w:ascii="宋体" w:hAnsi="宋体" w:cs="宋体" w:eastAsia="宋体" w:hint="default"/>
                <w:sz w:val="18"/>
                <w:szCs w:val="18"/>
              </w:rPr>
              <w:t>目</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同比增长</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研发支出</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14,588,199.43</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20,214,873.77</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-27.51%</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占营业收入比例（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3.61</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4.036%</w:t>
            </w:r>
          </w:p>
        </w:tc>
        <w:tc>
          <w:tcPr>
            <w:tcW w:w="2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-0.41%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54" w:right="0"/>
        <w:jc w:val="left"/>
        <w:rPr>
          <w:b w:val="0"/>
          <w:bCs w:val="0"/>
        </w:rPr>
      </w:pPr>
      <w:bookmarkStart w:name="6、现金流" w:id="23"/>
      <w:bookmarkEnd w:id="23"/>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404,197,437.03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546,174,303.20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410,295,132.86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474,306,812.32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-6,097,695.83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71,867,490.88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-108.48%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170,255,459.38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47,550,115.07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344,839,373.97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143,843,817.10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139.73%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-174,583,914.59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-96,293,702.03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56,060,123.54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78,475,120.58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27,939,876.46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-53,475,120.58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-152.25%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-152,724,817.70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-78,008,138.74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38" w:lineRule="auto" w:before="103"/>
        <w:ind w:left="153" w:right="278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A.</w:t>
      </w:r>
      <w:r>
        <w:rPr>
          <w:rFonts w:ascii="宋体" w:hAnsi="宋体" w:cs="宋体" w:eastAsia="宋体" w:hint="default"/>
          <w:sz w:val="18"/>
          <w:szCs w:val="18"/>
        </w:rPr>
        <w:t>报告期内，经营活动产生的现金流量净额大幅变动的主要原因是销售下降</w:t>
      </w:r>
      <w:r>
        <w:rPr>
          <w:rFonts w:ascii="Times New Roman" w:hAnsi="Times New Roman" w:cs="Times New Roman" w:eastAsia="Times New Roman" w:hint="default"/>
          <w:sz w:val="18"/>
          <w:szCs w:val="18"/>
        </w:rPr>
        <w:t>/</w:t>
      </w:r>
      <w:r>
        <w:rPr>
          <w:rFonts w:ascii="宋体" w:hAnsi="宋体" w:cs="宋体" w:eastAsia="宋体" w:hint="default"/>
          <w:sz w:val="18"/>
          <w:szCs w:val="18"/>
        </w:rPr>
        <w:t>销售收款周期延长导致。 </w:t>
      </w:r>
      <w:r>
        <w:rPr>
          <w:rFonts w:ascii="Times New Roman" w:hAnsi="Times New Roman" w:cs="Times New Roman" w:eastAsia="Times New Roman" w:hint="default"/>
          <w:sz w:val="18"/>
          <w:szCs w:val="18"/>
        </w:rPr>
        <w:t>B.</w:t>
      </w:r>
      <w:r>
        <w:rPr>
          <w:rFonts w:ascii="宋体" w:hAnsi="宋体" w:cs="宋体" w:eastAsia="宋体" w:hint="default"/>
          <w:sz w:val="18"/>
          <w:szCs w:val="18"/>
        </w:rPr>
        <w:t>报告期内，投资活动现金流入小计大幅变动的主要原因是收回短期理财产品增加导致。</w:t>
      </w:r>
    </w:p>
    <w:p>
      <w:pPr>
        <w:spacing w:line="302" w:lineRule="auto" w:before="20"/>
        <w:ind w:left="153" w:right="112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C.</w:t>
      </w:r>
      <w:r>
        <w:rPr>
          <w:rFonts w:ascii="宋体" w:hAnsi="宋体" w:cs="宋体" w:eastAsia="宋体" w:hint="default"/>
          <w:spacing w:val="-2"/>
          <w:sz w:val="18"/>
          <w:szCs w:val="18"/>
        </w:rPr>
        <w:t>报告期内，投资活动现金流出小计大幅变动的主要原因是短期理财产品支出增加，投资粤科租赁以及重大资产重组中介费</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用增加导致。</w:t>
      </w:r>
    </w:p>
    <w:p>
      <w:pPr>
        <w:spacing w:line="338" w:lineRule="auto" w:before="69"/>
        <w:ind w:left="153" w:right="139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宋体" w:hAnsi="宋体" w:cs="宋体" w:eastAsia="宋体" w:hint="default"/>
          <w:sz w:val="18"/>
          <w:szCs w:val="18"/>
        </w:rPr>
        <w:t>报告期内，投资活动产生的现金流量净额大幅变动的主要原因是投资粤科租赁以及重大资产重组中介费用增加导致。 </w:t>
      </w:r>
      <w:r>
        <w:rPr>
          <w:rFonts w:ascii="Times New Roman" w:hAnsi="Times New Roman" w:cs="Times New Roman" w:eastAsia="Times New Roman" w:hint="default"/>
          <w:sz w:val="18"/>
          <w:szCs w:val="18"/>
        </w:rPr>
        <w:t>E.</w:t>
      </w:r>
      <w:r>
        <w:rPr>
          <w:rFonts w:ascii="宋体" w:hAnsi="宋体" w:cs="宋体" w:eastAsia="宋体" w:hint="default"/>
          <w:sz w:val="18"/>
          <w:szCs w:val="18"/>
        </w:rPr>
        <w:t>报告期内，筹资活动现金流入小计大幅变动的主要原因是短期借款增加导致。 </w:t>
      </w:r>
      <w:r>
        <w:rPr>
          <w:rFonts w:ascii="Times New Roman" w:hAnsi="Times New Roman" w:cs="Times New Roman" w:eastAsia="Times New Roman" w:hint="default"/>
          <w:sz w:val="18"/>
          <w:szCs w:val="18"/>
        </w:rPr>
        <w:t>F.</w:t>
      </w:r>
      <w:r>
        <w:rPr>
          <w:rFonts w:ascii="宋体" w:hAnsi="宋体" w:cs="宋体" w:eastAsia="宋体" w:hint="default"/>
          <w:sz w:val="18"/>
          <w:szCs w:val="18"/>
        </w:rPr>
        <w:t>报告期内，筹资活动产生的现金流量净额大幅变动的主要原因是短期借款增加导致。 </w:t>
      </w:r>
      <w:r>
        <w:rPr>
          <w:rFonts w:ascii="Times New Roman" w:hAnsi="Times New Roman" w:cs="Times New Roman" w:eastAsia="Times New Roman" w:hint="default"/>
          <w:sz w:val="18"/>
          <w:szCs w:val="18"/>
        </w:rPr>
        <w:t>G.</w:t>
      </w:r>
      <w:r>
        <w:rPr>
          <w:rFonts w:ascii="宋体" w:hAnsi="宋体" w:cs="宋体" w:eastAsia="宋体" w:hint="default"/>
          <w:sz w:val="18"/>
          <w:szCs w:val="18"/>
        </w:rPr>
        <w:t>报告期内，现金及现金等价物净增加额大幅变动的主要原因是销售收入下降，投资支出增加导致。 报告期内公司经营活动的现金流量与本年度净利润存在重大差异的原因说明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主营业务构成情况" w:id="24"/>
      <w:bookmarkEnd w:id="24"/>
      <w:r>
        <w:rPr>
          <w:b w:val="0"/>
          <w:bCs w:val="0"/>
        </w:rPr>
      </w:r>
      <w:r>
        <w:rPr/>
        <w:t>三、主营业务构成情况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1"/>
        <w:gridCol w:w="1376"/>
        <w:gridCol w:w="1367"/>
        <w:gridCol w:w="1367"/>
        <w:gridCol w:w="1366"/>
        <w:gridCol w:w="1366"/>
        <w:gridCol w:w="1370"/>
      </w:tblGrid>
      <w:tr>
        <w:trPr>
          <w:trHeight w:val="714" w:hRule="exact"/>
        </w:trPr>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玩具行业</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404,163,124.81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319,771,959.92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婴童玩具</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122,739,305.70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100,295,720.80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电动车</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153,927,731.65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121,229,838.78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玩具手机</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7,927,924.68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6,652,991.40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童车</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106,750,503.76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81,381,822.22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-28.32%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电脑学习机</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11,645,209.71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9,226,785.34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-63.84%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1,172,449.31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984,801.37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4"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66"/>
              <w:jc w:val="left"/>
              <w:rPr>
                <w:rFonts w:ascii="宋体" w:hAnsi="宋体" w:cs="宋体" w:eastAsia="宋体" w:hint="default"/>
                <w:sz w:val="18"/>
                <w:szCs w:val="18"/>
              </w:rPr>
            </w:pPr>
            <w:r>
              <w:rPr>
                <w:rFonts w:ascii="宋体" w:hAnsi="宋体" w:cs="宋体" w:eastAsia="宋体" w:hint="default"/>
                <w:sz w:val="18"/>
                <w:szCs w:val="18"/>
              </w:rPr>
              <w:t>亚洲（除中国大 陆地区外）</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162,770,002.52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128,989,546.30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欧洲</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1,662,281.48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1,293,969.23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美洲</w:t>
            </w:r>
          </w:p>
        </w:tc>
        <w:tc>
          <w:tcPr>
            <w:tcW w:w="1376"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-22.39%</w:t>
            </w:r>
          </w:p>
        </w:tc>
      </w:tr>
      <w:tr>
        <w:trPr>
          <w:trHeight w:val="403" w:hRule="exact"/>
        </w:trPr>
        <w:tc>
          <w:tcPr>
            <w:tcW w:w="13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239,730,840.81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189,488,444.39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负债状况分析" w:id="25"/>
      <w:bookmarkEnd w:id="25"/>
      <w:r>
        <w:rPr>
          <w:b w:val="0"/>
          <w:bCs w:val="0"/>
        </w:rPr>
      </w:r>
      <w:r>
        <w:rPr/>
        <w:t>四、资产、负债状况分析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项目重大变动情况" w:id="26"/>
      <w:bookmarkEnd w:id="26"/>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89,942,323.40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241,839,909.96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-16.74%</w:t>
            </w: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主要是增加对外投资导致</w:t>
            </w: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130,546,354.9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13.22%</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78,647,043.59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8.41%</w:t>
            </w: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4.81%</w:t>
            </w:r>
          </w:p>
        </w:tc>
        <w:tc>
          <w:tcPr>
            <w:tcW w:w="278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收款周期边长导致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2786" w:type="dxa"/>
            <w:vMerge/>
            <w:tcBorders>
              <w:left w:val="single" w:sz="4" w:space="0" w:color="000000"/>
              <w:right w:val="single" w:sz="4" w:space="0" w:color="000000"/>
            </w:tcBorders>
            <w:shd w:val="clear" w:color="auto" w:fill="CCE8CF"/>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2786"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82,489,530.74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96,873,692.78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销售收入下降，导致产量下降</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128,428,471.1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13.01%</w:t>
            </w: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本年增加对粤科租赁投资导致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419,614,270.2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172,534,402.34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18.44%</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24.06%</w:t>
            </w: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在建工程转固导致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208,233,478.26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-22.25%</w:t>
            </w:r>
          </w:p>
        </w:tc>
        <w:tc>
          <w:tcPr>
            <w:tcW w:w="2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在建工程转固导致</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负债项目重大变动情况" w:id="27"/>
      <w:bookmarkEnd w:id="27"/>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51"/>
        <w:gridCol w:w="810"/>
        <w:gridCol w:w="2906"/>
      </w:tblGrid>
      <w:tr>
        <w:trPr>
          <w:trHeight w:val="380"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1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0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1"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10"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4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0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51" w:type="dxa"/>
            <w:vMerge/>
            <w:tcBorders>
              <w:left w:val="single" w:sz="4" w:space="0" w:color="000000"/>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290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290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2906"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44,000,000.00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4.46%</w:t>
            </w:r>
          </w:p>
        </w:tc>
        <w:tc>
          <w:tcPr>
            <w:tcW w:w="1196" w:type="dxa"/>
            <w:vMerge w:val="restart"/>
            <w:tcBorders>
              <w:top w:val="single" w:sz="4" w:space="0" w:color="000000"/>
              <w:left w:val="single" w:sz="4" w:space="0" w:color="000000"/>
              <w:right w:val="single" w:sz="4" w:space="0" w:color="000000"/>
            </w:tcBorders>
          </w:tcPr>
          <w:p>
            <w:pPr/>
          </w:p>
        </w:tc>
        <w:tc>
          <w:tcPr>
            <w:tcW w:w="1051" w:type="dxa"/>
            <w:vMerge w:val="restart"/>
            <w:tcBorders>
              <w:top w:val="single" w:sz="4" w:space="0" w:color="000000"/>
              <w:left w:val="single" w:sz="4" w:space="0" w:color="000000"/>
              <w:right w:val="single" w:sz="4" w:space="0" w:color="000000"/>
            </w:tcBorders>
          </w:tcPr>
          <w:p>
            <w:pPr/>
          </w:p>
        </w:tc>
        <w:tc>
          <w:tcPr>
            <w:tcW w:w="81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4.46%</w:t>
            </w:r>
          </w:p>
        </w:tc>
        <w:tc>
          <w:tcPr>
            <w:tcW w:w="290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pacing w:val="-2"/>
                <w:sz w:val="18"/>
                <w:szCs w:val="18"/>
              </w:rPr>
              <w:t>改善资产结构，补充营运资金，增加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对外借款</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10" w:type="dxa"/>
            <w:vMerge/>
            <w:tcBorders>
              <w:left w:val="single" w:sz="4" w:space="0" w:color="000000"/>
              <w:right w:val="single" w:sz="4" w:space="0" w:color="000000"/>
            </w:tcBorders>
          </w:tcPr>
          <w:p>
            <w:pPr/>
          </w:p>
        </w:tc>
        <w:tc>
          <w:tcPr>
            <w:tcW w:w="2906" w:type="dxa"/>
            <w:vMerge/>
            <w:tcBorders>
              <w:left w:val="single" w:sz="4" w:space="0" w:color="000000"/>
              <w:right w:val="single" w:sz="4" w:space="0" w:color="000000"/>
            </w:tcBorders>
            <w:shd w:val="clear" w:color="auto" w:fill="CCE8CF"/>
          </w:tcPr>
          <w:p>
            <w:pPr/>
          </w:p>
        </w:tc>
      </w:tr>
      <w:tr>
        <w:trPr>
          <w:trHeight w:val="162"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10" w:type="dxa"/>
            <w:vMerge/>
            <w:tcBorders>
              <w:left w:val="single" w:sz="4" w:space="0" w:color="000000"/>
              <w:bottom w:val="single" w:sz="4" w:space="0" w:color="000000"/>
              <w:right w:val="single" w:sz="4" w:space="0" w:color="000000"/>
            </w:tcBorders>
          </w:tcPr>
          <w:p>
            <w:pPr/>
          </w:p>
        </w:tc>
        <w:tc>
          <w:tcPr>
            <w:tcW w:w="2906"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五、核心竞争力分析" w:id="28"/>
      <w:bookmarkEnd w:id="28"/>
      <w:r>
        <w:rPr>
          <w:b w:val="0"/>
          <w:bCs w:val="0"/>
        </w:rPr>
      </w:r>
      <w:r>
        <w:rPr/>
        <w:t>五、核心竞争力分析</w:t>
      </w:r>
      <w:r>
        <w:rPr>
          <w:b w:val="0"/>
          <w:bCs w:val="0"/>
        </w:rPr>
      </w:r>
    </w:p>
    <w:p>
      <w:pPr>
        <w:spacing w:line="240" w:lineRule="auto" w:before="7"/>
        <w:rPr>
          <w:rFonts w:ascii="宋体" w:hAnsi="宋体" w:cs="宋体" w:eastAsia="宋体" w:hint="default"/>
          <w:b/>
          <w:bCs/>
          <w:sz w:val="24"/>
          <w:szCs w:val="24"/>
        </w:rPr>
      </w:pPr>
    </w:p>
    <w:p>
      <w:pPr>
        <w:pStyle w:val="BodyText"/>
        <w:spacing w:line="264" w:lineRule="auto"/>
        <w:ind w:right="1120"/>
        <w:jc w:val="left"/>
      </w:pPr>
      <w:r>
        <w:rPr>
          <w:rFonts w:ascii="Times New Roman" w:hAnsi="Times New Roman" w:cs="Times New Roman" w:eastAsia="Times New Roman" w:hint="default"/>
        </w:rPr>
        <w:t>1</w:t>
      </w:r>
      <w:r>
        <w:rPr/>
        <w:t>、较为突出的行业地位及较高的市场占有率 </w:t>
      </w:r>
      <w:r>
        <w:rPr>
          <w:spacing w:val="-1"/>
        </w:rPr>
        <w:t>公司十多年来专注于电子电动玩具研发设计、生产和销售，始终坚持以自主品牌对外销售，是国内最大的</w:t>
      </w:r>
      <w:r>
        <w:rPr>
          <w:spacing w:val="-83"/>
        </w:rPr>
        <w:t> </w:t>
      </w:r>
      <w:r>
        <w:rPr>
          <w:spacing w:val="-83"/>
        </w:rPr>
      </w:r>
      <w:r>
        <w:rPr/>
        <w:t>自主品牌电子电动玩具企业之一，是</w:t>
      </w:r>
      <w:r>
        <w:rPr>
          <w:rFonts w:ascii="Times New Roman" w:hAnsi="Times New Roman" w:cs="Times New Roman" w:eastAsia="Times New Roman" w:hint="default"/>
        </w:rPr>
        <w:t>“</w:t>
      </w:r>
      <w:r>
        <w:rPr/>
        <w:t>广东省制造业百强企业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广东省企业</w:t>
      </w:r>
      <w:r>
        <w:rPr>
          <w:rFonts w:ascii="Times New Roman" w:hAnsi="Times New Roman" w:cs="Times New Roman" w:eastAsia="Times New Roman" w:hint="default"/>
        </w:rPr>
        <w:t>500</w:t>
      </w:r>
      <w:r>
        <w:rPr/>
        <w:t>强</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、优秀的技术开发能力 公司重视研发投入，报告期研发费用占公司主营业务收入平均为</w:t>
      </w:r>
      <w:r>
        <w:rPr>
          <w:rFonts w:ascii="Times New Roman" w:hAnsi="Times New Roman" w:cs="Times New Roman" w:eastAsia="Times New Roman" w:hint="default"/>
        </w:rPr>
        <w:t>3.61%</w:t>
      </w:r>
      <w:r>
        <w:rPr/>
        <w:t>，致力于自主品牌电子电动玩具的</w:t>
      </w:r>
      <w:r>
        <w:rPr>
          <w:spacing w:val="-51"/>
        </w:rPr>
        <w:t> </w:t>
      </w:r>
      <w:r>
        <w:rPr>
          <w:spacing w:val="-51"/>
        </w:rPr>
      </w:r>
      <w:r>
        <w:rPr>
          <w:spacing w:val="-1"/>
        </w:rPr>
        <w:t>研发、生产和销售，产品主要品类有童车、电脑学习机、婴童玩具、电动车等，每个品类包含多个款式及</w:t>
      </w:r>
      <w:r>
        <w:rPr>
          <w:spacing w:val="-83"/>
        </w:rPr>
        <w:t> </w:t>
      </w:r>
      <w:r>
        <w:rPr>
          <w:spacing w:val="-83"/>
        </w:rPr>
      </w:r>
      <w:r>
        <w:rPr>
          <w:spacing w:val="-1"/>
        </w:rPr>
        <w:t>规格。公司的自主研发设计与模具制造优势保证公司的产品创新性与质量处于国内领先水平，使公司能够</w:t>
      </w:r>
      <w:r>
        <w:rPr>
          <w:spacing w:val="-81"/>
        </w:rPr>
        <w:t> </w:t>
      </w:r>
      <w:r>
        <w:rPr>
          <w:spacing w:val="-81"/>
        </w:rPr>
      </w:r>
      <w:r>
        <w:rPr/>
        <w:t>针对国内外不同地域消费市场的需求，快速设计并制造出系列化的产品。</w:t>
      </w:r>
    </w:p>
    <w:p>
      <w:pPr>
        <w:pStyle w:val="BodyText"/>
        <w:spacing w:line="256" w:lineRule="auto" w:before="16"/>
        <w:ind w:right="0"/>
        <w:jc w:val="left"/>
      </w:pPr>
      <w:r>
        <w:rPr>
          <w:rFonts w:ascii="Times New Roman" w:hAnsi="Times New Roman" w:cs="Times New Roman" w:eastAsia="Times New Roman" w:hint="default"/>
        </w:rPr>
        <w:t>3</w:t>
      </w:r>
      <w:r>
        <w:rPr/>
        <w:t>、自主品牌优势 公司所有产品均使用</w:t>
      </w:r>
      <w:r>
        <w:rPr>
          <w:rFonts w:ascii="Times New Roman" w:hAnsi="Times New Roman" w:cs="Times New Roman" w:eastAsia="Times New Roman" w:hint="default"/>
        </w:rPr>
        <w:t>“QUNXING”</w:t>
      </w:r>
      <w:r>
        <w:rPr/>
        <w:t>品牌进行销售，经过多年自主品牌的市场开拓，公司产品在经销商、零</w:t>
      </w:r>
      <w:r>
        <w:rPr>
          <w:spacing w:val="-47"/>
        </w:rPr>
        <w:t> </w:t>
      </w:r>
      <w:r>
        <w:rPr>
          <w:spacing w:val="-47"/>
        </w:rPr>
      </w:r>
      <w:r>
        <w:rPr/>
        <w:t>售商和消费者中形成较高的影响力和认知度。</w:t>
      </w:r>
    </w:p>
    <w:p>
      <w:pPr>
        <w:pStyle w:val="BodyText"/>
        <w:spacing w:line="264" w:lineRule="auto" w:before="22"/>
        <w:ind w:right="1116"/>
        <w:jc w:val="left"/>
      </w:pPr>
      <w:r>
        <w:rPr>
          <w:rFonts w:ascii="Times New Roman" w:hAnsi="Times New Roman" w:cs="Times New Roman" w:eastAsia="Times New Roman" w:hint="default"/>
        </w:rPr>
        <w:t>4</w:t>
      </w:r>
      <w:r>
        <w:rPr/>
        <w:t>、优良的产品品质及均衡的产品结构 多年来，公司产品质量稳定，品质优良。公司通过了</w:t>
      </w:r>
      <w:r>
        <w:rPr>
          <w:rFonts w:ascii="Times New Roman" w:hAnsi="Times New Roman" w:cs="Times New Roman" w:eastAsia="Times New Roman" w:hint="default"/>
        </w:rPr>
        <w:t>ISO9001:2000</w:t>
      </w:r>
      <w:r>
        <w:rPr/>
        <w:t>质量体系认证以及国际玩具协会针对玩 </w:t>
      </w:r>
      <w:r>
        <w:rPr>
          <w:spacing w:val="-1"/>
        </w:rPr>
        <w:t>具生产企业的商业行为认证，所有产品均通过</w:t>
      </w:r>
      <w:r>
        <w:rPr>
          <w:rFonts w:ascii="Times New Roman" w:hAnsi="Times New Roman" w:cs="Times New Roman" w:eastAsia="Times New Roman" w:hint="default"/>
          <w:spacing w:val="-1"/>
        </w:rPr>
        <w:t>“3C”</w:t>
      </w:r>
      <w:r>
        <w:rPr>
          <w:spacing w:val="-1"/>
        </w:rPr>
        <w:t>认证，电动童车等多款产品已经通过国家标准管理委员</w:t>
      </w:r>
      <w:r>
        <w:rPr>
          <w:spacing w:val="-93"/>
        </w:rPr>
        <w:t> </w:t>
      </w:r>
      <w:r>
        <w:rPr>
          <w:spacing w:val="-93"/>
        </w:rPr>
      </w:r>
      <w:r>
        <w:rPr/>
        <w:t>会、广东省质量技术监督局的企业认证，获得</w:t>
      </w:r>
      <w:r>
        <w:rPr>
          <w:rFonts w:ascii="Times New Roman" w:hAnsi="Times New Roman" w:cs="Times New Roman" w:eastAsia="Times New Roman" w:hint="default"/>
        </w:rPr>
        <w:t>“</w:t>
      </w:r>
      <w:r>
        <w:rPr/>
        <w:t>采用国际标准产品标志证书</w:t>
      </w:r>
      <w:r>
        <w:rPr>
          <w:rFonts w:ascii="Times New Roman" w:hAnsi="Times New Roman" w:cs="Times New Roman" w:eastAsia="Times New Roman" w:hint="default"/>
        </w:rPr>
        <w:t>”</w:t>
      </w:r>
      <w:r>
        <w:rPr/>
        <w:t>。 </w:t>
      </w:r>
      <w:r>
        <w:rPr>
          <w:rFonts w:ascii="Times New Roman" w:hAnsi="Times New Roman" w:cs="Times New Roman" w:eastAsia="Times New Roman" w:hint="default"/>
        </w:rPr>
        <w:t>5</w:t>
      </w:r>
      <w:r>
        <w:rPr/>
        <w:t>、重大资产重组拟收购</w:t>
      </w:r>
      <w:r>
        <w:rPr>
          <w:rFonts w:ascii="Times New Roman" w:hAnsi="Times New Roman" w:cs="Times New Roman" w:eastAsia="Times New Roman" w:hint="default"/>
        </w:rPr>
        <w:t>100%</w:t>
      </w:r>
      <w:r>
        <w:rPr/>
        <w:t>股权星创互联（北京）科技有限公司的核心竞争力 星创互联主营业务是从事移动网络游戏开发和运营，成立仅</w:t>
      </w:r>
      <w:r>
        <w:rPr>
          <w:rFonts w:ascii="Times New Roman" w:hAnsi="Times New Roman" w:cs="Times New Roman" w:eastAsia="Times New Roman" w:hint="default"/>
        </w:rPr>
        <w:t>3</w:t>
      </w:r>
      <w:r>
        <w:rPr/>
        <w:t>年，便成为中国领先的移动网络游戏企业之</w:t>
      </w:r>
      <w:r>
        <w:rPr>
          <w:spacing w:val="-28"/>
        </w:rPr>
        <w:t> </w:t>
      </w:r>
      <w:r>
        <w:rPr>
          <w:spacing w:val="-28"/>
        </w:rPr>
      </w:r>
      <w:r>
        <w:rPr>
          <w:spacing w:val="-1"/>
        </w:rPr>
        <w:t>一。其成功并非仅仅依靠移动网络游戏行业的快速发展，更多的是凭借着其领先同行业的游戏制作水准和</w:t>
      </w:r>
      <w:r>
        <w:rPr>
          <w:spacing w:val="-81"/>
        </w:rPr>
        <w:t> </w:t>
      </w:r>
      <w:r>
        <w:rPr>
          <w:spacing w:val="-81"/>
        </w:rPr>
      </w:r>
      <w:r>
        <w:rPr>
          <w:spacing w:val="-1"/>
        </w:rPr>
        <w:t>强大的核心竞争力。星创互联已培养出一支经验丰富、技术精湛、人员稳定的移动网络游戏开发、运营团</w:t>
      </w:r>
      <w:r>
        <w:rPr>
          <w:spacing w:val="-86"/>
        </w:rPr>
        <w:t> </w:t>
      </w:r>
      <w:r>
        <w:rPr>
          <w:spacing w:val="-86"/>
        </w:rPr>
      </w:r>
      <w:r>
        <w:rPr>
          <w:spacing w:val="-1"/>
        </w:rPr>
        <w:t>队，已成为国内领先的移动网络游戏开发商。李波、尹超是星创互联最关键的技术核心及该公司的现任股</w:t>
      </w:r>
      <w:r>
        <w:rPr>
          <w:spacing w:val="-83"/>
        </w:rPr>
        <w:t> </w:t>
      </w:r>
      <w:r>
        <w:rPr>
          <w:spacing w:val="-83"/>
        </w:rPr>
      </w:r>
      <w:r>
        <w:rPr>
          <w:spacing w:val="-1"/>
        </w:rPr>
        <w:t>东，星创互联现有的技术团队大部分由星创互联内部培养出来。核心团队始终坚持发展移动网络游戏的战</w:t>
      </w:r>
      <w:r>
        <w:rPr>
          <w:spacing w:val="-81"/>
        </w:rPr>
        <w:t> </w:t>
      </w:r>
      <w:r>
        <w:rPr>
          <w:spacing w:val="-81"/>
        </w:rPr>
      </w:r>
      <w:r>
        <w:rPr>
          <w:spacing w:val="-1"/>
        </w:rPr>
        <w:t>略，成功地将细节设计、用户体验设计以、游戏性设计及图像设计与移动开发完美融合，创造了精品级作</w:t>
      </w:r>
      <w:r>
        <w:rPr>
          <w:spacing w:val="-86"/>
        </w:rPr>
        <w:t> </w:t>
      </w:r>
      <w:r>
        <w:rPr>
          <w:spacing w:val="-86"/>
        </w:rPr>
      </w:r>
      <w:r>
        <w:rPr/>
        <w:t>品。同时也与腾讯、海外知名发行商</w:t>
      </w:r>
      <w:r>
        <w:rPr>
          <w:rFonts w:ascii="Times New Roman" w:hAnsi="Times New Roman" w:cs="Times New Roman" w:eastAsia="Times New Roman" w:hint="default"/>
        </w:rPr>
        <w:t>Garena</w:t>
      </w:r>
      <w:r>
        <w:rPr/>
        <w:t>公司建立了紧密的合作关系。 </w:t>
      </w:r>
      <w:r>
        <w:rPr>
          <w:spacing w:val="-2"/>
        </w:rPr>
        <w:t>公司拟利用资本市场对星创互联</w:t>
      </w:r>
      <w:r>
        <w:rPr>
          <w:rFonts w:ascii="Times New Roman" w:hAnsi="Times New Roman" w:cs="Times New Roman" w:eastAsia="Times New Roman" w:hint="default"/>
          <w:spacing w:val="-2"/>
        </w:rPr>
        <w:t>100%</w:t>
      </w:r>
      <w:r>
        <w:rPr>
          <w:spacing w:val="-2"/>
        </w:rPr>
        <w:t>股权进行并购，这一战略转型的重要举措，有利于增强上市公司现有</w:t>
      </w:r>
      <w:r>
        <w:rPr>
          <w:spacing w:val="-102"/>
        </w:rPr>
        <w:t> </w:t>
      </w:r>
      <w:r>
        <w:rPr>
          <w:spacing w:val="-102"/>
        </w:rPr>
      </w:r>
      <w:r>
        <w:rPr>
          <w:spacing w:val="-1"/>
        </w:rPr>
        <w:t>主营业务的协同效应、增强持续盈利能力和优化产业布局。通过以玩具及游戏的互动作为切入点，对公司</w:t>
      </w:r>
      <w:r>
        <w:rPr>
          <w:spacing w:val="-83"/>
        </w:rPr>
        <w:t> </w:t>
      </w:r>
      <w:r>
        <w:rPr>
          <w:spacing w:val="-83"/>
        </w:rPr>
      </w:r>
      <w:r>
        <w:rPr/>
        <w:t>及并购标的公司的用户、内容、运营、品牌等核心资源进行深度整合，从而发挥合作共赢的协同效应。</w:t>
      </w:r>
    </w:p>
    <w:p>
      <w:pPr>
        <w:spacing w:after="0" w:line="26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投资状况分析" w:id="29"/>
      <w:bookmarkEnd w:id="29"/>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对外股权投资情况" w:id="30"/>
      <w:bookmarkEnd w:id="30"/>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对外投资情况" w:id="31"/>
      <w:bookmarkEnd w:id="31"/>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124,000,000.00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融资租赁业务；租赁业务；向国内外购 买租赁资产；租赁资产的残值处理及维 修；租赁交易咨询和担保（不含融资性 担保）业务（涉及行业许可管理的按国 </w:t>
            </w:r>
            <w:r>
              <w:rPr>
                <w:rFonts w:ascii="宋体" w:hAnsi="宋体" w:cs="宋体" w:eastAsia="宋体" w:hint="default"/>
                <w:spacing w:val="-9"/>
                <w:sz w:val="18"/>
                <w:szCs w:val="18"/>
              </w:rPr>
              <w:t>家有关规定办理申请）。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委托理财、衍生品投资和委托贷款情况" w:id="32"/>
      <w:bookmarkEnd w:id="32"/>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委托理财情况" w:id="33"/>
      <w:bookmarkEnd w:id="3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7"/>
        <w:gridCol w:w="796"/>
        <w:gridCol w:w="815"/>
        <w:gridCol w:w="797"/>
        <w:gridCol w:w="798"/>
        <w:gridCol w:w="796"/>
        <w:gridCol w:w="798"/>
        <w:gridCol w:w="796"/>
        <w:gridCol w:w="798"/>
        <w:gridCol w:w="797"/>
        <w:gridCol w:w="784"/>
      </w:tblGrid>
      <w:tr>
        <w:trPr>
          <w:trHeight w:val="1021"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31"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46"/>
              <w:jc w:val="both"/>
              <w:rPr>
                <w:rFonts w:ascii="宋体" w:hAnsi="宋体" w:cs="宋体" w:eastAsia="宋体" w:hint="default"/>
                <w:sz w:val="18"/>
                <w:szCs w:val="18"/>
              </w:rPr>
            </w:pPr>
            <w:r>
              <w:rPr>
                <w:rFonts w:ascii="宋体" w:hAnsi="宋体" w:cs="宋体" w:eastAsia="宋体" w:hint="default"/>
                <w:sz w:val="18"/>
                <w:szCs w:val="18"/>
              </w:rPr>
              <w:t>交通银行 汕头澄海 支行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合同约定 利率为准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广发银行 汕头澄海 支行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合同约定 利率为准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广发银行 汕头澄海 支行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合同约定 利率为准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23.05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广发银行 汕头澄海 支行</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低风险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3"/>
              <w:jc w:val="left"/>
              <w:rPr>
                <w:rFonts w:ascii="宋体" w:hAnsi="宋体" w:cs="宋体" w:eastAsia="宋体" w:hint="default"/>
                <w:sz w:val="18"/>
                <w:szCs w:val="18"/>
              </w:rPr>
            </w:pPr>
            <w:r>
              <w:rPr>
                <w:rFonts w:ascii="宋体" w:hAnsi="宋体" w:cs="宋体" w:eastAsia="宋体" w:hint="default"/>
                <w:sz w:val="18"/>
                <w:szCs w:val="18"/>
              </w:rPr>
              <w:t>合同约定 利率为准</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8"/>
        <w:gridCol w:w="6375"/>
      </w:tblGrid>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75" w:type="dxa"/>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66.24</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3"/>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75" w:type="dxa"/>
            <w:tcBorders>
              <w:top w:val="single" w:sz="4" w:space="0" w:color="000000"/>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募集资金使用情况" w:id="34"/>
      <w:bookmarkEnd w:id="34"/>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35"/>
      <w:bookmarkEnd w:id="35"/>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8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61,349.78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12,899.8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63,497.83</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4,050</w:t>
            </w:r>
          </w:p>
        </w:tc>
      </w:tr>
      <w:tr>
        <w:trPr>
          <w:trHeight w:val="407"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0"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日，募集资金账户产生利息收入和手续费支出净额</w:t>
            </w:r>
            <w:r>
              <w:rPr>
                <w:rFonts w:ascii="Times New Roman" w:hAnsi="Times New Roman" w:cs="Times New Roman" w:eastAsia="Times New Roman" w:hint="default"/>
                <w:sz w:val="18"/>
                <w:szCs w:val="18"/>
              </w:rPr>
              <w:t>-21,480,534.78</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元，募集资金净额为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613,497,751.12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元，合计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634,978,285.90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日，本公司对募集资金累计使用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634,978,285.90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元，其中：公司于募集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资金到位之前利用自有资金先期投入募集资金项目人民币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14,815,500.00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p>
            <w:pPr>
              <w:pStyle w:val="TableParagraph"/>
              <w:spacing w:line="302" w:lineRule="auto" w:before="63"/>
              <w:ind w:left="11" w:right="21"/>
              <w:jc w:val="left"/>
              <w:rPr>
                <w:rFonts w:ascii="宋体" w:hAnsi="宋体" w:cs="宋体" w:eastAsia="宋体" w:hint="default"/>
                <w:sz w:val="18"/>
                <w:szCs w:val="18"/>
              </w:rPr>
            </w:pPr>
            <w:r>
              <w:rPr>
                <w:rFonts w:ascii="宋体" w:hAnsi="宋体" w:cs="宋体" w:eastAsia="宋体" w:hint="default"/>
                <w:sz w:val="18"/>
                <w:szCs w:val="18"/>
              </w:rPr>
              <w:t>会计期间使用募集资金人民币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620,162,785.90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元，募集资金全部使</w:t>
            </w:r>
            <w:r>
              <w:rPr>
                <w:rFonts w:ascii="宋体" w:hAnsi="宋体" w:cs="宋体" w:eastAsia="宋体" w:hint="default"/>
                <w:sz w:val="18"/>
                <w:szCs w:val="18"/>
              </w:rPr>
              <w:t> 用完毕。</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募集资金承诺项目情况" w:id="36"/>
      <w:bookmarkEnd w:id="36"/>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新建电子电动塑料 玩具生产基地项目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21,548.3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21,548.3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21,548.07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7.029999pt;margin-top:71.999985pt;width:478.6pt;height:687.8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9"/>
                    <w:gridCol w:w="763"/>
                    <w:gridCol w:w="782"/>
                    <w:gridCol w:w="776"/>
                    <w:gridCol w:w="781"/>
                    <w:gridCol w:w="782"/>
                    <w:gridCol w:w="787"/>
                    <w:gridCol w:w="770"/>
                    <w:gridCol w:w="794"/>
                    <w:gridCol w:w="776"/>
                    <w:gridCol w:w="786"/>
                  </w:tblGrid>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11"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研发检测中心建设 项目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25,598.3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21,548.3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21,548.07</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5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募投项目配套修缮工 程</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3,385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3,385</w:t>
                        </w:r>
                      </w:p>
                    </w:tc>
                    <w:tc>
                      <w:tcPr>
                        <w:tcW w:w="78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15" w:val="left" w:leader="none"/>
                          </w:tabs>
                          <w:spacing w:line="240" w:lineRule="auto" w:before="51"/>
                          <w:ind w:left="-130" w:right="3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2"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17,050</w:t>
                        </w:r>
                      </w:p>
                    </w:tc>
                    <w:tc>
                      <w:tcPr>
                        <w:tcW w:w="787" w:type="dxa"/>
                        <w:tcBorders>
                          <w:top w:val="single" w:sz="4" w:space="0" w:color="000000"/>
                          <w:left w:val="single" w:sz="4" w:space="0" w:color="000000"/>
                          <w:bottom w:val="single" w:sz="4" w:space="0" w:color="000000"/>
                          <w:right w:val="single" w:sz="13" w:space="0" w:color="D2D2D2"/>
                        </w:tcBorders>
                      </w:tcPr>
                      <w:p>
                        <w:pP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15" w:val="left" w:leader="none"/>
                          </w:tabs>
                          <w:spacing w:line="240" w:lineRule="auto" w:before="51"/>
                          <w:ind w:left="-130" w:right="3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2" w:type="dxa"/>
                        <w:tcBorders>
                          <w:top w:val="single" w:sz="4" w:space="0" w:color="000000"/>
                          <w:left w:val="single" w:sz="13" w:space="0" w:color="D2D2D2"/>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9,514.8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21,514.75</w:t>
                        </w:r>
                      </w:p>
                    </w:tc>
                    <w:tc>
                      <w:tcPr>
                        <w:tcW w:w="787" w:type="dxa"/>
                        <w:tcBorders>
                          <w:top w:val="single" w:sz="4" w:space="0" w:color="000000"/>
                          <w:left w:val="single" w:sz="4" w:space="0" w:color="000000"/>
                          <w:bottom w:val="single" w:sz="4" w:space="0" w:color="000000"/>
                          <w:right w:val="single" w:sz="13" w:space="0" w:color="D2D2D2"/>
                        </w:tcBorders>
                      </w:tcPr>
                      <w:p>
                        <w:pP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30" w:right="0"/>
                          <w:jc w:val="lef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12,899.8</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41,949.75</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17"/>
                          <w:jc w:val="right"/>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28,983.3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12,899.8</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63,497.82</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6"/>
                          <w:jc w:val="right"/>
                          <w:rPr>
                            <w:rFonts w:ascii="Times New Roman" w:hAnsi="Times New Roman" w:cs="Times New Roman" w:eastAsia="Times New Roman" w:hint="default"/>
                            <w:sz w:val="18"/>
                            <w:szCs w:val="18"/>
                          </w:rPr>
                        </w:pPr>
                        <w:r>
                          <w:rPr>
                            <w:rFonts w:ascii="Times New Roman"/>
                            <w:sz w:val="18"/>
                          </w:rPr>
                          <w:t>--</w:t>
                        </w:r>
                      </w:p>
                    </w:tc>
                  </w:tr>
                  <w:tr>
                    <w:trPr>
                      <w:trHeight w:val="1021" w:hRule="exact"/>
                    </w:trPr>
                    <w:tc>
                      <w:tcPr>
                        <w:tcW w:w="1759"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316" w:lineRule="auto" w:before="46"/>
                          <w:ind w:left="11" w:right="10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319" w:lineRule="auto" w:before="46"/>
                          <w:ind w:left="5" w:right="29"/>
                          <w:jc w:val="both"/>
                          <w:rPr>
                            <w:rFonts w:ascii="宋体" w:hAnsi="宋体" w:cs="宋体" w:eastAsia="宋体" w:hint="default"/>
                            <w:sz w:val="18"/>
                            <w:szCs w:val="18"/>
                          </w:rPr>
                        </w:pPr>
                        <w:r>
                          <w:rPr>
                            <w:rFonts w:ascii="宋体" w:hAnsi="宋体" w:cs="宋体" w:eastAsia="宋体" w:hint="default"/>
                            <w:sz w:val="18"/>
                            <w:szCs w:val="18"/>
                          </w:rPr>
                          <w:t>注：电子电动塑料玩具生产基地项目主体工程达到预定可使用状态，已完工结算交付使用。其中作 为电子电动塑料玩具生产基地项目组成部分的生产设备，前期已先行投入使用，其产品为注塑件， 不单独对外销售，无法单独计算效益；</w:t>
                        </w:r>
                      </w:p>
                    </w:tc>
                  </w:tr>
                  <w:tr>
                    <w:trPr>
                      <w:trHeight w:val="161" w:hRule="exact"/>
                    </w:trPr>
                    <w:tc>
                      <w:tcPr>
                        <w:tcW w:w="1759" w:type="dxa"/>
                        <w:tcBorders>
                          <w:top w:val="single" w:sz="4" w:space="0" w:color="000000"/>
                          <w:left w:val="single" w:sz="4" w:space="0" w:color="000000"/>
                          <w:bottom w:val="nil" w:sz="6" w:space="0" w:color="auto"/>
                          <w:right w:val="single" w:sz="9" w:space="0" w:color="CCE8CF"/>
                        </w:tcBorders>
                        <w:shd w:val="clear" w:color="auto" w:fill="D2D2D2"/>
                      </w:tcPr>
                      <w:p>
                        <w:pPr/>
                      </w:p>
                    </w:tc>
                    <w:tc>
                      <w:tcPr>
                        <w:tcW w:w="7799" w:type="dxa"/>
                        <w:gridSpan w:val="10"/>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1"/>
                          <w:ind w:left="10"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鉴于实施客观环境和可行性已经发生较大变化，继续进行募投项目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研发检测中心建设项目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已无法 到达理想的投资回报，并存在较大风险，经公司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日第二次临时股东大会决议审议 </w:t>
                        </w:r>
                        <w:r>
                          <w:rPr>
                            <w:rFonts w:ascii="宋体" w:hAnsi="宋体" w:cs="宋体" w:eastAsia="宋体" w:hint="default"/>
                            <w:spacing w:val="-4"/>
                            <w:sz w:val="18"/>
                            <w:szCs w:val="18"/>
                          </w:rPr>
                          <w:t>并经公司独立董事、平安证券公司保荐人等发表意见，公司终止募投项目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研发检测中心建设项目</w:t>
                        </w:r>
                        <w:r>
                          <w:rPr>
                            <w:rFonts w:ascii="Times New Roman" w:hAnsi="Times New Roman" w:cs="Times New Roman" w:eastAsia="Times New Roman" w:hint="default"/>
                            <w:spacing w:val="-4"/>
                            <w:sz w:val="18"/>
                            <w:szCs w:val="18"/>
                          </w:rPr>
                          <w:t>"</w:t>
                        </w:r>
                      </w:p>
                    </w:tc>
                  </w:tr>
                  <w:tr>
                    <w:trPr>
                      <w:trHeight w:val="704" w:hRule="exact"/>
                    </w:trPr>
                    <w:tc>
                      <w:tcPr>
                        <w:tcW w:w="1759" w:type="dxa"/>
                        <w:tcBorders>
                          <w:top w:val="nil" w:sz="6" w:space="0" w:color="auto"/>
                          <w:left w:val="single" w:sz="4" w:space="0" w:color="000000"/>
                          <w:bottom w:val="nil" w:sz="6" w:space="0" w:color="auto"/>
                          <w:right w:val="single" w:sz="9" w:space="0" w:color="CCE8CF"/>
                        </w:tcBorders>
                        <w:shd w:val="clear" w:color="auto" w:fill="D2D2D2"/>
                      </w:tcPr>
                      <w:p>
                        <w:pPr>
                          <w:pStyle w:val="TableParagraph"/>
                          <w:spacing w:line="319" w:lineRule="auto" w:before="51"/>
                          <w:ind w:left="11" w:right="10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9" w:space="0" w:color="D2D2D2"/>
                          <w:right w:val="single" w:sz="4" w:space="0" w:color="000000"/>
                        </w:tcBorders>
                        <w:shd w:val="clear" w:color="auto" w:fill="CCE8CF"/>
                      </w:tcPr>
                      <w:p>
                        <w:pPr/>
                      </w:p>
                    </w:tc>
                  </w:tr>
                  <w:tr>
                    <w:trPr>
                      <w:trHeight w:val="161" w:hRule="exact"/>
                    </w:trPr>
                    <w:tc>
                      <w:tcPr>
                        <w:tcW w:w="1759" w:type="dxa"/>
                        <w:tcBorders>
                          <w:top w:val="nil" w:sz="6" w:space="0" w:color="auto"/>
                          <w:left w:val="single" w:sz="4" w:space="0" w:color="000000"/>
                          <w:bottom w:val="single" w:sz="4" w:space="0" w:color="000000"/>
                          <w:right w:val="single" w:sz="9" w:space="0" w:color="CCE8CF"/>
                        </w:tcBorders>
                        <w:shd w:val="clear" w:color="auto" w:fill="D2D2D2"/>
                      </w:tcPr>
                      <w:p>
                        <w:pPr/>
                      </w:p>
                    </w:tc>
                    <w:tc>
                      <w:tcPr>
                        <w:tcW w:w="7799" w:type="dxa"/>
                        <w:gridSpan w:val="10"/>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1759"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53"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0" w:right="0"/>
                          <w:jc w:val="both"/>
                          <w:rPr>
                            <w:rFonts w:ascii="宋体" w:hAnsi="宋体" w:cs="宋体" w:eastAsia="宋体" w:hint="default"/>
                            <w:sz w:val="18"/>
                            <w:szCs w:val="18"/>
                          </w:rPr>
                        </w:pPr>
                        <w:r>
                          <w:rPr>
                            <w:rFonts w:ascii="宋体" w:hAnsi="宋体" w:cs="宋体" w:eastAsia="宋体" w:hint="default"/>
                            <w:sz w:val="18"/>
                            <w:szCs w:val="18"/>
                          </w:rPr>
                          <w:t>超募资金金额为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357,514,751.12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日公司第一届董事会第八次会议审议，并经独</w:t>
                        </w:r>
                      </w:p>
                      <w:p>
                        <w:pPr>
                          <w:pStyle w:val="TableParagraph"/>
                          <w:spacing w:line="300" w:lineRule="auto" w:before="63"/>
                          <w:ind w:left="10" w:right="20"/>
                          <w:jc w:val="both"/>
                          <w:rPr>
                            <w:rFonts w:ascii="宋体" w:hAnsi="宋体" w:cs="宋体" w:eastAsia="宋体" w:hint="default"/>
                            <w:sz w:val="18"/>
                            <w:szCs w:val="18"/>
                          </w:rPr>
                        </w:pPr>
                        <w:r>
                          <w:rPr>
                            <w:rFonts w:ascii="宋体" w:hAnsi="宋体" w:cs="宋体" w:eastAsia="宋体" w:hint="default"/>
                            <w:sz w:val="18"/>
                            <w:szCs w:val="18"/>
                          </w:rPr>
                          <w:t>立董事、平安证券公司保荐人等发表意见，公司使用超募资金人民币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17,050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万元用于偿还银行贷款 和永久性补充流动资金，其中，</w:t>
                        </w:r>
                        <w:r>
                          <w:rPr>
                            <w:rFonts w:ascii="Times New Roman" w:hAnsi="Times New Roman" w:cs="Times New Roman" w:eastAsia="Times New Roman" w:hint="default"/>
                            <w:sz w:val="18"/>
                            <w:szCs w:val="18"/>
                          </w:rPr>
                          <w:t>10,050 </w:t>
                        </w:r>
                        <w:r>
                          <w:rPr>
                            <w:rFonts w:ascii="宋体" w:hAnsi="宋体" w:cs="宋体" w:eastAsia="宋体" w:hint="default"/>
                            <w:sz w:val="18"/>
                            <w:szCs w:val="18"/>
                          </w:rPr>
                          <w:t>万元用于偿还银行贷款，</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万元用于永久性补充流动资 </w:t>
                        </w:r>
                        <w:r>
                          <w:rPr>
                            <w:rFonts w:ascii="宋体" w:hAnsi="宋体" w:cs="宋体" w:eastAsia="宋体" w:hint="default"/>
                            <w:spacing w:val="-10"/>
                            <w:sz w:val="18"/>
                            <w:szCs w:val="18"/>
                          </w:rPr>
                          <w:t>金。经</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日公司第二届董事会第一次会议，并经独立董事、平安证券公司保荐人等发表</w:t>
                        </w:r>
                      </w:p>
                      <w:p>
                        <w:pPr>
                          <w:pStyle w:val="TableParagraph"/>
                          <w:spacing w:line="300" w:lineRule="auto" w:before="13"/>
                          <w:ind w:left="10" w:right="23"/>
                          <w:jc w:val="both"/>
                          <w:rPr>
                            <w:rFonts w:ascii="宋体" w:hAnsi="宋体" w:cs="宋体" w:eastAsia="宋体" w:hint="default"/>
                            <w:sz w:val="18"/>
                            <w:szCs w:val="18"/>
                          </w:rPr>
                        </w:pPr>
                        <w:r>
                          <w:rPr>
                            <w:rFonts w:ascii="宋体" w:hAnsi="宋体" w:cs="宋体" w:eastAsia="宋体" w:hint="default"/>
                            <w:spacing w:val="-3"/>
                            <w:sz w:val="18"/>
                            <w:szCs w:val="18"/>
                          </w:rPr>
                          <w:t>意见，公司使用已终止募投项目资金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4,050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万元永久性补充流动资金，使用超募资金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7,950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w:t>
                        </w:r>
                        <w:r>
                          <w:rPr>
                            <w:rFonts w:ascii="宋体" w:hAnsi="宋体" w:cs="宋体" w:eastAsia="宋体" w:hint="default"/>
                            <w:spacing w:val="-88"/>
                            <w:sz w:val="18"/>
                            <w:szCs w:val="18"/>
                          </w:rPr>
                          <w:t> </w:t>
                        </w:r>
                        <w:r>
                          <w:rPr>
                            <w:rFonts w:ascii="宋体" w:hAnsi="宋体" w:cs="宋体" w:eastAsia="宋体" w:hint="default"/>
                            <w:sz w:val="18"/>
                            <w:szCs w:val="18"/>
                          </w:rPr>
                          <w:t>偿还银行贷款和永久性补充流动资金，其中： </w:t>
                        </w:r>
                        <w:r>
                          <w:rPr>
                            <w:rFonts w:ascii="Times New Roman" w:hAnsi="Times New Roman" w:cs="Times New Roman" w:eastAsia="Times New Roman" w:hint="default"/>
                            <w:sz w:val="18"/>
                            <w:szCs w:val="18"/>
                          </w:rPr>
                          <w:t>7,000 </w:t>
                        </w:r>
                        <w:r>
                          <w:rPr>
                            <w:rFonts w:ascii="宋体" w:hAnsi="宋体" w:cs="宋体" w:eastAsia="宋体" w:hint="default"/>
                            <w:sz w:val="18"/>
                            <w:szCs w:val="18"/>
                          </w:rPr>
                          <w:t>万偿还银行贷款、</w:t>
                        </w:r>
                        <w:r>
                          <w:rPr>
                            <w:rFonts w:ascii="Times New Roman" w:hAnsi="Times New Roman" w:cs="Times New Roman" w:eastAsia="Times New Roman" w:hint="default"/>
                            <w:sz w:val="18"/>
                            <w:szCs w:val="18"/>
                          </w:rPr>
                          <w:t>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万元永久性补充流动资 金。经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日公司第二届董事会第十四次会议，并经独立董事、平安证券公司保荐人等</w:t>
                        </w:r>
                      </w:p>
                      <w:p>
                        <w:pPr>
                          <w:pStyle w:val="TableParagraph"/>
                          <w:spacing w:line="240" w:lineRule="auto" w:before="13"/>
                          <w:ind w:left="10" w:right="0"/>
                          <w:jc w:val="both"/>
                          <w:rPr>
                            <w:rFonts w:ascii="宋体" w:hAnsi="宋体" w:cs="宋体" w:eastAsia="宋体" w:hint="default"/>
                            <w:sz w:val="18"/>
                            <w:szCs w:val="18"/>
                          </w:rPr>
                        </w:pPr>
                        <w:r>
                          <w:rPr>
                            <w:rFonts w:ascii="宋体" w:hAnsi="宋体" w:cs="宋体" w:eastAsia="宋体" w:hint="default"/>
                            <w:sz w:val="18"/>
                            <w:szCs w:val="18"/>
                          </w:rPr>
                          <w:t>发表意见，公司使用超募资金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万元人民币用于募投项目配套装饰修缮工程和使用剩余超募资</w:t>
                        </w:r>
                      </w:p>
                      <w:p>
                        <w:pPr>
                          <w:pStyle w:val="TableParagraph"/>
                          <w:spacing w:line="240" w:lineRule="auto" w:before="63"/>
                          <w:ind w:left="10"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89,217,404.30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元人民币永久性补充流动资金（截止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4"/>
                            <w:sz w:val="18"/>
                            <w:szCs w:val="18"/>
                          </w:rPr>
                          <w:t>日，该募集资金专户销户时资</w:t>
                        </w:r>
                      </w:p>
                      <w:p>
                        <w:pPr>
                          <w:pStyle w:val="TableParagraph"/>
                          <w:spacing w:line="240" w:lineRule="auto" w:before="64"/>
                          <w:ind w:left="10" w:right="0"/>
                          <w:jc w:val="both"/>
                          <w:rPr>
                            <w:rFonts w:ascii="宋体" w:hAnsi="宋体" w:cs="宋体" w:eastAsia="宋体" w:hint="default"/>
                            <w:sz w:val="18"/>
                            <w:szCs w:val="18"/>
                          </w:rPr>
                        </w:pPr>
                        <w:r>
                          <w:rPr>
                            <w:rFonts w:ascii="宋体" w:hAnsi="宋体" w:cs="宋体" w:eastAsia="宋体" w:hint="default"/>
                            <w:sz w:val="18"/>
                            <w:szCs w:val="18"/>
                          </w:rPr>
                          <w:t>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89,406,320.42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03"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799" w:type="dxa"/>
                        <w:gridSpan w:val="10"/>
                        <w:vMerge/>
                        <w:tcBorders>
                          <w:left w:val="single" w:sz="9" w:space="0" w:color="D2D2D2"/>
                          <w:right w:val="single" w:sz="4" w:space="0" w:color="000000"/>
                        </w:tcBorders>
                      </w:tcPr>
                      <w:p>
                        <w:pPr/>
                      </w:p>
                    </w:tc>
                  </w:tr>
                  <w:tr>
                    <w:trPr>
                      <w:trHeight w:val="1454"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9" w:space="0" w:color="D2D2D2"/>
                          <w:bottom w:val="single" w:sz="4" w:space="0" w:color="000000"/>
                          <w:right w:val="single" w:sz="4" w:space="0" w:color="000000"/>
                        </w:tcBorders>
                      </w:tcPr>
                      <w:p>
                        <w:pPr/>
                      </w:p>
                    </w:tc>
                  </w:tr>
                  <w:tr>
                    <w:trPr>
                      <w:trHeight w:val="25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9" w:space="0" w:color="D2D2D2"/>
                          <w:bottom w:val="single" w:sz="4" w:space="0" w:color="000000"/>
                          <w:right w:val="single" w:sz="4" w:space="0" w:color="000000"/>
                        </w:tcBorders>
                      </w:tcPr>
                      <w:p>
                        <w:pPr/>
                      </w:p>
                    </w:tc>
                  </w:tr>
                  <w:tr>
                    <w:trPr>
                      <w:trHeight w:val="251"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vMerge/>
                        <w:tcBorders>
                          <w:left w:val="single" w:sz="4" w:space="0" w:color="000000"/>
                          <w:right w:val="single" w:sz="4" w:space="0" w:color="000000"/>
                        </w:tcBorders>
                        <w:shd w:val="clear" w:color="auto" w:fill="D2D2D2"/>
                      </w:tcPr>
                      <w:p>
                        <w:pPr/>
                      </w:p>
                    </w:tc>
                    <w:tc>
                      <w:tcPr>
                        <w:tcW w:w="7799" w:type="dxa"/>
                        <w:gridSpan w:val="10"/>
                        <w:tcBorders>
                          <w:top w:val="single" w:sz="4" w:space="0" w:color="000000"/>
                          <w:left w:val="single" w:sz="13" w:space="0" w:color="D2D2D2"/>
                          <w:bottom w:val="single" w:sz="4" w:space="0" w:color="000000"/>
                          <w:right w:val="single" w:sz="4" w:space="0" w:color="000000"/>
                        </w:tcBorders>
                      </w:tcPr>
                      <w:p>
                        <w:pPr/>
                      </w:p>
                    </w:tc>
                  </w:tr>
                  <w:tr>
                    <w:trPr>
                      <w:trHeight w:val="151" w:hRule="exact"/>
                    </w:trPr>
                    <w:tc>
                      <w:tcPr>
                        <w:tcW w:w="1759"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4" w:hRule="exact"/>
                    </w:trPr>
                    <w:tc>
                      <w:tcPr>
                        <w:tcW w:w="17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11"/>
                          <w:ind w:left="11"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日召开第一届董事会第十一次会议审议，并经公司独立董事及保荐机构等</w:t>
                        </w:r>
                      </w:p>
                      <w:p>
                        <w:pPr>
                          <w:pStyle w:val="TableParagraph"/>
                          <w:spacing w:line="302" w:lineRule="auto" w:before="63"/>
                          <w:ind w:left="10" w:right="29"/>
                          <w:jc w:val="left"/>
                          <w:rPr>
                            <w:rFonts w:ascii="宋体" w:hAnsi="宋体" w:cs="宋体" w:eastAsia="宋体" w:hint="default"/>
                            <w:sz w:val="18"/>
                            <w:szCs w:val="18"/>
                          </w:rPr>
                        </w:pPr>
                        <w:r>
                          <w:rPr>
                            <w:rFonts w:ascii="宋体" w:hAnsi="宋体" w:cs="宋体" w:eastAsia="宋体" w:hint="default"/>
                            <w:sz w:val="18"/>
                            <w:szCs w:val="18"/>
                          </w:rPr>
                          <w:t>发表意见，公司以募集资金置换预先投入募投项目自筹资金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1,481.55 </w:t>
                        </w:r>
                        <w:r>
                          <w:rPr>
                            <w:rFonts w:ascii="宋体" w:hAnsi="宋体" w:cs="宋体" w:eastAsia="宋体" w:hint="default"/>
                            <w:sz w:val="18"/>
                            <w:szCs w:val="18"/>
                          </w:rPr>
                          <w:t>万元，上述置换情况业经立信 会计师事务所有限公司信会师报字【</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90051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号鉴证报告审核确认。</w:t>
                        </w:r>
                      </w:p>
                    </w:tc>
                  </w:tr>
                  <w:tr>
                    <w:trPr>
                      <w:trHeight w:val="362" w:hRule="exact"/>
                    </w:trPr>
                    <w:tc>
                      <w:tcPr>
                        <w:tcW w:w="175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9" w:space="0" w:color="D2D2D2"/>
                          <w:bottom w:val="single" w:sz="4" w:space="0" w:color="000000"/>
                          <w:right w:val="single" w:sz="4" w:space="0" w:color="000000"/>
                        </w:tcBorders>
                      </w:tcPr>
                      <w:p>
                        <w:pPr/>
                      </w:p>
                    </w:tc>
                  </w:tr>
                  <w:tr>
                    <w:trPr>
                      <w:trHeight w:val="402" w:hRule="exact"/>
                    </w:trPr>
                    <w:tc>
                      <w:tcPr>
                        <w:tcW w:w="1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spacing w:before="44"/>
        <w:ind w:left="0" w:right="114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7"/>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新建电子电动塑料玩具生产基项目</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达到预定可使用状态，已完工结算交付使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用。该募集资金账户结余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574.17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万元。其中项目实施出现募集资金结余</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万元，该项目募集资金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专户自开户之日起至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日销户日止共产生利息收入与手续费支出净额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日，公司无尚未使用的募集资金。</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年度，本公司已按《深圳证券交易所中小企业板上市公司规范运作指引》和本公司《募集资金 管理制度》的相关规定，及时、真实、准确、完整的披露募集资金的使用及存放情况，不存在募集 资金管理违规的情况。</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募集资金变更项目情况" w:id="37"/>
      <w:bookmarkEnd w:id="37"/>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主要子公司、参股公司分析" w:id="38"/>
      <w:bookmarkEnd w:id="38"/>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215.302994pt;margin-top:104.531708pt;width:80.55pt;height:116pt;mso-position-horizontal-relative:page;mso-position-vertical-relative:paragraph;z-index:-746104" type="#_x0000_t202" filled="false" stroked="false">
            <v:textbox inset="0,0,0,0">
              <w:txbxContent>
                <w:p>
                  <w:pPr>
                    <w:spacing w:line="316" w:lineRule="auto" w:before="51"/>
                    <w:ind w:left="0" w:right="888" w:firstLine="180"/>
                    <w:jc w:val="right"/>
                    <w:rPr>
                      <w:rFonts w:ascii="宋体" w:hAnsi="宋体" w:cs="宋体" w:eastAsia="宋体" w:hint="default"/>
                      <w:sz w:val="18"/>
                      <w:szCs w:val="18"/>
                    </w:rPr>
                  </w:pPr>
                  <w:r>
                    <w:rPr>
                      <w:rFonts w:ascii="宋体" w:hAnsi="宋体" w:cs="宋体" w:eastAsia="宋体" w:hint="default"/>
                      <w:sz w:val="18"/>
                      <w:szCs w:val="18"/>
                    </w:rPr>
                    <w:t>加工、 玩具，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0" w:right="888" w:firstLine="0"/>
                    <w:jc w:val="right"/>
                    <w:rPr>
                      <w:rFonts w:ascii="宋体" w:hAnsi="宋体" w:cs="宋体" w:eastAsia="宋体" w:hint="default"/>
                      <w:sz w:val="18"/>
                      <w:szCs w:val="18"/>
                    </w:rPr>
                  </w:pPr>
                  <w:r>
                    <w:rPr>
                      <w:rFonts w:ascii="宋体" w:hAnsi="宋体" w:cs="宋体" w:eastAsia="宋体" w:hint="default"/>
                      <w:sz w:val="18"/>
                      <w:szCs w:val="18"/>
                    </w:rPr>
                    <w:t>婴儿床、</w:t>
                  </w:r>
                </w:p>
              </w:txbxContent>
            </v:textbox>
            <w10:wrap type="none"/>
          </v:shape>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315" w:space="66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09"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31" w:hRule="exact"/>
        </w:trPr>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群興玩具</w:t>
            </w:r>
          </w:p>
          <w:p>
            <w:pPr>
              <w:pStyle w:val="TableParagraph"/>
              <w:spacing w:line="319"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23"/>
              <w:jc w:val="both"/>
              <w:rPr>
                <w:rFonts w:ascii="宋体" w:hAnsi="宋体" w:cs="宋体" w:eastAsia="宋体" w:hint="default"/>
                <w:sz w:val="18"/>
                <w:szCs w:val="18"/>
              </w:rPr>
            </w:pPr>
            <w:r>
              <w:rPr>
                <w:rFonts w:ascii="宋体" w:hAnsi="宋体" w:cs="宋体" w:eastAsia="宋体" w:hint="default"/>
                <w:sz w:val="18"/>
                <w:szCs w:val="18"/>
              </w:rPr>
              <w:t>玩具产品批 发零售；进 出口贸易</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3,706,914.6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2,328,650.8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-13,099.47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-13,099.47</w:t>
            </w:r>
          </w:p>
        </w:tc>
      </w:tr>
      <w:tr>
        <w:trPr>
          <w:trHeight w:val="5043" w:hRule="exact"/>
        </w:trPr>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汕头市童乐 乐玩具有限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生产、 销售； 塑料制品， 五金制品， 童车、手推 车、 学步车、三 轮车、婴儿 </w:t>
            </w:r>
            <w:r>
              <w:rPr>
                <w:rFonts w:ascii="宋体" w:hAnsi="宋体" w:cs="宋体" w:eastAsia="宋体" w:hint="default"/>
                <w:spacing w:val="-18"/>
                <w:sz w:val="18"/>
                <w:szCs w:val="18"/>
              </w:rPr>
              <w:t>车、行李车</w:t>
            </w:r>
            <w:r>
              <w:rPr>
                <w:rFonts w:ascii="宋体" w:hAnsi="宋体" w:cs="宋体" w:eastAsia="宋体" w:hint="default"/>
                <w:sz w:val="18"/>
                <w:szCs w:val="18"/>
              </w:rPr>
              <w:t> 自行车、电 动车、摇篮 车、摇椅、 儿童摇床； 货物进出 口、技术进 出口</w:t>
            </w:r>
            <w:r>
              <w:rPr>
                <w:rFonts w:ascii="Times New Roman" w:hAnsi="Times New Roman" w:cs="Times New Roman" w:eastAsia="Times New Roman" w:hint="default"/>
                <w:sz w:val="18"/>
                <w:szCs w:val="18"/>
              </w:rPr>
              <w:t>(</w:t>
            </w:r>
            <w:r>
              <w:rPr>
                <w:rFonts w:ascii="宋体" w:hAnsi="宋体" w:cs="宋体" w:eastAsia="宋体" w:hint="default"/>
                <w:sz w:val="18"/>
                <w:szCs w:val="18"/>
              </w:rPr>
              <w:t>法律、</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19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141,051,452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37,159,772.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-5,807,096.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-5,807,096.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2235" w:hRule="exact"/>
        </w:trPr>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行政法规禁 止的项目除 外；法律、 行政法规限 制的项目须 取得许可后 方可经营</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9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广东省粤科 融资租赁有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资产；租赁 资产的残值 处理及维 修；租赁交 易咨询和担 保（不含融 资性担保） 业务（涉及 行业许可管 理的按国家 有关规定办 </w:t>
            </w:r>
            <w:r>
              <w:rPr>
                <w:rFonts w:ascii="宋体" w:hAnsi="宋体" w:cs="宋体" w:eastAsia="宋体" w:hint="default"/>
                <w:spacing w:val="-18"/>
                <w:sz w:val="18"/>
                <w:szCs w:val="18"/>
              </w:rPr>
              <w:t>理申请）。</w:t>
            </w:r>
          </w:p>
        </w:tc>
        <w:tc>
          <w:tcPr>
            <w:tcW w:w="9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896,315,758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z w:val="18"/>
              </w:rPr>
              <w:t>642,142,355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24,872,322.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23,523,140.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0"/>
              <w:jc w:val="right"/>
              <w:rPr>
                <w:rFonts w:ascii="Times New Roman" w:hAnsi="Times New Roman" w:cs="Times New Roman" w:eastAsia="Times New Roman" w:hint="default"/>
                <w:sz w:val="18"/>
                <w:szCs w:val="18"/>
              </w:rPr>
            </w:pPr>
            <w:r>
              <w:rPr>
                <w:rFonts w:ascii="Times New Roman"/>
                <w:spacing w:val="-1"/>
                <w:sz w:val="18"/>
              </w:rPr>
              <w:t>22,142,355.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公司未来发展的展望" w:id="39"/>
      <w:bookmarkEnd w:id="39"/>
      <w:r>
        <w:rPr>
          <w:b w:val="0"/>
          <w:bCs w:val="0"/>
        </w:rPr>
      </w:r>
      <w:r>
        <w:rPr/>
        <w:t>七、公司未来发展的展望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（一）行业分析</w:t>
      </w:r>
    </w:p>
    <w:p>
      <w:pPr>
        <w:pStyle w:val="BodyText"/>
        <w:spacing w:line="271" w:lineRule="auto" w:before="37"/>
        <w:ind w:right="0"/>
        <w:jc w:val="left"/>
      </w:pPr>
      <w:r>
        <w:rPr/>
        <w:t>（</w:t>
      </w:r>
      <w:r>
        <w:rPr>
          <w:rFonts w:ascii="Times New Roman" w:hAnsi="Times New Roman" w:cs="Times New Roman" w:eastAsia="Times New Roman" w:hint="default"/>
        </w:rPr>
        <w:t>1</w:t>
      </w:r>
      <w:r>
        <w:rPr/>
        <w:t>）成熟市场需求相对稳定，新兴市场增长迅速 </w:t>
      </w:r>
      <w:r>
        <w:rPr>
          <w:spacing w:val="-1"/>
        </w:rPr>
        <w:t>玩具消费与一个国家经济发展水平、儿童人数、国民教育程度有较大关系。欧洲、美国、日本等发达国家</w:t>
      </w:r>
      <w:r>
        <w:rPr>
          <w:spacing w:val="-83"/>
        </w:rPr>
        <w:t> </w:t>
      </w:r>
      <w:r>
        <w:rPr>
          <w:spacing w:val="-83"/>
        </w:rPr>
      </w:r>
      <w:r>
        <w:rPr>
          <w:spacing w:val="-1"/>
        </w:rPr>
        <w:t>和地区的玩具行业起步较早，开发程度高，行业也比较成熟，玩具消费量始终位于世界前列。近年来虽然</w:t>
      </w:r>
      <w:r>
        <w:rPr>
          <w:spacing w:val="-86"/>
        </w:rPr>
        <w:t> </w:t>
      </w:r>
      <w:r>
        <w:rPr>
          <w:spacing w:val="-86"/>
        </w:rPr>
      </w:r>
      <w:r>
        <w:rPr>
          <w:spacing w:val="-1"/>
        </w:rPr>
        <w:t>受欧债危机和金融危机的影响，玩具行业的发展增速放缓，玩具销售的情况仍然保持稳定，主要是由于各</w:t>
      </w:r>
      <w:r>
        <w:rPr>
          <w:spacing w:val="-83"/>
        </w:rPr>
        <w:t> </w:t>
      </w:r>
      <w:r>
        <w:rPr>
          <w:spacing w:val="-83"/>
        </w:rPr>
      </w:r>
      <w:r>
        <w:rPr>
          <w:spacing w:val="-1"/>
        </w:rPr>
        <w:t>国家庭普遍重视儿童的教育，玩具消费意识强，因此受负面影响相对较小。随着新兴市场国家经济实力逐</w:t>
      </w:r>
      <w:r>
        <w:rPr>
          <w:spacing w:val="-83"/>
        </w:rPr>
        <w:t> </w:t>
      </w:r>
      <w:r>
        <w:rPr>
          <w:spacing w:val="-83"/>
        </w:rPr>
      </w:r>
      <w:r>
        <w:rPr>
          <w:spacing w:val="-1"/>
        </w:rPr>
        <w:t>步增强，玩具消费观念也从随之延伸至新兴市场，东欧、南美、亚洲等地区玩具消费增长迅速，该市场庞</w:t>
      </w:r>
      <w:r>
        <w:rPr>
          <w:spacing w:val="-83"/>
        </w:rPr>
        <w:t> </w:t>
      </w:r>
      <w:r>
        <w:rPr>
          <w:spacing w:val="-83"/>
        </w:rPr>
      </w:r>
      <w:r>
        <w:rPr>
          <w:spacing w:val="-1"/>
        </w:rPr>
        <w:t>大的儿童数量、较低的人均儿童玩具消费和良好的经济发展前景使新兴玩具市场拥有较高的成长性，也将</w:t>
      </w:r>
      <w:r>
        <w:rPr>
          <w:spacing w:val="-81"/>
        </w:rPr>
        <w:t> </w:t>
      </w:r>
      <w:r>
        <w:rPr>
          <w:spacing w:val="-81"/>
        </w:rPr>
      </w:r>
      <w:r>
        <w:rPr/>
        <w:t>成为全球玩具业未来的增长点。</w:t>
      </w:r>
    </w:p>
    <w:p>
      <w:pPr>
        <w:pStyle w:val="BodyText"/>
        <w:spacing w:line="268" w:lineRule="auto" w:before="10"/>
        <w:ind w:right="1120"/>
        <w:jc w:val="left"/>
      </w:pPr>
      <w:r>
        <w:rPr/>
        <w:t>（</w:t>
      </w:r>
      <w:r>
        <w:rPr>
          <w:rFonts w:ascii="Times New Roman" w:hAnsi="Times New Roman" w:cs="Times New Roman" w:eastAsia="Times New Roman" w:hint="default"/>
        </w:rPr>
        <w:t>2</w:t>
      </w:r>
      <w:r>
        <w:rPr/>
        <w:t>）玩具安全标准不断提高，环保成主要潮流 </w:t>
      </w:r>
      <w:r>
        <w:rPr>
          <w:spacing w:val="-1"/>
        </w:rPr>
        <w:t>随着生活水平的提高及环保观念的强化，促使玩具消费者从自身健康和安全考虑出发对玩具的质量提出更</w:t>
      </w:r>
      <w:r>
        <w:rPr>
          <w:spacing w:val="-81"/>
        </w:rPr>
        <w:t> </w:t>
      </w:r>
      <w:r>
        <w:rPr>
          <w:spacing w:val="-81"/>
        </w:rPr>
      </w:r>
      <w:r>
        <w:rPr>
          <w:spacing w:val="-1"/>
        </w:rPr>
        <w:t>高的要求，玩具进口国为保障本国消费者的健康和保护本国玩具产业，也制定了越来越严格的安全与环保</w:t>
      </w:r>
      <w:r>
        <w:rPr>
          <w:spacing w:val="-81"/>
        </w:rPr>
        <w:t> </w:t>
      </w:r>
      <w:r>
        <w:rPr>
          <w:spacing w:val="-81"/>
        </w:rPr>
      </w:r>
      <w:r>
        <w:rPr/>
        <w:t>标准。</w:t>
      </w:r>
    </w:p>
    <w:p>
      <w:pPr>
        <w:pStyle w:val="BodyText"/>
        <w:spacing w:line="256" w:lineRule="auto" w:before="12"/>
        <w:ind w:left="154" w:right="0"/>
        <w:jc w:val="left"/>
      </w:pPr>
      <w:r>
        <w:rPr/>
        <w:t>（</w:t>
      </w:r>
      <w:r>
        <w:rPr>
          <w:rFonts w:ascii="Times New Roman" w:hAnsi="Times New Roman" w:cs="Times New Roman" w:eastAsia="Times New Roman" w:hint="default"/>
        </w:rPr>
        <w:t>3</w:t>
      </w:r>
      <w:r>
        <w:rPr/>
        <w:t>）与文化产业联动加强 </w:t>
      </w:r>
      <w:r>
        <w:rPr>
          <w:spacing w:val="-1"/>
        </w:rPr>
        <w:t>影视、动漫等文化产业的繁荣为传统玩具的研发设计提供了更多的素材、拓宽了思路。设计中加入文化元</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素能提高玩具的商品价值、提升消费者对品牌产品的忠诚度与辨识度；影视、动漫作品的热播能促进其授</w:t>
      </w:r>
      <w:r>
        <w:rPr>
          <w:spacing w:val="-83"/>
        </w:rPr>
        <w:t> </w:t>
      </w:r>
      <w:r>
        <w:rPr>
          <w:spacing w:val="-83"/>
        </w:rPr>
      </w:r>
      <w:r>
        <w:rPr/>
        <w:t>权玩具及衍生品的销售，塑造良好的品牌形象，挺高品牌知名度和美誉度。</w:t>
      </w:r>
    </w:p>
    <w:p>
      <w:pPr>
        <w:pStyle w:val="BodyText"/>
        <w:spacing w:line="268" w:lineRule="auto" w:before="7"/>
        <w:ind w:right="0"/>
        <w:jc w:val="left"/>
      </w:pPr>
      <w:r>
        <w:rPr/>
        <w:t>（</w:t>
      </w:r>
      <w:r>
        <w:rPr>
          <w:rFonts w:ascii="Times New Roman" w:hAnsi="Times New Roman" w:cs="Times New Roman" w:eastAsia="Times New Roman" w:hint="default"/>
        </w:rPr>
        <w:t>4</w:t>
      </w:r>
      <w:r>
        <w:rPr/>
        <w:t>）注重</w:t>
      </w:r>
      <w:r>
        <w:rPr>
          <w:rFonts w:ascii="Times New Roman" w:hAnsi="Times New Roman" w:cs="Times New Roman" w:eastAsia="Times New Roman" w:hint="default"/>
        </w:rPr>
        <w:t>“</w:t>
      </w:r>
      <w:r>
        <w:rPr/>
        <w:t>个性</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科教性</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未来的玩具业发展的关键词是个性与科教性，玩具厂商应秉承赋予孩子们更多的自由理念并提供更多价格</w:t>
      </w:r>
      <w:r>
        <w:rPr>
          <w:spacing w:val="-81"/>
        </w:rPr>
        <w:t> </w:t>
      </w:r>
      <w:r>
        <w:rPr>
          <w:spacing w:val="-81"/>
        </w:rPr>
      </w:r>
      <w:r>
        <w:rPr>
          <w:spacing w:val="-1"/>
        </w:rPr>
        <w:t>的选择，以符合市场的潮流，将自行动手、想象力培养、科技、艺术等元素融入玩具的设计开发中，让各</w:t>
      </w:r>
      <w:r>
        <w:rPr>
          <w:spacing w:val="-83"/>
        </w:rPr>
        <w:t> </w:t>
      </w:r>
      <w:r>
        <w:rPr>
          <w:spacing w:val="-83"/>
        </w:rPr>
      </w:r>
      <w:r>
        <w:rPr/>
        <w:t>个年龄段的孩子获得学习的能力，享受学习的乐趣。</w:t>
      </w:r>
    </w:p>
    <w:p>
      <w:pPr>
        <w:pStyle w:val="BodyText"/>
        <w:spacing w:line="266" w:lineRule="auto" w:before="12"/>
        <w:ind w:right="0"/>
        <w:jc w:val="left"/>
      </w:pPr>
      <w:r>
        <w:rPr/>
        <w:t>（二）</w:t>
      </w:r>
      <w:r>
        <w:rPr>
          <w:rFonts w:ascii="Times New Roman" w:hAnsi="Times New Roman" w:cs="Times New Roman" w:eastAsia="Times New Roman" w:hint="default"/>
        </w:rPr>
        <w:t>2015</w:t>
      </w:r>
      <w:r>
        <w:rPr/>
        <w:t>年的经营计划 为充分发挥公司在玩具娱乐的丰富经验，把握</w:t>
      </w:r>
      <w:r>
        <w:rPr>
          <w:rFonts w:ascii="Times New Roman" w:hAnsi="Times New Roman" w:cs="Times New Roman" w:eastAsia="Times New Roman" w:hint="default"/>
        </w:rPr>
        <w:t>“</w:t>
      </w:r>
      <w:r>
        <w:rPr/>
        <w:t>玩具</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联动模式的产业协同效应，公司将借助互联</w:t>
      </w:r>
      <w:r>
        <w:rPr>
          <w:spacing w:val="-24"/>
        </w:rPr>
        <w:t> </w:t>
      </w:r>
      <w:r>
        <w:rPr>
          <w:spacing w:val="-24"/>
        </w:rPr>
      </w:r>
      <w:r>
        <w:rPr>
          <w:spacing w:val="-1"/>
        </w:rPr>
        <w:t>网为新的发展平台，聚焦发展游戏动漫、影视、教育，未来将扩大发展到娱乐、阅读、金融等项目，通过</w:t>
      </w:r>
      <w:r>
        <w:rPr>
          <w:spacing w:val="-85"/>
        </w:rPr>
        <w:t> </w:t>
      </w:r>
      <w:r>
        <w:rPr>
          <w:spacing w:val="-85"/>
        </w:rPr>
      </w:r>
      <w:r>
        <w:rPr/>
        <w:t>并购重组、参股等方式介入有发展潜力科技企业，利用内外有效资源去发现优秀项目。 公司将构建一个以文化内容为基础，线上与线下结合、硬件与软件结合、营销与推广结合的</w:t>
      </w:r>
      <w:r>
        <w:rPr>
          <w:rFonts w:ascii="Times New Roman" w:hAnsi="Times New Roman" w:cs="Times New Roman" w:eastAsia="Times New Roman" w:hint="default"/>
        </w:rPr>
        <w:t>“</w:t>
      </w:r>
      <w:r>
        <w:rPr/>
        <w:t>玩具</w:t>
      </w:r>
      <w:r>
        <w:rPr>
          <w:rFonts w:ascii="Times New Roman" w:hAnsi="Times New Roman" w:cs="Times New Roman" w:eastAsia="Times New Roman" w:hint="default"/>
        </w:rPr>
        <w:t>+</w:t>
      </w:r>
      <w:r>
        <w:rPr/>
        <w:t>游戏</w:t>
      </w:r>
      <w:r>
        <w:rPr>
          <w:rFonts w:ascii="Times New Roman" w:hAnsi="Times New Roman" w:cs="Times New Roman" w:eastAsia="Times New Roman" w:hint="default"/>
        </w:rPr>
        <w:t>”</w:t>
      </w:r>
      <w:r>
        <w:rPr>
          <w:rFonts w:ascii="Times New Roman" w:hAnsi="Times New Roman" w:cs="Times New Roman" w:eastAsia="Times New Roman" w:hint="default"/>
          <w:spacing w:val="35"/>
        </w:rPr>
        <w:t> </w:t>
      </w:r>
      <w:r>
        <w:rPr>
          <w:spacing w:val="-1"/>
        </w:rPr>
        <w:t>互动娱乐产业链。在玩具、游戏等周边产业生态圈中拓展互补性业务，从多角度切入更多样化的市场以获</w:t>
      </w:r>
      <w:r>
        <w:rPr>
          <w:spacing w:val="-83"/>
        </w:rPr>
        <w:t> </w:t>
      </w:r>
      <w:r>
        <w:rPr>
          <w:spacing w:val="-83"/>
        </w:rPr>
      </w:r>
      <w:r>
        <w:rPr>
          <w:spacing w:val="-1"/>
        </w:rPr>
        <w:t>得新的利润增长点。通过文化内容对消费者的粘度转化成对公司核心产品的粘度并形成叠加效应，确保公</w:t>
      </w:r>
      <w:r>
        <w:rPr>
          <w:spacing w:val="-81"/>
        </w:rPr>
        <w:t> </w:t>
      </w:r>
      <w:r>
        <w:rPr>
          <w:spacing w:val="-81"/>
        </w:rPr>
      </w:r>
      <w:r>
        <w:rPr/>
        <w:t>司的可持续发展，增强公司的核心竞争力。</w:t>
      </w:r>
    </w:p>
    <w:p>
      <w:pPr>
        <w:pStyle w:val="BodyText"/>
        <w:spacing w:line="240" w:lineRule="auto" w:before="14"/>
        <w:ind w:left="154" w:right="0"/>
        <w:jc w:val="left"/>
      </w:pPr>
      <w:r>
        <w:rPr/>
        <w:t>（三）公司未来发展战略和经营目标的实现产生不利影响的所有风险因素</w:t>
      </w:r>
    </w:p>
    <w:p>
      <w:pPr>
        <w:pStyle w:val="BodyText"/>
        <w:spacing w:line="268" w:lineRule="auto" w:before="37"/>
        <w:ind w:left="154" w:right="0"/>
        <w:jc w:val="left"/>
      </w:pPr>
      <w:r>
        <w:rPr>
          <w:rFonts w:ascii="Times New Roman" w:hAnsi="Times New Roman" w:cs="Times New Roman" w:eastAsia="Times New Roman" w:hint="default"/>
        </w:rPr>
        <w:t>1</w:t>
      </w:r>
      <w:r>
        <w:rPr/>
        <w:t>、质量控制风险 </w:t>
      </w:r>
      <w:r>
        <w:rPr>
          <w:spacing w:val="-1"/>
        </w:rPr>
        <w:t>尽管本公司已建立全面的产品质量监控体系，设立专门的品质管理部对公司产品进行全流程质量监控，公</w:t>
      </w:r>
      <w:r>
        <w:rPr>
          <w:spacing w:val="-81"/>
        </w:rPr>
        <w:t> </w:t>
      </w:r>
      <w:r>
        <w:rPr>
          <w:spacing w:val="-81"/>
        </w:rPr>
      </w:r>
      <w:r>
        <w:rPr>
          <w:spacing w:val="-1"/>
        </w:rPr>
        <w:t>司产品质量也长期保持稳定，受到经销商、零售商和消费者以及第三方检测机构的认可。但产品质量风险</w:t>
      </w:r>
      <w:r>
        <w:rPr>
          <w:spacing w:val="-83"/>
        </w:rPr>
        <w:t> </w:t>
      </w:r>
      <w:r>
        <w:rPr>
          <w:spacing w:val="-83"/>
        </w:rPr>
      </w:r>
      <w:r>
        <w:rPr>
          <w:spacing w:val="-1"/>
        </w:rPr>
        <w:t>仍然存在，如果公司执行相关质量控制措施出现偏差，一旦出现产品质量问题，将导致客户索赔、同时影</w:t>
      </w:r>
      <w:r>
        <w:rPr>
          <w:spacing w:val="-86"/>
        </w:rPr>
        <w:t> </w:t>
      </w:r>
      <w:r>
        <w:rPr>
          <w:spacing w:val="-86"/>
        </w:rPr>
      </w:r>
      <w:r>
        <w:rPr/>
        <w:t>响公司声誉。</w:t>
      </w:r>
    </w:p>
    <w:p>
      <w:pPr>
        <w:pStyle w:val="BodyText"/>
        <w:spacing w:line="268" w:lineRule="auto" w:before="12"/>
        <w:ind w:left="154" w:right="1120"/>
        <w:jc w:val="left"/>
      </w:pPr>
      <w:r>
        <w:rPr>
          <w:rFonts w:ascii="Times New Roman" w:hAnsi="Times New Roman" w:cs="Times New Roman" w:eastAsia="Times New Roman" w:hint="default"/>
        </w:rPr>
        <w:t>2</w:t>
      </w:r>
      <w:r>
        <w:rPr/>
        <w:t>、原材料价格波动风险 </w:t>
      </w:r>
      <w:r>
        <w:rPr>
          <w:spacing w:val="-1"/>
        </w:rPr>
        <w:t>本公司产品主要原料为塑料，作为原油的下游衍生品，近年来塑料价格随原油价格的大幅波动也发生了较</w:t>
      </w:r>
      <w:r>
        <w:rPr>
          <w:spacing w:val="-81"/>
        </w:rPr>
        <w:t> </w:t>
      </w:r>
      <w:r>
        <w:rPr>
          <w:spacing w:val="-81"/>
        </w:rPr>
      </w:r>
      <w:r>
        <w:rPr>
          <w:spacing w:val="-1"/>
        </w:rPr>
        <w:t>大变化，塑料价格变动对公司的生产成本产生了一定影响。虽然公司可以通过调整产品结构或产品升级等</w:t>
      </w:r>
      <w:r>
        <w:rPr>
          <w:spacing w:val="-81"/>
        </w:rPr>
        <w:t> </w:t>
      </w:r>
      <w:r>
        <w:rPr>
          <w:spacing w:val="-81"/>
        </w:rPr>
      </w:r>
      <w:r>
        <w:rPr>
          <w:spacing w:val="-1"/>
        </w:rPr>
        <w:t>措施降低原材料变动对公司带来的影响，但如果未来原材料价格上涨，仍将给公司业绩带来一定的不利影</w:t>
      </w:r>
      <w:r>
        <w:rPr>
          <w:spacing w:val="-81"/>
        </w:rPr>
        <w:t> </w:t>
      </w:r>
      <w:r>
        <w:rPr>
          <w:spacing w:val="-81"/>
        </w:rPr>
      </w:r>
      <w:r>
        <w:rPr/>
        <w:t>响。</w:t>
      </w:r>
    </w:p>
    <w:p>
      <w:pPr>
        <w:pStyle w:val="BodyText"/>
        <w:spacing w:line="268" w:lineRule="auto" w:before="12"/>
        <w:ind w:left="154" w:right="1120"/>
        <w:jc w:val="left"/>
      </w:pPr>
      <w:r>
        <w:rPr>
          <w:rFonts w:ascii="Times New Roman" w:hAnsi="Times New Roman" w:cs="Times New Roman" w:eastAsia="Times New Roman" w:hint="default"/>
        </w:rPr>
        <w:t>3</w:t>
      </w:r>
      <w:r>
        <w:rPr/>
        <w:t>、市场竞争风险 </w:t>
      </w:r>
      <w:r>
        <w:rPr>
          <w:spacing w:val="-1"/>
        </w:rPr>
        <w:t>经过多年的发展和积累，目前我国玩具业产业群体庞大，规模不等的玩具生产企业众多。虽然整个玩具行</w:t>
      </w:r>
      <w:r>
        <w:rPr>
          <w:spacing w:val="-83"/>
        </w:rPr>
        <w:t> </w:t>
      </w:r>
      <w:r>
        <w:rPr>
          <w:spacing w:val="-83"/>
        </w:rPr>
      </w:r>
      <w:r>
        <w:rPr>
          <w:spacing w:val="-1"/>
        </w:rPr>
        <w:t>业的需求量大且增长迅速，本公司利用品牌、研发创新能力上的竞争优势使得公司销售额及市场占有率不</w:t>
      </w:r>
      <w:r>
        <w:rPr>
          <w:spacing w:val="-81"/>
        </w:rPr>
        <w:t> </w:t>
      </w:r>
      <w:r>
        <w:rPr>
          <w:spacing w:val="-81"/>
        </w:rPr>
      </w:r>
      <w:r>
        <w:rPr>
          <w:spacing w:val="-1"/>
        </w:rPr>
        <w:t>断提高，但国内同行业的技术含量较低的中小型企业低价竞争策略仍可能会在一定程度上影响公司经营业</w:t>
      </w:r>
      <w:r>
        <w:rPr>
          <w:spacing w:val="-81"/>
        </w:rPr>
        <w:t> </w:t>
      </w:r>
      <w:r>
        <w:rPr>
          <w:spacing w:val="-81"/>
        </w:rPr>
      </w:r>
      <w:r>
        <w:rPr/>
        <w:t>绩。</w:t>
      </w:r>
    </w:p>
    <w:p>
      <w:pPr>
        <w:pStyle w:val="BodyText"/>
        <w:spacing w:line="266" w:lineRule="auto" w:before="12"/>
        <w:ind w:right="1024"/>
        <w:jc w:val="left"/>
      </w:pPr>
      <w:r>
        <w:rPr>
          <w:rFonts w:ascii="Times New Roman" w:hAnsi="Times New Roman" w:cs="Times New Roman" w:eastAsia="Times New Roman" w:hint="default"/>
        </w:rPr>
        <w:t>4</w:t>
      </w:r>
      <w:r>
        <w:rPr/>
        <w:t>、产品认证标准变动风险 玩具大部分是面向儿童这一弱势消费群体，为保障儿童的身心健康和安全，玩具的质量受到各国特别是发 </w:t>
      </w:r>
      <w:r>
        <w:rPr>
          <w:spacing w:val="-3"/>
        </w:rPr>
        <w:t>达国家的高度关注。我国对玩具的质量和安全实行强制性认证；国际上，美国实行玩具产品安全认证计划，</w:t>
      </w:r>
      <w:r>
        <w:rPr>
          <w:spacing w:val="-92"/>
        </w:rPr>
        <w:t> </w:t>
      </w:r>
      <w:r>
        <w:rPr>
          <w:spacing w:val="-92"/>
        </w:rPr>
      </w:r>
      <w:r>
        <w:rPr/>
        <w:t>欧盟出台 </w:t>
      </w:r>
      <w:r>
        <w:rPr>
          <w:rFonts w:ascii="Times New Roman" w:hAnsi="Times New Roman" w:cs="Times New Roman" w:eastAsia="Times New Roman" w:hint="default"/>
        </w:rPr>
        <w:t>ROHS</w:t>
      </w:r>
      <w:r>
        <w:rPr/>
        <w:t>、</w:t>
      </w:r>
      <w:r>
        <w:rPr>
          <w:rFonts w:ascii="Times New Roman" w:hAnsi="Times New Roman" w:cs="Times New Roman" w:eastAsia="Times New Roman" w:hint="default"/>
        </w:rPr>
        <w:t>WEEE</w:t>
      </w:r>
      <w:r>
        <w:rPr/>
        <w:t>、</w:t>
      </w:r>
      <w:r>
        <w:rPr>
          <w:rFonts w:ascii="Times New Roman" w:hAnsi="Times New Roman" w:cs="Times New Roman" w:eastAsia="Times New Roman" w:hint="default"/>
        </w:rPr>
        <w:t>REACH</w:t>
      </w:r>
      <w:r>
        <w:rPr>
          <w:rFonts w:ascii="Times New Roman" w:hAnsi="Times New Roman" w:cs="Times New Roman" w:eastAsia="Times New Roman" w:hint="default"/>
          <w:spacing w:val="9"/>
        </w:rPr>
        <w:t> </w:t>
      </w:r>
      <w:r>
        <w:rPr/>
        <w:t>等一系列指令，确保玩具产品质量达到安全标准。 公司一贯重视产品质量安全管理，严格按照我国及相关进口国的技术法规组织生产，但认证标准的变化和 不断增多将使得公司花费更多的质量检测费、认证费等，对公司盈利能力产生一定影响。</w:t>
      </w:r>
    </w:p>
    <w:p>
      <w:pPr>
        <w:pStyle w:val="BodyText"/>
        <w:spacing w:line="273" w:lineRule="auto" w:before="14"/>
        <w:ind w:right="0"/>
        <w:jc w:val="left"/>
      </w:pPr>
      <w:r>
        <w:rPr>
          <w:rFonts w:ascii="宋体" w:hAnsi="宋体" w:cs="宋体" w:eastAsia="宋体" w:hint="default"/>
        </w:rPr>
        <w:t>5.</w:t>
      </w:r>
      <w:r>
        <w:rPr>
          <w:rFonts w:ascii="宋体" w:hAnsi="宋体" w:cs="宋体" w:eastAsia="宋体" w:hint="default"/>
          <w:spacing w:val="44"/>
        </w:rPr>
        <w:t> </w:t>
      </w:r>
      <w:r>
        <w:rPr/>
        <w:t>整合风险 </w:t>
      </w:r>
      <w:r>
        <w:rPr>
          <w:spacing w:val="-1"/>
        </w:rPr>
        <w:t>通过收购兼并重组来实现战略转型，能使公司以最短的时间切入新行业，但收购之后如何整合将成为一个</w:t>
      </w:r>
      <w:r>
        <w:rPr>
          <w:spacing w:val="-81"/>
        </w:rPr>
        <w:t> </w:t>
      </w:r>
      <w:r>
        <w:rPr>
          <w:spacing w:val="-81"/>
        </w:rPr>
      </w:r>
      <w:r>
        <w:rPr>
          <w:spacing w:val="-1"/>
        </w:rPr>
        <w:t>风险点，整合包括现有产品、后续产品的研发、采购渠道、后台管理等业务方面整合，使得通过整合既保</w:t>
      </w:r>
      <w:r>
        <w:rPr>
          <w:spacing w:val="-83"/>
        </w:rPr>
        <w:t> </w:t>
      </w:r>
      <w:r>
        <w:rPr>
          <w:spacing w:val="-83"/>
        </w:rPr>
      </w:r>
      <w:r>
        <w:rPr>
          <w:spacing w:val="-1"/>
        </w:rPr>
        <w:t>证上市公司对标的公司的控制力，又保持标的公司原有竞争优势，同时充分发挥协同效应，具有一定不确</w:t>
      </w:r>
      <w:r>
        <w:rPr>
          <w:spacing w:val="-83"/>
        </w:rPr>
        <w:t> </w:t>
      </w:r>
      <w:r>
        <w:rPr>
          <w:spacing w:val="-83"/>
        </w:rPr>
      </w:r>
      <w:r>
        <w:rPr/>
        <w:t>定性。如果整合结果未能充分发挥协同效应，则可能对公司和股东造成一定损失。</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left="633" w:right="0"/>
        <w:jc w:val="both"/>
        <w:rPr>
          <w:b w:val="0"/>
          <w:bCs w:val="0"/>
        </w:rPr>
      </w:pPr>
      <w:bookmarkStart w:name="八、董事会、监事会对会计师事务所本报告期“非标准审计报告”的说明" w:id="40"/>
      <w:bookmarkEnd w:id="40"/>
      <w:r>
        <w:rPr>
          <w:b w:val="0"/>
          <w:bCs w:val="0"/>
        </w:rPr>
      </w:r>
      <w:r>
        <w:rPr/>
        <w:t>八、董事会、监事会对会计师事务所本报告期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6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633" w:right="0"/>
        <w:jc w:val="both"/>
        <w:rPr>
          <w:b w:val="0"/>
          <w:bCs w:val="0"/>
        </w:rPr>
      </w:pPr>
      <w:bookmarkStart w:name="九、与上年度财务报告相比，会计政策、会计估计和核算方法发生变化的情况说明" w:id="41"/>
      <w:bookmarkEnd w:id="41"/>
      <w:r>
        <w:rPr>
          <w:b w:val="0"/>
          <w:bCs w:val="0"/>
        </w:rPr>
      </w:r>
      <w:r>
        <w:rPr/>
        <w:t>九、与上年度财务报告相比，会计政策、会计估计和核算方法发生变化的情况说明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6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4" w:lineRule="auto" w:before="75"/>
        <w:ind w:left="633" w:right="1131"/>
        <w:jc w:val="both"/>
      </w:pPr>
      <w:r>
        <w:rPr>
          <w:spacing w:val="-3"/>
        </w:rPr>
        <w:t>根据《企业会计准则第</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固定资产》的相关规定，公司对固定资产的使用寿命、预计净残值和折旧方 </w:t>
      </w:r>
      <w:r>
        <w:rPr>
          <w:spacing w:val="-1"/>
        </w:rPr>
        <w:t>法进行了复核，为了能够使公司会计估计更符合固定资产的实际情况，更加恰当地反映公司的财务状况和</w:t>
      </w:r>
      <w:r>
        <w:rPr>
          <w:spacing w:val="-81"/>
        </w:rPr>
        <w:t> </w:t>
      </w:r>
      <w:r>
        <w:rPr>
          <w:spacing w:val="-81"/>
        </w:rPr>
      </w:r>
      <w:r>
        <w:rPr/>
        <w:t>经营成果，公司对固定资产折旧年限进行变更。公司于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日召开了第二届董事会第十次会议审</w:t>
      </w:r>
      <w:r>
        <w:rPr>
          <w:spacing w:val="-31"/>
        </w:rPr>
        <w:t> </w:t>
      </w:r>
      <w:r>
        <w:rPr>
          <w:spacing w:val="-31"/>
        </w:rPr>
      </w:r>
      <w:r>
        <w:rPr>
          <w:spacing w:val="-1"/>
        </w:rPr>
        <w:t>议通过了《关于会计估计变更的议案》，同意对公司房屋及建筑物等固定资产的折旧年限和年折旧率进行</w:t>
      </w:r>
      <w:r>
        <w:rPr>
          <w:spacing w:val="-83"/>
        </w:rPr>
        <w:t> </w:t>
      </w:r>
      <w:r>
        <w:rPr>
          <w:spacing w:val="-83"/>
        </w:rPr>
      </w:r>
      <w:r>
        <w:rPr/>
        <w:t>会计估计变更。</w:t>
      </w:r>
    </w:p>
    <w:p>
      <w:pPr>
        <w:spacing w:line="240" w:lineRule="auto" w:before="13"/>
        <w:rPr>
          <w:rFonts w:ascii="宋体" w:hAnsi="宋体" w:cs="宋体" w:eastAsia="宋体" w:hint="default"/>
          <w:sz w:val="26"/>
          <w:szCs w:val="26"/>
        </w:rPr>
      </w:pPr>
    </w:p>
    <w:p>
      <w:pPr>
        <w:pStyle w:val="BodyText"/>
        <w:spacing w:line="240" w:lineRule="auto" w:before="35"/>
        <w:ind w:left="0" w:right="517"/>
        <w:jc w:val="right"/>
      </w:pPr>
      <w:r>
        <w:rPr/>
        <w:pict>
          <v:shape style="position:absolute;margin-left:30.42pt;margin-top:-16.106298pt;width:534.85pt;height:104.9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9"/>
                    <w:gridCol w:w="1372"/>
                    <w:gridCol w:w="1122"/>
                    <w:gridCol w:w="1335"/>
                    <w:gridCol w:w="1494"/>
                    <w:gridCol w:w="1472"/>
                    <w:gridCol w:w="1177"/>
                    <w:gridCol w:w="1325"/>
                  </w:tblGrid>
                  <w:tr>
                    <w:trPr>
                      <w:trHeight w:val="348" w:hRule="exact"/>
                    </w:trPr>
                    <w:tc>
                      <w:tcPr>
                        <w:tcW w:w="52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变更前</w:t>
                        </w:r>
                      </w:p>
                    </w:tc>
                    <w:tc>
                      <w:tcPr>
                        <w:tcW w:w="5468" w:type="dxa"/>
                        <w:gridSpan w:val="4"/>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变更后</w:t>
                        </w:r>
                      </w:p>
                    </w:tc>
                  </w:tr>
                  <w:tr>
                    <w:trPr>
                      <w:trHeight w:val="347"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17"/>
                          <w:jc w:val="center"/>
                          <w:rPr>
                            <w:rFonts w:ascii="宋体" w:hAnsi="宋体" w:cs="宋体" w:eastAsia="宋体" w:hint="default"/>
                            <w:sz w:val="21"/>
                            <w:szCs w:val="21"/>
                          </w:rPr>
                        </w:pPr>
                        <w:r>
                          <w:rPr>
                            <w:rFonts w:ascii="宋体" w:hAnsi="宋体" w:cs="宋体" w:eastAsia="宋体" w:hint="default"/>
                            <w:sz w:val="21"/>
                            <w:szCs w:val="21"/>
                          </w:rPr>
                          <w:t>折旧年</w:t>
                        </w:r>
                        <w:r>
                          <w:rPr>
                            <w:rFonts w:ascii="宋体" w:hAnsi="宋体" w:cs="宋体" w:eastAsia="宋体" w:hint="default"/>
                            <w:spacing w:val="-14"/>
                            <w:sz w:val="21"/>
                            <w:szCs w:val="21"/>
                          </w:rPr>
                          <w:t>限</w:t>
                        </w:r>
                        <w:r>
                          <w:rPr>
                            <w:rFonts w:ascii="宋体" w:hAnsi="宋体" w:cs="宋体" w:eastAsia="宋体" w:hint="default"/>
                            <w:sz w:val="21"/>
                            <w:szCs w:val="21"/>
                          </w:rPr>
                          <w:t>（年</w:t>
                        </w:r>
                        <w:r>
                          <w:rPr>
                            <w:rFonts w:ascii="宋体" w:hAnsi="宋体" w:cs="宋体" w:eastAsia="宋体" w:hint="default"/>
                            <w:spacing w:val="-86"/>
                            <w:sz w:val="21"/>
                            <w:szCs w:val="21"/>
                          </w:rPr>
                          <w:t>）</w:t>
                        </w:r>
                        <w:r>
                          <w:rPr>
                            <w:rFonts w:ascii="宋体" w:hAnsi="宋体" w:cs="宋体" w:eastAsia="宋体" w:hint="default"/>
                            <w:sz w:val="21"/>
                            <w:szCs w:val="21"/>
                          </w:rPr>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17"/>
                          <w:jc w:val="center"/>
                          <w:rPr>
                            <w:rFonts w:ascii="宋体" w:hAnsi="宋体" w:cs="宋体" w:eastAsia="宋体" w:hint="default"/>
                            <w:sz w:val="21"/>
                            <w:szCs w:val="21"/>
                          </w:rPr>
                        </w:pPr>
                        <w:r>
                          <w:rPr>
                            <w:rFonts w:ascii="宋体" w:hAnsi="宋体" w:cs="宋体" w:eastAsia="宋体" w:hint="default"/>
                            <w:sz w:val="21"/>
                            <w:szCs w:val="21"/>
                          </w:rPr>
                          <w:t>残值</w:t>
                        </w:r>
                        <w:r>
                          <w:rPr>
                            <w:rFonts w:ascii="宋体" w:hAnsi="宋体" w:cs="宋体" w:eastAsia="宋体" w:hint="default"/>
                            <w:spacing w:val="-19"/>
                            <w:sz w:val="21"/>
                            <w:szCs w:val="21"/>
                          </w:rPr>
                          <w:t>率</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pacing w:val="-86"/>
                            <w:sz w:val="21"/>
                            <w:szCs w:val="21"/>
                          </w:rPr>
                          <w:t>）</w:t>
                        </w:r>
                        <w:r>
                          <w:rPr>
                            <w:rFonts w:ascii="宋体" w:hAnsi="宋体" w:cs="宋体" w:eastAsia="宋体" w:hint="default"/>
                            <w:sz w:val="21"/>
                            <w:szCs w:val="21"/>
                          </w:rPr>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03"/>
                          <w:jc w:val="center"/>
                          <w:rPr>
                            <w:rFonts w:ascii="Times New Roman" w:hAnsi="Times New Roman" w:cs="Times New Roman" w:eastAsia="Times New Roman" w:hint="default"/>
                            <w:sz w:val="21"/>
                            <w:szCs w:val="21"/>
                          </w:rPr>
                        </w:pPr>
                        <w:r>
                          <w:rPr>
                            <w:rFonts w:ascii="宋体" w:hAnsi="宋体" w:cs="宋体" w:eastAsia="宋体" w:hint="default"/>
                            <w:spacing w:val="-3"/>
                            <w:sz w:val="21"/>
                            <w:szCs w:val="21"/>
                          </w:rPr>
                          <w:t>年折旧率（</w:t>
                        </w:r>
                        <w:r>
                          <w:rPr>
                            <w:rFonts w:ascii="Times New Roman" w:hAnsi="Times New Roman" w:cs="Times New Roman" w:eastAsia="Times New Roman" w:hint="default"/>
                            <w:spacing w:val="-3"/>
                            <w:sz w:val="21"/>
                            <w:szCs w:val="21"/>
                          </w:rPr>
                          <w:t>%</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tabs>
                            <w:tab w:pos="529" w:val="left" w:leader="none"/>
                          </w:tabs>
                          <w:spacing w:line="270" w:lineRule="exact"/>
                          <w:ind w:left="-124" w:right="0"/>
                          <w:jc w:val="left"/>
                          <w:rPr>
                            <w:rFonts w:ascii="宋体" w:hAnsi="宋体" w:cs="宋体" w:eastAsia="宋体" w:hint="default"/>
                            <w:sz w:val="21"/>
                            <w:szCs w:val="21"/>
                          </w:rPr>
                        </w:pPr>
                        <w:r>
                          <w:rPr>
                            <w:rFonts w:ascii="宋体" w:hAnsi="宋体" w:cs="宋体" w:eastAsia="宋体" w:hint="default"/>
                            <w:sz w:val="21"/>
                            <w:szCs w:val="21"/>
                          </w:rPr>
                          <w:t>）</w:t>
                          <w:tab/>
                          <w:t>类别</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16"/>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18"/>
                          <w:jc w:val="center"/>
                          <w:rPr>
                            <w:rFonts w:ascii="宋体" w:hAnsi="宋体" w:cs="宋体" w:eastAsia="宋体" w:hint="default"/>
                            <w:sz w:val="21"/>
                            <w:szCs w:val="21"/>
                          </w:rPr>
                        </w:pPr>
                        <w:r>
                          <w:rPr>
                            <w:rFonts w:ascii="宋体" w:hAnsi="宋体" w:cs="宋体" w:eastAsia="宋体" w:hint="default"/>
                            <w:spacing w:val="-8"/>
                            <w:sz w:val="21"/>
                            <w:szCs w:val="21"/>
                          </w:rPr>
                          <w:t>残值率（</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r>
                          <w:rPr>
                            <w:rFonts w:ascii="宋体" w:hAnsi="宋体" w:cs="宋体" w:eastAsia="宋体" w:hint="default"/>
                            <w:sz w:val="21"/>
                            <w:szCs w:val="21"/>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05"/>
                          <w:jc w:val="right"/>
                          <w:rPr>
                            <w:rFonts w:ascii="Times New Roman" w:hAnsi="Times New Roman" w:cs="Times New Roman" w:eastAsia="Times New Roman" w:hint="default"/>
                            <w:sz w:val="21"/>
                            <w:szCs w:val="21"/>
                          </w:rPr>
                        </w:pPr>
                        <w:r>
                          <w:rPr>
                            <w:rFonts w:ascii="宋体" w:hAnsi="宋体" w:cs="宋体" w:eastAsia="宋体" w:hint="default"/>
                            <w:spacing w:val="-5"/>
                            <w:sz w:val="21"/>
                            <w:szCs w:val="21"/>
                          </w:rPr>
                          <w:t>年折旧率（</w:t>
                        </w:r>
                        <w:r>
                          <w:rPr>
                            <w:rFonts w:ascii="Times New Roman" w:hAnsi="Times New Roman" w:cs="Times New Roman" w:eastAsia="Times New Roman" w:hint="default"/>
                            <w:spacing w:val="-5"/>
                            <w:sz w:val="21"/>
                            <w:szCs w:val="21"/>
                          </w:rPr>
                          <w:t>%</w:t>
                        </w:r>
                      </w:p>
                    </w:tc>
                  </w:tr>
                  <w:tr>
                    <w:trPr>
                      <w:trHeight w:val="347"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4.75%</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20-45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73"/>
                          <w:jc w:val="right"/>
                          <w:rPr>
                            <w:rFonts w:ascii="Times New Roman" w:hAnsi="Times New Roman" w:cs="Times New Roman" w:eastAsia="Times New Roman" w:hint="default"/>
                            <w:sz w:val="21"/>
                            <w:szCs w:val="21"/>
                          </w:rPr>
                        </w:pPr>
                        <w:r>
                          <w:rPr>
                            <w:rFonts w:ascii="Times New Roman"/>
                            <w:spacing w:val="-1"/>
                            <w:sz w:val="21"/>
                          </w:rPr>
                          <w:t>2.11%-4.75%</w:t>
                        </w:r>
                      </w:p>
                    </w:tc>
                  </w:tr>
                  <w:tr>
                    <w:trPr>
                      <w:trHeight w:val="347"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9.5%</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8-12</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2"/>
                          <w:jc w:val="right"/>
                          <w:rPr>
                            <w:rFonts w:ascii="Times New Roman" w:hAnsi="Times New Roman" w:cs="Times New Roman" w:eastAsia="Times New Roman" w:hint="default"/>
                            <w:sz w:val="21"/>
                            <w:szCs w:val="21"/>
                          </w:rPr>
                        </w:pPr>
                        <w:r>
                          <w:rPr>
                            <w:rFonts w:ascii="Times New Roman"/>
                            <w:spacing w:val="-1"/>
                            <w:sz w:val="21"/>
                          </w:rPr>
                          <w:t>7.92%-11.88%</w:t>
                        </w:r>
                      </w:p>
                    </w:tc>
                  </w:tr>
                  <w:tr>
                    <w:trPr>
                      <w:trHeight w:val="347"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19%</w:t>
                        </w:r>
                      </w:p>
                    </w:tc>
                  </w:tr>
                  <w:tr>
                    <w:trPr>
                      <w:trHeight w:val="348" w:hRule="exact"/>
                    </w:trPr>
                    <w:tc>
                      <w:tcPr>
                        <w:tcW w:w="13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19%</w:t>
                        </w:r>
                      </w:p>
                    </w:tc>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9"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00"/>
                          <w:jc w:val="right"/>
                          <w:rPr>
                            <w:rFonts w:ascii="Times New Roman" w:hAnsi="Times New Roman" w:cs="Times New Roman" w:eastAsia="Times New Roman" w:hint="default"/>
                            <w:sz w:val="21"/>
                            <w:szCs w:val="21"/>
                          </w:rPr>
                        </w:pPr>
                        <w:r>
                          <w:rPr>
                            <w:rFonts w:ascii="Times New Roman"/>
                            <w:spacing w:val="-1"/>
                            <w:sz w:val="21"/>
                          </w:rPr>
                          <w:t>19%-31.67%</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2"/>
        <w:ind w:left="634" w:right="1016"/>
        <w:jc w:val="left"/>
      </w:pPr>
      <w:r>
        <w:rPr/>
        <w:t>由于财政部自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日起相继修订和发布了七项新企业会计准则，包括新增《企业会计准则第</w:t>
      </w:r>
      <w:r>
        <w:rPr>
          <w:rFonts w:ascii="Times New Roman" w:hAnsi="Times New Roman" w:cs="Times New Roman" w:eastAsia="Times New Roman" w:hint="default"/>
        </w:rPr>
        <w:t>39</w:t>
      </w:r>
      <w:r>
        <w:rPr/>
        <w:t>号</w:t>
      </w:r>
    </w:p>
    <w:p>
      <w:pPr>
        <w:pStyle w:val="BodyText"/>
        <w:spacing w:line="256" w:lineRule="auto" w:before="21"/>
        <w:ind w:left="633" w:right="1016"/>
        <w:jc w:val="left"/>
      </w:pPr>
      <w:r>
        <w:rPr>
          <w:rFonts w:ascii="Times New Roman" w:hAnsi="Times New Roman" w:cs="Times New Roman" w:eastAsia="Times New Roman" w:hint="default"/>
        </w:rPr>
        <w:t>—</w:t>
      </w:r>
      <w:r>
        <w:rPr/>
        <w:t>公允价值计量》、《企业会计准则第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合营安排》和《企业会计准则第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 </w:t>
      </w:r>
      <w:r>
        <w:rPr>
          <w:spacing w:val="-7"/>
        </w:rPr>
        <w:t>披露》等三项具体准则、修订《企业会计准则第</w:t>
      </w:r>
      <w:r>
        <w:rPr>
          <w:rFonts w:ascii="Times New Roman" w:hAnsi="Times New Roman" w:cs="Times New Roman" w:eastAsia="Times New Roman" w:hint="default"/>
          <w:spacing w:val="-7"/>
        </w:rPr>
        <w:t>2</w:t>
      </w:r>
      <w:r>
        <w:rPr>
          <w:spacing w:val="-7"/>
        </w:rPr>
        <w:t>号</w:t>
      </w:r>
      <w:r>
        <w:rPr>
          <w:rFonts w:ascii="Times New Roman" w:hAnsi="Times New Roman" w:cs="Times New Roman" w:eastAsia="Times New Roman" w:hint="default"/>
          <w:spacing w:val="-7"/>
        </w:rPr>
        <w:t>—</w:t>
      </w:r>
      <w:r>
        <w:rPr>
          <w:spacing w:val="-7"/>
        </w:rPr>
        <w:t>长期股权投资》、《企业会计准则第</w:t>
      </w:r>
      <w:r>
        <w:rPr>
          <w:rFonts w:ascii="Times New Roman" w:hAnsi="Times New Roman" w:cs="Times New Roman" w:eastAsia="Times New Roman" w:hint="default"/>
          <w:spacing w:val="-7"/>
        </w:rPr>
        <w:t>9</w:t>
      </w:r>
      <w:r>
        <w:rPr>
          <w:spacing w:val="-7"/>
        </w:rPr>
        <w:t>号</w:t>
      </w:r>
      <w:r>
        <w:rPr>
          <w:rFonts w:ascii="Times New Roman" w:hAnsi="Times New Roman" w:cs="Times New Roman" w:eastAsia="Times New Roman" w:hint="default"/>
          <w:spacing w:val="-7"/>
        </w:rPr>
        <w:t>—</w:t>
      </w:r>
      <w:r>
        <w:rPr>
          <w:spacing w:val="-7"/>
        </w:rPr>
        <w:t>职工薪酬》、</w:t>
      </w:r>
    </w:p>
    <w:p>
      <w:pPr>
        <w:pStyle w:val="BodyText"/>
        <w:spacing w:line="264" w:lineRule="auto" w:before="5"/>
        <w:ind w:left="633" w:right="1016"/>
        <w:jc w:val="left"/>
      </w:pPr>
      <w:r>
        <w:rPr>
          <w:spacing w:val="-1"/>
        </w:rPr>
        <w:t>《企业会计准则第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财务报表列报》和《企业会计准则第</w:t>
      </w:r>
      <w:r>
        <w:rPr>
          <w:rFonts w:ascii="Times New Roman" w:hAnsi="Times New Roman" w:cs="Times New Roman" w:eastAsia="Times New Roman" w:hint="default"/>
          <w:spacing w:val="-1"/>
        </w:rPr>
        <w:t>33</w:t>
      </w:r>
      <w:r>
        <w:rPr>
          <w:spacing w:val="-1"/>
        </w:rPr>
        <w:t>号</w:t>
      </w:r>
      <w:r>
        <w:rPr>
          <w:rFonts w:ascii="Times New Roman" w:hAnsi="Times New Roman" w:cs="Times New Roman" w:eastAsia="Times New Roman" w:hint="default"/>
          <w:spacing w:val="-1"/>
        </w:rPr>
        <w:t>—</w:t>
      </w:r>
      <w:r>
        <w:rPr>
          <w:spacing w:val="-1"/>
        </w:rPr>
        <w:t>合并财务报表》等四项具体准则（以</w:t>
      </w:r>
      <w:r>
        <w:rPr>
          <w:spacing w:val="-88"/>
        </w:rPr>
        <w:t> </w:t>
      </w:r>
      <w:r>
        <w:rPr>
          <w:spacing w:val="-88"/>
        </w:rPr>
      </w:r>
      <w:r>
        <w:rPr>
          <w:spacing w:val="-3"/>
        </w:rPr>
        <w:t>上统称</w:t>
      </w:r>
      <w:r>
        <w:rPr>
          <w:rFonts w:ascii="Times New Roman" w:hAnsi="Times New Roman" w:cs="Times New Roman" w:eastAsia="Times New Roman" w:hint="default"/>
          <w:spacing w:val="-3"/>
        </w:rPr>
        <w:t>“</w:t>
      </w:r>
      <w:r>
        <w:rPr>
          <w:spacing w:val="-3"/>
        </w:rPr>
        <w:t>新会计准则</w:t>
      </w:r>
      <w:r>
        <w:rPr>
          <w:rFonts w:ascii="Times New Roman" w:hAnsi="Times New Roman" w:cs="Times New Roman" w:eastAsia="Times New Roman" w:hint="default"/>
          <w:spacing w:val="-3"/>
        </w:rPr>
        <w:t>”</w:t>
      </w:r>
      <w:r>
        <w:rPr>
          <w:spacing w:val="-3"/>
        </w:rPr>
        <w:t>），要求自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w:t>
      </w:r>
      <w:r>
        <w:rPr>
          <w:spacing w:val="-3"/>
        </w:rPr>
        <w:t>日起在所有执行企业会计准则的企业范围内施行；</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20</w:t>
      </w:r>
      <w:r>
        <w:rPr>
          <w:rFonts w:ascii="Times New Roman" w:hAnsi="Times New Roman" w:cs="Times New Roman" w:eastAsia="Times New Roman" w:hint="default"/>
          <w:spacing w:val="-1"/>
        </w:rPr>
        <w:t> </w:t>
      </w:r>
      <w:r>
        <w:rPr>
          <w:spacing w:val="-5"/>
        </w:rPr>
        <w:t>日，财政部印发修订了《企业会计准则第</w:t>
      </w:r>
      <w:r>
        <w:rPr>
          <w:rFonts w:ascii="Times New Roman" w:hAnsi="Times New Roman" w:cs="Times New Roman" w:eastAsia="Times New Roman" w:hint="default"/>
          <w:spacing w:val="-5"/>
        </w:rPr>
        <w:t>37</w:t>
      </w:r>
      <w:r>
        <w:rPr>
          <w:spacing w:val="-5"/>
        </w:rPr>
        <w:t>号</w:t>
      </w:r>
      <w:r>
        <w:rPr>
          <w:rFonts w:ascii="Times New Roman" w:hAnsi="Times New Roman" w:cs="Times New Roman" w:eastAsia="Times New Roman" w:hint="default"/>
          <w:spacing w:val="-5"/>
        </w:rPr>
        <w:t>—</w:t>
      </w:r>
      <w:r>
        <w:rPr>
          <w:spacing w:val="-5"/>
        </w:rPr>
        <w:t>金融工具列报》，要求执行企业会计准则的企业应当在</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36"/>
        </w:rPr>
        <w:t> </w:t>
      </w:r>
      <w:r>
        <w:rPr>
          <w:spacing w:val="-3"/>
        </w:rPr>
        <w:t>年年度及以后期间的财务报告中按照该准则要求对金融工具进行列报；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23</w:t>
      </w:r>
      <w:r>
        <w:rPr>
          <w:spacing w:val="-3"/>
        </w:rPr>
        <w:t>日，财政部公布了《财</w:t>
      </w:r>
      <w:r>
        <w:rPr>
          <w:spacing w:val="-83"/>
        </w:rPr>
        <w:t> </w:t>
      </w:r>
      <w:r>
        <w:rPr>
          <w:spacing w:val="-83"/>
        </w:rPr>
      </w:r>
      <w:r>
        <w:rPr>
          <w:spacing w:val="-1"/>
        </w:rPr>
        <w:t>政部关于修改〈企业会计准则</w:t>
      </w:r>
      <w:r>
        <w:rPr>
          <w:rFonts w:ascii="Times New Roman" w:hAnsi="Times New Roman" w:cs="Times New Roman" w:eastAsia="Times New Roman" w:hint="default"/>
          <w:spacing w:val="-1"/>
        </w:rPr>
        <w:t>—</w:t>
      </w:r>
      <w:r>
        <w:rPr>
          <w:spacing w:val="-1"/>
        </w:rPr>
        <w:t>基本准则〉的决定》，要求所有执行企业会计准则的企业自公布之日起施</w:t>
      </w:r>
      <w:r>
        <w:rPr>
          <w:spacing w:val="-86"/>
        </w:rPr>
        <w:t> </w:t>
      </w:r>
      <w:r>
        <w:rPr>
          <w:spacing w:val="-86"/>
        </w:rPr>
      </w:r>
      <w:r>
        <w:rPr/>
        <w:t>行。 </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9</w:t>
      </w:r>
      <w:r>
        <w:rPr>
          <w:spacing w:val="-1"/>
        </w:rPr>
        <w:t>日召开的第二届董事会第二十一次会议审议通过了《关于会计政策变更的议案》，根据</w:t>
      </w:r>
      <w:r>
        <w:rPr>
          <w:spacing w:val="-82"/>
        </w:rPr>
        <w:t> </w:t>
      </w:r>
      <w:r>
        <w:rPr>
          <w:spacing w:val="-82"/>
        </w:rPr>
      </w:r>
      <w:r>
        <w:rPr>
          <w:spacing w:val="-1"/>
        </w:rPr>
        <w:t>财政部</w:t>
      </w:r>
      <w:r>
        <w:rPr>
          <w:rFonts w:ascii="Times New Roman" w:hAnsi="Times New Roman" w:cs="Times New Roman" w:eastAsia="Times New Roman" w:hint="default"/>
          <w:spacing w:val="-1"/>
        </w:rPr>
        <w:t>2014</w:t>
      </w:r>
      <w:r>
        <w:rPr>
          <w:spacing w:val="-1"/>
        </w:rPr>
        <w:t>年新颁布或修订的一系列会计准则要求，对会计政策进行了相应调整，并于以上文件规定的起</w:t>
      </w:r>
      <w:r>
        <w:rPr>
          <w:spacing w:val="-79"/>
        </w:rPr>
        <w:t> </w:t>
      </w:r>
      <w:r>
        <w:rPr>
          <w:spacing w:val="-79"/>
        </w:rPr>
      </w:r>
      <w:r>
        <w:rPr>
          <w:spacing w:val="-1"/>
        </w:rPr>
        <w:t>始日开始执行上述企业会计准则。本次会计政策变更为根据国家统一的会计制度的要求进行相应变更，符</w:t>
      </w:r>
      <w:r>
        <w:rPr>
          <w:spacing w:val="-81"/>
        </w:rPr>
        <w:t> </w:t>
      </w:r>
      <w:r>
        <w:rPr>
          <w:spacing w:val="-81"/>
        </w:rPr>
      </w:r>
      <w:r>
        <w:rPr>
          <w:spacing w:val="-1"/>
        </w:rPr>
        <w:t>合《企业会计准则》及相关规定，本次变更能够更准确、公允地反映公司经营成果和财务状况，不会对公</w:t>
      </w:r>
      <w:r>
        <w:rPr>
          <w:spacing w:val="-83"/>
        </w:rPr>
        <w:t> </w:t>
      </w:r>
      <w:r>
        <w:rPr>
          <w:spacing w:val="-83"/>
        </w:rPr>
      </w:r>
      <w:r>
        <w:rPr/>
        <w:t>司财务报表产生重大影响，不存在损害公司及股东利益的情形。 相关信息披露于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日的巨潮资讯网（</w:t>
      </w:r>
      <w:hyperlink r:id="rId11">
        <w:r>
          <w:rPr>
            <w:rFonts w:ascii="Times New Roman" w:hAnsi="Times New Roman" w:cs="Times New Roman" w:eastAsia="Times New Roman" w:hint="default"/>
          </w:rPr>
          <w:t>www.cninfo.com.cn</w:t>
        </w:r>
      </w:hyperlink>
      <w:r>
        <w:rPr/>
        <w:t>）、《中国证券报》、《证券时报》、</w:t>
      </w:r>
    </w:p>
    <w:p>
      <w:pPr>
        <w:pStyle w:val="BodyText"/>
        <w:spacing w:line="273" w:lineRule="exact"/>
        <w:ind w:left="633" w:right="1016"/>
        <w:jc w:val="left"/>
      </w:pPr>
      <w:r>
        <w:rPr/>
        <w:t>《上海证券报》。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left="633" w:right="1016"/>
        <w:jc w:val="left"/>
        <w:rPr>
          <w:b w:val="0"/>
          <w:bCs w:val="0"/>
        </w:rPr>
      </w:pPr>
      <w:bookmarkStart w:name="十、报告期内发生重大会计差错更正需追溯重述的情况说明" w:id="42"/>
      <w:bookmarkEnd w:id="42"/>
      <w:r>
        <w:rPr>
          <w:b w:val="0"/>
          <w:bCs w:val="0"/>
        </w:rPr>
      </w:r>
      <w:r>
        <w:rPr/>
        <w:t>十、报告期内发生重大会计差错更正需追溯重述的情况说明</w:t>
      </w:r>
      <w:r>
        <w:rPr>
          <w:b w:val="0"/>
          <w:bCs w:val="0"/>
        </w:rPr>
      </w:r>
    </w:p>
    <w:p>
      <w:pPr>
        <w:spacing w:line="240" w:lineRule="auto" w:before="8"/>
        <w:rPr>
          <w:rFonts w:ascii="宋体" w:hAnsi="宋体" w:cs="宋体" w:eastAsia="宋体" w:hint="default"/>
          <w:b/>
          <w:bCs/>
          <w:sz w:val="26"/>
          <w:szCs w:val="26"/>
        </w:rPr>
      </w:pPr>
    </w:p>
    <w:p>
      <w:pPr>
        <w:spacing w:line="338" w:lineRule="auto" w:before="0"/>
        <w:ind w:left="6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after="0" w:line="338" w:lineRule="auto"/>
        <w:jc w:val="left"/>
        <w:rPr>
          <w:rFonts w:ascii="宋体" w:hAnsi="宋体" w:cs="宋体" w:eastAsia="宋体" w:hint="default"/>
          <w:sz w:val="18"/>
          <w:szCs w:val="18"/>
        </w:rPr>
        <w:sectPr>
          <w:pgSz w:w="11910" w:h="16840"/>
          <w:pgMar w:header="747" w:footer="979" w:top="1060" w:bottom="1160" w:left="50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与上年度财务报告相比，合并报表范围发生变化的情况说明" w:id="43"/>
      <w:bookmarkEnd w:id="43"/>
      <w:r>
        <w:rPr>
          <w:b w:val="0"/>
          <w:bCs w:val="0"/>
        </w:rPr>
      </w:r>
      <w:r>
        <w:rPr/>
        <w:t>十一、与上年度财务报告相比，合并报表范围发生变化的情况说明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公司利润分配及分红派息情况" w:id="44"/>
      <w:bookmarkEnd w:id="44"/>
      <w:r>
        <w:rPr>
          <w:b w:val="0"/>
          <w:bCs w:val="0"/>
        </w:rPr>
      </w: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1" w:lineRule="auto" w:before="75"/>
        <w:ind w:right="1027"/>
        <w:jc w:val="left"/>
      </w:pPr>
      <w:r>
        <w:rPr>
          <w:rFonts w:ascii="Times New Roman" w:hAnsi="Times New Roman" w:cs="Times New Roman" w:eastAsia="Times New Roman" w:hint="default"/>
          <w:spacing w:val="-1"/>
        </w:rPr>
        <w:t>1</w:t>
      </w:r>
      <w:r>
        <w:rPr>
          <w:spacing w:val="-1"/>
        </w:rPr>
        <w:t>、公司现金分红政策的制定情况根据中国证监会《关于进一步落实上市公司现金分红有关事项的通知》、</w:t>
      </w:r>
      <w:r>
        <w:rPr>
          <w:spacing w:val="-84"/>
        </w:rPr>
        <w:t> </w:t>
      </w:r>
      <w:r>
        <w:rPr>
          <w:spacing w:val="-84"/>
        </w:rPr>
      </w:r>
      <w:r>
        <w:rPr/>
        <w:t>广东证监局《关于进一步落实上市公司分红相关规定的通知》（广东证监〔</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91</w:t>
      </w:r>
      <w:r>
        <w:rPr/>
        <w:t>号），对公司在分红 制度建设、政策规划、决策程序、信息披露和监督执行等进行一次全面自查并落实整改，并于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spacing w:val="-23"/>
        </w:rPr>
        <w:t> </w:t>
      </w:r>
      <w:r>
        <w:rPr>
          <w:rFonts w:ascii="Times New Roman" w:hAnsi="Times New Roman" w:cs="Times New Roman" w:eastAsia="Times New Roman" w:hint="default"/>
        </w:rPr>
        <w:t>11</w:t>
      </w:r>
      <w:r>
        <w:rPr/>
        <w:t>日召开</w:t>
      </w:r>
      <w:r>
        <w:rPr>
          <w:rFonts w:ascii="Times New Roman" w:hAnsi="Times New Roman" w:cs="Times New Roman" w:eastAsia="Times New Roman" w:hint="default"/>
        </w:rPr>
        <w:t>2012</w:t>
      </w:r>
      <w:r>
        <w:rPr/>
        <w:t>年第一次临时股东大会，修订《公司章程》。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日第一届董事会第十四次会议制</w:t>
      </w:r>
      <w:r>
        <w:rPr>
          <w:spacing w:val="-33"/>
        </w:rPr>
        <w:t> </w:t>
      </w:r>
      <w:r>
        <w:rPr>
          <w:spacing w:val="-33"/>
        </w:rPr>
      </w:r>
      <w:r>
        <w:rPr/>
        <w:t>订了《未来三年（</w:t>
      </w:r>
      <w:r>
        <w:rPr>
          <w:rFonts w:ascii="Times New Roman" w:hAnsi="Times New Roman" w:cs="Times New Roman" w:eastAsia="Times New Roman" w:hint="default"/>
        </w:rPr>
        <w:t>2012-2014</w:t>
      </w:r>
      <w:r>
        <w:rPr>
          <w:rFonts w:ascii="Times New Roman" w:hAnsi="Times New Roman" w:cs="Times New Roman" w:eastAsia="Times New Roman" w:hint="default"/>
          <w:spacing w:val="24"/>
        </w:rPr>
        <w:t> </w:t>
      </w:r>
      <w:r>
        <w:rPr/>
        <w:t>年）股东回报规划》（详见</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日巨潮资讯网</w:t>
      </w:r>
      <w:hyperlink r:id="rId11">
        <w:r>
          <w:rPr>
            <w:rFonts w:ascii="Times New Roman" w:hAnsi="Times New Roman" w:cs="Times New Roman" w:eastAsia="Times New Roman" w:hint="default"/>
          </w:rPr>
          <w:t>www.cninfo.com.cn</w:t>
        </w:r>
      </w:hyperlink>
      <w:r>
        <w:rPr/>
        <w:t>），</w:t>
      </w:r>
      <w:r>
        <w:rPr>
          <w:w w:val="99"/>
        </w:rPr>
        <w:t> </w:t>
      </w:r>
      <w:r>
        <w:rPr/>
        <w:t>并经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2012</w:t>
      </w:r>
      <w:r>
        <w:rPr/>
        <w:t>年第一次临时股东大会审议通过，明确了分红的决策程序和机制，有效地保</w:t>
      </w:r>
      <w:r>
        <w:rPr>
          <w:spacing w:val="-36"/>
        </w:rPr>
        <w:t> </w:t>
      </w:r>
      <w:r>
        <w:rPr>
          <w:spacing w:val="-36"/>
        </w:rPr>
      </w:r>
      <w:r>
        <w:rPr/>
        <w:t>障投资者的合理投资回报。</w:t>
      </w:r>
      <w:r>
        <w:rPr>
          <w:w w:val="99"/>
        </w:rPr>
        <w:t> </w:t>
      </w:r>
      <w:r>
        <w:rPr>
          <w:rFonts w:ascii="Times New Roman" w:hAnsi="Times New Roman" w:cs="Times New Roman" w:eastAsia="Times New Roman" w:hint="default"/>
        </w:rPr>
        <w:t>2.</w:t>
      </w:r>
      <w:r>
        <w:rPr/>
        <w:t>公司现金分红政策的执行情况公司利润分配政策符合《公司章程》的规定，公司现金分红政策制定及执</w:t>
      </w:r>
      <w:r>
        <w:rPr>
          <w:spacing w:val="-74"/>
        </w:rPr>
        <w:t> </w:t>
      </w:r>
      <w:r>
        <w:rPr>
          <w:spacing w:val="-74"/>
        </w:rPr>
      </w:r>
      <w:r>
        <w:rPr/>
        <w:t>行均符合《公司章程》的规定及股东大会决议的要求，分红标准和分红比例明确清晰，相关的决策程序和</w:t>
      </w:r>
      <w:r>
        <w:rPr>
          <w:w w:val="99"/>
        </w:rPr>
        <w:t> </w:t>
      </w:r>
      <w:r>
        <w:rPr/>
        <w:t>机制完备，独立董事的职责明确，能发挥应有的作用，中小股东有充分表达意见和诉求的机会，中小股东</w:t>
      </w:r>
      <w:r>
        <w:rPr>
          <w:w w:val="99"/>
        </w:rPr>
        <w:t> </w:t>
      </w:r>
      <w:r>
        <w:rPr/>
        <w:t>的合法权益得到了维护。公司</w:t>
      </w:r>
      <w:r>
        <w:rPr>
          <w:rFonts w:ascii="Times New Roman" w:hAnsi="Times New Roman" w:cs="Times New Roman" w:eastAsia="Times New Roman" w:hint="default"/>
        </w:rPr>
        <w:t>2013</w:t>
      </w:r>
      <w:r>
        <w:rPr>
          <w:rFonts w:ascii="Times New Roman" w:hAnsi="Times New Roman" w:cs="Times New Roman" w:eastAsia="Times New Roman" w:hint="default"/>
          <w:spacing w:val="30"/>
        </w:rPr>
        <w:t> </w:t>
      </w:r>
      <w:r>
        <w:rPr/>
        <w:t>年度的利润分配预案符合《公司章程》的规定。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40" w:firstLine="0"/>
        <w:jc w:val="right"/>
        <w:rPr>
          <w:rFonts w:ascii="宋体" w:hAnsi="宋体" w:cs="宋体" w:eastAsia="宋体" w:hint="default"/>
          <w:sz w:val="18"/>
          <w:szCs w:val="18"/>
        </w:rPr>
      </w:pPr>
      <w:r>
        <w:rPr/>
        <w:pict>
          <v:shape style="position:absolute;margin-left:56.459999pt;margin-top:-41.068295pt;width:479.2pt;height:219.2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6"/>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73" w:hRule="exact"/>
                    </w:trPr>
                    <w:tc>
                      <w:tcPr>
                        <w:tcW w:w="4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16" w:right="69"/>
                          <w:jc w:val="both"/>
                          <w:rPr>
                            <w:rFonts w:ascii="宋体" w:hAnsi="宋体" w:cs="宋体" w:eastAsia="宋体" w:hint="default"/>
                            <w:sz w:val="18"/>
                            <w:szCs w:val="18"/>
                          </w:rPr>
                        </w:pPr>
                        <w:r>
                          <w:rPr>
                            <w:rFonts w:ascii="宋体" w:hAnsi="宋体" w:cs="宋体" w:eastAsia="宋体" w:hint="default"/>
                            <w:spacing w:val="-2"/>
                            <w:sz w:val="18"/>
                            <w:szCs w:val="18"/>
                          </w:rPr>
                          <w:t>公司依据《公司法》等有关法律法规及《公司章程》的规定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足额提取法定公积金、任意公积金以后，最近三年以现金方 式累计分配的利润不少于最近三年实现的年均可分配利润的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r>
                  <w:tr>
                    <w:trPr>
                      <w:trHeight w:val="392" w:hRule="exact"/>
                    </w:trPr>
                    <w:tc>
                      <w:tcPr>
                        <w:tcW w:w="47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vMerge/>
                        <w:tcBorders>
                          <w:left w:val="single" w:sz="9" w:space="0" w:color="D2D2D2"/>
                          <w:right w:val="single" w:sz="4" w:space="0" w:color="000000"/>
                        </w:tcBorders>
                        <w:shd w:val="clear" w:color="auto" w:fill="CCE8CF"/>
                      </w:tcPr>
                      <w:p>
                        <w:pPr/>
                      </w:p>
                    </w:tc>
                  </w:tr>
                  <w:tr>
                    <w:trPr>
                      <w:trHeight w:val="473" w:hRule="exact"/>
                    </w:trPr>
                    <w:tc>
                      <w:tcPr>
                        <w:tcW w:w="4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未变更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77"/>
        <w:ind w:right="0"/>
        <w:jc w:val="left"/>
      </w:pPr>
      <w:r>
        <w:rPr>
          <w:rFonts w:ascii="Times New Roman" w:hAnsi="Times New Roman" w:cs="Times New Roman" w:eastAsia="Times New Roman" w:hint="default"/>
        </w:rPr>
        <w:t>2014</w:t>
      </w:r>
      <w:r>
        <w:rPr/>
        <w:t>年度</w:t>
      </w:r>
    </w:p>
    <w:p>
      <w:pPr>
        <w:pStyle w:val="BodyText"/>
        <w:spacing w:line="240" w:lineRule="auto" w:before="21"/>
        <w:ind w:right="0"/>
        <w:jc w:val="left"/>
      </w:pPr>
      <w:r>
        <w:rPr/>
        <w:t>以公司现有总股本</w:t>
      </w:r>
      <w:r>
        <w:rPr>
          <w:rFonts w:ascii="Times New Roman" w:hAnsi="Times New Roman" w:cs="Times New Roman" w:eastAsia="Times New Roman" w:hint="default"/>
        </w:rPr>
        <w:t>267,600,000</w:t>
      </w:r>
      <w:r>
        <w:rPr/>
        <w:t>股为基数，向全体股东每 </w:t>
      </w:r>
      <w:r>
        <w:rPr>
          <w:rFonts w:ascii="Times New Roman" w:hAnsi="Times New Roman" w:cs="Times New Roman" w:eastAsia="Times New Roman" w:hint="default"/>
        </w:rPr>
        <w:t>10 </w:t>
      </w:r>
      <w:r>
        <w:rPr/>
        <w:t>股派发现金股利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spacing w:val="-4"/>
        </w:rPr>
        <w:t>元（含税）；同时，以资本</w:t>
      </w:r>
    </w:p>
    <w:p>
      <w:pPr>
        <w:pStyle w:val="BodyText"/>
        <w:spacing w:line="256" w:lineRule="auto" w:before="21"/>
        <w:ind w:right="0"/>
        <w:jc w:val="left"/>
      </w:pPr>
      <w:r>
        <w:rPr/>
        <w:t>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12</w:t>
      </w:r>
      <w:r>
        <w:rPr>
          <w:rFonts w:ascii="Times New Roman" w:hAnsi="Times New Roman" w:cs="Times New Roman" w:eastAsia="Times New Roman" w:hint="default"/>
          <w:spacing w:val="24"/>
        </w:rPr>
        <w:t> </w:t>
      </w:r>
      <w:r>
        <w:rPr/>
        <w:t>股，合计转增</w:t>
      </w:r>
      <w:r>
        <w:rPr>
          <w:rFonts w:ascii="Times New Roman" w:hAnsi="Times New Roman" w:cs="Times New Roman" w:eastAsia="Times New Roman" w:hint="default"/>
        </w:rPr>
        <w:t>321,120,000</w:t>
      </w:r>
      <w:r>
        <w:rPr/>
        <w:t>股，转增后公司总股本增至</w:t>
      </w:r>
      <w:r>
        <w:rPr>
          <w:rFonts w:ascii="Times New Roman" w:hAnsi="Times New Roman" w:cs="Times New Roman" w:eastAsia="Times New Roman" w:hint="default"/>
        </w:rPr>
        <w:t>588,720,000</w:t>
      </w:r>
      <w:r>
        <w:rPr/>
        <w:t>股。</w:t>
      </w:r>
      <w:r>
        <w:rPr>
          <w:spacing w:val="1"/>
        </w:rPr>
        <w:t> </w:t>
      </w:r>
      <w:r>
        <w:rPr/>
        <w:t>本次利润分配</w:t>
      </w:r>
      <w:r>
        <w:rPr>
          <w:rFonts w:ascii="Times New Roman" w:hAnsi="Times New Roman" w:cs="Times New Roman" w:eastAsia="Times New Roman" w:hint="default"/>
        </w:rPr>
        <w:t>2,676</w:t>
      </w:r>
      <w:r>
        <w:rPr/>
        <w:t>万元，利润分配后，剩余未分配利润结转以后年度分配。</w:t>
      </w:r>
    </w:p>
    <w:p>
      <w:pPr>
        <w:pStyle w:val="BodyText"/>
        <w:spacing w:line="240" w:lineRule="auto" w:before="5"/>
        <w:ind w:right="0"/>
        <w:jc w:val="left"/>
      </w:pPr>
      <w:r>
        <w:rPr/>
        <w:t>本预案须提请公司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年年度股东大会审议批准后实施。</w:t>
      </w:r>
    </w:p>
    <w:p>
      <w:pPr>
        <w:pStyle w:val="BodyText"/>
        <w:spacing w:line="240" w:lineRule="auto" w:before="21"/>
        <w:ind w:right="0"/>
        <w:jc w:val="left"/>
      </w:pPr>
      <w:r>
        <w:rPr>
          <w:rFonts w:ascii="Times New Roman" w:hAnsi="Times New Roman" w:cs="Times New Roman" w:eastAsia="Times New Roman" w:hint="default"/>
        </w:rPr>
        <w:t>2013</w:t>
      </w:r>
      <w:r>
        <w:rPr/>
        <w:t>年度</w:t>
      </w:r>
    </w:p>
    <w:p>
      <w:pPr>
        <w:pStyle w:val="BodyText"/>
        <w:spacing w:line="256" w:lineRule="auto" w:before="21"/>
        <w:ind w:right="1093"/>
        <w:jc w:val="left"/>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日，公司第二届董事会第十二次会议审议通过了公司《关于</w:t>
      </w:r>
      <w:r>
        <w:rPr>
          <w:rFonts w:ascii="Times New Roman" w:hAnsi="Times New Roman" w:cs="Times New Roman" w:eastAsia="Times New Roman" w:hint="default"/>
        </w:rPr>
        <w:t>2013</w:t>
      </w:r>
      <w:r>
        <w:rPr/>
        <w:t>年度利润分配预案的议案》， 并经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日召开的公司</w:t>
      </w:r>
      <w:r>
        <w:rPr>
          <w:rFonts w:ascii="Times New Roman" w:hAnsi="Times New Roman" w:cs="Times New Roman" w:eastAsia="Times New Roman" w:hint="default"/>
        </w:rPr>
        <w:t>2013</w:t>
      </w:r>
      <w:r>
        <w:rPr/>
        <w:t>年度股东大会审议批准。 </w:t>
      </w:r>
      <w:r>
        <w:rPr>
          <w:spacing w:val="2"/>
        </w:rPr>
        <w:t>公司</w:t>
      </w:r>
      <w:r>
        <w:rPr>
          <w:rFonts w:ascii="Times New Roman" w:hAnsi="Times New Roman" w:cs="Times New Roman" w:eastAsia="Times New Roman" w:hint="default"/>
          <w:spacing w:val="2"/>
        </w:rPr>
        <w:t>2013</w:t>
      </w:r>
      <w:r>
        <w:rPr>
          <w:spacing w:val="2"/>
        </w:rPr>
        <w:t>年度利润分配方案为：以截止</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267,600,000</w:t>
      </w:r>
      <w:r>
        <w:rPr>
          <w:spacing w:val="2"/>
        </w:rPr>
        <w:t>股为基数，每</w:t>
      </w:r>
      <w:r>
        <w:rPr>
          <w:rFonts w:ascii="Times New Roman" w:hAnsi="Times New Roman" w:cs="Times New Roman" w:eastAsia="Times New Roman" w:hint="default"/>
          <w:spacing w:val="2"/>
        </w:rPr>
        <w:t>10</w:t>
      </w:r>
      <w:r>
        <w:rPr>
          <w:spacing w:val="2"/>
        </w:rPr>
        <w:t>股派发</w:t>
      </w:r>
      <w:r>
        <w:rPr>
          <w:rFonts w:ascii="Times New Roman" w:hAnsi="Times New Roman" w:cs="Times New Roman" w:eastAsia="Times New Roman" w:hint="default"/>
          <w:spacing w:val="2"/>
        </w:rPr>
        <w:t>0.5</w:t>
      </w:r>
    </w:p>
    <w:p>
      <w:pPr>
        <w:spacing w:after="0" w:line="256"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56" w:lineRule="auto" w:before="35"/>
        <w:ind w:right="1128"/>
        <w:jc w:val="both"/>
      </w:pPr>
      <w:r>
        <w:rPr/>
        <w:t>元现金红利（含税），合计派发现金股利</w:t>
      </w:r>
      <w:r>
        <w:rPr>
          <w:rFonts w:ascii="Times New Roman" w:hAnsi="Times New Roman" w:cs="Times New Roman" w:eastAsia="Times New Roman" w:hint="default"/>
        </w:rPr>
        <w:t>13,380,000</w:t>
      </w:r>
      <w:r>
        <w:rPr/>
        <w:t>元，剩余未分配利润结转以后年度分配。公司于</w:t>
      </w:r>
      <w:r>
        <w:rPr>
          <w:rFonts w:ascii="Times New Roman" w:hAnsi="Times New Roman" w:cs="Times New Roman" w:eastAsia="Times New Roman" w:hint="default"/>
        </w:rPr>
        <w:t>2014</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日披露了《</w:t>
      </w:r>
      <w:r>
        <w:rPr>
          <w:rFonts w:ascii="Times New Roman" w:hAnsi="Times New Roman" w:cs="Times New Roman" w:eastAsia="Times New Roman" w:hint="default"/>
        </w:rPr>
        <w:t>2013</w:t>
      </w:r>
      <w:r>
        <w:rPr/>
        <w:t>年度权益分派实施公告》，本次权益分派股权登记日为：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日，除权除</w:t>
      </w:r>
      <w:r>
        <w:rPr>
          <w:spacing w:val="-31"/>
        </w:rPr>
        <w:t> </w:t>
      </w:r>
      <w:r>
        <w:rPr>
          <w:spacing w:val="-31"/>
        </w:rPr>
      </w:r>
      <w:r>
        <w:rPr/>
        <w:t>息日为：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w:t>
      </w:r>
    </w:p>
    <w:p>
      <w:pPr>
        <w:pStyle w:val="BodyText"/>
        <w:spacing w:line="240" w:lineRule="auto" w:before="5"/>
        <w:ind w:left="154" w:right="0"/>
        <w:jc w:val="left"/>
      </w:pPr>
      <w:r>
        <w:rPr>
          <w:rFonts w:ascii="Times New Roman" w:hAnsi="Times New Roman" w:cs="Times New Roman" w:eastAsia="Times New Roman" w:hint="default"/>
        </w:rPr>
        <w:t>2012</w:t>
      </w:r>
      <w:r>
        <w:rPr/>
        <w:t>年度</w:t>
      </w:r>
    </w:p>
    <w:p>
      <w:pPr>
        <w:pStyle w:val="BodyText"/>
        <w:spacing w:line="256" w:lineRule="auto" w:before="21"/>
        <w:ind w:right="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日，公司第二届董事会第一次会议审议通过了公司《关于</w:t>
      </w:r>
      <w:r>
        <w:rPr>
          <w:rFonts w:ascii="Times New Roman" w:hAnsi="Times New Roman" w:cs="Times New Roman" w:eastAsia="Times New Roman" w:hint="default"/>
          <w:spacing w:val="-1"/>
        </w:rPr>
        <w:t>2012</w:t>
      </w:r>
      <w:r>
        <w:rPr>
          <w:spacing w:val="-1"/>
        </w:rPr>
        <w:t>年度利润分配预案的议案》，并</w:t>
      </w:r>
      <w:r>
        <w:rPr>
          <w:spacing w:val="-84"/>
        </w:rPr>
        <w:t> </w:t>
      </w:r>
      <w:r>
        <w:rPr>
          <w:spacing w:val="-84"/>
        </w:rPr>
      </w:r>
      <w:r>
        <w:rPr/>
        <w:t>经</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日召开的公司</w:t>
      </w:r>
      <w:r>
        <w:rPr>
          <w:rFonts w:ascii="Times New Roman" w:hAnsi="Times New Roman" w:cs="Times New Roman" w:eastAsia="Times New Roman" w:hint="default"/>
        </w:rPr>
        <w:t>2012</w:t>
      </w:r>
      <w:r>
        <w:rPr/>
        <w:t>年度股东大会审议批准。 </w:t>
      </w:r>
      <w:r>
        <w:rPr>
          <w:spacing w:val="2"/>
        </w:rPr>
        <w:t>公司</w:t>
      </w:r>
      <w:r>
        <w:rPr>
          <w:rFonts w:ascii="Times New Roman" w:hAnsi="Times New Roman" w:cs="Times New Roman" w:eastAsia="Times New Roman" w:hint="default"/>
          <w:spacing w:val="2"/>
        </w:rPr>
        <w:t>2012</w:t>
      </w:r>
      <w:r>
        <w:rPr>
          <w:spacing w:val="2"/>
        </w:rPr>
        <w:t>年度利润分配方案为：以截止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133,800,000</w:t>
      </w:r>
      <w:r>
        <w:rPr>
          <w:spacing w:val="2"/>
        </w:rPr>
        <w:t>股为基数，每</w:t>
      </w:r>
      <w:r>
        <w:rPr>
          <w:rFonts w:ascii="Times New Roman" w:hAnsi="Times New Roman" w:cs="Times New Roman" w:eastAsia="Times New Roman" w:hint="default"/>
          <w:spacing w:val="2"/>
        </w:rPr>
        <w:t>10</w:t>
      </w:r>
      <w:r>
        <w:rPr>
          <w:spacing w:val="2"/>
        </w:rPr>
        <w:t>股派发</w:t>
      </w:r>
      <w:r>
        <w:rPr>
          <w:rFonts w:ascii="Times New Roman" w:hAnsi="Times New Roman" w:cs="Times New Roman" w:eastAsia="Times New Roman" w:hint="default"/>
          <w:spacing w:val="2"/>
        </w:rPr>
        <w:t>0.5</w:t>
      </w:r>
      <w:r>
        <w:rPr>
          <w:rFonts w:ascii="Times New Roman" w:hAnsi="Times New Roman" w:cs="Times New Roman" w:eastAsia="Times New Roman" w:hint="default"/>
        </w:rPr>
        <w:t> </w:t>
      </w:r>
      <w:r>
        <w:rPr>
          <w:spacing w:val="-1"/>
        </w:rPr>
        <w:t>元现金红利（含税），合计派发现金股利</w:t>
      </w:r>
      <w:r>
        <w:rPr>
          <w:rFonts w:ascii="Times New Roman" w:hAnsi="Times New Roman" w:cs="Times New Roman" w:eastAsia="Times New Roman" w:hint="default"/>
          <w:spacing w:val="-1"/>
        </w:rPr>
        <w:t>6,690,000</w:t>
      </w:r>
      <w:r>
        <w:rPr>
          <w:spacing w:val="-1"/>
        </w:rPr>
        <w:t>元，剩余未分配利润结转以后年度分配；以截止</w:t>
      </w:r>
      <w:r>
        <w:rPr>
          <w:rFonts w:ascii="Times New Roman" w:hAnsi="Times New Roman" w:cs="Times New Roman" w:eastAsia="Times New Roman" w:hint="default"/>
          <w:spacing w:val="-1"/>
        </w:rPr>
        <w:t>2012</w:t>
      </w:r>
      <w:r>
        <w:rPr>
          <w:spacing w:val="-1"/>
        </w:rPr>
        <w:t>年</w:t>
      </w:r>
      <w:r>
        <w:rPr>
          <w:spacing w:val="-77"/>
        </w:rPr>
        <w:t> </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133,800,000</w:t>
      </w:r>
      <w:r>
        <w:rPr>
          <w:spacing w:val="-1"/>
        </w:rPr>
        <w:t>股为基数，以公积金向股东每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股，合计转增</w:t>
      </w:r>
      <w:r>
        <w:rPr>
          <w:rFonts w:ascii="Times New Roman" w:hAnsi="Times New Roman" w:cs="Times New Roman" w:eastAsia="Times New Roman" w:hint="default"/>
          <w:spacing w:val="-1"/>
        </w:rPr>
        <w:t>133,800,000</w:t>
      </w:r>
      <w:r>
        <w:rPr>
          <w:spacing w:val="-1"/>
        </w:rPr>
        <w:t>股，转</w:t>
      </w:r>
      <w:r>
        <w:rPr>
          <w:spacing w:val="-76"/>
        </w:rPr>
        <w:t> </w:t>
      </w:r>
      <w:r>
        <w:rPr>
          <w:spacing w:val="-76"/>
        </w:rPr>
      </w:r>
      <w:r>
        <w:rPr/>
        <w:t>增后公司总股本增至</w:t>
      </w:r>
      <w:r>
        <w:rPr>
          <w:rFonts w:ascii="Times New Roman" w:hAnsi="Times New Roman" w:cs="Times New Roman" w:eastAsia="Times New Roman" w:hint="default"/>
        </w:rPr>
        <w:t>267,600,000</w:t>
      </w:r>
      <w:r>
        <w:rPr/>
        <w:t>股。公司于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日披露了《</w:t>
      </w:r>
      <w:r>
        <w:rPr>
          <w:rFonts w:ascii="Times New Roman" w:hAnsi="Times New Roman" w:cs="Times New Roman" w:eastAsia="Times New Roman" w:hint="default"/>
        </w:rPr>
        <w:t>2012</w:t>
      </w:r>
      <w:r>
        <w:rPr/>
        <w:t>年度权益分派实施公告》，本次</w:t>
      </w:r>
      <w:r>
        <w:rPr>
          <w:spacing w:val="-33"/>
        </w:rPr>
        <w:t> </w:t>
      </w:r>
      <w:r>
        <w:rPr>
          <w:spacing w:val="-33"/>
        </w:rPr>
      </w:r>
      <w:r>
        <w:rPr/>
        <w:t>权益分派股权登记日为：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日，除权除息日为：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7</w:t>
      </w:r>
      <w:r>
        <w:rPr/>
        <w:t>日。</w:t>
      </w:r>
    </w:p>
    <w:p>
      <w:pPr>
        <w:spacing w:before="71"/>
        <w:ind w:left="153"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14,865,866.87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24,470,802.60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43,583,081.13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三、本报告期利润分配及资本公积金转增股本预案" w:id="45"/>
      <w:bookmarkEnd w:id="45"/>
      <w:r>
        <w:rPr>
          <w:b w:val="0"/>
          <w:bCs w:val="0"/>
        </w:rPr>
      </w:r>
      <w:r>
        <w:rPr/>
        <w:t>十三、本报告期利润分配及资本公积金转增股本预案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3"/>
        <w:gridCol w:w="5864"/>
      </w:tblGrid>
      <w:tr>
        <w:trPr>
          <w:trHeight w:val="403"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267,600,000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26,760,000.00</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136,370,475.62</w:t>
            </w:r>
          </w:p>
        </w:tc>
      </w:tr>
      <w:tr>
        <w:trPr>
          <w:trHeight w:val="402" w:hRule="exact"/>
        </w:trPr>
        <w:tc>
          <w:tcPr>
            <w:tcW w:w="3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年度经营情况业经立信会计师事务所（特殊普通合伙）审计，</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年实现归属于母公司股东净利润人民币</w:t>
            </w:r>
          </w:p>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14,865,866.87 </w:t>
            </w:r>
            <w:r>
              <w:rPr>
                <w:rFonts w:ascii="宋体" w:hAnsi="宋体" w:cs="宋体" w:eastAsia="宋体" w:hint="default"/>
                <w:sz w:val="18"/>
                <w:szCs w:val="18"/>
              </w:rPr>
              <w:t>元，减去按当年母公司净利润的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 </w:t>
            </w:r>
            <w:r>
              <w:rPr>
                <w:rFonts w:ascii="Times New Roman" w:hAnsi="Times New Roman" w:cs="Times New Roman" w:eastAsia="Times New Roman" w:hint="default"/>
                <w:sz w:val="18"/>
                <w:szCs w:val="18"/>
              </w:rPr>
              <w:t>2,068,606.27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元，当年可供股东分配的利润为</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12,797,260.60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元，加上期初未分配利润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136,953,215.02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元，减去</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年度已分配利润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13,380,000.00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年度可供股</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136,370,475.62</w:t>
            </w:r>
            <w:r>
              <w:rPr>
                <w:rFonts w:ascii="Times New Roman" w:hAnsi="Times New Roman" w:cs="Times New Roman" w:eastAsia="Times New Roman" w:hint="default"/>
                <w:spacing w:val="44"/>
                <w:sz w:val="18"/>
                <w:szCs w:val="18"/>
              </w:rPr>
              <w:t> </w:t>
            </w:r>
            <w:r>
              <w:rPr>
                <w:rFonts w:ascii="宋体" w:hAnsi="宋体" w:cs="宋体" w:eastAsia="宋体" w:hint="default"/>
                <w:spacing w:val="-9"/>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日资本公积为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474,837,414.13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r>
              <w:rPr>
                <w:rFonts w:ascii="宋体" w:hAnsi="宋体" w:cs="宋体" w:eastAsia="宋体" w:hint="default"/>
                <w:spacing w:val="-37"/>
                <w:sz w:val="18"/>
                <w:szCs w:val="18"/>
              </w:rPr>
              <w:t> </w:t>
            </w:r>
            <w:r>
              <w:rPr>
                <w:rFonts w:ascii="宋体" w:hAnsi="宋体" w:cs="宋体" w:eastAsia="宋体" w:hint="default"/>
                <w:sz w:val="18"/>
                <w:szCs w:val="18"/>
              </w:rPr>
              <w:t>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年度利润分配预</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1298" w:lineRule="exact"/>
        <w:ind w:left="154" w:right="0" w:firstLine="0"/>
        <w:rPr>
          <w:rFonts w:ascii="宋体" w:hAnsi="宋体" w:cs="宋体" w:eastAsia="宋体" w:hint="default"/>
          <w:sz w:val="20"/>
          <w:szCs w:val="20"/>
        </w:rPr>
      </w:pPr>
      <w:r>
        <w:rPr>
          <w:rFonts w:ascii="宋体" w:hAnsi="宋体" w:cs="宋体" w:eastAsia="宋体" w:hint="default"/>
          <w:position w:val="-25"/>
          <w:sz w:val="20"/>
          <w:szCs w:val="20"/>
        </w:rPr>
        <w:pict>
          <v:shape style="width:478.45pt;height:64.95pt;mso-position-horizontal-relative:char;mso-position-vertical-relative:line" type="#_x0000_t202" filled="true" fillcolor="#cce8cf" stroked="true" strokeweight=".48pt" strokecolor="#000000">
            <w10:anchorlock/>
            <v:textbox inset="0,0,0,0">
              <w:txbxContent>
                <w:p>
                  <w:pPr>
                    <w:spacing w:before="10"/>
                    <w:ind w:left="22" w:right="0" w:firstLine="0"/>
                    <w:jc w:val="both"/>
                    <w:rPr>
                      <w:rFonts w:ascii="宋体" w:hAnsi="宋体" w:cs="宋体" w:eastAsia="宋体" w:hint="default"/>
                      <w:sz w:val="18"/>
                      <w:szCs w:val="18"/>
                    </w:rPr>
                  </w:pPr>
                  <w:r>
                    <w:rPr>
                      <w:rFonts w:ascii="宋体" w:hAnsi="宋体" w:cs="宋体" w:eastAsia="宋体" w:hint="default"/>
                      <w:sz w:val="18"/>
                      <w:szCs w:val="18"/>
                    </w:rPr>
                    <w:t>案如下：</w:t>
                  </w:r>
                  <w:r>
                    <w:rPr>
                      <w:rFonts w:ascii="宋体" w:hAnsi="宋体" w:cs="宋体" w:eastAsia="宋体" w:hint="default"/>
                      <w:spacing w:val="-6"/>
                      <w:sz w:val="18"/>
                      <w:szCs w:val="18"/>
                    </w:rPr>
                    <w:t> </w:t>
                  </w:r>
                  <w:r>
                    <w:rPr>
                      <w:rFonts w:ascii="宋体" w:hAnsi="宋体" w:cs="宋体" w:eastAsia="宋体" w:hint="default"/>
                      <w:sz w:val="18"/>
                      <w:szCs w:val="18"/>
                    </w:rPr>
                    <w:t>以公司现有总股本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2"/>
                      <w:sz w:val="18"/>
                      <w:szCs w:val="18"/>
                    </w:rPr>
                    <w:t>为</w:t>
                  </w:r>
                  <w:r>
                    <w:rPr>
                      <w:rFonts w:ascii="宋体" w:hAnsi="宋体" w:cs="宋体" w:eastAsia="宋体" w:hint="default"/>
                      <w:sz w:val="18"/>
                      <w:szCs w:val="18"/>
                    </w:rPr>
                    <w:t>基数</w:t>
                  </w:r>
                  <w:r>
                    <w:rPr>
                      <w:rFonts w:ascii="宋体" w:hAnsi="宋体" w:cs="宋体" w:eastAsia="宋体" w:hint="default"/>
                      <w:spacing w:val="-6"/>
                      <w:sz w:val="18"/>
                      <w:szCs w:val="18"/>
                    </w:rPr>
                    <w:t>，</w:t>
                  </w:r>
                  <w:r>
                    <w:rPr>
                      <w:rFonts w:ascii="宋体" w:hAnsi="宋体" w:cs="宋体" w:eastAsia="宋体" w:hint="default"/>
                      <w:sz w:val="18"/>
                      <w:szCs w:val="18"/>
                    </w:rPr>
                    <w:t>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 </w:t>
                  </w:r>
                  <w:r>
                    <w:rPr>
                      <w:rFonts w:ascii="Times New Roman" w:hAnsi="Times New Roman" w:cs="Times New Roman" w:eastAsia="Times New Roman" w:hint="default"/>
                      <w:sz w:val="18"/>
                      <w:szCs w:val="18"/>
                    </w:rPr>
                    <w:t>1  </w:t>
                  </w:r>
                  <w:r>
                    <w:rPr>
                      <w:rFonts w:ascii="宋体" w:hAnsi="宋体" w:cs="宋体" w:eastAsia="宋体" w:hint="default"/>
                      <w:spacing w:val="-6"/>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同时</w:t>
                  </w:r>
                  <w:r>
                    <w:rPr>
                      <w:rFonts w:ascii="宋体" w:hAnsi="宋体" w:cs="宋体" w:eastAsia="宋体" w:hint="default"/>
                      <w:spacing w:val="-6"/>
                      <w:sz w:val="18"/>
                      <w:szCs w:val="18"/>
                    </w:rPr>
                    <w:t>，</w:t>
                  </w:r>
                  <w:r>
                    <w:rPr>
                      <w:rFonts w:ascii="宋体" w:hAnsi="宋体" w:cs="宋体" w:eastAsia="宋体" w:hint="default"/>
                      <w:sz w:val="18"/>
                      <w:szCs w:val="18"/>
                    </w:rPr>
                    <w:t>以资本</w:t>
                  </w:r>
                  <w:r>
                    <w:rPr>
                      <w:rFonts w:ascii="宋体" w:hAnsi="宋体" w:cs="宋体" w:eastAsia="宋体" w:hint="default"/>
                      <w:spacing w:val="1"/>
                      <w:sz w:val="18"/>
                      <w:szCs w:val="18"/>
                    </w:rPr>
                    <w:t>公</w:t>
                  </w:r>
                  <w:r>
                    <w:rPr>
                      <w:rFonts w:ascii="宋体" w:hAnsi="宋体" w:cs="宋体" w:eastAsia="宋体" w:hint="default"/>
                      <w:sz w:val="18"/>
                      <w:szCs w:val="18"/>
                    </w:rPr>
                    <w:t>积</w:t>
                  </w:r>
                </w:p>
                <w:p>
                  <w:pPr>
                    <w:spacing w:line="309" w:lineRule="auto" w:before="63"/>
                    <w:ind w:left="22" w:right="23" w:firstLine="0"/>
                    <w:jc w:val="both"/>
                    <w:rPr>
                      <w:rFonts w:ascii="宋体" w:hAnsi="宋体" w:cs="宋体" w:eastAsia="宋体" w:hint="default"/>
                      <w:sz w:val="18"/>
                      <w:szCs w:val="18"/>
                    </w:rPr>
                  </w:pPr>
                  <w:r>
                    <w:rPr>
                      <w:rFonts w:ascii="宋体" w:hAnsi="宋体" w:cs="宋体" w:eastAsia="宋体" w:hint="default"/>
                      <w:sz w:val="18"/>
                      <w:szCs w:val="18"/>
                    </w:rPr>
                    <w:t>金向全体股东每</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股，合计转增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321,120,000 </w:t>
                  </w:r>
                  <w:r>
                    <w:rPr>
                      <w:rFonts w:ascii="宋体" w:hAnsi="宋体" w:cs="宋体" w:eastAsia="宋体" w:hint="default"/>
                      <w:spacing w:val="-4"/>
                      <w:sz w:val="18"/>
                      <w:szCs w:val="18"/>
                    </w:rPr>
                    <w:t>股，转增后公司总股本增至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588,720,000 </w:t>
                  </w:r>
                  <w:r>
                    <w:rPr>
                      <w:rFonts w:ascii="宋体" w:hAnsi="宋体" w:cs="宋体" w:eastAsia="宋体" w:hint="default"/>
                      <w:spacing w:val="-5"/>
                      <w:sz w:val="18"/>
                      <w:szCs w:val="18"/>
                    </w:rPr>
                    <w:t>股。本次利润分配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2,676 </w:t>
                  </w:r>
                  <w:r>
                    <w:rPr>
                      <w:rFonts w:ascii="宋体" w:hAnsi="宋体" w:cs="宋体" w:eastAsia="宋体" w:hint="default"/>
                      <w:spacing w:val="-1"/>
                      <w:sz w:val="18"/>
                      <w:szCs w:val="18"/>
                    </w:rPr>
                    <w:t>万元，利润分配后，剩余未分配利润结转以后年度分配。独立董事对本议案发表了意见，同时提请股东大会授权董事会办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理实施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年度利润分配方案的相关事宜。 本议案尚需提交公司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w:t>
                  </w:r>
                </w:p>
              </w:txbxContent>
            </v:textbox>
            <v:fill type="solid"/>
          </v:shape>
        </w:pict>
      </w:r>
      <w:r>
        <w:rPr>
          <w:rFonts w:ascii="宋体" w:hAnsi="宋体" w:cs="宋体" w:eastAsia="宋体" w:hint="default"/>
          <w:position w:val="-25"/>
          <w:sz w:val="20"/>
          <w:szCs w:val="20"/>
        </w:rPr>
      </w:r>
    </w:p>
    <w:p>
      <w:pPr>
        <w:spacing w:line="240" w:lineRule="auto" w:before="7"/>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社会责任情况" w:id="46"/>
      <w:bookmarkEnd w:id="46"/>
      <w:r>
        <w:rPr>
          <w:b w:val="0"/>
          <w:bCs w:val="0"/>
        </w:rPr>
      </w:r>
      <w:r>
        <w:rPr/>
        <w:t>十四、社会责任情况</w:t>
      </w:r>
      <w:r>
        <w:rPr>
          <w:b w:val="0"/>
          <w:bCs w:val="0"/>
        </w:rPr>
      </w:r>
    </w:p>
    <w:p>
      <w:pPr>
        <w:spacing w:line="240" w:lineRule="auto" w:before="7"/>
        <w:rPr>
          <w:rFonts w:ascii="宋体" w:hAnsi="宋体" w:cs="宋体" w:eastAsia="宋体" w:hint="default"/>
          <w:b/>
          <w:bCs/>
          <w:sz w:val="26"/>
          <w:szCs w:val="26"/>
        </w:rPr>
      </w:pPr>
    </w:p>
    <w:p>
      <w:pPr>
        <w:pStyle w:val="BodyText"/>
        <w:spacing w:line="292" w:lineRule="auto"/>
        <w:ind w:right="0"/>
        <w:jc w:val="left"/>
      </w:pPr>
      <w:r>
        <w:rPr>
          <w:rFonts w:ascii="Times New Roman" w:hAnsi="Times New Roman" w:cs="Times New Roman" w:eastAsia="Times New Roman" w:hint="default"/>
          <w:sz w:val="18"/>
          <w:szCs w:val="18"/>
        </w:rPr>
        <w:t>√ </w:t>
      </w:r>
      <w:r>
        <w:rPr>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sz w:val="18"/>
          <w:szCs w:val="18"/>
        </w:rPr>
        <w:t>不适用 </w:t>
      </w:r>
      <w:r>
        <w:rPr>
          <w:spacing w:val="-1"/>
        </w:rPr>
        <w:t>报告期内公司按照国家有关法律法规、规范性文件要求，坚持公司和社会共同发展，不断加强和完善内部</w:t>
      </w:r>
      <w:r>
        <w:rPr>
          <w:spacing w:val="-83"/>
        </w:rPr>
        <w:t> </w:t>
      </w:r>
      <w:r>
        <w:rPr>
          <w:spacing w:val="-83"/>
        </w:rPr>
      </w:r>
      <w:r>
        <w:rPr>
          <w:spacing w:val="-1"/>
        </w:rPr>
        <w:t>控制，注重安全生产、产品质量、环境保护和职工、投资者的合法利益，积极履行社会责任，促进公司与</w:t>
      </w:r>
    </w:p>
    <w:p>
      <w:pPr>
        <w:pStyle w:val="BodyText"/>
        <w:spacing w:line="268" w:lineRule="auto"/>
        <w:ind w:right="1026"/>
        <w:jc w:val="left"/>
      </w:pPr>
      <w:r>
        <w:rPr/>
        <w:t>社会、自然的和谐发展。 公司重视企业社会价值的实现，并一直秉承</w:t>
      </w:r>
      <w:r>
        <w:rPr>
          <w:rFonts w:ascii="Times New Roman" w:hAnsi="Times New Roman" w:cs="Times New Roman" w:eastAsia="Times New Roman" w:hint="default"/>
        </w:rPr>
        <w:t>“</w:t>
      </w:r>
      <w:r>
        <w:rPr/>
        <w:t>质量为本、信誉为魂、追求卓著、独树品牌</w:t>
      </w:r>
      <w:r>
        <w:rPr>
          <w:rFonts w:ascii="Times New Roman" w:hAnsi="Times New Roman" w:cs="Times New Roman" w:eastAsia="Times New Roman" w:hint="default"/>
        </w:rPr>
        <w:t>”</w:t>
      </w:r>
      <w:r>
        <w:rPr/>
        <w:t>的可持续发展理 念，重视研发及生产优质玩具、践行企业社会责任。 保障股东的利益是公司最基本的社会责任，公司建立了较为完善的公司治理结构，形成了完整的内部控制 制度，报告期内，公司根据《公司法》、《证券法》、《上市公司治理准则》等法律法规，不断完善公司 治理，进一步修订了《公司章程》和改善内部控制，建立了以《公司章程》为基础的内控体系，形成了以 </w:t>
      </w:r>
      <w:r>
        <w:rPr>
          <w:spacing w:val="-3"/>
        </w:rPr>
        <w:t>股东大会、董事会、监事会及管理层为主体结构的决策与经营体系，切实保障股东特别是中小股东的利益。</w:t>
      </w:r>
      <w:r>
        <w:rPr>
          <w:spacing w:val="-90"/>
        </w:rPr>
        <w:t> </w:t>
      </w:r>
      <w:r>
        <w:rPr>
          <w:spacing w:val="-90"/>
        </w:rPr>
      </w:r>
      <w:r>
        <w:rPr/>
        <w:t>公司《</w:t>
      </w:r>
      <w:r>
        <w:rPr>
          <w:rFonts w:ascii="Times New Roman" w:hAnsi="Times New Roman" w:cs="Times New Roman" w:eastAsia="Times New Roman" w:hint="default"/>
        </w:rPr>
        <w:t>2012-2014</w:t>
      </w:r>
      <w:r>
        <w:rPr/>
        <w:t>年股东回报规划》和《分红管理制度》规定公司足额提取法定公积金、任意公积金以后， </w:t>
      </w:r>
      <w:r>
        <w:rPr>
          <w:spacing w:val="3"/>
        </w:rPr>
        <w:t>最近三年以现金方式累计分配的利润不少于最近三年实现的年均可分配利润的</w:t>
      </w:r>
      <w:r>
        <w:rPr>
          <w:rFonts w:ascii="Times New Roman" w:hAnsi="Times New Roman" w:cs="Times New Roman" w:eastAsia="Times New Roman" w:hint="default"/>
          <w:spacing w:val="3"/>
        </w:rPr>
        <w:t>30%</w:t>
      </w:r>
      <w:r>
        <w:rPr>
          <w:spacing w:val="3"/>
        </w:rPr>
        <w:t>。</w:t>
      </w:r>
      <w:r>
        <w:rPr>
          <w:rFonts w:ascii="Times New Roman" w:hAnsi="Times New Roman" w:cs="Times New Roman" w:eastAsia="Times New Roman" w:hint="default"/>
          <w:spacing w:val="3"/>
        </w:rPr>
        <w:t>2014</w:t>
      </w:r>
      <w:r>
        <w:rPr>
          <w:spacing w:val="3"/>
        </w:rPr>
        <w:t>年公司实施了</w:t>
      </w:r>
      <w:r>
        <w:rPr>
          <w:spacing w:val="-60"/>
        </w:rPr>
        <w:t> </w:t>
      </w:r>
      <w:r>
        <w:rPr>
          <w:spacing w:val="-60"/>
        </w:rPr>
      </w:r>
      <w:r>
        <w:rPr>
          <w:rFonts w:ascii="Times New Roman" w:hAnsi="Times New Roman" w:cs="Times New Roman" w:eastAsia="Times New Roman" w:hint="default"/>
        </w:rPr>
        <w:t>2013</w:t>
      </w:r>
      <w:r>
        <w:rPr/>
        <w:t>年度的利润分配方案，积极回报股东。 公司严格遵守《劳动法》、《劳动合同法》、《妇女权益保护法》等相关法律法规，严格执行国家用工制 度和劳动保障制度，尊重和维护员工的个人权益，切实关注员工健康、安全和满意度，重视人才培训和培 养，实现员工与企业的共同成长，认真保障企业员工的各项权益，履行企业的责任。 公司坚持</w:t>
      </w:r>
      <w:r>
        <w:rPr>
          <w:rFonts w:ascii="Times New Roman" w:hAnsi="Times New Roman" w:cs="Times New Roman" w:eastAsia="Times New Roman" w:hint="default"/>
        </w:rPr>
        <w:t>“</w:t>
      </w:r>
      <w:r>
        <w:rPr/>
        <w:t>客户至上</w:t>
      </w:r>
      <w:r>
        <w:rPr>
          <w:rFonts w:ascii="Times New Roman" w:hAnsi="Times New Roman" w:cs="Times New Roman" w:eastAsia="Times New Roman" w:hint="default"/>
        </w:rPr>
        <w:t>”</w:t>
      </w:r>
      <w:r>
        <w:rPr/>
        <w:t>原则，为客户提供优质的产品，加强与供应商的沟通合作，实行互惠共赢，信守商业 规则，遵合同守信用，严格把控产品质量，注重产品安全，保护消费者利益。 公司坚持推进节能减排，认真按照国家环保管理部门的各项规定进行环保自查并持续改进，使公司的环境 保护管理水平和效果不断提升，不仅满足了玩具行业对环境保护的相关要求，体现了公司强烈的社会责任 意识，也实现了企业效益的提升。</w:t>
      </w:r>
    </w:p>
    <w:p>
      <w:pPr>
        <w:spacing w:before="78"/>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line="338" w:lineRule="auto" w:before="117"/>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上市公司及其子公司是否存在其他重大社会安全问题</w:t>
      </w:r>
    </w:p>
    <w:p>
      <w:pPr>
        <w:spacing w:line="338" w:lineRule="auto" w:before="43"/>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154" w:right="0"/>
        <w:jc w:val="left"/>
        <w:rPr>
          <w:b w:val="0"/>
          <w:bCs w:val="0"/>
        </w:rPr>
      </w:pPr>
      <w:bookmarkStart w:name="十五、报告期内接待调研、沟通、采访等活动登记表" w:id="47"/>
      <w:bookmarkEnd w:id="47"/>
      <w:r>
        <w:rPr>
          <w:b w:val="0"/>
          <w:bCs w:val="0"/>
        </w:rPr>
      </w:r>
      <w:r>
        <w:rPr/>
        <w:t>十五、报告期内接待调研、沟通、采访等活动登记表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75"/>
      </w:tblGrid>
      <w:tr>
        <w:trPr>
          <w:trHeight w:val="710"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7" w:right="35"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z w:val="18"/>
                <w:szCs w:val="18"/>
              </w:rPr>
              <w:t>中信建投证券股份 有限公司</w:t>
            </w:r>
          </w:p>
        </w:tc>
        <w:tc>
          <w:tcPr>
            <w:tcW w:w="20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62"/>
              <w:jc w:val="left"/>
              <w:rPr>
                <w:rFonts w:ascii="宋体" w:hAnsi="宋体" w:cs="宋体" w:eastAsia="宋体" w:hint="default"/>
                <w:sz w:val="18"/>
                <w:szCs w:val="18"/>
              </w:rPr>
            </w:pPr>
            <w:r>
              <w:rPr>
                <w:rFonts w:ascii="宋体" w:hAnsi="宋体" w:cs="宋体" w:eastAsia="宋体" w:hint="default"/>
                <w:sz w:val="18"/>
                <w:szCs w:val="18"/>
              </w:rPr>
              <w:t>了解公司的经营情况和所 处行业现状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第五节 重要事项" w:id="48"/>
      <w:bookmarkEnd w:id="48"/>
      <w:r>
        <w:rPr>
          <w:b w:val="0"/>
          <w:bCs w:val="0"/>
        </w:rPr>
      </w:r>
      <w:bookmarkStart w:name="_bookmark4" w:id="49"/>
      <w:bookmarkEnd w:id="49"/>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50"/>
      <w:bookmarkEnd w:id="50"/>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媒体质疑情况" w:id="51"/>
      <w:bookmarkEnd w:id="51"/>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控股股东及其关联方对上市公司的非经营性占用资金情况" w:id="52"/>
      <w:bookmarkEnd w:id="52"/>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破产重整相关事项" w:id="53"/>
      <w:bookmarkEnd w:id="53"/>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资产交易事项" w:id="54"/>
      <w:bookmarkEnd w:id="54"/>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收购资产情况" w:id="55"/>
      <w:bookmarkEnd w:id="55"/>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5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52"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7"/>
              <w:ind w:left="22" w:right="111"/>
              <w:jc w:val="left"/>
              <w:rPr>
                <w:rFonts w:ascii="宋体" w:hAnsi="宋体" w:cs="宋体" w:eastAsia="宋体" w:hint="default"/>
                <w:sz w:val="18"/>
                <w:szCs w:val="18"/>
              </w:rPr>
            </w:pPr>
            <w:r>
              <w:rPr>
                <w:rFonts w:ascii="宋体" w:hAnsi="宋体" w:cs="宋体" w:eastAsia="宋体" w:hint="default"/>
                <w:sz w:val="18"/>
                <w:szCs w:val="18"/>
              </w:rPr>
              <w:t>李波、尹 超、深圳 市腾讯计 算机系统 有限公 司、深圳 市世纪凯 华投资基</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星创互联</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pacing w:val="-18"/>
                <w:sz w:val="18"/>
                <w:szCs w:val="18"/>
              </w:rPr>
              <w:t>（北京）科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 司</w:t>
            </w:r>
          </w:p>
        </w:tc>
        <w:tc>
          <w:tcPr>
            <w:tcW w:w="870"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144,000</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9"/>
                <w:sz w:val="18"/>
                <w:szCs w:val="18"/>
              </w:rPr>
              <w:t>日，公</w:t>
            </w:r>
            <w:r>
              <w:rPr>
                <w:rFonts w:ascii="宋体" w:hAnsi="宋体" w:cs="宋体" w:eastAsia="宋体" w:hint="default"/>
                <w:sz w:val="18"/>
                <w:szCs w:val="18"/>
              </w:rPr>
              <w:t> 司收到中 国证券监 督管理委 员会通知 经中国证 监会上市</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26" w:lineRule="auto" w:before="19"/>
              <w:ind w:left="22" w:right="63"/>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www.cn</w:t>
            </w:r>
            <w:r>
              <w:rPr>
                <w:rFonts w:ascii="Times New Roman" w:hAnsi="Times New Roman" w:cs="Times New Roman" w:eastAsia="Times New Roman" w:hint="default"/>
                <w:sz w:val="18"/>
                <w:szCs w:val="18"/>
              </w:rPr>
              <w:t> info.com.c n</w:t>
            </w:r>
            <w:r>
              <w:rPr>
                <w:rFonts w:ascii="宋体" w:hAnsi="宋体" w:cs="宋体" w:eastAsia="宋体" w:hint="default"/>
                <w:sz w:val="18"/>
                <w:szCs w:val="18"/>
              </w:rPr>
              <w:t>）</w:t>
            </w:r>
          </w:p>
          <w:p>
            <w:pPr>
              <w:pStyle w:val="TableParagraph"/>
              <w:spacing w:line="240" w:lineRule="auto" w:before="32"/>
              <w:ind w:left="22" w:right="0"/>
              <w:jc w:val="both"/>
              <w:rPr>
                <w:rFonts w:ascii="Times New Roman" w:hAnsi="Times New Roman" w:cs="Times New Roman" w:eastAsia="Times New Roman" w:hint="default"/>
                <w:sz w:val="18"/>
                <w:szCs w:val="18"/>
              </w:rPr>
            </w:pPr>
            <w:r>
              <w:rPr>
                <w:rFonts w:ascii="Times New Roman"/>
                <w:sz w:val="18"/>
              </w:rPr>
              <w:t>2015-006</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67"/>
        <w:gridCol w:w="870"/>
        <w:gridCol w:w="881"/>
        <w:gridCol w:w="859"/>
        <w:gridCol w:w="870"/>
        <w:gridCol w:w="869"/>
        <w:gridCol w:w="870"/>
        <w:gridCol w:w="870"/>
        <w:gridCol w:w="870"/>
        <w:gridCol w:w="870"/>
        <w:gridCol w:w="870"/>
      </w:tblGrid>
      <w:tr>
        <w:trPr>
          <w:trHeight w:val="4419" w:hRule="exact"/>
        </w:trPr>
        <w:tc>
          <w:tcPr>
            <w:tcW w:w="8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112"/>
              <w:jc w:val="left"/>
              <w:rPr>
                <w:rFonts w:ascii="宋体" w:hAnsi="宋体" w:cs="宋体" w:eastAsia="宋体" w:hint="default"/>
                <w:sz w:val="18"/>
                <w:szCs w:val="18"/>
              </w:rPr>
            </w:pPr>
            <w:r>
              <w:rPr>
                <w:rFonts w:ascii="宋体" w:hAnsi="宋体" w:cs="宋体" w:eastAsia="宋体" w:hint="default"/>
                <w:sz w:val="18"/>
                <w:szCs w:val="18"/>
              </w:rPr>
              <w:t>金有限公 司</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881" w:type="dxa"/>
            <w:tcBorders>
              <w:top w:val="single" w:sz="4" w:space="0" w:color="000000"/>
              <w:left w:val="single" w:sz="4" w:space="0" w:color="000000"/>
              <w:bottom w:val="single" w:sz="4" w:space="0" w:color="000000"/>
              <w:right w:val="single" w:sz="9" w:space="0" w:color="CCE8CF"/>
            </w:tcBorders>
          </w:tcPr>
          <w:p>
            <w:pPr/>
          </w:p>
        </w:tc>
        <w:tc>
          <w:tcPr>
            <w:tcW w:w="8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11" w:right="71"/>
              <w:jc w:val="left"/>
              <w:rPr>
                <w:rFonts w:ascii="宋体" w:hAnsi="宋体" w:cs="宋体" w:eastAsia="宋体" w:hint="default"/>
                <w:sz w:val="18"/>
                <w:szCs w:val="18"/>
              </w:rPr>
            </w:pPr>
            <w:r>
              <w:rPr>
                <w:rFonts w:ascii="宋体" w:hAnsi="宋体" w:cs="宋体" w:eastAsia="宋体" w:hint="default"/>
                <w:sz w:val="18"/>
                <w:szCs w:val="18"/>
              </w:rPr>
              <w:t>公司并购 重组审核 委员会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16" w:lineRule="auto"/>
              <w:ind w:left="11"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次工作 会议审核 公司发行 股份及支 付现金购 买资产并 募集配套 资金事项 未获得通 过。</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出售资产情况" w:id="56"/>
      <w:bookmarkEnd w:id="56"/>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企业合并情况" w:id="57"/>
      <w:bookmarkEnd w:id="57"/>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公司股权激励的实施情况及其影响" w:id="58"/>
      <w:bookmarkEnd w:id="58"/>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重大关联交易" w:id="59"/>
      <w:bookmarkEnd w:id="59"/>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60"/>
      <w:bookmarkEnd w:id="6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资产收购、出售发生的关联交易" w:id="61"/>
      <w:bookmarkEnd w:id="61"/>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共同对外投资的关联交易" w:id="62"/>
      <w:bookmarkEnd w:id="6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63"/>
      <w:bookmarkEnd w:id="6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关联交易" w:id="64"/>
      <w:bookmarkEnd w:id="64"/>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重大合同及其履行情况" w:id="65"/>
      <w:bookmarkEnd w:id="65"/>
      <w:r>
        <w:rPr>
          <w:b w:val="0"/>
          <w:bCs w:val="0"/>
        </w:rPr>
      </w:r>
      <w:r>
        <w:rPr/>
        <w:t>八、重大合同及其履行情况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重大合同" w:id="66"/>
      <w:bookmarkEnd w:id="66"/>
      <w:r>
        <w:rPr>
          <w:b w:val="0"/>
          <w:bCs w:val="0"/>
        </w:rPr>
      </w:r>
      <w:r>
        <w:rPr>
          <w:rFonts w:ascii="Times New Roman" w:hAnsi="Times New Roman" w:cs="Times New Roman" w:eastAsia="Times New Roman" w:hint="default"/>
        </w:rPr>
        <w:t>1</w:t>
      </w:r>
      <w:r>
        <w:rPr/>
        <w:t>、其他重大合同</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9"/>
        <w:gridCol w:w="798"/>
        <w:gridCol w:w="798"/>
        <w:gridCol w:w="797"/>
        <w:gridCol w:w="796"/>
        <w:gridCol w:w="797"/>
        <w:gridCol w:w="797"/>
        <w:gridCol w:w="797"/>
        <w:gridCol w:w="798"/>
        <w:gridCol w:w="797"/>
      </w:tblGrid>
      <w:tr>
        <w:trPr>
          <w:trHeight w:val="164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4"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43"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广东群兴 玩具股份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44"/>
              <w:jc w:val="both"/>
              <w:rPr>
                <w:rFonts w:ascii="宋体" w:hAnsi="宋体" w:cs="宋体" w:eastAsia="宋体" w:hint="default"/>
                <w:sz w:val="18"/>
                <w:szCs w:val="18"/>
              </w:rPr>
            </w:pPr>
            <w:r>
              <w:rPr>
                <w:rFonts w:ascii="宋体" w:hAnsi="宋体" w:cs="宋体" w:eastAsia="宋体" w:hint="default"/>
                <w:sz w:val="18"/>
                <w:szCs w:val="18"/>
              </w:rPr>
              <w:t>汕头市澄 海区港口 建筑工程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16,463.35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15,290.15</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广东群兴 玩具股份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汕头市澄 海区港口 建筑工程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1,302.00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汕头市童 乐乐玩具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汕头市澄 海区港口 建筑工程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316.00</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广东群兴 玩具股份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浙江中南 集团卡通 影视有限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350.00</w:t>
            </w:r>
          </w:p>
        </w:tc>
      </w:tr>
      <w:tr>
        <w:trPr>
          <w:trHeight w:val="402" w:hRule="exact"/>
        </w:trPr>
        <w:tc>
          <w:tcPr>
            <w:tcW w:w="8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广东群兴</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浙江中南</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03"/>
        <w:gridCol w:w="799"/>
        <w:gridCol w:w="799"/>
        <w:gridCol w:w="798"/>
        <w:gridCol w:w="798"/>
        <w:gridCol w:w="797"/>
        <w:gridCol w:w="796"/>
        <w:gridCol w:w="797"/>
        <w:gridCol w:w="797"/>
        <w:gridCol w:w="797"/>
        <w:gridCol w:w="798"/>
        <w:gridCol w:w="797"/>
      </w:tblGrid>
      <w:tr>
        <w:trPr>
          <w:trHeight w:val="986" w:hRule="exact"/>
        </w:trPr>
        <w:tc>
          <w:tcPr>
            <w:tcW w:w="8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玩具股份 有限公司</w:t>
            </w: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44"/>
              <w:jc w:val="both"/>
              <w:rPr>
                <w:rFonts w:ascii="宋体" w:hAnsi="宋体" w:cs="宋体" w:eastAsia="宋体" w:hint="default"/>
                <w:sz w:val="18"/>
                <w:szCs w:val="18"/>
              </w:rPr>
            </w:pPr>
            <w:r>
              <w:rPr>
                <w:rFonts w:ascii="宋体" w:hAnsi="宋体" w:cs="宋体" w:eastAsia="宋体" w:hint="default"/>
                <w:sz w:val="18"/>
                <w:szCs w:val="18"/>
              </w:rPr>
              <w:t>集团卡通 影视有限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both"/>
        <w:rPr>
          <w:b w:val="0"/>
          <w:bCs w:val="0"/>
        </w:rPr>
      </w:pPr>
      <w:bookmarkStart w:name="2、其他重大交易" w:id="67"/>
      <w:bookmarkEnd w:id="67"/>
      <w:r>
        <w:rPr>
          <w:b w:val="0"/>
          <w:bCs w:val="0"/>
        </w:rPr>
      </w:r>
      <w:r>
        <w:rPr>
          <w:rFonts w:ascii="Times New Roman" w:hAnsi="Times New Roman" w:cs="Times New Roman" w:eastAsia="Times New Roman" w:hint="default"/>
        </w:rPr>
        <w:t>2</w:t>
      </w:r>
      <w:r>
        <w:rPr/>
        <w:t>、其他重大交易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1" w:lineRule="auto" w:before="75"/>
        <w:ind w:right="0"/>
        <w:jc w:val="left"/>
      </w:pPr>
      <w:r>
        <w:rPr>
          <w:spacing w:val="-1"/>
        </w:rPr>
        <w:t>本公司于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日与汕头市童乐乐玩具有限公司股东自然人陈伟煌和陈泽彬签订《股权收购合同》，</w:t>
      </w:r>
      <w:r>
        <w:rPr>
          <w:spacing w:val="-81"/>
        </w:rPr>
        <w:t> </w:t>
      </w:r>
      <w:r>
        <w:rPr>
          <w:spacing w:val="-81"/>
        </w:rPr>
      </w:r>
      <w:r>
        <w:rPr/>
        <w:t>收购陈伟煌持有的童乐乐玩具</w:t>
      </w:r>
      <w:r>
        <w:rPr>
          <w:rFonts w:ascii="Times New Roman" w:hAnsi="Times New Roman" w:cs="Times New Roman" w:eastAsia="Times New Roman" w:hint="default"/>
        </w:rPr>
        <w:t>50%</w:t>
      </w:r>
      <w:r>
        <w:rPr/>
        <w:t>股权，</w:t>
      </w:r>
      <w:r>
        <w:rPr>
          <w:spacing w:val="-44"/>
        </w:rPr>
        <w:t> </w:t>
      </w:r>
      <w:r>
        <w:rPr/>
        <w:t>陈泽彬所持有的童乐乐玩具</w:t>
      </w:r>
      <w:r>
        <w:rPr>
          <w:rFonts w:ascii="Times New Roman" w:hAnsi="Times New Roman" w:cs="Times New Roman" w:eastAsia="Times New Roman" w:hint="default"/>
        </w:rPr>
        <w:t>50%</w:t>
      </w:r>
      <w:r>
        <w:rPr/>
        <w:t>股权。本次收购完成后，童乐乐 玩具将成为本公司全资子公司。本次股权收购，经公司第一届董事会第十四次会议审议通过。 </w:t>
      </w:r>
      <w:r>
        <w:rPr>
          <w:spacing w:val="13"/>
        </w:rPr>
        <w:t>汕头市童乐乐玩具有限公司的土地使用权为园区集体工业用地，国土部门实测确认该土地使用权为</w:t>
      </w:r>
      <w:r>
        <w:rPr>
          <w:spacing w:val="-75"/>
        </w:rPr>
        <w:t> </w:t>
      </w:r>
      <w:r>
        <w:rPr>
          <w:spacing w:val="-75"/>
        </w:rPr>
      </w:r>
      <w:r>
        <w:rPr>
          <w:rFonts w:ascii="Times New Roman" w:hAnsi="Times New Roman" w:cs="Times New Roman" w:eastAsia="Times New Roman" w:hint="default"/>
        </w:rPr>
        <w:t>55,770.42</w:t>
      </w:r>
      <w:r>
        <w:rPr/>
        <w:t>平方米，该地块已办理的房地合一证载的土地面积为</w:t>
      </w:r>
      <w:r>
        <w:rPr>
          <w:rFonts w:ascii="Times New Roman" w:hAnsi="Times New Roman" w:cs="Times New Roman" w:eastAsia="Times New Roman" w:hint="default"/>
        </w:rPr>
        <w:t>19,401.42</w:t>
      </w:r>
      <w:r>
        <w:rPr/>
        <w:t>平方米，剩余的</w:t>
      </w:r>
      <w:r>
        <w:rPr>
          <w:rFonts w:ascii="Times New Roman" w:hAnsi="Times New Roman" w:cs="Times New Roman" w:eastAsia="Times New Roman" w:hint="default"/>
        </w:rPr>
        <w:t>36,369.00</w:t>
      </w:r>
      <w:r>
        <w:rPr/>
        <w:t>平方米的 </w:t>
      </w:r>
      <w:r>
        <w:rPr>
          <w:spacing w:val="3"/>
        </w:rPr>
        <w:t>土地使用权和待开发的二期厂房工程建设审批手续还在有关部门备案，相关权证也在申请办理中。截止</w:t>
      </w:r>
      <w:r>
        <w:rPr>
          <w:spacing w:val="-78"/>
        </w:rPr>
        <w:t> </w:t>
      </w:r>
      <w:r>
        <w:rPr>
          <w:spacing w:val="-78"/>
        </w:rPr>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日，办理进度情况如下：</w:t>
      </w:r>
      <w:r>
        <w:rPr>
          <w:spacing w:val="-24"/>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月上报汕头市澄海区国土资源局申请汕头市澄海区</w:t>
      </w:r>
      <w:r>
        <w:rPr>
          <w:rFonts w:ascii="Times New Roman" w:hAnsi="Times New Roman" w:cs="Times New Roman" w:eastAsia="Times New Roman" w:hint="default"/>
        </w:rPr>
        <w:t>2012</w:t>
      </w:r>
      <w:r>
        <w:rPr/>
        <w:t>年 第十批次城镇建设用地指标，经由汕头市澄海区国土资源局于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月上报广东省国土资源厅；</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9</w:t>
      </w:r>
      <w:r>
        <w:rPr/>
        <w:t>日，公司收到广东省国土资源厅关于汕头市澄海区</w:t>
      </w:r>
      <w:r>
        <w:rPr>
          <w:rFonts w:ascii="Times New Roman" w:hAnsi="Times New Roman" w:cs="Times New Roman" w:eastAsia="Times New Roman" w:hint="default"/>
        </w:rPr>
        <w:t>2012</w:t>
      </w:r>
      <w:r>
        <w:rPr/>
        <w:t>年度第十次城镇建设用地的批复，同意上述土</w:t>
      </w:r>
      <w:r>
        <w:rPr>
          <w:spacing w:val="-30"/>
        </w:rPr>
        <w:t> </w:t>
      </w:r>
      <w:r>
        <w:rPr>
          <w:spacing w:val="-30"/>
        </w:rPr>
      </w:r>
      <w:r>
        <w:rPr/>
        <w:t>地经完善相关手续后依照规划安排作为城镇建设用地。截止报告期末相关手续仍在办理中。</w:t>
      </w:r>
    </w:p>
    <w:p>
      <w:pPr>
        <w:spacing w:line="240" w:lineRule="auto" w:before="5"/>
        <w:rPr>
          <w:rFonts w:ascii="宋体" w:hAnsi="宋体" w:cs="宋体" w:eastAsia="宋体" w:hint="default"/>
          <w:sz w:val="24"/>
          <w:szCs w:val="24"/>
        </w:rPr>
      </w:pPr>
    </w:p>
    <w:p>
      <w:pPr>
        <w:pStyle w:val="Heading4"/>
        <w:spacing w:line="240" w:lineRule="auto"/>
        <w:ind w:right="0"/>
        <w:jc w:val="both"/>
        <w:rPr>
          <w:b w:val="0"/>
          <w:bCs w:val="0"/>
        </w:rPr>
      </w:pPr>
      <w:bookmarkStart w:name="3、 重大资产重组进展情况" w:id="68"/>
      <w:bookmarkEnd w:id="68"/>
      <w:r>
        <w:rPr>
          <w:b w:val="0"/>
          <w:bCs w:val="0"/>
        </w:rPr>
      </w:r>
      <w:r>
        <w:rPr>
          <w:rFonts w:ascii="Times New Roman" w:hAnsi="Times New Roman" w:cs="Times New Roman" w:eastAsia="Times New Roman" w:hint="default"/>
        </w:rPr>
        <w:t>3</w:t>
      </w:r>
      <w:r>
        <w:rPr/>
        <w:t>、</w:t>
      </w:r>
      <w:r>
        <w:rPr>
          <w:spacing w:val="-5"/>
        </w:rPr>
        <w:t> </w:t>
      </w:r>
      <w:r>
        <w:rPr/>
        <w:t>重大资产重组进展情况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2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日公司召开第二届董事会第十一次会议，审议通过了《关于筹划重大资产重组事项及授</w:t>
      </w:r>
      <w:r>
        <w:rPr>
          <w:spacing w:val="-33"/>
        </w:rPr>
        <w:t> </w:t>
      </w:r>
      <w:r>
        <w:rPr>
          <w:spacing w:val="-33"/>
        </w:rPr>
      </w:r>
      <w:r>
        <w:rPr>
          <w:spacing w:val="-1"/>
        </w:rPr>
        <w:t>权董事长办理筹划期间相关事项的议案》，同意公司筹划重大资产重组事项。（详见公司于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w:t>
      </w:r>
      <w:r>
        <w:rPr>
          <w:spacing w:val="-81"/>
        </w:rPr>
        <w:t> </w:t>
      </w:r>
      <w:r>
        <w:rPr>
          <w:spacing w:val="-8"/>
        </w:rPr>
        <w:t>刊登在巨潮资讯网（</w:t>
      </w:r>
      <w:hyperlink r:id="rId11">
        <w:r>
          <w:rPr>
            <w:rFonts w:ascii="Times New Roman" w:hAnsi="Times New Roman" w:cs="Times New Roman" w:eastAsia="Times New Roman" w:hint="default"/>
            <w:spacing w:val="-8"/>
          </w:rPr>
          <w:t>www.cninfo.com.cn</w:t>
        </w:r>
      </w:hyperlink>
      <w:r>
        <w:rPr>
          <w:spacing w:val="-8"/>
        </w:rPr>
        <w:t>）、《中国证券报》、《证券时报》、《上海证券报》上的第</w:t>
      </w:r>
      <w:r>
        <w:rPr>
          <w:rFonts w:ascii="Times New Roman" w:hAnsi="Times New Roman" w:cs="Times New Roman" w:eastAsia="Times New Roman" w:hint="default"/>
          <w:spacing w:val="-8"/>
        </w:rPr>
        <w:t>2014-011 </w:t>
      </w:r>
      <w:r>
        <w:rPr/>
        <w:t>号公告）</w:t>
      </w:r>
    </w:p>
    <w:p>
      <w:pPr>
        <w:pStyle w:val="BodyText"/>
        <w:spacing w:line="259" w:lineRule="auto" w:before="22"/>
        <w:ind w:right="1026"/>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日，公司召开第二届董事会第十七次会议，审议通过了《关于公司符合上市公司发行股 份及支付现金购买资产并募集配套资金条件的议案》、《关于公司发行股份及支付现金购买资产并募集配 套资金方案的议案》、《关于公司发行股份及支付现金购买资产并募集配套资金符合</w:t>
      </w:r>
      <w:r>
        <w:rPr>
          <w:rFonts w:ascii="Times New Roman" w:hAnsi="Times New Roman" w:cs="Times New Roman" w:eastAsia="Times New Roman" w:hint="default"/>
        </w:rPr>
        <w:t>&lt;</w:t>
      </w:r>
      <w:r>
        <w:rPr/>
        <w:t>关于规范上市公司</w:t>
      </w:r>
      <w:r>
        <w:rPr>
          <w:spacing w:val="-43"/>
        </w:rPr>
        <w:t> </w:t>
      </w:r>
      <w:r>
        <w:rPr>
          <w:spacing w:val="-43"/>
        </w:rPr>
      </w:r>
      <w:r>
        <w:rPr/>
        <w:t>重大资产重组若干问题的规定</w:t>
      </w:r>
      <w:r>
        <w:rPr>
          <w:rFonts w:ascii="Times New Roman" w:hAnsi="Times New Roman" w:cs="Times New Roman" w:eastAsia="Times New Roman" w:hint="default"/>
        </w:rPr>
        <w:t>&gt;</w:t>
      </w:r>
      <w:r>
        <w:rPr/>
        <w:t>第四条规定的说明》、《关于本次交易符合</w:t>
      </w:r>
      <w:r>
        <w:rPr>
          <w:rFonts w:ascii="Times New Roman" w:hAnsi="Times New Roman" w:cs="Times New Roman" w:eastAsia="Times New Roman" w:hint="default"/>
        </w:rPr>
        <w:t>&lt;</w:t>
      </w:r>
      <w:r>
        <w:rPr/>
        <w:t>上市公司重大资产重组管理办 法</w:t>
      </w:r>
      <w:r>
        <w:rPr>
          <w:rFonts w:ascii="Times New Roman" w:hAnsi="Times New Roman" w:cs="Times New Roman" w:eastAsia="Times New Roman" w:hint="default"/>
        </w:rPr>
        <w:t>&gt;</w:t>
      </w:r>
      <w:r>
        <w:rPr/>
        <w:t>第四十二条第二款规定的议案》、《关于本次交易不属于关联交易的议案》、《关于公司与李波、尹</w:t>
      </w:r>
      <w:r>
        <w:rPr>
          <w:spacing w:val="-50"/>
        </w:rPr>
        <w:t> </w:t>
      </w:r>
      <w:r>
        <w:rPr>
          <w:spacing w:val="-50"/>
        </w:rPr>
      </w:r>
      <w:r>
        <w:rPr/>
        <w:t>超、腾讯公司、世纪凯华就相应的星创互联股权签署附条件生效的</w:t>
      </w:r>
      <w:r>
        <w:rPr>
          <w:rFonts w:ascii="Times New Roman" w:hAnsi="Times New Roman" w:cs="Times New Roman" w:eastAsia="Times New Roman" w:hint="default"/>
        </w:rPr>
        <w:t>&lt;</w:t>
      </w:r>
      <w:r>
        <w:rPr/>
        <w:t>发行股份及支付现金购买资产协议</w:t>
      </w:r>
      <w:r>
        <w:rPr>
          <w:rFonts w:ascii="Times New Roman" w:hAnsi="Times New Roman" w:cs="Times New Roman" w:eastAsia="Times New Roman" w:hint="default"/>
        </w:rPr>
        <w:t>&gt;</w:t>
      </w:r>
      <w:r>
        <w:rPr/>
        <w:t>； </w:t>
      </w:r>
      <w:r>
        <w:rPr>
          <w:spacing w:val="-8"/>
        </w:rPr>
        <w:t>与李波、尹超、腾讯公司、世纪凯华就相应的星创互联股权签署附条件生效的</w:t>
      </w:r>
      <w:r>
        <w:rPr>
          <w:rFonts w:ascii="Times New Roman" w:hAnsi="Times New Roman" w:cs="Times New Roman" w:eastAsia="Times New Roman" w:hint="default"/>
          <w:spacing w:val="-8"/>
        </w:rPr>
        <w:t>&lt;</w:t>
      </w:r>
      <w:r>
        <w:rPr>
          <w:spacing w:val="-8"/>
        </w:rPr>
        <w:t>盈利预测补偿协议</w:t>
      </w:r>
      <w:r>
        <w:rPr>
          <w:rFonts w:ascii="Times New Roman" w:hAnsi="Times New Roman" w:cs="Times New Roman" w:eastAsia="Times New Roman" w:hint="default"/>
          <w:spacing w:val="-8"/>
        </w:rPr>
        <w:t>&gt;</w:t>
      </w:r>
      <w:r>
        <w:rPr>
          <w:spacing w:val="-8"/>
        </w:rPr>
        <w:t>的议案》、</w:t>
      </w:r>
    </w:p>
    <w:p>
      <w:pPr>
        <w:pStyle w:val="BodyText"/>
        <w:spacing w:line="256" w:lineRule="auto" w:before="2"/>
        <w:ind w:right="1024"/>
        <w:jc w:val="left"/>
      </w:pPr>
      <w:r>
        <w:rPr/>
        <w:t>《关于</w:t>
      </w:r>
      <w:r>
        <w:rPr>
          <w:rFonts w:ascii="Times New Roman" w:hAnsi="Times New Roman" w:cs="Times New Roman" w:eastAsia="Times New Roman" w:hint="default"/>
        </w:rPr>
        <w:t>&lt;</w:t>
      </w:r>
      <w:r>
        <w:rPr/>
        <w:t>广东群兴玩具股份有限公司发行股份及支付现金购买资产并募集配套资金报告书</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)&gt;</w:t>
      </w:r>
      <w:r>
        <w:rPr/>
        <w:t>及其摘要</w:t>
      </w:r>
      <w:r>
        <w:rPr>
          <w:spacing w:val="-89"/>
        </w:rPr>
        <w:t> </w:t>
      </w:r>
      <w:r>
        <w:rPr>
          <w:spacing w:val="-3"/>
        </w:rPr>
        <w:t>的议案》、《公司董事会关于本次交易履行法定程序的完备性、合规性及提交法律文件的有效性的说明》、</w:t>
      </w:r>
    </w:p>
    <w:p>
      <w:pPr>
        <w:pStyle w:val="BodyText"/>
        <w:spacing w:line="273" w:lineRule="auto" w:before="22"/>
        <w:ind w:right="1131"/>
        <w:jc w:val="both"/>
      </w:pPr>
      <w:r>
        <w:rPr>
          <w:spacing w:val="-1"/>
        </w:rPr>
        <w:t>《关于评估机构的独立性、评估假设前提的合理性、评估方法与评估目的相关性以及评估定价的公允性的</w:t>
      </w:r>
      <w:r>
        <w:rPr>
          <w:spacing w:val="-81"/>
        </w:rPr>
        <w:t> </w:t>
      </w:r>
      <w:r>
        <w:rPr>
          <w:spacing w:val="-81"/>
        </w:rPr>
      </w:r>
      <w:r>
        <w:rPr>
          <w:spacing w:val="-1"/>
        </w:rPr>
        <w:t>意见的议案》、《关于审议公司本次交易的审计报告、盈利预测报告与资产评估报告的议案》、《关于公</w:t>
      </w:r>
      <w:r>
        <w:rPr>
          <w:spacing w:val="-85"/>
        </w:rPr>
        <w:t> </w:t>
      </w:r>
      <w:r>
        <w:rPr>
          <w:spacing w:val="-85"/>
        </w:rPr>
      </w:r>
      <w:r>
        <w:rPr>
          <w:spacing w:val="-1"/>
        </w:rPr>
        <w:t>司本次交易定价的依据及公平合理性说明的议案》、《关于提请公司股东大会授权董事会办理发行股份及</w:t>
      </w:r>
      <w:r>
        <w:rPr>
          <w:spacing w:val="-82"/>
        </w:rPr>
        <w:t> </w:t>
      </w:r>
      <w:r>
        <w:rPr>
          <w:spacing w:val="-82"/>
        </w:rPr>
      </w:r>
      <w:r>
        <w:rPr>
          <w:spacing w:val="5"/>
        </w:rPr>
        <w:t>支付现金购买资产并募集配套资金相关事宜的议案》。（详见公司于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22</w:t>
      </w:r>
      <w:r>
        <w:rPr>
          <w:spacing w:val="5"/>
        </w:rPr>
        <w:t>日刊登在巨潮资讯网</w:t>
      </w:r>
    </w:p>
    <w:p>
      <w:pPr>
        <w:pStyle w:val="BodyText"/>
        <w:spacing w:line="279" w:lineRule="exact"/>
        <w:ind w:right="0"/>
        <w:jc w:val="both"/>
      </w:pPr>
      <w:r>
        <w:rPr/>
        <w:t>（</w:t>
      </w:r>
      <w:hyperlink r:id="rId11">
        <w:r>
          <w:rPr>
            <w:rFonts w:ascii="Times New Roman" w:hAnsi="Times New Roman" w:cs="Times New Roman" w:eastAsia="Times New Roman" w:hint="default"/>
          </w:rPr>
          <w:t>www.cninfo.com.cn</w:t>
        </w:r>
      </w:hyperlink>
      <w:r>
        <w:rPr/>
        <w:t>）、《中国证券报》、《证券时报》、《上海证券报》上的第</w:t>
      </w:r>
      <w:r>
        <w:rPr>
          <w:rFonts w:ascii="Times New Roman" w:hAnsi="Times New Roman" w:cs="Times New Roman" w:eastAsia="Times New Roman" w:hint="default"/>
        </w:rPr>
        <w:t>2014-060</w:t>
      </w:r>
      <w:r>
        <w:rPr/>
        <w:t>号公告）</w:t>
      </w:r>
    </w:p>
    <w:p>
      <w:pPr>
        <w:pStyle w:val="BodyText"/>
        <w:spacing w:line="256" w:lineRule="auto" w:before="21"/>
        <w:ind w:right="1132"/>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日公司召开</w:t>
      </w:r>
      <w:r>
        <w:rPr>
          <w:rFonts w:ascii="Times New Roman" w:hAnsi="Times New Roman" w:cs="Times New Roman" w:eastAsia="Times New Roman" w:hint="default"/>
        </w:rPr>
        <w:t>2014</w:t>
      </w:r>
      <w:r>
        <w:rPr/>
        <w:t>年第二次临时股东大会，采用网络投票和现场会议相结合的方式召开，</w:t>
      </w:r>
      <w:r>
        <w:rPr>
          <w:spacing w:val="-36"/>
        </w:rPr>
        <w:t> </w:t>
      </w:r>
      <w:r>
        <w:rPr>
          <w:spacing w:val="-36"/>
        </w:rPr>
      </w:r>
      <w:r>
        <w:rPr/>
        <w:t>审议通过了公司于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日召开的第二届董事会第十七次会议审议的所有议案。（详见公司于</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9</w:t>
      </w:r>
      <w:r>
        <w:rPr>
          <w:spacing w:val="-2"/>
        </w:rPr>
        <w:t>日刊登在巨潮资讯网（</w:t>
      </w:r>
      <w:hyperlink r:id="rId11">
        <w:r>
          <w:rPr>
            <w:rFonts w:ascii="Times New Roman" w:hAnsi="Times New Roman" w:cs="Times New Roman" w:eastAsia="Times New Roman" w:hint="default"/>
            <w:spacing w:val="-2"/>
          </w:rPr>
          <w:t>www.cninfo.com.cn</w:t>
        </w:r>
      </w:hyperlink>
      <w:r>
        <w:rPr>
          <w:spacing w:val="-2"/>
        </w:rPr>
        <w:t>）、《中国证券报》、《证券时报》、《上海证券报》上</w:t>
      </w:r>
      <w:r>
        <w:rPr>
          <w:spacing w:val="-53"/>
        </w:rPr>
        <w:t> </w:t>
      </w:r>
      <w:r>
        <w:rPr>
          <w:spacing w:val="-53"/>
        </w:rPr>
      </w:r>
      <w:r>
        <w:rPr/>
        <w:t>的第</w:t>
      </w:r>
      <w:r>
        <w:rPr>
          <w:rFonts w:ascii="Times New Roman" w:hAnsi="Times New Roman" w:cs="Times New Roman" w:eastAsia="Times New Roman" w:hint="default"/>
        </w:rPr>
        <w:t>2014-067</w:t>
      </w:r>
      <w:r>
        <w:rPr/>
        <w:t>号公告）</w:t>
      </w:r>
    </w:p>
    <w:p>
      <w:pPr>
        <w:pStyle w:val="BodyText"/>
        <w:spacing w:line="256" w:lineRule="auto" w:before="5"/>
        <w:ind w:right="113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日公司收到中国证券监督管理委员会（以下简称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）出具的《中国证监会行 </w:t>
      </w:r>
      <w:r>
        <w:rPr>
          <w:spacing w:val="-1"/>
        </w:rPr>
        <w:t>政许可申请受理通知书》（</w:t>
      </w:r>
      <w:r>
        <w:rPr>
          <w:rFonts w:ascii="Times New Roman" w:hAnsi="Times New Roman" w:cs="Times New Roman" w:eastAsia="Times New Roman" w:hint="default"/>
          <w:spacing w:val="-1"/>
        </w:rPr>
        <w:t>140977</w:t>
      </w:r>
      <w:r>
        <w:rPr>
          <w:spacing w:val="-1"/>
        </w:rPr>
        <w:t>号）。中国证监会依法对公司提交的《广东群兴玩具股份有限公司发行</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3"/>
        <w:jc w:val="both"/>
      </w:pPr>
      <w:r>
        <w:rPr>
          <w:spacing w:val="-1"/>
        </w:rPr>
        <w:t>股份购买资产核准》行政许可申请材料进行了审查，认为该申请材料齐全，符合法定形式，决定对该行政</w:t>
      </w:r>
      <w:r>
        <w:rPr>
          <w:spacing w:val="-86"/>
        </w:rPr>
        <w:t> </w:t>
      </w:r>
      <w:r>
        <w:rPr>
          <w:spacing w:val="-86"/>
        </w:rPr>
      </w:r>
      <w:r>
        <w:rPr/>
        <w:t>许可申请予以受理。（详见公司于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日刊登在巨潮资讯网（</w:t>
      </w:r>
      <w:hyperlink r:id="rId11">
        <w:r>
          <w:rPr>
            <w:rFonts w:ascii="Times New Roman" w:hAnsi="Times New Roman" w:cs="Times New Roman" w:eastAsia="Times New Roman" w:hint="default"/>
          </w:rPr>
          <w:t>www.cninfo.com.cn</w:t>
        </w:r>
      </w:hyperlink>
      <w:r>
        <w:rPr/>
        <w:t>）、《中国证券</w:t>
      </w:r>
      <w:r>
        <w:rPr>
          <w:spacing w:val="-63"/>
        </w:rPr>
        <w:t> </w:t>
      </w:r>
      <w:r>
        <w:rPr>
          <w:spacing w:val="-63"/>
        </w:rPr>
      </w:r>
      <w:r>
        <w:rPr/>
        <w:t>报》、《证券时报》、《上海证券报》上的第</w:t>
      </w:r>
      <w:r>
        <w:rPr>
          <w:rFonts w:ascii="Times New Roman" w:hAnsi="Times New Roman" w:cs="Times New Roman" w:eastAsia="Times New Roman" w:hint="default"/>
        </w:rPr>
        <w:t>2014-068</w:t>
      </w:r>
      <w:r>
        <w:rPr/>
        <w:t>号公告）</w:t>
      </w:r>
    </w:p>
    <w:p>
      <w:pPr>
        <w:pStyle w:val="BodyText"/>
        <w:spacing w:line="261" w:lineRule="auto"/>
        <w:ind w:right="1131"/>
        <w:jc w:val="both"/>
      </w:pPr>
      <w:r>
        <w:rPr>
          <w:spacing w:val="-1"/>
        </w:rPr>
        <w:t>（</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15</w:t>
      </w:r>
      <w:r>
        <w:rPr>
          <w:spacing w:val="-1"/>
        </w:rPr>
        <w:t>日公司收到《中国证监会行政许可项目审查一次反馈意见通知书》（</w:t>
      </w:r>
      <w:r>
        <w:rPr>
          <w:rFonts w:ascii="Times New Roman" w:hAnsi="Times New Roman" w:cs="Times New Roman" w:eastAsia="Times New Roman" w:hint="default"/>
          <w:spacing w:val="-1"/>
        </w:rPr>
        <w:t>140977</w:t>
      </w:r>
      <w:r>
        <w:rPr>
          <w:spacing w:val="-1"/>
        </w:rPr>
        <w:t>号），中国</w:t>
      </w:r>
      <w:r>
        <w:rPr>
          <w:spacing w:val="-81"/>
        </w:rPr>
        <w:t> </w:t>
      </w:r>
      <w:r>
        <w:rPr>
          <w:spacing w:val="-81"/>
        </w:rPr>
      </w:r>
      <w:r>
        <w:rPr>
          <w:spacing w:val="-1"/>
        </w:rPr>
        <w:t>证监会依法对本公司提交的《广东群兴玩具股份有限公司发行股份购买资产核准》行政许可申请材料进行</w:t>
      </w:r>
      <w:r>
        <w:rPr>
          <w:spacing w:val="-81"/>
        </w:rPr>
        <w:t> </w:t>
      </w:r>
      <w:r>
        <w:rPr>
          <w:spacing w:val="-81"/>
        </w:rPr>
      </w:r>
      <w:r>
        <w:rPr>
          <w:spacing w:val="-1"/>
        </w:rPr>
        <w:t>了审查，现需要公司就相关问题进行书面说明和解释，并在</w:t>
      </w:r>
      <w:r>
        <w:rPr>
          <w:rFonts w:ascii="Times New Roman" w:hAnsi="Times New Roman" w:cs="Times New Roman" w:eastAsia="Times New Roman" w:hint="default"/>
          <w:spacing w:val="-1"/>
        </w:rPr>
        <w:t>30</w:t>
      </w:r>
      <w:r>
        <w:rPr>
          <w:spacing w:val="-1"/>
        </w:rPr>
        <w:t>个工作日内向中国证监会行政许可受理部门</w:t>
      </w:r>
      <w:r>
        <w:rPr>
          <w:spacing w:val="-82"/>
        </w:rPr>
        <w:t> </w:t>
      </w:r>
      <w:r>
        <w:rPr>
          <w:spacing w:val="-82"/>
        </w:rPr>
      </w:r>
      <w:r>
        <w:rPr/>
        <w:t>提交书面回复意见。（详见公司于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日刊登在巨潮资讯网（</w:t>
      </w:r>
      <w:hyperlink r:id="rId11">
        <w:r>
          <w:rPr>
            <w:rFonts w:ascii="Times New Roman" w:hAnsi="Times New Roman" w:cs="Times New Roman" w:eastAsia="Times New Roman" w:hint="default"/>
          </w:rPr>
          <w:t>www.cninfo.com.cn</w:t>
        </w:r>
      </w:hyperlink>
      <w:r>
        <w:rPr/>
        <w:t>）、《中国证券</w:t>
      </w:r>
      <w:r>
        <w:rPr>
          <w:spacing w:val="-63"/>
        </w:rPr>
        <w:t> </w:t>
      </w:r>
      <w:r>
        <w:rPr>
          <w:spacing w:val="-63"/>
        </w:rPr>
      </w:r>
      <w:r>
        <w:rPr/>
        <w:t>报》、《证券时报》、《上海证券报》上的第</w:t>
      </w:r>
      <w:r>
        <w:rPr>
          <w:rFonts w:ascii="Times New Roman" w:hAnsi="Times New Roman" w:cs="Times New Roman" w:eastAsia="Times New Roman" w:hint="default"/>
        </w:rPr>
        <w:t>2014-072</w:t>
      </w:r>
      <w:r>
        <w:rPr/>
        <w:t>号公告）</w:t>
      </w:r>
    </w:p>
    <w:p>
      <w:pPr>
        <w:pStyle w:val="BodyText"/>
        <w:spacing w:line="261" w:lineRule="auto"/>
        <w:ind w:right="113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日公司收到《中国证监会行政许可项目审查二次反馈意见通知书》（</w:t>
      </w:r>
      <w:r>
        <w:rPr>
          <w:rFonts w:ascii="Times New Roman" w:hAnsi="Times New Roman" w:cs="Times New Roman" w:eastAsia="Times New Roman" w:hint="default"/>
        </w:rPr>
        <w:t>140977</w:t>
      </w:r>
      <w:r>
        <w:rPr/>
        <w:t>号），中</w:t>
      </w:r>
      <w:r>
        <w:rPr>
          <w:spacing w:val="-31"/>
        </w:rPr>
        <w:t> </w:t>
      </w:r>
      <w:r>
        <w:rPr>
          <w:spacing w:val="-31"/>
        </w:rPr>
      </w:r>
      <w:r>
        <w:rPr>
          <w:spacing w:val="-1"/>
        </w:rPr>
        <w:t>国证监会依法对本公司提交的《广东群兴玩具股份有限公司发行股份购买资产核准》行政许可申请材料进</w:t>
      </w:r>
      <w:r>
        <w:rPr>
          <w:spacing w:val="-81"/>
        </w:rPr>
        <w:t> </w:t>
      </w:r>
      <w:r>
        <w:rPr>
          <w:spacing w:val="-81"/>
        </w:rPr>
      </w:r>
      <w:r>
        <w:rPr>
          <w:spacing w:val="-1"/>
        </w:rPr>
        <w:t>行了审查，现需要公司就相关问题作出书面说明和解释，并在</w:t>
      </w:r>
      <w:r>
        <w:rPr>
          <w:rFonts w:ascii="Times New Roman" w:hAnsi="Times New Roman" w:cs="Times New Roman" w:eastAsia="Times New Roman" w:hint="default"/>
          <w:spacing w:val="-1"/>
        </w:rPr>
        <w:t>30</w:t>
      </w:r>
      <w:r>
        <w:rPr>
          <w:spacing w:val="-1"/>
        </w:rPr>
        <w:t>个工作日内向中国证监会行政许可受理部</w:t>
      </w:r>
      <w:r>
        <w:rPr>
          <w:spacing w:val="-82"/>
        </w:rPr>
        <w:t> </w:t>
      </w:r>
      <w:r>
        <w:rPr>
          <w:spacing w:val="-82"/>
        </w:rPr>
      </w:r>
      <w:r>
        <w:rPr>
          <w:spacing w:val="-1"/>
        </w:rPr>
        <w:t>门提交书面回复意见。（详见公司于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日刊登在巨潮资讯网（</w:t>
      </w:r>
      <w:hyperlink r:id="rId11">
        <w:r>
          <w:rPr>
            <w:rFonts w:ascii="Times New Roman" w:hAnsi="Times New Roman" w:cs="Times New Roman" w:eastAsia="Times New Roman" w:hint="default"/>
            <w:spacing w:val="-1"/>
          </w:rPr>
          <w:t>www.cninfo.com.cn</w:t>
        </w:r>
      </w:hyperlink>
      <w:r>
        <w:rPr>
          <w:spacing w:val="-1"/>
        </w:rPr>
        <w:t>）、《中国证</w:t>
      </w:r>
      <w:r>
        <w:rPr>
          <w:w w:val="99"/>
        </w:rPr>
        <w:t> </w:t>
      </w:r>
      <w:r>
        <w:rPr/>
        <w:t>券报》、《证券时报》、《上海证券报》上的第</w:t>
      </w:r>
      <w:r>
        <w:rPr>
          <w:rFonts w:ascii="Times New Roman" w:hAnsi="Times New Roman" w:cs="Times New Roman" w:eastAsia="Times New Roman" w:hint="default"/>
        </w:rPr>
        <w:t>2014-075</w:t>
      </w:r>
      <w:r>
        <w:rPr/>
        <w:t>号公告）</w:t>
      </w:r>
    </w:p>
    <w:p>
      <w:pPr>
        <w:pStyle w:val="BodyText"/>
        <w:spacing w:line="256" w:lineRule="auto"/>
        <w:ind w:right="1130"/>
        <w:jc w:val="both"/>
      </w:pPr>
      <w:r>
        <w:rPr>
          <w:spacing w:val="-1"/>
        </w:rPr>
        <w:t>（</w:t>
      </w:r>
      <w:r>
        <w:rPr>
          <w:rFonts w:ascii="Times New Roman" w:hAnsi="Times New Roman" w:cs="Times New Roman" w:eastAsia="Times New Roman" w:hint="default"/>
          <w:spacing w:val="-1"/>
        </w:rPr>
        <w:t>7</w:t>
      </w:r>
      <w:r>
        <w:rPr>
          <w:spacing w:val="-1"/>
        </w:rPr>
        <w:t>）</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6</w:t>
      </w:r>
      <w:r>
        <w:rPr>
          <w:spacing w:val="-1"/>
        </w:rPr>
        <w:t>日公司接中国证监会通知，因参与本次重组的有关方面涉嫌违法被稽查立案，本公司并</w:t>
      </w:r>
      <w:r>
        <w:rPr>
          <w:spacing w:val="-84"/>
        </w:rPr>
        <w:t> </w:t>
      </w:r>
      <w:r>
        <w:rPr>
          <w:spacing w:val="-84"/>
        </w:rPr>
      </w:r>
      <w:r>
        <w:rPr/>
        <w:t>购重组申请被暂停审核。本公司目前尚未收到对上市公司的立案调查通知书。（详见公司于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25"/>
        </w:rPr>
        <w:t> </w:t>
      </w:r>
      <w:r>
        <w:rPr>
          <w:spacing w:val="-11"/>
          <w:w w:val="99"/>
        </w:rPr>
        <w:t>日刊登在巨潮资讯网（</w:t>
      </w:r>
      <w:hyperlink r:id="rId11">
        <w:r>
          <w:rPr>
            <w:rFonts w:ascii="Times New Roman" w:hAnsi="Times New Roman" w:cs="Times New Roman" w:eastAsia="Times New Roman" w:hint="default"/>
            <w:spacing w:val="-11"/>
            <w:w w:val="99"/>
          </w:rPr>
          <w:t>www.cninfo.com.cn</w:t>
        </w:r>
      </w:hyperlink>
      <w:r>
        <w:rPr>
          <w:spacing w:val="-11"/>
          <w:w w:val="99"/>
        </w:rPr>
        <w:t>）、《中国证券报》、《证券时报》、《上海证券报》上的第</w:t>
      </w:r>
      <w:r>
        <w:rPr>
          <w:rFonts w:ascii="Times New Roman" w:hAnsi="Times New Roman" w:cs="Times New Roman" w:eastAsia="Times New Roman" w:hint="default"/>
          <w:spacing w:val="-11"/>
          <w:w w:val="99"/>
        </w:rPr>
        <w:t>2014-080</w:t>
      </w:r>
      <w:r>
        <w:rPr>
          <w:rFonts w:ascii="Times New Roman" w:hAnsi="Times New Roman" w:cs="Times New Roman" w:eastAsia="Times New Roman" w:hint="default"/>
          <w:spacing w:val="-23"/>
          <w:w w:val="99"/>
        </w:rPr>
        <w:t> </w:t>
      </w:r>
      <w:r>
        <w:rPr>
          <w:rFonts w:ascii="Times New Roman" w:hAnsi="Times New Roman" w:cs="Times New Roman" w:eastAsia="Times New Roman" w:hint="default"/>
          <w:spacing w:val="-23"/>
          <w:w w:val="99"/>
        </w:rPr>
      </w:r>
      <w:r>
        <w:rPr/>
        <w:t>号公告）</w:t>
      </w:r>
    </w:p>
    <w:p>
      <w:pPr>
        <w:pStyle w:val="BodyText"/>
        <w:spacing w:line="256" w:lineRule="auto" w:before="22"/>
        <w:ind w:right="1129"/>
        <w:jc w:val="both"/>
      </w:pPr>
      <w:r>
        <w:rPr>
          <w:spacing w:val="-1"/>
        </w:rPr>
        <w:t>（</w:t>
      </w:r>
      <w:r>
        <w:rPr>
          <w:rFonts w:ascii="Times New Roman" w:hAnsi="Times New Roman" w:cs="Times New Roman" w:eastAsia="Times New Roman" w:hint="default"/>
          <w:spacing w:val="-1"/>
        </w:rPr>
        <w:t>8</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16</w:t>
      </w:r>
      <w:r>
        <w:rPr>
          <w:spacing w:val="-1"/>
        </w:rPr>
        <w:t>日，公司接中国证监会通知，恢复审核我公司重大资产重组申请。（详见公司于</w:t>
      </w:r>
      <w:r>
        <w:rPr>
          <w:rFonts w:ascii="Times New Roman" w:hAnsi="Times New Roman" w:cs="Times New Roman" w:eastAsia="Times New Roman" w:hint="default"/>
          <w:spacing w:val="-1"/>
        </w:rPr>
        <w:t>2015</w:t>
      </w:r>
      <w:r>
        <w:rPr>
          <w:spacing w:val="-1"/>
        </w:rPr>
        <w:t>年</w:t>
      </w:r>
      <w:r>
        <w:rPr>
          <w:spacing w:val="-77"/>
        </w:rPr>
        <w:t>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日刊登在巨潮资讯网（</w:t>
      </w:r>
      <w:hyperlink r:id="rId11">
        <w:r>
          <w:rPr>
            <w:rFonts w:ascii="Times New Roman" w:hAnsi="Times New Roman" w:cs="Times New Roman" w:eastAsia="Times New Roman" w:hint="default"/>
          </w:rPr>
          <w:t>www.cninfo.com.cn</w:t>
        </w:r>
      </w:hyperlink>
      <w:r>
        <w:rPr/>
        <w:t>）、《中国证券报》、《证券时报》、《上海证券报》上</w:t>
      </w:r>
      <w:r>
        <w:rPr>
          <w:spacing w:val="-64"/>
        </w:rPr>
        <w:t> </w:t>
      </w:r>
      <w:r>
        <w:rPr>
          <w:spacing w:val="-64"/>
        </w:rPr>
      </w:r>
      <w:r>
        <w:rPr/>
        <w:t>的第</w:t>
      </w:r>
      <w:r>
        <w:rPr>
          <w:rFonts w:ascii="Times New Roman" w:hAnsi="Times New Roman" w:cs="Times New Roman" w:eastAsia="Times New Roman" w:hint="default"/>
        </w:rPr>
        <w:t>2015-003</w:t>
      </w:r>
      <w:r>
        <w:rPr/>
        <w:t>号公告）</w:t>
      </w:r>
    </w:p>
    <w:p>
      <w:pPr>
        <w:pStyle w:val="BodyText"/>
        <w:spacing w:line="256" w:lineRule="auto" w:before="5"/>
        <w:ind w:right="1130"/>
        <w:jc w:val="both"/>
      </w:pPr>
      <w:r>
        <w:rPr>
          <w:spacing w:val="-1"/>
        </w:rPr>
        <w:t>（</w:t>
      </w: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28</w:t>
      </w:r>
      <w:r>
        <w:rPr>
          <w:spacing w:val="-1"/>
        </w:rPr>
        <w:t>日公司收到中国证券监督管理委员会通知，上市公司并购重组审核委员会将于近日召开</w:t>
      </w:r>
      <w:r>
        <w:rPr>
          <w:spacing w:val="-82"/>
        </w:rPr>
        <w:t> </w:t>
      </w:r>
      <w:r>
        <w:rPr>
          <w:spacing w:val="-82"/>
        </w:rPr>
      </w:r>
      <w:r>
        <w:rPr>
          <w:spacing w:val="-1"/>
        </w:rPr>
        <w:t>工作会议，审核公司发行股份及支付现金购买资产并募集配套资金的资产重组事项。（详见公司于</w:t>
      </w:r>
      <w:r>
        <w:rPr>
          <w:rFonts w:ascii="Times New Roman" w:hAnsi="Times New Roman" w:cs="Times New Roman" w:eastAsia="Times New Roman" w:hint="default"/>
          <w:spacing w:val="-1"/>
        </w:rPr>
        <w:t>2015</w:t>
      </w:r>
      <w:r>
        <w:rPr>
          <w:spacing w:val="-1"/>
        </w:rPr>
        <w:t>年</w:t>
      </w:r>
      <w:r>
        <w:rPr>
          <w:spacing w:val="-80"/>
        </w:rPr>
        <w:t> </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日刊登在巨潮资讯网（</w:t>
      </w:r>
      <w:hyperlink r:id="rId11">
        <w:r>
          <w:rPr>
            <w:rFonts w:ascii="Times New Roman" w:hAnsi="Times New Roman" w:cs="Times New Roman" w:eastAsia="Times New Roman" w:hint="default"/>
          </w:rPr>
          <w:t>www.cninfo.com.cn</w:t>
        </w:r>
      </w:hyperlink>
      <w:r>
        <w:rPr/>
        <w:t>）、《中国证券报》、《证券时报》、《上海证券报》上</w:t>
      </w:r>
      <w:r>
        <w:rPr>
          <w:spacing w:val="-64"/>
        </w:rPr>
        <w:t> </w:t>
      </w:r>
      <w:r>
        <w:rPr>
          <w:spacing w:val="-64"/>
        </w:rPr>
      </w:r>
      <w:r>
        <w:rPr/>
        <w:t>的第</w:t>
      </w:r>
      <w:r>
        <w:rPr>
          <w:rFonts w:ascii="Times New Roman" w:hAnsi="Times New Roman" w:cs="Times New Roman" w:eastAsia="Times New Roman" w:hint="default"/>
        </w:rPr>
        <w:t>2015-004</w:t>
      </w:r>
      <w:r>
        <w:rPr/>
        <w:t>号公告）</w:t>
      </w:r>
    </w:p>
    <w:p>
      <w:pPr>
        <w:pStyle w:val="BodyText"/>
        <w:spacing w:line="256" w:lineRule="auto" w:before="5"/>
        <w:ind w:right="1131"/>
        <w:jc w:val="both"/>
      </w:pPr>
      <w:r>
        <w:rPr>
          <w:spacing w:val="-1"/>
        </w:rPr>
        <w:t>（</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5</w:t>
      </w:r>
      <w:r>
        <w:rPr>
          <w:spacing w:val="-1"/>
        </w:rPr>
        <w:t>日，公司收到中国证券监督管理委员会通知，经中国证监会上市公司并购重组审核委员</w:t>
      </w:r>
      <w:r>
        <w:rPr>
          <w:spacing w:val="-80"/>
        </w:rPr>
        <w:t> </w:t>
      </w:r>
      <w:r>
        <w:rPr>
          <w:spacing w:val="-80"/>
        </w:rPr>
      </w:r>
      <w:r>
        <w:rPr>
          <w:spacing w:val="-1"/>
        </w:rPr>
        <w:t>会</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12</w:t>
      </w:r>
      <w:r>
        <w:rPr>
          <w:spacing w:val="-1"/>
        </w:rPr>
        <w:t>次工作会议审核，公司发行股份及支付现金购买资产并募集配套资金事项未获得通过。（详</w:t>
      </w:r>
      <w:r>
        <w:rPr>
          <w:spacing w:val="-83"/>
        </w:rPr>
        <w:t> </w:t>
      </w:r>
      <w:r>
        <w:rPr>
          <w:spacing w:val="-83"/>
        </w:rPr>
      </w:r>
      <w:r>
        <w:rPr>
          <w:spacing w:val="-2"/>
        </w:rPr>
        <w:t>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6</w:t>
      </w:r>
      <w:r>
        <w:rPr>
          <w:spacing w:val="-2"/>
        </w:rPr>
        <w:t>日刊登在巨潮资讯网（</w:t>
      </w:r>
      <w:hyperlink r:id="rId11">
        <w:r>
          <w:rPr>
            <w:rFonts w:ascii="Times New Roman" w:hAnsi="Times New Roman" w:cs="Times New Roman" w:eastAsia="Times New Roman" w:hint="default"/>
            <w:spacing w:val="-2"/>
          </w:rPr>
          <w:t>www.cninfo.com.cn</w:t>
        </w:r>
      </w:hyperlink>
      <w:r>
        <w:rPr>
          <w:spacing w:val="-2"/>
        </w:rPr>
        <w:t>）、《中国证券报》、《证券时报》、《上</w:t>
      </w:r>
      <w:r>
        <w:rPr>
          <w:spacing w:val="-50"/>
        </w:rPr>
        <w:t> </w:t>
      </w:r>
      <w:r>
        <w:rPr>
          <w:spacing w:val="-50"/>
        </w:rPr>
      </w:r>
      <w:r>
        <w:rPr/>
        <w:t>海证券报》上的第</w:t>
      </w:r>
      <w:r>
        <w:rPr>
          <w:rFonts w:ascii="Times New Roman" w:hAnsi="Times New Roman" w:cs="Times New Roman" w:eastAsia="Times New Roman" w:hint="default"/>
        </w:rPr>
        <w:t>2015-006</w:t>
      </w:r>
      <w:r>
        <w:rPr/>
        <w:t>号公告）</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236"/>
        <w:gridCol w:w="3237"/>
        <w:gridCol w:w="3095"/>
      </w:tblGrid>
      <w:tr>
        <w:trPr>
          <w:trHeight w:val="414" w:hRule="exact"/>
        </w:trPr>
        <w:tc>
          <w:tcPr>
            <w:tcW w:w="32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32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740"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6"/>
              <w:jc w:val="left"/>
              <w:rPr>
                <w:rFonts w:ascii="宋体" w:hAnsi="宋体" w:cs="宋体" w:eastAsia="宋体" w:hint="default"/>
                <w:sz w:val="18"/>
                <w:szCs w:val="18"/>
              </w:rPr>
            </w:pPr>
            <w:r>
              <w:rPr>
                <w:rFonts w:ascii="宋体" w:hAnsi="宋体" w:cs="宋体" w:eastAsia="宋体" w:hint="default"/>
                <w:sz w:val="18"/>
                <w:szCs w:val="18"/>
              </w:rPr>
              <w:t>《关于使用自有资金收购汕头市童乐乐 玩具有限公司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309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2012-020</w:t>
            </w:r>
          </w:p>
        </w:tc>
      </w:tr>
      <w:tr>
        <w:trPr>
          <w:trHeight w:val="738"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22"/>
              <w:jc w:val="center"/>
              <w:rPr>
                <w:rFonts w:ascii="宋体" w:hAnsi="宋体" w:cs="宋体" w:eastAsia="宋体" w:hint="default"/>
                <w:sz w:val="18"/>
                <w:szCs w:val="18"/>
              </w:rPr>
            </w:pPr>
            <w:r>
              <w:rPr>
                <w:rFonts w:ascii="宋体" w:hAnsi="宋体" w:cs="宋体" w:eastAsia="宋体" w:hint="default"/>
                <w:sz w:val="18"/>
                <w:szCs w:val="18"/>
              </w:rPr>
              <w:t>《第二届董事会第十一次会议决议公告》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309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4"/>
              <w:ind w:left="2" w:right="0"/>
              <w:jc w:val="left"/>
              <w:rPr>
                <w:rFonts w:ascii="Times New Roman" w:hAnsi="Times New Roman" w:cs="Times New Roman" w:eastAsia="Times New Roman" w:hint="default"/>
                <w:sz w:val="18"/>
                <w:szCs w:val="18"/>
              </w:rPr>
            </w:pPr>
            <w:r>
              <w:rPr>
                <w:rFonts w:ascii="Times New Roman"/>
                <w:sz w:val="18"/>
              </w:rPr>
              <w:t>2014-011</w:t>
            </w:r>
          </w:p>
        </w:tc>
      </w:tr>
      <w:tr>
        <w:trPr>
          <w:trHeight w:val="739"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center"/>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9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4"/>
              <w:ind w:left="2" w:right="0"/>
              <w:jc w:val="left"/>
              <w:rPr>
                <w:rFonts w:ascii="Times New Roman" w:hAnsi="Times New Roman" w:cs="Times New Roman" w:eastAsia="Times New Roman" w:hint="default"/>
                <w:sz w:val="18"/>
                <w:szCs w:val="18"/>
              </w:rPr>
            </w:pPr>
            <w:r>
              <w:rPr>
                <w:rFonts w:ascii="Times New Roman"/>
                <w:sz w:val="18"/>
              </w:rPr>
              <w:t>2014-060</w:t>
            </w:r>
          </w:p>
        </w:tc>
      </w:tr>
      <w:tr>
        <w:trPr>
          <w:trHeight w:val="739"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年第二次临时股东大会决议公告》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309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2014-067</w:t>
            </w:r>
          </w:p>
        </w:tc>
      </w:tr>
      <w:tr>
        <w:trPr>
          <w:trHeight w:val="740"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3"/>
              <w:jc w:val="left"/>
              <w:rPr>
                <w:rFonts w:ascii="宋体" w:hAnsi="宋体" w:cs="宋体" w:eastAsia="宋体" w:hint="default"/>
                <w:sz w:val="18"/>
                <w:szCs w:val="18"/>
              </w:rPr>
            </w:pPr>
            <w:r>
              <w:rPr>
                <w:rFonts w:ascii="宋体" w:hAnsi="宋体" w:cs="宋体" w:eastAsia="宋体" w:hint="default"/>
                <w:spacing w:val="-2"/>
                <w:sz w:val="18"/>
                <w:szCs w:val="18"/>
              </w:rPr>
              <w:t>《关于收到《中国证监会行政许可申请受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理通知书》的公告》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309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2014-068</w:t>
            </w:r>
          </w:p>
        </w:tc>
      </w:tr>
      <w:tr>
        <w:trPr>
          <w:trHeight w:val="739"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6"/>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 查一次反馈意见通知书的公告》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309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2014-072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236"/>
        <w:gridCol w:w="3237"/>
        <w:gridCol w:w="3096"/>
      </w:tblGrid>
      <w:tr>
        <w:trPr>
          <w:trHeight w:val="739"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6"/>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 查二次反馈意见通知书的公告》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2014-075</w:t>
            </w:r>
          </w:p>
        </w:tc>
      </w:tr>
      <w:tr>
        <w:trPr>
          <w:trHeight w:val="740"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22"/>
              <w:jc w:val="left"/>
              <w:rPr>
                <w:rFonts w:ascii="宋体" w:hAnsi="宋体" w:cs="宋体" w:eastAsia="宋体" w:hint="default"/>
                <w:sz w:val="18"/>
                <w:szCs w:val="18"/>
              </w:rPr>
            </w:pPr>
            <w:r>
              <w:rPr>
                <w:rFonts w:ascii="宋体" w:hAnsi="宋体" w:cs="宋体" w:eastAsia="宋体" w:hint="default"/>
                <w:sz w:val="18"/>
                <w:szCs w:val="18"/>
              </w:rPr>
              <w:t>《关于并购重组申请被暂停审核的公告》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2014-080</w:t>
            </w:r>
          </w:p>
        </w:tc>
      </w:tr>
      <w:tr>
        <w:trPr>
          <w:trHeight w:val="738"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56"/>
              <w:jc w:val="left"/>
              <w:rPr>
                <w:rFonts w:ascii="宋体" w:hAnsi="宋体" w:cs="宋体" w:eastAsia="宋体" w:hint="default"/>
                <w:sz w:val="18"/>
                <w:szCs w:val="18"/>
              </w:rPr>
            </w:pPr>
            <w:r>
              <w:rPr>
                <w:rFonts w:ascii="宋体" w:hAnsi="宋体" w:cs="宋体" w:eastAsia="宋体" w:hint="default"/>
                <w:sz w:val="18"/>
                <w:szCs w:val="18"/>
              </w:rPr>
              <w:t>《关于中国证监会恢复审核公司重大资 产重组申请的公告》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4"/>
              <w:ind w:left="2" w:right="0"/>
              <w:jc w:val="left"/>
              <w:rPr>
                <w:rFonts w:ascii="Times New Roman" w:hAnsi="Times New Roman" w:cs="Times New Roman" w:eastAsia="Times New Roman" w:hint="default"/>
                <w:sz w:val="18"/>
                <w:szCs w:val="18"/>
              </w:rPr>
            </w:pPr>
            <w:r>
              <w:rPr>
                <w:rFonts w:ascii="Times New Roman"/>
                <w:sz w:val="18"/>
              </w:rPr>
              <w:t>2015-003</w:t>
            </w:r>
          </w:p>
        </w:tc>
      </w:tr>
      <w:tr>
        <w:trPr>
          <w:trHeight w:val="1051"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56"/>
              <w:jc w:val="both"/>
              <w:rPr>
                <w:rFonts w:ascii="宋体" w:hAnsi="宋体" w:cs="宋体" w:eastAsia="宋体" w:hint="default"/>
                <w:sz w:val="18"/>
                <w:szCs w:val="18"/>
              </w:rPr>
            </w:pPr>
            <w:r>
              <w:rPr>
                <w:rFonts w:ascii="宋体" w:hAnsi="宋体" w:cs="宋体" w:eastAsia="宋体" w:hint="default"/>
                <w:sz w:val="18"/>
                <w:szCs w:val="18"/>
              </w:rPr>
              <w:t>《关于中国证监会上市公司并购重组审 核委员会审核公司重大资产重组事项的 停牌公告》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4"/>
              <w:ind w:left="2" w:right="0"/>
              <w:jc w:val="left"/>
              <w:rPr>
                <w:rFonts w:ascii="Times New Roman" w:hAnsi="Times New Roman" w:cs="Times New Roman" w:eastAsia="Times New Roman" w:hint="default"/>
                <w:sz w:val="18"/>
                <w:szCs w:val="18"/>
              </w:rPr>
            </w:pPr>
            <w:r>
              <w:rPr>
                <w:rFonts w:ascii="Times New Roman"/>
                <w:sz w:val="18"/>
              </w:rPr>
              <w:t>2015-004</w:t>
            </w:r>
          </w:p>
        </w:tc>
      </w:tr>
      <w:tr>
        <w:trPr>
          <w:trHeight w:val="1052" w:hRule="exact"/>
        </w:trPr>
        <w:tc>
          <w:tcPr>
            <w:tcW w:w="32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56"/>
              <w:jc w:val="both"/>
              <w:rPr>
                <w:rFonts w:ascii="宋体" w:hAnsi="宋体" w:cs="宋体" w:eastAsia="宋体" w:hint="default"/>
                <w:sz w:val="18"/>
                <w:szCs w:val="18"/>
              </w:rPr>
            </w:pPr>
            <w:r>
              <w:rPr>
                <w:rFonts w:ascii="宋体" w:hAnsi="宋体" w:cs="宋体" w:eastAsia="宋体" w:hint="default"/>
                <w:sz w:val="18"/>
                <w:szCs w:val="18"/>
              </w:rPr>
              <w:t>关于公司重大资产重组事项未获得中国 证监会上市公司并购重组审核委员会审 核通过暨公司股票复牌的公告</w:t>
            </w:r>
          </w:p>
        </w:tc>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3096"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2015-006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九、承诺事项履行情况" w:id="69"/>
      <w:bookmarkEnd w:id="69"/>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公司或持股5%以上股东在报告期内发生或以前期间发生但持续到报告期内的承诺事项" w:id="70"/>
      <w:bookmarkEnd w:id="70"/>
      <w:r>
        <w:rPr>
          <w:b w:val="0"/>
          <w:bCs w:val="0"/>
        </w:rPr>
      </w: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93"/>
        <w:gridCol w:w="1276"/>
        <w:gridCol w:w="1276"/>
        <w:gridCol w:w="1276"/>
        <w:gridCol w:w="1277"/>
        <w:gridCol w:w="1259"/>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2546"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16" w:right="-17"/>
              <w:jc w:val="left"/>
              <w:rPr>
                <w:rFonts w:ascii="宋体" w:hAnsi="宋体" w:cs="宋体" w:eastAsia="宋体" w:hint="default"/>
                <w:sz w:val="18"/>
                <w:szCs w:val="18"/>
              </w:rPr>
            </w:pPr>
            <w:r>
              <w:rPr>
                <w:rFonts w:ascii="宋体" w:hAnsi="宋体" w:cs="宋体" w:eastAsia="宋体" w:hint="default"/>
                <w:sz w:val="18"/>
                <w:szCs w:val="18"/>
              </w:rPr>
              <w:t>控股股东广东 群兴投资有限 </w:t>
            </w:r>
            <w:r>
              <w:rPr>
                <w:rFonts w:ascii="宋体" w:hAnsi="宋体" w:cs="宋体" w:eastAsia="宋体" w:hint="default"/>
                <w:spacing w:val="-6"/>
                <w:sz w:val="18"/>
                <w:szCs w:val="18"/>
              </w:rPr>
              <w:t>公司；自然人股</w:t>
            </w:r>
            <w:r>
              <w:rPr>
                <w:rFonts w:ascii="宋体" w:hAnsi="宋体" w:cs="宋体" w:eastAsia="宋体" w:hint="default"/>
                <w:sz w:val="18"/>
                <w:szCs w:val="18"/>
              </w:rPr>
              <w:t> 东陈明光先生、 </w:t>
            </w:r>
            <w:r>
              <w:rPr>
                <w:rFonts w:ascii="宋体" w:hAnsi="宋体" w:cs="宋体" w:eastAsia="宋体" w:hint="default"/>
                <w:spacing w:val="-6"/>
                <w:sz w:val="18"/>
                <w:szCs w:val="18"/>
              </w:rPr>
              <w:t>梁健锋先生、林</w:t>
            </w:r>
            <w:r>
              <w:rPr>
                <w:rFonts w:ascii="宋体" w:hAnsi="宋体" w:cs="宋体" w:eastAsia="宋体" w:hint="default"/>
                <w:sz w:val="18"/>
                <w:szCs w:val="18"/>
              </w:rPr>
              <w:t> </w:t>
            </w:r>
            <w:r>
              <w:rPr>
                <w:rFonts w:ascii="宋体" w:hAnsi="宋体" w:cs="宋体" w:eastAsia="宋体" w:hint="default"/>
                <w:spacing w:val="-6"/>
                <w:sz w:val="18"/>
                <w:szCs w:val="18"/>
              </w:rPr>
              <w:t>少明先生、林桂</w:t>
            </w:r>
            <w:r>
              <w:rPr>
                <w:rFonts w:ascii="宋体" w:hAnsi="宋体" w:cs="宋体" w:eastAsia="宋体" w:hint="default"/>
                <w:sz w:val="18"/>
                <w:szCs w:val="18"/>
              </w:rPr>
              <w:t> </w:t>
            </w:r>
            <w:r>
              <w:rPr>
                <w:rFonts w:ascii="宋体" w:hAnsi="宋体" w:cs="宋体" w:eastAsia="宋体" w:hint="default"/>
                <w:spacing w:val="-6"/>
                <w:sz w:val="18"/>
                <w:szCs w:val="18"/>
              </w:rPr>
              <w:t>升先生、李新岗</w:t>
            </w:r>
            <w:r>
              <w:rPr>
                <w:rFonts w:ascii="宋体" w:hAnsi="宋体" w:cs="宋体" w:eastAsia="宋体" w:hint="default"/>
                <w:sz w:val="18"/>
                <w:szCs w:val="18"/>
              </w:rPr>
              <w:t> </w:t>
            </w:r>
            <w:r>
              <w:rPr>
                <w:rFonts w:ascii="宋体" w:hAnsi="宋体" w:cs="宋体" w:eastAsia="宋体" w:hint="default"/>
                <w:spacing w:val="-6"/>
                <w:sz w:val="18"/>
                <w:szCs w:val="18"/>
              </w:rPr>
              <w:t>先生；本公司实</w:t>
            </w:r>
            <w:r>
              <w:rPr>
                <w:rFonts w:ascii="宋体" w:hAnsi="宋体" w:cs="宋体" w:eastAsia="宋体" w:hint="default"/>
                <w:sz w:val="18"/>
                <w:szCs w:val="18"/>
              </w:rPr>
              <w:t> 际控制人林伟 章先生和黄仕 </w:t>
            </w:r>
            <w:r>
              <w:rPr>
                <w:rFonts w:ascii="宋体" w:hAnsi="宋体" w:cs="宋体" w:eastAsia="宋体" w:hint="default"/>
                <w:spacing w:val="-6"/>
                <w:sz w:val="18"/>
                <w:szCs w:val="18"/>
              </w:rPr>
              <w:t>群先生、本公司</w:t>
            </w:r>
            <w:r>
              <w:rPr>
                <w:rFonts w:ascii="宋体" w:hAnsi="宋体" w:cs="宋体" w:eastAsia="宋体" w:hint="default"/>
                <w:sz w:val="18"/>
                <w:szCs w:val="18"/>
              </w:rPr>
              <w:t> 控股股东广东 群兴投资有限 公司之股东林 伟亮先生和林 少洁女士；</w:t>
            </w:r>
          </w:p>
        </w:tc>
        <w:tc>
          <w:tcPr>
            <w:tcW w:w="1276"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7"/>
              <w:jc w:val="left"/>
              <w:rPr>
                <w:rFonts w:ascii="宋体" w:hAnsi="宋体" w:cs="宋体" w:eastAsia="宋体" w:hint="default"/>
                <w:sz w:val="18"/>
                <w:szCs w:val="18"/>
              </w:rPr>
            </w:pPr>
            <w:r>
              <w:rPr>
                <w:rFonts w:ascii="宋体" w:hAnsi="宋体" w:cs="宋体" w:eastAsia="宋体" w:hint="default"/>
                <w:sz w:val="18"/>
                <w:szCs w:val="18"/>
              </w:rPr>
              <w:t>自本公司股票 上市之日起三 </w:t>
            </w:r>
            <w:r>
              <w:rPr>
                <w:rFonts w:ascii="宋体" w:hAnsi="宋体" w:cs="宋体" w:eastAsia="宋体" w:hint="default"/>
                <w:spacing w:val="-6"/>
                <w:sz w:val="18"/>
                <w:szCs w:val="18"/>
              </w:rPr>
              <w:t>十六个月内，不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转让或者委托 他人管理本次 发行前已持有 的本公司股份， 也不由本公司 回购该部分股 份。</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21"/>
              <w:jc w:val="left"/>
              <w:rPr>
                <w:rFonts w:ascii="宋体" w:hAnsi="宋体" w:cs="宋体" w:eastAsia="宋体" w:hint="default"/>
                <w:sz w:val="18"/>
                <w:szCs w:val="18"/>
              </w:rPr>
            </w:pPr>
            <w:r>
              <w:rPr>
                <w:rFonts w:ascii="宋体" w:hAnsi="宋体" w:cs="宋体" w:eastAsia="宋体" w:hint="default"/>
                <w:spacing w:val="-9"/>
                <w:sz w:val="18"/>
                <w:szCs w:val="18"/>
              </w:rPr>
              <w:t>截至目前，承诺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人未发生违反 </w:t>
            </w:r>
            <w:r>
              <w:rPr>
                <w:rFonts w:ascii="宋体" w:hAnsi="宋体" w:cs="宋体" w:eastAsia="宋体" w:hint="default"/>
                <w:spacing w:val="-9"/>
                <w:sz w:val="18"/>
                <w:szCs w:val="18"/>
              </w:rPr>
              <w:t>承诺的情况，该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承诺事项仍在 严格履行中。</w:t>
            </w:r>
          </w:p>
        </w:tc>
      </w:tr>
      <w:tr>
        <w:trPr>
          <w:trHeight w:val="392"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vMerge/>
            <w:tcBorders>
              <w:left w:val="single" w:sz="9" w:space="0" w:color="D2D2D2"/>
              <w:right w:val="single" w:sz="4" w:space="0" w:color="000000"/>
            </w:tcBorders>
            <w:shd w:val="clear" w:color="auto" w:fill="CCE8CF"/>
          </w:tcPr>
          <w:p>
            <w:pPr/>
          </w:p>
        </w:tc>
        <w:tc>
          <w:tcPr>
            <w:tcW w:w="1276" w:type="dxa"/>
            <w:vMerge/>
            <w:tcBorders>
              <w:left w:val="single" w:sz="4" w:space="0" w:color="000000"/>
              <w:right w:val="single" w:sz="4" w:space="0" w:color="000000"/>
            </w:tcBorders>
            <w:shd w:val="clear" w:color="auto" w:fill="CCE8CF"/>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2144" w:hRule="exact"/>
        </w:trPr>
        <w:tc>
          <w:tcPr>
            <w:tcW w:w="3193"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shd w:val="clear" w:color="auto" w:fill="CCE8CF"/>
          </w:tcPr>
          <w:p>
            <w:pPr/>
          </w:p>
        </w:tc>
        <w:tc>
          <w:tcPr>
            <w:tcW w:w="1276" w:type="dxa"/>
            <w:vMerge/>
            <w:tcBorders>
              <w:left w:val="single" w:sz="4" w:space="0" w:color="000000"/>
              <w:bottom w:val="single" w:sz="4" w:space="0" w:color="000000"/>
              <w:right w:val="single" w:sz="4" w:space="0" w:color="000000"/>
            </w:tcBorders>
            <w:shd w:val="clear" w:color="auto" w:fill="CCE8CF"/>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shd w:val="clear" w:color="auto" w:fill="CCE8CF"/>
          </w:tcPr>
          <w:p>
            <w:pPr/>
          </w:p>
        </w:tc>
        <w:tc>
          <w:tcPr>
            <w:tcW w:w="1259"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193"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本公司之控股</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为杜绝出现同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pacing w:val="-9"/>
                <w:sz w:val="18"/>
                <w:szCs w:val="18"/>
              </w:rPr>
              <w:t>截至目前，承诺</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13740"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股东广东群兴 投资有限公司、 本公司实际控 制人林伟章先 </w:t>
            </w:r>
            <w:r>
              <w:rPr>
                <w:rFonts w:ascii="宋体" w:hAnsi="宋体" w:cs="宋体" w:eastAsia="宋体" w:hint="default"/>
                <w:spacing w:val="-6"/>
                <w:sz w:val="18"/>
                <w:szCs w:val="18"/>
              </w:rPr>
              <w:t>生、黄仕群先生</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业竞争等损害 广东群兴玩具 股份有限公司</w:t>
            </w:r>
          </w:p>
          <w:p>
            <w:pPr>
              <w:pStyle w:val="TableParagraph"/>
              <w:spacing w:line="300" w:lineRule="auto" w:before="19"/>
              <w:ind w:left="22" w:right="89"/>
              <w:jc w:val="both"/>
              <w:rPr>
                <w:rFonts w:ascii="宋体" w:hAnsi="宋体" w:cs="宋体" w:eastAsia="宋体" w:hint="default"/>
                <w:sz w:val="18"/>
                <w:szCs w:val="18"/>
              </w:rPr>
            </w:pP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群兴玩 具</w:t>
            </w:r>
            <w:r>
              <w:rPr>
                <w:rFonts w:ascii="Times New Roman" w:hAnsi="Times New Roman" w:cs="Times New Roman" w:eastAsia="Times New Roman" w:hint="default"/>
                <w:sz w:val="18"/>
                <w:szCs w:val="18"/>
              </w:rPr>
              <w:t>"</w:t>
            </w:r>
            <w:r>
              <w:rPr>
                <w:rFonts w:ascii="宋体" w:hAnsi="宋体" w:cs="宋体" w:eastAsia="宋体" w:hint="default"/>
                <w:sz w:val="18"/>
                <w:szCs w:val="18"/>
              </w:rPr>
              <w:t>）的利益的 情形，本公司</w:t>
            </w:r>
          </w:p>
          <w:p>
            <w:pPr>
              <w:pStyle w:val="TableParagraph"/>
              <w:spacing w:line="316" w:lineRule="auto" w:before="31"/>
              <w:ind w:left="22" w:right="20"/>
              <w:jc w:val="left"/>
              <w:rPr>
                <w:rFonts w:ascii="宋体" w:hAnsi="宋体" w:cs="宋体" w:eastAsia="宋体" w:hint="default"/>
                <w:sz w:val="18"/>
                <w:szCs w:val="18"/>
              </w:rPr>
            </w:pPr>
            <w:r>
              <w:rPr>
                <w:rFonts w:ascii="宋体" w:hAnsi="宋体" w:cs="宋体" w:eastAsia="宋体" w:hint="default"/>
                <w:spacing w:val="-6"/>
                <w:sz w:val="18"/>
                <w:szCs w:val="18"/>
              </w:rPr>
              <w:t>（或本人）出具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本承诺函，并对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此承担相应的 </w:t>
            </w:r>
            <w:r>
              <w:rPr>
                <w:rFonts w:ascii="宋体" w:hAnsi="宋体" w:cs="宋体" w:eastAsia="宋体" w:hint="default"/>
                <w:spacing w:val="-6"/>
                <w:sz w:val="18"/>
                <w:szCs w:val="18"/>
              </w:rPr>
              <w:t>法律责任：第一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条：在本承诺签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署之日，本公司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及本公司（或本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人）控制的公司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均未直接或间 接经营与群兴 玩具经营的业 务构成竞争或 可能构成竞争 </w:t>
            </w:r>
            <w:r>
              <w:rPr>
                <w:rFonts w:ascii="宋体" w:hAnsi="宋体" w:cs="宋体" w:eastAsia="宋体" w:hint="default"/>
                <w:spacing w:val="-6"/>
                <w:sz w:val="18"/>
                <w:szCs w:val="18"/>
              </w:rPr>
              <w:t>的业务，也未参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与投资任何与 群兴玩具经营 的业务构成竞 争或可能构成 竞争的其他企 </w:t>
            </w:r>
            <w:r>
              <w:rPr>
                <w:rFonts w:ascii="宋体" w:hAnsi="宋体" w:cs="宋体" w:eastAsia="宋体" w:hint="default"/>
                <w:spacing w:val="-6"/>
                <w:sz w:val="18"/>
                <w:szCs w:val="18"/>
              </w:rPr>
              <w:t>业。第二条：自</w:t>
            </w:r>
            <w:r>
              <w:rPr>
                <w:rFonts w:ascii="宋体" w:hAnsi="宋体" w:cs="宋体" w:eastAsia="宋体" w:hint="default"/>
                <w:sz w:val="18"/>
                <w:szCs w:val="18"/>
              </w:rPr>
              <w:t> 本承诺签署之 </w:t>
            </w:r>
            <w:r>
              <w:rPr>
                <w:rFonts w:ascii="宋体" w:hAnsi="宋体" w:cs="宋体" w:eastAsia="宋体" w:hint="default"/>
                <w:spacing w:val="-6"/>
                <w:sz w:val="18"/>
                <w:szCs w:val="18"/>
              </w:rPr>
              <w:t>日起，本公司及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本公司（或本 </w:t>
            </w:r>
            <w:r>
              <w:rPr>
                <w:rFonts w:ascii="宋体" w:hAnsi="宋体" w:cs="宋体" w:eastAsia="宋体" w:hint="default"/>
                <w:spacing w:val="-6"/>
                <w:sz w:val="18"/>
                <w:szCs w:val="18"/>
              </w:rPr>
              <w:t>人）控制的公司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均将不直接或 间接经营与群 兴玩具经营的 业务构成竞争 或可能构成竞 </w:t>
            </w:r>
            <w:r>
              <w:rPr>
                <w:rFonts w:ascii="宋体" w:hAnsi="宋体" w:cs="宋体" w:eastAsia="宋体" w:hint="default"/>
                <w:spacing w:val="-6"/>
                <w:sz w:val="18"/>
                <w:szCs w:val="18"/>
              </w:rPr>
              <w:t>争的业务，也不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参与投资任何 与群兴玩具经 营的业务构成 竞争或可能构 成竞争的其他 </w:t>
            </w:r>
            <w:r>
              <w:rPr>
                <w:rFonts w:ascii="宋体" w:hAnsi="宋体" w:cs="宋体" w:eastAsia="宋体" w:hint="default"/>
                <w:spacing w:val="-6"/>
                <w:sz w:val="18"/>
                <w:szCs w:val="18"/>
              </w:rPr>
              <w:t>企业。在本公司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及本公司（或本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人）控制的公司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人未发生违反 </w:t>
            </w:r>
            <w:r>
              <w:rPr>
                <w:rFonts w:ascii="宋体" w:hAnsi="宋体" w:cs="宋体" w:eastAsia="宋体" w:hint="default"/>
                <w:spacing w:val="-9"/>
                <w:sz w:val="18"/>
                <w:szCs w:val="18"/>
              </w:rPr>
              <w:t>承诺的情况，该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承诺事项仍在 严格履行中。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59"/>
      </w:tblGrid>
      <w:tr>
        <w:trPr>
          <w:trHeight w:val="317"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与群兴玩具存</w:t>
            </w:r>
          </w:p>
        </w:tc>
        <w:tc>
          <w:tcPr>
            <w:tcW w:w="1276"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shd w:val="clear" w:color="auto" w:fill="CCE8CF"/>
          </w:tcPr>
          <w:p>
            <w:pPr/>
          </w:p>
        </w:tc>
        <w:tc>
          <w:tcPr>
            <w:tcW w:w="1259"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在关联关系期</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间，本承诺函为</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有效之承诺。如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上述承诺被证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明是不真实或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未被遵守，本公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司（或本人）将</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向群兴玩具赔</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偿一切直接和</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间接损失，并承</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担相应的法律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责任。为杜绝出</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现同业竞争等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损害广东群兴</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玩具股份有限</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公司（下称群兴</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玩具）的利益的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情形，本公司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（或本人）出具</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本承诺函，并对</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此承担相应的</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法律责任：第一</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条：在本承诺签</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署之日，本公司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及本公司（或本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人）控制的公司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均未直接或间</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接经营与群兴</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玩具经营的业</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务构成竞争或</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可能构成竞争</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的业务，也未参</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与投资任何与</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群兴玩具经营</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的业务构成竞</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争或可能构成</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竞争的其他企</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业。第二条：自</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本承诺签署之</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日起，本公司及</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本公司（或本</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2" w:hRule="exact"/>
        </w:trPr>
        <w:tc>
          <w:tcPr>
            <w:tcW w:w="320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人）控制的公司</w:t>
            </w: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shd w:val="clear" w:color="auto" w:fill="CCE8CF"/>
          </w:tcPr>
          <w:p>
            <w:pPr/>
          </w:p>
        </w:tc>
        <w:tc>
          <w:tcPr>
            <w:tcW w:w="1259" w:type="dxa"/>
            <w:vMerge/>
            <w:tcBorders>
              <w:left w:val="single" w:sz="4" w:space="0" w:color="000000"/>
              <w:right w:val="single" w:sz="4" w:space="0" w:color="000000"/>
            </w:tcBorders>
            <w:shd w:val="clear" w:color="auto" w:fill="CCE8CF"/>
          </w:tcPr>
          <w:p>
            <w:pPr/>
          </w:p>
        </w:tc>
      </w:tr>
      <w:tr>
        <w:trPr>
          <w:trHeight w:val="318"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CCE8CF"/>
          </w:tcPr>
          <w:p>
            <w:pPr/>
          </w:p>
        </w:tc>
        <w:tc>
          <w:tcPr>
            <w:tcW w:w="1276"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均将不直接或</w:t>
            </w: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shd w:val="clear" w:color="auto" w:fill="CCE8CF"/>
          </w:tcPr>
          <w:p>
            <w:pPr/>
          </w:p>
        </w:tc>
        <w:tc>
          <w:tcPr>
            <w:tcW w:w="1259"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8163"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间接经营与群 兴玩具经营的 业务构成竞争 或可能构成竞 </w:t>
            </w:r>
            <w:r>
              <w:rPr>
                <w:rFonts w:ascii="宋体" w:hAnsi="宋体" w:cs="宋体" w:eastAsia="宋体" w:hint="default"/>
                <w:spacing w:val="-6"/>
                <w:sz w:val="18"/>
                <w:szCs w:val="18"/>
              </w:rPr>
              <w:t>争的业务，也不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参与投资任何 与群兴玩具经 营的业务构成 竞争或可能构 成竞争的其他 </w:t>
            </w:r>
            <w:r>
              <w:rPr>
                <w:rFonts w:ascii="宋体" w:hAnsi="宋体" w:cs="宋体" w:eastAsia="宋体" w:hint="default"/>
                <w:spacing w:val="-6"/>
                <w:sz w:val="18"/>
                <w:szCs w:val="18"/>
              </w:rPr>
              <w:t>企业。在本公司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及本公司（或本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人）控制的公司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与群兴玩具存 在关联关系期 </w:t>
            </w:r>
            <w:r>
              <w:rPr>
                <w:rFonts w:ascii="宋体" w:hAnsi="宋体" w:cs="宋体" w:eastAsia="宋体" w:hint="default"/>
                <w:spacing w:val="-6"/>
                <w:sz w:val="18"/>
                <w:szCs w:val="18"/>
              </w:rPr>
              <w:t>间，本承诺函为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有效之承诺。如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上述承诺被证 明是不真实或 </w:t>
            </w:r>
            <w:r>
              <w:rPr>
                <w:rFonts w:ascii="宋体" w:hAnsi="宋体" w:cs="宋体" w:eastAsia="宋体" w:hint="default"/>
                <w:spacing w:val="-6"/>
                <w:sz w:val="18"/>
                <w:szCs w:val="18"/>
              </w:rPr>
              <w:t>未被遵守，本公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司（或本人）将</w:t>
            </w:r>
            <w:r>
              <w:rPr>
                <w:rFonts w:ascii="宋体" w:hAnsi="宋体" w:cs="宋体" w:eastAsia="宋体" w:hint="default"/>
                <w:sz w:val="18"/>
                <w:szCs w:val="18"/>
              </w:rPr>
              <w:t> 向群兴玩具赔 偿一切直接和 </w:t>
            </w:r>
            <w:r>
              <w:rPr>
                <w:rFonts w:ascii="宋体" w:hAnsi="宋体" w:cs="宋体" w:eastAsia="宋体" w:hint="default"/>
                <w:spacing w:val="-6"/>
                <w:sz w:val="18"/>
                <w:szCs w:val="18"/>
              </w:rPr>
              <w:t>间接损失，并承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担相应的法律 责任。</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5667"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公司董事林伟 </w:t>
            </w:r>
            <w:r>
              <w:rPr>
                <w:rFonts w:ascii="宋体" w:hAnsi="宋体" w:cs="宋体" w:eastAsia="宋体" w:hint="default"/>
                <w:spacing w:val="-6"/>
                <w:sz w:val="18"/>
                <w:szCs w:val="18"/>
              </w:rPr>
              <w:t>章先生（通过直</w:t>
            </w:r>
            <w:r>
              <w:rPr>
                <w:rFonts w:ascii="宋体" w:hAnsi="宋体" w:cs="宋体" w:eastAsia="宋体" w:hint="default"/>
                <w:sz w:val="18"/>
                <w:szCs w:val="18"/>
              </w:rPr>
              <w:t> 接持有群兴投 资股份而间接 持有本公司股 </w:t>
            </w:r>
            <w:r>
              <w:rPr>
                <w:rFonts w:ascii="宋体" w:hAnsi="宋体" w:cs="宋体" w:eastAsia="宋体" w:hint="default"/>
                <w:spacing w:val="-6"/>
                <w:sz w:val="18"/>
                <w:szCs w:val="18"/>
              </w:rPr>
              <w:t>份，且同时担任</w:t>
            </w:r>
            <w:r>
              <w:rPr>
                <w:rFonts w:ascii="宋体" w:hAnsi="宋体" w:cs="宋体" w:eastAsia="宋体" w:hint="default"/>
                <w:sz w:val="18"/>
                <w:szCs w:val="18"/>
              </w:rPr>
              <w:t> 本公司董事 </w:t>
            </w:r>
            <w:r>
              <w:rPr>
                <w:rFonts w:ascii="宋体" w:hAnsi="宋体" w:cs="宋体" w:eastAsia="宋体" w:hint="default"/>
                <w:spacing w:val="-13"/>
                <w:sz w:val="18"/>
                <w:szCs w:val="18"/>
              </w:rPr>
              <w:t>长）、公司董事</w:t>
            </w:r>
            <w:r>
              <w:rPr>
                <w:rFonts w:ascii="宋体" w:hAnsi="宋体" w:cs="宋体" w:eastAsia="宋体" w:hint="default"/>
                <w:sz w:val="18"/>
                <w:szCs w:val="18"/>
              </w:rPr>
              <w:t> </w:t>
            </w:r>
            <w:r>
              <w:rPr>
                <w:rFonts w:ascii="宋体" w:hAnsi="宋体" w:cs="宋体" w:eastAsia="宋体" w:hint="default"/>
                <w:spacing w:val="-6"/>
                <w:sz w:val="18"/>
                <w:szCs w:val="18"/>
              </w:rPr>
              <w:t>黄仕群先生（通</w:t>
            </w:r>
            <w:r>
              <w:rPr>
                <w:rFonts w:ascii="宋体" w:hAnsi="宋体" w:cs="宋体" w:eastAsia="宋体" w:hint="default"/>
                <w:sz w:val="18"/>
                <w:szCs w:val="18"/>
              </w:rPr>
              <w:t> 过直接持有群 兴投资股份而 间接持有本公 </w:t>
            </w:r>
            <w:r>
              <w:rPr>
                <w:rFonts w:ascii="宋体" w:hAnsi="宋体" w:cs="宋体" w:eastAsia="宋体" w:hint="default"/>
                <w:spacing w:val="-6"/>
                <w:sz w:val="18"/>
                <w:szCs w:val="18"/>
              </w:rPr>
              <w:t>司股份，且同时</w:t>
            </w:r>
            <w:r>
              <w:rPr>
                <w:rFonts w:ascii="宋体" w:hAnsi="宋体" w:cs="宋体" w:eastAsia="宋体" w:hint="default"/>
                <w:sz w:val="18"/>
                <w:szCs w:val="18"/>
              </w:rPr>
              <w:t> 担任本公司总 </w:t>
            </w:r>
            <w:r>
              <w:rPr>
                <w:rFonts w:ascii="宋体" w:hAnsi="宋体" w:cs="宋体" w:eastAsia="宋体" w:hint="default"/>
                <w:spacing w:val="-13"/>
                <w:sz w:val="18"/>
                <w:szCs w:val="18"/>
              </w:rPr>
              <w:t>经理）、公司董</w:t>
            </w:r>
            <w:r>
              <w:rPr>
                <w:rFonts w:ascii="宋体" w:hAnsi="宋体" w:cs="宋体" w:eastAsia="宋体" w:hint="default"/>
                <w:sz w:val="18"/>
                <w:szCs w:val="18"/>
              </w:rPr>
              <w:t> 事林伟亮先生</w:t>
            </w:r>
          </w:p>
          <w:p>
            <w:pPr>
              <w:pStyle w:val="TableParagraph"/>
              <w:spacing w:line="316" w:lineRule="auto" w:before="19"/>
              <w:ind w:left="22" w:right="161"/>
              <w:jc w:val="left"/>
              <w:rPr>
                <w:rFonts w:ascii="宋体" w:hAnsi="宋体" w:cs="宋体" w:eastAsia="宋体" w:hint="default"/>
                <w:sz w:val="18"/>
                <w:szCs w:val="18"/>
              </w:rPr>
            </w:pPr>
            <w:r>
              <w:rPr>
                <w:rFonts w:ascii="宋体" w:hAnsi="宋体" w:cs="宋体" w:eastAsia="宋体" w:hint="default"/>
                <w:sz w:val="18"/>
                <w:szCs w:val="18"/>
              </w:rPr>
              <w:t>（通过直接持 有群兴投资股</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6"/>
                <w:sz w:val="18"/>
                <w:szCs w:val="18"/>
              </w:rPr>
              <w:t>锁定期满后，若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本人仍担任群 兴玩具董事或 监事或高级管 </w:t>
            </w:r>
            <w:r>
              <w:rPr>
                <w:rFonts w:ascii="宋体" w:hAnsi="宋体" w:cs="宋体" w:eastAsia="宋体" w:hint="default"/>
                <w:spacing w:val="-6"/>
                <w:sz w:val="18"/>
                <w:szCs w:val="18"/>
              </w:rPr>
              <w:t>理人员，在任职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期间本人每年 转让股份不超 过直接或间接 所持群兴玩具 的股票总数的 百分之二十五。 本人离任后六 </w:t>
            </w:r>
            <w:r>
              <w:rPr>
                <w:rFonts w:ascii="宋体" w:hAnsi="宋体" w:cs="宋体" w:eastAsia="宋体" w:hint="default"/>
                <w:spacing w:val="-6"/>
                <w:sz w:val="18"/>
                <w:szCs w:val="18"/>
              </w:rPr>
              <w:t>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直接或间接所 持群兴玩具的 </w:t>
            </w:r>
            <w:r>
              <w:rPr>
                <w:rFonts w:ascii="宋体" w:hAnsi="宋体" w:cs="宋体" w:eastAsia="宋体" w:hint="default"/>
                <w:spacing w:val="-6"/>
                <w:sz w:val="18"/>
                <w:szCs w:val="18"/>
              </w:rPr>
              <w:t>任何股份。本人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在申报离任六 个月后的十二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16"/>
              <w:jc w:val="left"/>
              <w:rPr>
                <w:rFonts w:ascii="宋体" w:hAnsi="宋体" w:cs="宋体" w:eastAsia="宋体" w:hint="default"/>
                <w:sz w:val="18"/>
                <w:szCs w:val="18"/>
              </w:rPr>
            </w:pPr>
            <w:r>
              <w:rPr>
                <w:rFonts w:ascii="宋体" w:hAnsi="宋体" w:cs="宋体" w:eastAsia="宋体" w:hint="default"/>
                <w:sz w:val="18"/>
                <w:szCs w:val="18"/>
              </w:rPr>
              <w:t>承诺人任职公 司董事、监事、 高级管理人员 </w:t>
            </w:r>
            <w:r>
              <w:rPr>
                <w:rFonts w:ascii="宋体" w:hAnsi="宋体" w:cs="宋体" w:eastAsia="宋体" w:hint="default"/>
                <w:spacing w:val="-6"/>
                <w:sz w:val="18"/>
                <w:szCs w:val="18"/>
              </w:rPr>
              <w:t>期间、离职后半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年内、在申报离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个月后的</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12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截至目前，监事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林少明先生于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9"/>
                <w:sz w:val="18"/>
                <w:szCs w:val="18"/>
              </w:rPr>
              <w:t>日离职，其他承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诺人仍在职，但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承诺人未发生 违反承诺的情 </w:t>
            </w:r>
            <w:r>
              <w:rPr>
                <w:rFonts w:ascii="宋体" w:hAnsi="宋体" w:cs="宋体" w:eastAsia="宋体" w:hint="default"/>
                <w:spacing w:val="-9"/>
                <w:sz w:val="18"/>
                <w:szCs w:val="18"/>
              </w:rPr>
              <w:t>况，该承诺事项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仍在严格履行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59"/>
      </w:tblGrid>
      <w:tr>
        <w:trPr>
          <w:trHeight w:val="2859"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份而间接持有 </w:t>
            </w:r>
            <w:r>
              <w:rPr>
                <w:rFonts w:ascii="宋体" w:hAnsi="宋体" w:cs="宋体" w:eastAsia="宋体" w:hint="default"/>
                <w:spacing w:val="-13"/>
                <w:sz w:val="18"/>
                <w:szCs w:val="18"/>
              </w:rPr>
              <w:t>本公司股份）、</w:t>
            </w:r>
            <w:r>
              <w:rPr>
                <w:rFonts w:ascii="宋体" w:hAnsi="宋体" w:cs="宋体" w:eastAsia="宋体" w:hint="default"/>
                <w:sz w:val="18"/>
                <w:szCs w:val="18"/>
              </w:rPr>
              <w:t> 公司监事林少 </w:t>
            </w:r>
            <w:r>
              <w:rPr>
                <w:rFonts w:ascii="宋体" w:hAnsi="宋体" w:cs="宋体" w:eastAsia="宋体" w:hint="default"/>
                <w:spacing w:val="-6"/>
                <w:sz w:val="18"/>
                <w:szCs w:val="18"/>
              </w:rPr>
              <w:t>明先生（直接持</w:t>
            </w:r>
            <w:r>
              <w:rPr>
                <w:rFonts w:ascii="宋体" w:hAnsi="宋体" w:cs="宋体" w:eastAsia="宋体" w:hint="default"/>
                <w:sz w:val="18"/>
                <w:szCs w:val="18"/>
              </w:rPr>
              <w:t> 有本公司股份， 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日离职）</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17"/>
              <w:jc w:val="left"/>
              <w:rPr>
                <w:rFonts w:ascii="宋体" w:hAnsi="宋体" w:cs="宋体" w:eastAsia="宋体" w:hint="default"/>
                <w:sz w:val="18"/>
                <w:szCs w:val="18"/>
              </w:rPr>
            </w:pPr>
            <w:r>
              <w:rPr>
                <w:rFonts w:ascii="宋体" w:hAnsi="宋体" w:cs="宋体" w:eastAsia="宋体" w:hint="default"/>
                <w:sz w:val="18"/>
                <w:szCs w:val="18"/>
              </w:rPr>
              <w:t>个月内通过证 券交易所挂牌 交易出售群兴 玩具股票数量 占其所直接或 间接持有群兴 玩具股票总数 的比例不得超 过百分之五十。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6642" w:hRule="exact"/>
        </w:trPr>
        <w:tc>
          <w:tcPr>
            <w:tcW w:w="32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公司董事会于</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日审议通过了</w:t>
            </w:r>
          </w:p>
          <w:p>
            <w:pPr>
              <w:pStyle w:val="TableParagraph"/>
              <w:spacing w:line="316" w:lineRule="auto" w:before="76"/>
              <w:ind w:left="22" w:right="-17"/>
              <w:jc w:val="left"/>
              <w:rPr>
                <w:rFonts w:ascii="宋体" w:hAnsi="宋体" w:cs="宋体" w:eastAsia="宋体" w:hint="default"/>
                <w:sz w:val="18"/>
                <w:szCs w:val="18"/>
              </w:rPr>
            </w:pPr>
            <w:r>
              <w:rPr>
                <w:rFonts w:ascii="宋体" w:hAnsi="宋体" w:cs="宋体" w:eastAsia="宋体" w:hint="default"/>
                <w:sz w:val="18"/>
                <w:szCs w:val="18"/>
              </w:rPr>
              <w:t>《关于使用部 分超募资金偿 还银行贷款及 永久补充流动 </w:t>
            </w:r>
            <w:r>
              <w:rPr>
                <w:rFonts w:ascii="宋体" w:hAnsi="宋体" w:cs="宋体" w:eastAsia="宋体" w:hint="default"/>
                <w:spacing w:val="-6"/>
                <w:sz w:val="18"/>
                <w:szCs w:val="18"/>
              </w:rPr>
              <w:t>资金的议案》并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进行了专项公 </w:t>
            </w:r>
            <w:r>
              <w:rPr>
                <w:rFonts w:ascii="宋体" w:hAnsi="宋体" w:cs="宋体" w:eastAsia="宋体" w:hint="default"/>
                <w:spacing w:val="-6"/>
                <w:sz w:val="18"/>
                <w:szCs w:val="18"/>
              </w:rPr>
              <w:t>告，公司承诺在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偿还银行贷款 及补充流动资 金后十二个月 </w:t>
            </w:r>
            <w:r>
              <w:rPr>
                <w:rFonts w:ascii="宋体" w:hAnsi="宋体" w:cs="宋体" w:eastAsia="宋体" w:hint="default"/>
                <w:spacing w:val="-6"/>
                <w:sz w:val="18"/>
                <w:szCs w:val="18"/>
              </w:rPr>
              <w:t>内，不进行证券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投资等高风险 </w:t>
            </w:r>
            <w:r>
              <w:rPr>
                <w:rFonts w:ascii="宋体" w:hAnsi="宋体" w:cs="宋体" w:eastAsia="宋体" w:hint="default"/>
                <w:spacing w:val="-6"/>
                <w:sz w:val="18"/>
                <w:szCs w:val="18"/>
              </w:rPr>
              <w:t>投资。公司将严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格按照募集资 金管理相关政 策法规规范使 用募集资金并 及时对外披露。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41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公司董事会于</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日审议通过了</w:t>
            </w:r>
          </w:p>
          <w:p>
            <w:pPr>
              <w:pStyle w:val="TableParagraph"/>
              <w:spacing w:line="316"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《关于将已终 止募投项目资 金永久性补充 流动资金和使 用部分超募资 金偿还银行贷 款和永久性补 充流动资金的 </w:t>
            </w:r>
            <w:r>
              <w:rPr>
                <w:rFonts w:ascii="宋体" w:hAnsi="宋体" w:cs="宋体" w:eastAsia="宋体" w:hint="default"/>
                <w:spacing w:val="-6"/>
                <w:sz w:val="18"/>
                <w:szCs w:val="18"/>
              </w:rPr>
              <w:t>议案》并进行了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专项公告，公司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承诺补充流动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3171"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资金后十二个 月内不进行证 券投资等高风 </w:t>
            </w:r>
            <w:r>
              <w:rPr>
                <w:rFonts w:ascii="宋体" w:hAnsi="宋体" w:cs="宋体" w:eastAsia="宋体" w:hint="default"/>
                <w:spacing w:val="-6"/>
                <w:sz w:val="18"/>
                <w:szCs w:val="18"/>
              </w:rPr>
              <w:t>险投资；公司承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诺按照实际需 求补充流动资 </w:t>
            </w:r>
            <w:r>
              <w:rPr>
                <w:rFonts w:ascii="宋体" w:hAnsi="宋体" w:cs="宋体" w:eastAsia="宋体" w:hint="default"/>
                <w:spacing w:val="-6"/>
                <w:sz w:val="18"/>
                <w:szCs w:val="18"/>
              </w:rPr>
              <w:t>金，每十二个月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内累计金额不 超过超募资金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6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146"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如公司仍未能 在延期期限内 披露发行股份 购买资产预案</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pacing w:val="-13"/>
                <w:sz w:val="18"/>
                <w:szCs w:val="18"/>
              </w:rPr>
              <w:t>（或报告书），</w:t>
            </w:r>
            <w:r>
              <w:rPr>
                <w:rFonts w:ascii="宋体" w:hAnsi="宋体" w:cs="宋体" w:eastAsia="宋体" w:hint="default"/>
                <w:sz w:val="18"/>
                <w:szCs w:val="18"/>
              </w:rPr>
              <w:t> 公司及公司控 </w:t>
            </w:r>
            <w:r>
              <w:rPr>
                <w:rFonts w:ascii="宋体" w:hAnsi="宋体" w:cs="宋体" w:eastAsia="宋体" w:hint="default"/>
                <w:spacing w:val="-6"/>
                <w:sz w:val="18"/>
                <w:szCs w:val="18"/>
              </w:rPr>
              <w:t>股股东、实际控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制人承诺自公 司股票复牌之 日起六个月内 不再筹划发行 股份购买资产 事项。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履行完毕，公司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日公布了</w:t>
            </w:r>
          </w:p>
          <w:p>
            <w:pPr>
              <w:pStyle w:val="TableParagraph"/>
              <w:spacing w:line="319" w:lineRule="auto" w:before="63"/>
              <w:ind w:left="22" w:right="147"/>
              <w:jc w:val="both"/>
              <w:rPr>
                <w:rFonts w:ascii="宋体" w:hAnsi="宋体" w:cs="宋体" w:eastAsia="宋体" w:hint="default"/>
                <w:sz w:val="18"/>
                <w:szCs w:val="18"/>
              </w:rPr>
            </w:pPr>
            <w:r>
              <w:rPr>
                <w:rFonts w:ascii="宋体" w:hAnsi="宋体" w:cs="宋体" w:eastAsia="宋体" w:hint="default"/>
                <w:sz w:val="18"/>
                <w:szCs w:val="18"/>
              </w:rPr>
              <w:t>《群兴玩具发 行股份及支付 现金购买资产 并募集配套资 金报告书（草 </w:t>
            </w:r>
            <w:r>
              <w:rPr>
                <w:rFonts w:ascii="宋体" w:hAnsi="宋体" w:cs="宋体" w:eastAsia="宋体" w:hint="default"/>
                <w:spacing w:val="-45"/>
                <w:sz w:val="18"/>
                <w:szCs w:val="18"/>
              </w:rPr>
              <w:t>案）》。</w:t>
            </w:r>
          </w:p>
        </w:tc>
      </w:tr>
      <w:tr>
        <w:trPr>
          <w:trHeight w:val="6330"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公司董事会于</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日审议通过了</w:t>
            </w:r>
          </w:p>
          <w:p>
            <w:pPr>
              <w:pStyle w:val="TableParagraph"/>
              <w:spacing w:line="319" w:lineRule="auto" w:before="76"/>
              <w:ind w:left="22" w:right="-17"/>
              <w:jc w:val="left"/>
              <w:rPr>
                <w:rFonts w:ascii="宋体" w:hAnsi="宋体" w:cs="宋体" w:eastAsia="宋体" w:hint="default"/>
                <w:sz w:val="18"/>
                <w:szCs w:val="18"/>
              </w:rPr>
            </w:pPr>
            <w:r>
              <w:rPr>
                <w:rFonts w:ascii="宋体" w:hAnsi="宋体" w:cs="宋体" w:eastAsia="宋体" w:hint="default"/>
                <w:sz w:val="18"/>
                <w:szCs w:val="18"/>
              </w:rPr>
              <w:t>《关于使用部 分超募资金永 久性补充流动 </w:t>
            </w:r>
            <w:r>
              <w:rPr>
                <w:rFonts w:ascii="宋体" w:hAnsi="宋体" w:cs="宋体" w:eastAsia="宋体" w:hint="default"/>
                <w:spacing w:val="-6"/>
                <w:sz w:val="18"/>
                <w:szCs w:val="18"/>
              </w:rPr>
              <w:t>资金的议案》并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进行了专项公 </w:t>
            </w:r>
            <w:r>
              <w:rPr>
                <w:rFonts w:ascii="宋体" w:hAnsi="宋体" w:cs="宋体" w:eastAsia="宋体" w:hint="default"/>
                <w:spacing w:val="-6"/>
                <w:sz w:val="18"/>
                <w:szCs w:val="18"/>
              </w:rPr>
              <w:t>告，公司承诺补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充流动资金后 十二个月内不 进行证券投资 等高风险投资； 公司承诺按照 实际需求补充 </w:t>
            </w:r>
            <w:r>
              <w:rPr>
                <w:rFonts w:ascii="宋体" w:hAnsi="宋体" w:cs="宋体" w:eastAsia="宋体" w:hint="default"/>
                <w:spacing w:val="-6"/>
                <w:sz w:val="18"/>
                <w:szCs w:val="18"/>
              </w:rPr>
              <w:t>流动资金，每十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二个月内累计 金额不超过超 募资金总额的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24"/>
              <w:jc w:val="left"/>
              <w:rPr>
                <w:rFonts w:ascii="宋体" w:hAnsi="宋体" w:cs="宋体" w:eastAsia="宋体" w:hint="default"/>
                <w:sz w:val="18"/>
                <w:szCs w:val="18"/>
              </w:rPr>
            </w:pPr>
            <w:r>
              <w:rPr>
                <w:rFonts w:ascii="宋体" w:hAnsi="宋体" w:cs="宋体" w:eastAsia="宋体" w:hint="default"/>
                <w:spacing w:val="-9"/>
                <w:sz w:val="18"/>
                <w:szCs w:val="18"/>
              </w:rPr>
              <w:t>截至目前，承诺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人未发生违反 </w:t>
            </w:r>
            <w:r>
              <w:rPr>
                <w:rFonts w:ascii="宋体" w:hAnsi="宋体" w:cs="宋体" w:eastAsia="宋体" w:hint="default"/>
                <w:spacing w:val="-9"/>
                <w:sz w:val="18"/>
                <w:szCs w:val="18"/>
              </w:rPr>
              <w:t>承诺的情况，该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承诺事项仍在 严格履行中。</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204"/>
        <w:gridCol w:w="6364"/>
      </w:tblGrid>
      <w:tr>
        <w:trPr>
          <w:trHeight w:val="332" w:hRule="exact"/>
        </w:trPr>
        <w:tc>
          <w:tcPr>
            <w:tcW w:w="3204" w:type="dxa"/>
            <w:tcBorders>
              <w:top w:val="nil" w:sz="6" w:space="0" w:color="auto"/>
              <w:left w:val="nil" w:sz="6" w:space="0" w:color="auto"/>
              <w:bottom w:val="single" w:sz="4" w:space="0" w:color="000000"/>
              <w:right w:val="nil" w:sz="6" w:space="0" w:color="auto"/>
            </w:tcBorders>
          </w:tcPr>
          <w:p>
            <w:pPr/>
          </w:p>
        </w:tc>
        <w:tc>
          <w:tcPr>
            <w:tcW w:w="6364"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r>
        <w:rPr/>
        <w:pict>
          <v:group style="position:absolute;margin-left:55.200001pt;margin-top:-49.526318pt;width:485pt;height:.1pt;mso-position-horizontal-relative:page;mso-position-vertical-relative:paragraph;z-index:-746008"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公司资产或项目存在盈利预测，且报告期仍处在盈利预测期间，公司就资产或项目达到" w:id="71"/>
      <w:bookmarkEnd w:id="71"/>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聘任、解聘会计师事务所情况" w:id="72"/>
      <w:bookmarkEnd w:id="72"/>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陈琼  钟宇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监事会、独立董事（如适用）对会计师事务所本报告期“非标准审计报告”的说明" w:id="73"/>
      <w:bookmarkEnd w:id="73"/>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三、年度报告披露后面临暂停上市和终止上市情况" w:id="75"/>
      <w:bookmarkEnd w:id="75"/>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其他重大事项的说明" w:id="76"/>
      <w:bookmarkEnd w:id="76"/>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五、公司子公司重要事项" w:id="77"/>
      <w:bookmarkEnd w:id="77"/>
      <w:r>
        <w:rPr>
          <w:b w:val="0"/>
          <w:bCs w:val="0"/>
        </w:rPr>
      </w:r>
      <w:r>
        <w:rPr/>
        <w:t>十五、公司子公司重要事项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9"/>
          <w:szCs w:val="19"/>
        </w:rPr>
      </w:pPr>
    </w:p>
    <w:p>
      <w:pPr>
        <w:pStyle w:val="Heading2"/>
        <w:spacing w:line="240" w:lineRule="auto" w:before="26"/>
        <w:ind w:right="0"/>
        <w:jc w:val="left"/>
        <w:rPr>
          <w:b w:val="0"/>
          <w:bCs w:val="0"/>
        </w:rPr>
      </w:pPr>
      <w:bookmarkStart w:name="十六、公司发行公司债券的情况" w:id="78"/>
      <w:bookmarkEnd w:id="78"/>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第六节 股份变动及股东情况" w:id="79"/>
      <w:bookmarkEnd w:id="79"/>
      <w:r>
        <w:rPr>
          <w:b w:val="0"/>
          <w:bCs w:val="0"/>
        </w:rPr>
      </w:r>
      <w:bookmarkStart w:name="_bookmark5" w:id="80"/>
      <w:bookmarkEnd w:id="80"/>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81"/>
      <w:bookmarkEnd w:id="81"/>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74.74%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-196,000,0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-196,000,0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4,000,000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1.49%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74.74%</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-196,000,0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-196,000,0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4,000,000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1.49%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59.79%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-160,000,0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14.95%</w:t>
            </w: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-36,000,00</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-36,000,00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4,000,000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1.49%</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25.26%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98.50%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25.26%</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98.50%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6"/>
        <w:ind w:right="0"/>
        <w:jc w:val="left"/>
      </w:pPr>
      <w:r>
        <w:rPr/>
        <w:t>公司首次公开发行前已发行股份本次解除限售数量为</w:t>
      </w:r>
      <w:r>
        <w:rPr>
          <w:rFonts w:ascii="Times New Roman" w:hAnsi="Times New Roman" w:cs="Times New Roman" w:eastAsia="Times New Roman" w:hint="default"/>
        </w:rPr>
        <w:t>20,000</w:t>
      </w:r>
      <w:r>
        <w:rPr/>
        <w:t>万股已于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日解除限售。 </w:t>
      </w:r>
      <w:r>
        <w:rPr>
          <w:spacing w:val="-1"/>
        </w:rPr>
        <w:t>公司原监事林少明先生所持限售股份总数</w:t>
      </w:r>
      <w:r>
        <w:rPr>
          <w:rFonts w:ascii="Times New Roman" w:hAnsi="Times New Roman" w:cs="Times New Roman" w:eastAsia="Times New Roman" w:hint="default"/>
          <w:spacing w:val="-1"/>
        </w:rPr>
        <w:t>8,000,000</w:t>
      </w:r>
      <w:r>
        <w:rPr>
          <w:spacing w:val="-1"/>
        </w:rPr>
        <w:t>股（其中</w:t>
      </w:r>
      <w:r>
        <w:rPr>
          <w:rFonts w:ascii="Times New Roman" w:hAnsi="Times New Roman" w:cs="Times New Roman" w:eastAsia="Times New Roman" w:hint="default"/>
          <w:spacing w:val="-1"/>
        </w:rPr>
        <w:t>4,000,000</w:t>
      </w:r>
      <w:r>
        <w:rPr>
          <w:spacing w:val="-1"/>
        </w:rPr>
        <w:t>股为高管锁定股），其已于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5"/>
        </w:rPr>
        <w:t> </w:t>
      </w:r>
      <w:r>
        <w:rPr>
          <w:spacing w:val="-1"/>
        </w:rPr>
        <w:t>月</w:t>
      </w:r>
      <w:r>
        <w:rPr>
          <w:rFonts w:ascii="Times New Roman" w:hAnsi="Times New Roman" w:cs="Times New Roman" w:eastAsia="Times New Roman" w:hint="default"/>
          <w:spacing w:val="-1"/>
        </w:rPr>
        <w:t>31</w:t>
      </w:r>
      <w:r>
        <w:rPr>
          <w:spacing w:val="-1"/>
        </w:rPr>
        <w:t>日申报离职，其离职承诺：本人离任后六个月内，不转让直接或间接所持群兴玩具的任何股份。本人</w:t>
      </w:r>
      <w:r>
        <w:rPr>
          <w:spacing w:val="-87"/>
        </w:rPr>
        <w:t> </w:t>
      </w:r>
      <w:r>
        <w:rPr>
          <w:spacing w:val="-87"/>
        </w:rPr>
      </w:r>
      <w:r>
        <w:rPr>
          <w:spacing w:val="3"/>
        </w:rPr>
        <w:t>在申报离任六个月后的十二个月内通过证券交易所挂牌交易出售群兴玩具股票数量占其所直接或间接持</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spacing w:val="15"/>
        </w:rPr>
        <w:t>有群兴玩具股票总数的比例不得超过百分之五十。（详见公司于</w:t>
      </w:r>
      <w:r>
        <w:rPr>
          <w:spacing w:val="-61"/>
        </w:rPr>
        <w:t> </w:t>
      </w:r>
      <w:r>
        <w:rPr>
          <w:rFonts w:ascii="Times New Roman" w:hAnsi="Times New Roman" w:cs="Times New Roman" w:eastAsia="Times New Roman" w:hint="default"/>
          <w:spacing w:val="12"/>
        </w:rPr>
        <w:t>2014</w:t>
      </w:r>
      <w:r>
        <w:rPr>
          <w:spacing w:val="12"/>
        </w:rPr>
        <w:t>年</w:t>
      </w:r>
      <w:r>
        <w:rPr>
          <w:rFonts w:ascii="Times New Roman" w:hAnsi="Times New Roman" w:cs="Times New Roman" w:eastAsia="Times New Roman" w:hint="default"/>
          <w:spacing w:val="12"/>
        </w:rPr>
        <w:t>4</w:t>
      </w:r>
      <w:r>
        <w:rPr>
          <w:spacing w:val="12"/>
        </w:rPr>
        <w:t>月</w:t>
      </w:r>
      <w:r>
        <w:rPr>
          <w:rFonts w:ascii="Times New Roman" w:hAnsi="Times New Roman" w:cs="Times New Roman" w:eastAsia="Times New Roman" w:hint="default"/>
          <w:spacing w:val="12"/>
        </w:rPr>
        <w:t>18</w:t>
      </w:r>
      <w:r>
        <w:rPr>
          <w:spacing w:val="12"/>
        </w:rPr>
        <w:t>日刊登在巨潮资讯网</w:t>
      </w:r>
    </w:p>
    <w:p>
      <w:pPr>
        <w:pStyle w:val="BodyText"/>
        <w:spacing w:line="240" w:lineRule="auto" w:before="21"/>
        <w:ind w:right="0"/>
        <w:jc w:val="left"/>
      </w:pPr>
      <w:r>
        <w:rPr/>
        <w:t>（</w:t>
      </w:r>
      <w:hyperlink r:id="rId11">
        <w:r>
          <w:rPr>
            <w:rFonts w:ascii="Times New Roman" w:hAnsi="Times New Roman" w:cs="Times New Roman" w:eastAsia="Times New Roman" w:hint="default"/>
          </w:rPr>
          <w:t>www.cninfo.com.cn</w:t>
        </w:r>
      </w:hyperlink>
      <w:r>
        <w:rPr/>
        <w:t>）、《中国证券报》、《证券时报》、《上海证券报》上的第</w:t>
      </w:r>
      <w:r>
        <w:rPr>
          <w:rFonts w:ascii="Times New Roman" w:hAnsi="Times New Roman" w:cs="Times New Roman" w:eastAsia="Times New Roman" w:hint="default"/>
        </w:rPr>
        <w:t>2014-025</w:t>
      </w:r>
      <w:r>
        <w:rPr/>
        <w:t>号公告）</w:t>
      </w:r>
    </w:p>
    <w:p>
      <w:pPr>
        <w:spacing w:before="87"/>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证券发行与上市情况" w:id="82"/>
      <w:bookmarkEnd w:id="82"/>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末近三年历次证券发行情况" w:id="83"/>
      <w:bookmarkEnd w:id="83"/>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3"/>
        <w:gridCol w:w="1374"/>
        <w:gridCol w:w="1366"/>
        <w:gridCol w:w="1367"/>
        <w:gridCol w:w="1367"/>
        <w:gridCol w:w="1366"/>
        <w:gridCol w:w="137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3"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98" w:right="46" w:hanging="450"/>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7"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724" w:hRule="exact"/>
        </w:trPr>
        <w:tc>
          <w:tcPr>
            <w:tcW w:w="13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股股票</w:t>
            </w:r>
          </w:p>
        </w:tc>
        <w:tc>
          <w:tcPr>
            <w:tcW w:w="137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33,800,000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33,800,000</w:t>
            </w: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pStyle w:val="BodyText"/>
        <w:spacing w:line="256" w:lineRule="auto" w:before="90"/>
        <w:ind w:right="1130"/>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日，公司经中国证监会以证监许可</w:t>
      </w:r>
      <w:r>
        <w:rPr>
          <w:rFonts w:ascii="Times New Roman" w:hAnsi="Times New Roman" w:cs="Times New Roman" w:eastAsia="Times New Roman" w:hint="default"/>
          <w:spacing w:val="-2"/>
        </w:rPr>
        <w:t>[2011]486</w:t>
      </w:r>
      <w:r>
        <w:rPr>
          <w:spacing w:val="-2"/>
        </w:rPr>
        <w:t>号《关于核准广东群兴玩具股份有限公司首次公开</w:t>
      </w:r>
      <w:r>
        <w:rPr>
          <w:spacing w:val="-56"/>
        </w:rPr>
        <w:t> </w:t>
      </w:r>
      <w:r>
        <w:rPr>
          <w:spacing w:val="-56"/>
        </w:rPr>
      </w:r>
      <w:r>
        <w:rPr/>
        <w:t>发行股票的批复》核准，向社会公开发行</w:t>
      </w:r>
      <w:r>
        <w:rPr>
          <w:rFonts w:ascii="Times New Roman" w:hAnsi="Times New Roman" w:cs="Times New Roman" w:eastAsia="Times New Roman" w:hint="default"/>
        </w:rPr>
        <w:t>3,380</w:t>
      </w:r>
      <w:r>
        <w:rPr/>
        <w:t>万股人民币普通股，并于</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日在深圳证券交易所 中小企业板上市交易，证券代码：</w:t>
      </w:r>
      <w:r>
        <w:rPr>
          <w:rFonts w:ascii="Times New Roman" w:hAnsi="Times New Roman" w:cs="Times New Roman" w:eastAsia="Times New Roman" w:hint="default"/>
        </w:rPr>
        <w:t>002575</w:t>
      </w:r>
      <w:r>
        <w:rPr/>
        <w:t>，股票简称：</w:t>
      </w:r>
      <w:r>
        <w:rPr>
          <w:rFonts w:ascii="Times New Roman" w:hAnsi="Times New Roman" w:cs="Times New Roman" w:eastAsia="Times New Roman" w:hint="default"/>
        </w:rPr>
        <w:t>“</w:t>
      </w:r>
      <w:r>
        <w:rPr/>
        <w:t>群兴玩具</w:t>
      </w:r>
      <w:r>
        <w:rPr>
          <w:rFonts w:ascii="Times New Roman" w:hAnsi="Times New Roman" w:cs="Times New Roman" w:eastAsia="Times New Roman" w:hint="default"/>
        </w:rPr>
        <w:t>”</w:t>
      </w:r>
      <w:r>
        <w:rPr/>
        <w:t>。发行后，公司总股本由原</w:t>
      </w:r>
      <w:r>
        <w:rPr>
          <w:rFonts w:ascii="Times New Roman" w:hAnsi="Times New Roman" w:cs="Times New Roman" w:eastAsia="Times New Roman" w:hint="default"/>
        </w:rPr>
        <w:t>10,000</w:t>
      </w:r>
      <w:r>
        <w:rPr/>
        <w:t>万股 增至</w:t>
      </w:r>
      <w:r>
        <w:rPr>
          <w:rFonts w:ascii="Times New Roman" w:hAnsi="Times New Roman" w:cs="Times New Roman" w:eastAsia="Times New Roman" w:hint="default"/>
        </w:rPr>
        <w:t>13,380</w:t>
      </w:r>
      <w:r>
        <w:rPr/>
        <w:t>万股。</w:t>
      </w:r>
    </w:p>
    <w:p>
      <w:pPr>
        <w:spacing w:line="240" w:lineRule="auto" w:before="8"/>
        <w:rPr>
          <w:rFonts w:ascii="宋体" w:hAnsi="宋体" w:cs="宋体" w:eastAsia="宋体" w:hint="default"/>
          <w:sz w:val="21"/>
          <w:szCs w:val="21"/>
        </w:rPr>
      </w:pPr>
    </w:p>
    <w:p>
      <w:pPr>
        <w:pStyle w:val="Heading2"/>
        <w:spacing w:line="240" w:lineRule="auto"/>
        <w:ind w:left="154" w:right="0"/>
        <w:jc w:val="both"/>
        <w:rPr>
          <w:b w:val="0"/>
          <w:bCs w:val="0"/>
        </w:rPr>
      </w:pPr>
      <w:bookmarkStart w:name="三、股东和实际控制人情况" w:id="84"/>
      <w:bookmarkEnd w:id="8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公司股东数量及持股情况" w:id="85"/>
      <w:bookmarkEnd w:id="8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90"/>
        <w:gridCol w:w="797"/>
        <w:gridCol w:w="383"/>
        <w:gridCol w:w="413"/>
        <w:gridCol w:w="797"/>
        <w:gridCol w:w="407"/>
        <w:gridCol w:w="445"/>
        <w:gridCol w:w="1128"/>
        <w:gridCol w:w="1607"/>
      </w:tblGrid>
      <w:tr>
        <w:trPr>
          <w:trHeight w:val="161" w:hRule="exact"/>
        </w:trPr>
        <w:tc>
          <w:tcPr>
            <w:tcW w:w="1595" w:type="dxa"/>
            <w:gridSpan w:val="2"/>
            <w:vMerge w:val="restart"/>
            <w:tcBorders>
              <w:top w:val="single" w:sz="4" w:space="0" w:color="000000"/>
              <w:left w:val="single" w:sz="4" w:space="0" w:color="000000"/>
              <w:right w:val="single" w:sz="4" w:space="0" w:color="000000"/>
            </w:tcBorders>
            <w:shd w:val="clear" w:color="auto" w:fill="D2D2D2"/>
          </w:tcPr>
          <w:p>
            <w:pPr/>
          </w:p>
        </w:tc>
        <w:tc>
          <w:tcPr>
            <w:tcW w:w="16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13,864</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15,122</w:t>
            </w: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5" w:type="dxa"/>
            <w:gridSpan w:val="2"/>
            <w:vMerge/>
            <w:tcBorders>
              <w:left w:val="single" w:sz="4" w:space="0" w:color="000000"/>
              <w:bottom w:val="nil" w:sz="6" w:space="0" w:color="auto"/>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11" w:right="107"/>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704" w:hRule="exact"/>
        </w:trPr>
        <w:tc>
          <w:tcPr>
            <w:tcW w:w="15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156"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vMerge/>
            <w:tcBorders>
              <w:left w:val="single" w:sz="13" w:space="0" w:color="D2D2D2"/>
              <w:right w:val="single" w:sz="4" w:space="0" w:color="000000"/>
            </w:tcBorders>
          </w:tcPr>
          <w:p>
            <w:pPr/>
          </w:p>
        </w:tc>
      </w:tr>
      <w:tr>
        <w:trPr>
          <w:trHeight w:val="166"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vMerge/>
            <w:tcBorders>
              <w:left w:val="single" w:sz="13" w:space="0" w:color="D2D2D2"/>
              <w:bottom w:val="single" w:sz="4" w:space="0" w:color="000000"/>
              <w:right w:val="single" w:sz="4" w:space="0" w:color="000000"/>
            </w:tcBorders>
          </w:tcPr>
          <w:p>
            <w:pPr/>
          </w:p>
        </w:tc>
      </w:tr>
      <w:tr>
        <w:trPr>
          <w:trHeight w:val="39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7"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7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4" w:right="0"/>
              <w:jc w:val="left"/>
              <w:rPr>
                <w:rFonts w:ascii="宋体" w:hAnsi="宋体" w:cs="宋体" w:eastAsia="宋体" w:hint="default"/>
                <w:sz w:val="18"/>
                <w:szCs w:val="18"/>
              </w:rPr>
            </w:pPr>
            <w:r>
              <w:rPr>
                <w:rFonts w:ascii="宋体" w:hAnsi="宋体" w:cs="宋体" w:eastAsia="宋体" w:hint="default"/>
                <w:sz w:val="18"/>
                <w:szCs w:val="18"/>
              </w:rPr>
              <w:t>持有有限</w:t>
            </w:r>
          </w:p>
        </w:tc>
        <w:tc>
          <w:tcPr>
            <w:tcW w:w="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60"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1367"/>
        <w:gridCol w:w="863"/>
        <w:gridCol w:w="798"/>
        <w:gridCol w:w="797"/>
        <w:gridCol w:w="797"/>
        <w:gridCol w:w="851"/>
        <w:gridCol w:w="1368"/>
        <w:gridCol w:w="1367"/>
      </w:tblGrid>
      <w:tr>
        <w:trPr>
          <w:trHeight w:val="67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持股数量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13" w:right="31" w:hanging="180"/>
              <w:jc w:val="left"/>
              <w:rPr>
                <w:rFonts w:ascii="宋体" w:hAnsi="宋体" w:cs="宋体" w:eastAsia="宋体" w:hint="default"/>
                <w:sz w:val="18"/>
                <w:szCs w:val="18"/>
              </w:rPr>
            </w:pPr>
            <w:r>
              <w:rPr>
                <w:rFonts w:ascii="宋体" w:hAnsi="宋体" w:cs="宋体" w:eastAsia="宋体" w:hint="default"/>
                <w:sz w:val="18"/>
                <w:szCs w:val="18"/>
              </w:rPr>
              <w:t>增减变动 情况</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3" w:right="31"/>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59" w:right="59"/>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广东群兴投资有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59.79%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54,700,000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林少明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4,000,000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招商证券股份有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3,778,183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3,778,183</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3,778,183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3,746,038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3,746,038</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3,746,038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陈炎标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2,033,262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2,033,262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2,033,262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严少娟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1,361,700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潘明欣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853,897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853,897</w:t>
            </w: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853,897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tcBorders>
              <w:top w:val="single" w:sz="4" w:space="0" w:color="000000"/>
              <w:left w:val="single" w:sz="9" w:space="0" w:color="D2D2D2"/>
              <w:bottom w:val="single" w:sz="4" w:space="0" w:color="000000"/>
              <w:right w:val="nil" w:sz="6" w:space="0" w:color="auto"/>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8" w:type="dxa"/>
            <w:tcBorders>
              <w:top w:val="single" w:sz="4" w:space="0" w:color="000000"/>
              <w:left w:val="nil" w:sz="6" w:space="0" w:color="auto"/>
              <w:bottom w:val="single" w:sz="4" w:space="0" w:color="000000"/>
              <w:right w:val="nil" w:sz="6" w:space="0" w:color="auto"/>
            </w:tcBorders>
            <w:shd w:val="clear" w:color="auto" w:fill="CCE8CF"/>
          </w:tcPr>
          <w:p>
            <w:pPr/>
          </w:p>
        </w:tc>
        <w:tc>
          <w:tcPr>
            <w:tcW w:w="797" w:type="dxa"/>
            <w:tcBorders>
              <w:top w:val="single" w:sz="4" w:space="0" w:color="000000"/>
              <w:left w:val="nil" w:sz="6" w:space="0" w:color="auto"/>
              <w:bottom w:val="single" w:sz="4" w:space="0" w:color="000000"/>
              <w:right w:val="nil" w:sz="6" w:space="0" w:color="auto"/>
            </w:tcBorders>
            <w:shd w:val="clear" w:color="auto" w:fill="CCE8CF"/>
          </w:tcPr>
          <w:p>
            <w:pPr/>
          </w:p>
        </w:tc>
        <w:tc>
          <w:tcPr>
            <w:tcW w:w="797" w:type="dxa"/>
            <w:tcBorders>
              <w:top w:val="single" w:sz="4" w:space="0" w:color="000000"/>
              <w:left w:val="nil" w:sz="6" w:space="0" w:color="auto"/>
              <w:bottom w:val="single" w:sz="4" w:space="0" w:color="000000"/>
              <w:right w:val="nil" w:sz="6" w:space="0" w:color="auto"/>
            </w:tcBorders>
            <w:shd w:val="clear" w:color="auto" w:fill="CCE8CF"/>
          </w:tcPr>
          <w:p>
            <w:pPr/>
          </w:p>
        </w:tc>
        <w:tc>
          <w:tcPr>
            <w:tcW w:w="851" w:type="dxa"/>
            <w:tcBorders>
              <w:top w:val="single" w:sz="4" w:space="0" w:color="000000"/>
              <w:left w:val="nil" w:sz="6" w:space="0" w:color="auto"/>
              <w:bottom w:val="single" w:sz="4" w:space="0" w:color="000000"/>
              <w:right w:val="nil" w:sz="6" w:space="0" w:color="auto"/>
            </w:tcBorders>
            <w:shd w:val="clear" w:color="auto" w:fill="CCE8CF"/>
          </w:tcPr>
          <w:p>
            <w:pPr/>
          </w:p>
        </w:tc>
        <w:tc>
          <w:tcPr>
            <w:tcW w:w="1368" w:type="dxa"/>
            <w:tcBorders>
              <w:top w:val="single" w:sz="4" w:space="0" w:color="000000"/>
              <w:left w:val="nil" w:sz="6" w:space="0" w:color="auto"/>
              <w:bottom w:val="single" w:sz="4" w:space="0" w:color="000000"/>
              <w:right w:val="nil" w:sz="6" w:space="0" w:color="auto"/>
            </w:tcBorders>
            <w:shd w:val="clear" w:color="auto" w:fill="CCE8CF"/>
          </w:tcPr>
          <w:p>
            <w:pPr/>
          </w:p>
        </w:tc>
        <w:tc>
          <w:tcPr>
            <w:tcW w:w="1367" w:type="dxa"/>
            <w:tcBorders>
              <w:top w:val="single" w:sz="4" w:space="0" w:color="000000"/>
              <w:left w:val="nil" w:sz="6" w:space="0" w:color="auto"/>
              <w:bottom w:val="single" w:sz="4" w:space="0" w:color="000000"/>
              <w:right w:val="single" w:sz="4" w:space="0" w:color="000000"/>
            </w:tcBorders>
            <w:shd w:val="clear" w:color="auto" w:fill="CCE8CF"/>
          </w:tcPr>
          <w:p>
            <w:pPr/>
          </w:p>
        </w:tc>
      </w:tr>
      <w:tr>
        <w:trPr>
          <w:trHeight w:val="161"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7"/>
            <w:vMerge w:val="restart"/>
            <w:tcBorders>
              <w:top w:val="single" w:sz="4" w:space="0" w:color="000000"/>
              <w:left w:val="single" w:sz="9" w:space="0" w:color="D2D2D2"/>
              <w:right w:val="single" w:sz="4" w:space="0" w:color="000000"/>
            </w:tcBorders>
            <w:shd w:val="clear" w:color="auto" w:fill="CCE8CF"/>
          </w:tcPr>
          <w:p>
            <w:pPr>
              <w:pStyle w:val="TableParagraph"/>
              <w:spacing w:line="309" w:lineRule="auto" w:before="51"/>
              <w:ind w:left="16"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、广东群兴投资有限公司是本公司的控股股东；</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、本公司未知上述其他股东之间是否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存在关联关系，也未知上述股东之间是否属于《上市公司股东持股变动信息披露管理办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法》中规定的一致行动人。</w:t>
            </w:r>
          </w:p>
        </w:tc>
      </w:tr>
      <w:tr>
        <w:trPr>
          <w:trHeight w:val="705" w:hRule="exact"/>
        </w:trPr>
        <w:tc>
          <w:tcPr>
            <w:tcW w:w="272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vMerge/>
            <w:tcBorders>
              <w:left w:val="single" w:sz="9" w:space="0" w:color="D2D2D2"/>
              <w:right w:val="single" w:sz="4" w:space="0" w:color="000000"/>
            </w:tcBorders>
            <w:shd w:val="clear" w:color="auto" w:fill="CCE8CF"/>
          </w:tcPr>
          <w:p>
            <w:pPr/>
          </w:p>
        </w:tc>
      </w:tr>
      <w:tr>
        <w:trPr>
          <w:trHeight w:val="161"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7"/>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2"/>
            <w:vMerge/>
            <w:tcBorders>
              <w:left w:val="single" w:sz="4" w:space="0" w:color="000000"/>
              <w:bottom w:val="nil" w:sz="6" w:space="0" w:color="auto"/>
              <w:right w:val="single" w:sz="4" w:space="0" w:color="000000"/>
            </w:tcBorders>
            <w:shd w:val="clear" w:color="auto" w:fill="D2D2D2"/>
          </w:tcPr>
          <w:p>
            <w:pPr/>
          </w:p>
        </w:tc>
        <w:tc>
          <w:tcPr>
            <w:tcW w:w="4106" w:type="dxa"/>
            <w:gridSpan w:val="5"/>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160,000,000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邱良深</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刁云景</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黄奕</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3,778,183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3,778,183</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赖炼</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3,746,038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3,746,038</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陈炎标</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2,033,262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2,033,262</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严少娟</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1,361,700</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潘明欣</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853,897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853,897</w:t>
            </w:r>
          </w:p>
        </w:tc>
      </w:tr>
      <w:tr>
        <w:trPr>
          <w:trHeight w:val="402" w:hRule="exact"/>
        </w:trPr>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刘佳薇</w:t>
            </w:r>
          </w:p>
        </w:tc>
        <w:tc>
          <w:tcPr>
            <w:tcW w:w="4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760,368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760,368</w:t>
            </w:r>
          </w:p>
        </w:tc>
      </w:tr>
      <w:tr>
        <w:trPr>
          <w:trHeight w:val="986" w:hRule="exact"/>
        </w:trPr>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w:t>
            </w:r>
          </w:p>
        </w:tc>
        <w:tc>
          <w:tcPr>
            <w:tcW w:w="6841" w:type="dxa"/>
            <w:gridSpan w:val="7"/>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16" w:right="21"/>
              <w:jc w:val="left"/>
              <w:rPr>
                <w:rFonts w:ascii="宋体" w:hAnsi="宋体" w:cs="宋体" w:eastAsia="宋体" w:hint="default"/>
                <w:sz w:val="18"/>
                <w:szCs w:val="18"/>
              </w:rPr>
            </w:pPr>
            <w:r>
              <w:rPr>
                <w:rFonts w:ascii="宋体" w:hAnsi="宋体" w:cs="宋体" w:eastAsia="宋体" w:hint="default"/>
                <w:spacing w:val="-2"/>
                <w:sz w:val="18"/>
                <w:szCs w:val="18"/>
              </w:rPr>
              <w:t>本公司未知上述其他股东之间是否存在关联关系，也未知上述股东之间是否属于《上市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公司股东持股变动信息披露管理办法》中规定的一致行动人。</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38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pt;height:19.1pt;mso-position-horizontal-relative:char;mso-position-vertical-relative:line" coordorigin="0,0" coordsize="9580,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2718;top:14;width:2;height:353" coordorigin="2718,14" coordsize="2,353">
              <v:shape style="position:absolute;left:2718;top:14;width:2;height:353" coordorigin="2718,14" coordsize="0,353" path="m2718,14l2718,367e" filled="false" stroked="true" strokeweight="1.140pt" strokecolor="#d2d2d2">
                <v:path arrowok="t"/>
              </v:shape>
            </v:group>
            <v:group style="position:absolute;left:32;top:14;width:2674;height:353" coordorigin="32,14" coordsize="2674,353">
              <v:shape style="position:absolute;left:32;top:14;width:2674;height:353" coordorigin="32,14" coordsize="2674,353" path="m32,367l2706,367,2706,14,32,14,32,367xe" filled="true" fillcolor="#d2d2d2" stroked="false">
                <v:path arrowok="t"/>
                <v:fill type="solid"/>
              </v:shape>
            </v:group>
            <v:group style="position:absolute;left:2739;top:14;width:6832;height:353" coordorigin="2739,14" coordsize="6832,353">
              <v:shape style="position:absolute;left:2739;top:14;width:6832;height:353" coordorigin="2739,14" coordsize="6832,353" path="m2739,367l9570,367,9570,14,2739,14,2739,367xe" filled="true" fillcolor="#cce8cf" stroked="false">
                <v:path arrowok="t"/>
                <v:fill type="solid"/>
              </v:shape>
            </v:group>
            <v:group style="position:absolute;left:10;top:10;width:2720;height:2" coordorigin="10,10" coordsize="2720,2">
              <v:shape style="position:absolute;left:10;top:10;width:2720;height:2" coordorigin="10,10" coordsize="2720,0" path="m10,10l2729,10e" filled="false" stroked="true" strokeweight=".48pt" strokecolor="#000000">
                <v:path arrowok="t"/>
              </v:shape>
            </v:group>
            <v:group style="position:absolute;left:2739;top:10;width:6832;height:2" coordorigin="2739,10" coordsize="6832,2">
              <v:shape style="position:absolute;left:2739;top:10;width:6832;height:2" coordorigin="2739,10" coordsize="6832,0" path="m2739,10l9570,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720;height:2" coordorigin="10,372" coordsize="2720,2">
              <v:shape style="position:absolute;left:10;top:372;width:2720;height:2" coordorigin="10,372" coordsize="2720,0" path="m10,372l2729,372e" filled="false" stroked="true" strokeweight=".48pt" strokecolor="#000000">
                <v:path arrowok="t"/>
              </v:shape>
            </v:group>
            <v:group style="position:absolute;left:2734;top:5;width:2;height:372" coordorigin="2734,5" coordsize="2,372">
              <v:shape style="position:absolute;left:2734;top:5;width:2;height:372" coordorigin="2734,5" coordsize="0,372" path="m2734,5l2734,377e" filled="false" stroked="true" strokeweight=".48pt" strokecolor="#000000">
                <v:path arrowok="t"/>
              </v:shape>
            </v:group>
            <v:group style="position:absolute;left:2739;top:372;width:6832;height:2" coordorigin="2739,372" coordsize="6832,2">
              <v:shape style="position:absolute;left:2739;top:372;width:6832;height:2" coordorigin="2739,372" coordsize="6832,0" path="m2739,372l9570,372e" filled="false" stroked="true" strokeweight=".48pt" strokecolor="#000000">
                <v:path arrowok="t"/>
              </v:shape>
            </v:group>
            <v:group style="position:absolute;left:9575;top:5;width:2;height:372" coordorigin="9575,5" coordsize="2,372">
              <v:shape style="position:absolute;left:9575;top:5;width:2;height:372" coordorigin="9575,5" coordsize="0,372" path="m9575,5l9575,377e" filled="false" stroked="true" strokeweight=".48pt" strokecolor="#000000">
                <v:path arrowok="t"/>
              </v:shape>
              <v:shape style="position:absolute;left:5;top:10;width:2718;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行动的说明</w:t>
                      </w:r>
                    </w:p>
                  </w:txbxContent>
                </v:textbox>
                <w10:wrap type="none"/>
              </v:shape>
            </v:group>
          </v:group>
        </w:pict>
      </w:r>
      <w:r>
        <w:rPr>
          <w:rFonts w:ascii="Times New Roman" w:hAnsi="Times New Roman" w:cs="Times New Roman" w:eastAsia="Times New Roman"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86"/>
      <w:bookmarkEnd w:id="8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139" w:firstLine="0"/>
        <w:jc w:val="right"/>
        <w:rPr>
          <w:rFonts w:ascii="宋体" w:hAnsi="宋体" w:cs="宋体" w:eastAsia="宋体" w:hint="default"/>
          <w:sz w:val="18"/>
          <w:szCs w:val="18"/>
        </w:rPr>
      </w:pPr>
      <w:r>
        <w:rPr/>
        <w:pict>
          <v:shape style="position:absolute;margin-left:56.459999pt;margin-top:-36.578278pt;width:478.6pt;height:551.450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6"/>
                    <w:gridCol w:w="1481"/>
                    <w:gridCol w:w="1328"/>
                    <w:gridCol w:w="1460"/>
                    <w:gridCol w:w="1604"/>
                    <w:gridCol w:w="1838"/>
                  </w:tblGrid>
                  <w:tr>
                    <w:trPr>
                      <w:trHeight w:val="709"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59" w:right="84"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287" w:hRule="exact"/>
                    </w:trPr>
                    <w:tc>
                      <w:tcPr>
                        <w:tcW w:w="1846" w:type="dxa"/>
                        <w:tcBorders>
                          <w:top w:val="single" w:sz="4" w:space="0" w:color="000000"/>
                          <w:left w:val="single" w:sz="4" w:space="0" w:color="000000"/>
                          <w:bottom w:val="nil" w:sz="6" w:space="0" w:color="auto"/>
                          <w:right w:val="single" w:sz="4" w:space="0" w:color="000000"/>
                        </w:tcBorders>
                        <w:shd w:val="clear" w:color="auto" w:fill="CCE8CF"/>
                      </w:tcPr>
                      <w:p>
                        <w:pPr/>
                      </w:p>
                    </w:tc>
                    <w:tc>
                      <w:tcPr>
                        <w:tcW w:w="1481" w:type="dxa"/>
                        <w:vMerge w:val="restart"/>
                        <w:tcBorders>
                          <w:top w:val="single" w:sz="4" w:space="0" w:color="000000"/>
                          <w:left w:val="single" w:sz="4" w:space="0" w:color="000000"/>
                          <w:right w:val="single" w:sz="4" w:space="0" w:color="000000"/>
                        </w:tcBorders>
                        <w:shd w:val="clear" w:color="auto" w:fill="CCE8CF"/>
                      </w:tcPr>
                      <w:p>
                        <w:pPr/>
                      </w:p>
                    </w:tc>
                    <w:tc>
                      <w:tcPr>
                        <w:tcW w:w="1328" w:type="dxa"/>
                        <w:vMerge w:val="restart"/>
                        <w:tcBorders>
                          <w:top w:val="single" w:sz="4" w:space="0" w:color="000000"/>
                          <w:left w:val="single" w:sz="10" w:space="0" w:color="CCE8CF"/>
                          <w:right w:val="single" w:sz="10"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60" w:type="dxa"/>
                        <w:vMerge w:val="restart"/>
                        <w:tcBorders>
                          <w:top w:val="single" w:sz="4" w:space="0" w:color="000000"/>
                          <w:left w:val="single" w:sz="4" w:space="0" w:color="000000"/>
                          <w:right w:val="single" w:sz="4" w:space="0" w:color="000000"/>
                        </w:tcBorders>
                        <w:shd w:val="clear" w:color="auto" w:fill="CCE8CF"/>
                      </w:tcPr>
                      <w:p>
                        <w:pPr/>
                      </w:p>
                    </w:tc>
                    <w:tc>
                      <w:tcPr>
                        <w:tcW w:w="1604" w:type="dxa"/>
                        <w:vMerge w:val="restart"/>
                        <w:tcBorders>
                          <w:top w:val="single" w:sz="4" w:space="0" w:color="000000"/>
                          <w:left w:val="single" w:sz="4" w:space="0" w:color="000000"/>
                          <w:right w:val="single" w:sz="4" w:space="0" w:color="000000"/>
                        </w:tcBorders>
                        <w:shd w:val="clear" w:color="auto" w:fill="CCE8CF"/>
                      </w:tcPr>
                      <w:p>
                        <w:pPr/>
                      </w:p>
                    </w:tc>
                    <w:tc>
                      <w:tcPr>
                        <w:tcW w:w="183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7"/>
                          <w:ind w:left="11" w:right="9"/>
                          <w:jc w:val="left"/>
                          <w:rPr>
                            <w:rFonts w:ascii="宋体" w:hAnsi="宋体" w:cs="宋体" w:eastAsia="宋体" w:hint="default"/>
                            <w:sz w:val="18"/>
                            <w:szCs w:val="18"/>
                          </w:rPr>
                        </w:pPr>
                        <w:r>
                          <w:rPr>
                            <w:rFonts w:ascii="宋体" w:hAnsi="宋体" w:cs="宋体" w:eastAsia="宋体" w:hint="default"/>
                            <w:spacing w:val="-9"/>
                            <w:sz w:val="18"/>
                            <w:szCs w:val="18"/>
                          </w:rPr>
                          <w:t>对农林牧渔业、采矿业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制造业、电力燃气及水 的生产业、建筑业、交 通运输仓储和邮政业、 信息传输计算机服务和 </w:t>
                        </w:r>
                        <w:r>
                          <w:rPr>
                            <w:rFonts w:ascii="宋体" w:hAnsi="宋体" w:cs="宋体" w:eastAsia="宋体" w:hint="default"/>
                            <w:spacing w:val="-9"/>
                            <w:sz w:val="18"/>
                            <w:szCs w:val="18"/>
                          </w:rPr>
                          <w:t>软件业、批发和零售业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金融业、房地产业、租 赁和商务服务业、水利 环境和公共设施管理 业、居民服务和其他服 务业、文化体育和娱乐 业等行业的投资；投资 管理咨询等；销售金属 材料、建筑材料、机械 设备、五金交电、日用 百货、纸及纸制品、化 工产品及化工原料（危 </w:t>
                        </w:r>
                        <w:r>
                          <w:rPr>
                            <w:rFonts w:ascii="宋体" w:hAnsi="宋体" w:cs="宋体" w:eastAsia="宋体" w:hint="default"/>
                            <w:spacing w:val="-16"/>
                            <w:sz w:val="18"/>
                            <w:szCs w:val="18"/>
                          </w:rPr>
                          <w:t>险化学品除外）；货物进</w:t>
                        </w:r>
                        <w:r>
                          <w:rPr>
                            <w:rFonts w:ascii="宋体" w:hAnsi="宋体" w:cs="宋体" w:eastAsia="宋体" w:hint="default"/>
                            <w:sz w:val="18"/>
                            <w:szCs w:val="18"/>
                          </w:rPr>
                          <w:t> 出口，技术进出口（法 律、行政法规禁止的项 目除外；法律、行政法 规限制的项目须取得许 可后方可经营）</w:t>
                        </w:r>
                      </w:p>
                    </w:tc>
                  </w:tr>
                  <w:tr>
                    <w:trPr>
                      <w:trHeight w:val="156" w:hRule="exact"/>
                    </w:trPr>
                    <w:tc>
                      <w:tcPr>
                        <w:tcW w:w="1846" w:type="dxa"/>
                        <w:vMerge w:val="restart"/>
                        <w:tcBorders>
                          <w:top w:val="nil" w:sz="6" w:space="0" w:color="auto"/>
                          <w:left w:val="single" w:sz="4" w:space="0" w:color="000000"/>
                          <w:right w:val="single" w:sz="4" w:space="0" w:color="000000"/>
                        </w:tcBorders>
                        <w:shd w:val="clear" w:color="auto" w:fill="CCE8CF"/>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广东群兴投资有限公 司</w:t>
                        </w:r>
                      </w:p>
                    </w:tc>
                    <w:tc>
                      <w:tcPr>
                        <w:tcW w:w="1481" w:type="dxa"/>
                        <w:vMerge/>
                        <w:tcBorders>
                          <w:left w:val="single" w:sz="4" w:space="0" w:color="000000"/>
                          <w:bottom w:val="nil" w:sz="6" w:space="0" w:color="auto"/>
                          <w:right w:val="single" w:sz="4" w:space="0" w:color="000000"/>
                        </w:tcBorders>
                        <w:shd w:val="clear" w:color="auto" w:fill="CCE8CF"/>
                      </w:tcPr>
                      <w:p>
                        <w:pPr/>
                      </w:p>
                    </w:tc>
                    <w:tc>
                      <w:tcPr>
                        <w:tcW w:w="1328" w:type="dxa"/>
                        <w:vMerge/>
                        <w:tcBorders>
                          <w:left w:val="single" w:sz="10" w:space="0" w:color="CCE8CF"/>
                          <w:right w:val="single" w:sz="10" w:space="0" w:color="CCE8CF"/>
                        </w:tcBorders>
                      </w:tcPr>
                      <w:p>
                        <w:pPr/>
                      </w:p>
                    </w:tc>
                    <w:tc>
                      <w:tcPr>
                        <w:tcW w:w="1460" w:type="dxa"/>
                        <w:vMerge/>
                        <w:tcBorders>
                          <w:left w:val="single" w:sz="4" w:space="0" w:color="000000"/>
                          <w:bottom w:val="nil" w:sz="6" w:space="0" w:color="auto"/>
                          <w:right w:val="single" w:sz="4" w:space="0" w:color="000000"/>
                        </w:tcBorders>
                        <w:shd w:val="clear" w:color="auto" w:fill="CCE8CF"/>
                      </w:tcPr>
                      <w:p>
                        <w:pPr/>
                      </w:p>
                    </w:tc>
                    <w:tc>
                      <w:tcPr>
                        <w:tcW w:w="1604" w:type="dxa"/>
                        <w:vMerge/>
                        <w:tcBorders>
                          <w:left w:val="single" w:sz="4" w:space="0" w:color="000000"/>
                          <w:bottom w:val="nil" w:sz="6" w:space="0" w:color="auto"/>
                          <w:right w:val="single" w:sz="4" w:space="0" w:color="000000"/>
                        </w:tcBorders>
                        <w:shd w:val="clear" w:color="auto" w:fill="CCE8CF"/>
                      </w:tcPr>
                      <w:p>
                        <w:pPr/>
                      </w:p>
                    </w:tc>
                    <w:tc>
                      <w:tcPr>
                        <w:tcW w:w="1838" w:type="dxa"/>
                        <w:vMerge/>
                        <w:tcBorders>
                          <w:left w:val="single" w:sz="4" w:space="0" w:color="000000"/>
                          <w:right w:val="single" w:sz="4" w:space="0" w:color="000000"/>
                        </w:tcBorders>
                        <w:shd w:val="clear" w:color="auto" w:fill="CCE8CF"/>
                      </w:tcPr>
                      <w:p>
                        <w:pPr/>
                      </w:p>
                    </w:tc>
                  </w:tr>
                  <w:tr>
                    <w:trPr>
                      <w:trHeight w:val="392" w:hRule="exact"/>
                    </w:trPr>
                    <w:tc>
                      <w:tcPr>
                        <w:tcW w:w="1846" w:type="dxa"/>
                        <w:vMerge/>
                        <w:tcBorders>
                          <w:left w:val="single" w:sz="4" w:space="0" w:color="000000"/>
                          <w:right w:val="single" w:sz="4" w:space="0" w:color="000000"/>
                        </w:tcBorders>
                        <w:shd w:val="clear" w:color="auto" w:fill="CCE8CF"/>
                      </w:tcPr>
                      <w:p>
                        <w:pPr/>
                      </w:p>
                    </w:tc>
                    <w:tc>
                      <w:tcPr>
                        <w:tcW w:w="1481"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1328" w:type="dxa"/>
                        <w:vMerge/>
                        <w:tcBorders>
                          <w:left w:val="single" w:sz="10" w:space="0" w:color="CCE8CF"/>
                          <w:right w:val="single" w:sz="10" w:space="0" w:color="CCE8CF"/>
                        </w:tcBorders>
                      </w:tcPr>
                      <w:p>
                        <w:pPr/>
                      </w:p>
                    </w:tc>
                    <w:tc>
                      <w:tcPr>
                        <w:tcW w:w="146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69243729-X</w:t>
                        </w:r>
                      </w:p>
                    </w:tc>
                    <w:tc>
                      <w:tcPr>
                        <w:tcW w:w="160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838" w:type="dxa"/>
                        <w:vMerge/>
                        <w:tcBorders>
                          <w:left w:val="single" w:sz="4" w:space="0" w:color="000000"/>
                          <w:right w:val="single" w:sz="4" w:space="0" w:color="000000"/>
                        </w:tcBorders>
                        <w:shd w:val="clear" w:color="auto" w:fill="CCE8CF"/>
                      </w:tcPr>
                      <w:p>
                        <w:pPr/>
                      </w:p>
                    </w:tc>
                  </w:tr>
                  <w:tr>
                    <w:trPr>
                      <w:trHeight w:val="156" w:hRule="exact"/>
                    </w:trPr>
                    <w:tc>
                      <w:tcPr>
                        <w:tcW w:w="1846" w:type="dxa"/>
                        <w:vMerge/>
                        <w:tcBorders>
                          <w:left w:val="single" w:sz="4" w:space="0" w:color="000000"/>
                          <w:bottom w:val="nil" w:sz="6" w:space="0" w:color="auto"/>
                          <w:right w:val="single" w:sz="4" w:space="0" w:color="000000"/>
                        </w:tcBorders>
                        <w:shd w:val="clear" w:color="auto" w:fill="CCE8CF"/>
                      </w:tcPr>
                      <w:p>
                        <w:pPr/>
                      </w:p>
                    </w:tc>
                    <w:tc>
                      <w:tcPr>
                        <w:tcW w:w="1481" w:type="dxa"/>
                        <w:vMerge w:val="restart"/>
                        <w:tcBorders>
                          <w:top w:val="nil" w:sz="6" w:space="0" w:color="auto"/>
                          <w:left w:val="single" w:sz="4" w:space="0" w:color="000000"/>
                          <w:right w:val="single" w:sz="4" w:space="0" w:color="000000"/>
                        </w:tcBorders>
                        <w:shd w:val="clear" w:color="auto" w:fill="CCE8CF"/>
                      </w:tcPr>
                      <w:p>
                        <w:pPr/>
                      </w:p>
                    </w:tc>
                    <w:tc>
                      <w:tcPr>
                        <w:tcW w:w="1328" w:type="dxa"/>
                        <w:vMerge/>
                        <w:tcBorders>
                          <w:left w:val="single" w:sz="10" w:space="0" w:color="CCE8CF"/>
                          <w:right w:val="single" w:sz="10" w:space="0" w:color="CCE8CF"/>
                        </w:tcBorders>
                      </w:tcPr>
                      <w:p>
                        <w:pPr/>
                      </w:p>
                    </w:tc>
                    <w:tc>
                      <w:tcPr>
                        <w:tcW w:w="1460" w:type="dxa"/>
                        <w:vMerge w:val="restart"/>
                        <w:tcBorders>
                          <w:top w:val="nil" w:sz="6" w:space="0" w:color="auto"/>
                          <w:left w:val="single" w:sz="4" w:space="0" w:color="000000"/>
                          <w:right w:val="single" w:sz="4" w:space="0" w:color="000000"/>
                        </w:tcBorders>
                        <w:shd w:val="clear" w:color="auto" w:fill="CCE8CF"/>
                      </w:tcPr>
                      <w:p>
                        <w:pPr/>
                      </w:p>
                    </w:tc>
                    <w:tc>
                      <w:tcPr>
                        <w:tcW w:w="1604" w:type="dxa"/>
                        <w:vMerge w:val="restart"/>
                        <w:tcBorders>
                          <w:top w:val="nil" w:sz="6" w:space="0" w:color="auto"/>
                          <w:left w:val="single" w:sz="4" w:space="0" w:color="000000"/>
                          <w:right w:val="single" w:sz="4" w:space="0" w:color="000000"/>
                        </w:tcBorders>
                        <w:shd w:val="clear" w:color="auto" w:fill="CCE8CF"/>
                      </w:tcPr>
                      <w:p>
                        <w:pPr/>
                      </w:p>
                    </w:tc>
                    <w:tc>
                      <w:tcPr>
                        <w:tcW w:w="1838" w:type="dxa"/>
                        <w:vMerge/>
                        <w:tcBorders>
                          <w:left w:val="single" w:sz="4" w:space="0" w:color="000000"/>
                          <w:right w:val="single" w:sz="4" w:space="0" w:color="000000"/>
                        </w:tcBorders>
                        <w:shd w:val="clear" w:color="auto" w:fill="CCE8CF"/>
                      </w:tcPr>
                      <w:p>
                        <w:pPr/>
                      </w:p>
                    </w:tc>
                  </w:tr>
                  <w:tr>
                    <w:trPr>
                      <w:trHeight w:val="3287" w:hRule="exact"/>
                    </w:trPr>
                    <w:tc>
                      <w:tcPr>
                        <w:tcW w:w="1846" w:type="dxa"/>
                        <w:tcBorders>
                          <w:top w:val="nil" w:sz="6" w:space="0" w:color="auto"/>
                          <w:left w:val="single" w:sz="4" w:space="0" w:color="000000"/>
                          <w:bottom w:val="single" w:sz="4" w:space="0" w:color="000000"/>
                          <w:right w:val="single" w:sz="4" w:space="0" w:color="000000"/>
                        </w:tcBorders>
                        <w:shd w:val="clear" w:color="auto" w:fill="CCE8CF"/>
                      </w:tcPr>
                      <w:p>
                        <w:pPr/>
                      </w:p>
                    </w:tc>
                    <w:tc>
                      <w:tcPr>
                        <w:tcW w:w="1481" w:type="dxa"/>
                        <w:vMerge/>
                        <w:tcBorders>
                          <w:left w:val="single" w:sz="4" w:space="0" w:color="000000"/>
                          <w:bottom w:val="single" w:sz="4" w:space="0" w:color="000000"/>
                          <w:right w:val="single" w:sz="4" w:space="0" w:color="000000"/>
                        </w:tcBorders>
                        <w:shd w:val="clear" w:color="auto" w:fill="CCE8CF"/>
                      </w:tcPr>
                      <w:p>
                        <w:pPr/>
                      </w:p>
                    </w:tc>
                    <w:tc>
                      <w:tcPr>
                        <w:tcW w:w="1328" w:type="dxa"/>
                        <w:vMerge/>
                        <w:tcBorders>
                          <w:left w:val="single" w:sz="10" w:space="0" w:color="CCE8CF"/>
                          <w:bottom w:val="single" w:sz="4" w:space="0" w:color="000000"/>
                          <w:right w:val="single" w:sz="10" w:space="0" w:color="CCE8CF"/>
                        </w:tcBorders>
                      </w:tcPr>
                      <w:p>
                        <w:pPr/>
                      </w:p>
                    </w:tc>
                    <w:tc>
                      <w:tcPr>
                        <w:tcW w:w="1460" w:type="dxa"/>
                        <w:vMerge/>
                        <w:tcBorders>
                          <w:left w:val="single" w:sz="4" w:space="0" w:color="000000"/>
                          <w:bottom w:val="single" w:sz="4" w:space="0" w:color="000000"/>
                          <w:right w:val="single" w:sz="4" w:space="0" w:color="000000"/>
                        </w:tcBorders>
                        <w:shd w:val="clear" w:color="auto" w:fill="CCE8CF"/>
                      </w:tcPr>
                      <w:p>
                        <w:pPr/>
                      </w:p>
                    </w:tc>
                    <w:tc>
                      <w:tcPr>
                        <w:tcW w:w="1604" w:type="dxa"/>
                        <w:vMerge/>
                        <w:tcBorders>
                          <w:left w:val="single" w:sz="4" w:space="0" w:color="000000"/>
                          <w:bottom w:val="single" w:sz="4" w:space="0" w:color="000000"/>
                          <w:right w:val="single" w:sz="4" w:space="0" w:color="000000"/>
                        </w:tcBorders>
                        <w:shd w:val="clear" w:color="auto" w:fill="CCE8CF"/>
                      </w:tcPr>
                      <w:p>
                        <w:pPr/>
                      </w:p>
                    </w:tc>
                    <w:tc>
                      <w:tcPr>
                        <w:tcW w:w="1838" w:type="dxa"/>
                        <w:vMerge/>
                        <w:tcBorders>
                          <w:left w:val="single" w:sz="4" w:space="0" w:color="000000"/>
                          <w:bottom w:val="single" w:sz="4" w:space="0" w:color="000000"/>
                          <w:right w:val="single" w:sz="4" w:space="0" w:color="000000"/>
                        </w:tcBorders>
                        <w:shd w:val="clear" w:color="auto" w:fill="CCE8CF"/>
                      </w:tcPr>
                      <w:p>
                        <w:pPr/>
                      </w:p>
                    </w:tc>
                  </w:tr>
                  <w:tr>
                    <w:trPr>
                      <w:trHeight w:val="1021" w:hRule="exact"/>
                    </w:trPr>
                    <w:tc>
                      <w:tcPr>
                        <w:tcW w:w="184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7711"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6"/>
                          <w:ind w:left="11" w:right="9"/>
                          <w:jc w:val="both"/>
                          <w:rPr>
                            <w:rFonts w:ascii="宋体" w:hAnsi="宋体" w:cs="宋体" w:eastAsia="宋体" w:hint="default"/>
                            <w:sz w:val="18"/>
                            <w:szCs w:val="18"/>
                          </w:rPr>
                        </w:pPr>
                        <w:r>
                          <w:rPr>
                            <w:rFonts w:ascii="宋体" w:hAnsi="宋体" w:cs="宋体" w:eastAsia="宋体" w:hint="default"/>
                            <w:spacing w:val="-2"/>
                            <w:sz w:val="18"/>
                            <w:szCs w:val="18"/>
                          </w:rPr>
                          <w:t>对农林牧渔业、采矿业、制造业、电力燃气及水的生产业、建筑业、交通运输仓储和邮政业、信息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传输计算机服务和软件业、批发和零售业、金融业、房地产业、租赁和商务服务业、水利环境和公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共设施管理业、居民服务和其他服务业、文化体育和娱乐业等行业的投资；投资管理咨询等。</w:t>
                        </w:r>
                      </w:p>
                    </w:tc>
                  </w:tr>
                  <w:tr>
                    <w:trPr>
                      <w:trHeight w:val="1026" w:hRule="exact"/>
                    </w:trPr>
                    <w:tc>
                      <w:tcPr>
                        <w:tcW w:w="1846"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
                          <w:jc w:val="left"/>
                          <w:rPr>
                            <w:rFonts w:ascii="宋体" w:hAnsi="宋体" w:cs="宋体" w:eastAsia="宋体" w:hint="default"/>
                            <w:sz w:val="18"/>
                            <w:szCs w:val="18"/>
                          </w:rPr>
                        </w:pPr>
                        <w:r>
                          <w:rPr>
                            <w:rFonts w:ascii="宋体" w:hAnsi="宋体" w:cs="宋体" w:eastAsia="宋体" w:hint="default"/>
                            <w:sz w:val="18"/>
                            <w:szCs w:val="18"/>
                          </w:rPr>
                          <w:t>经营成果、财务状况、 现金流等</w:t>
                        </w:r>
                      </w:p>
                    </w:tc>
                    <w:tc>
                      <w:tcPr>
                        <w:tcW w:w="7711" w:type="dxa"/>
                        <w:gridSpan w:val="5"/>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2"/>
                          <w:ind w:left="11" w:right="8"/>
                          <w:jc w:val="both"/>
                          <w:rPr>
                            <w:rFonts w:ascii="宋体" w:hAnsi="宋体" w:cs="宋体" w:eastAsia="宋体" w:hint="default"/>
                            <w:sz w:val="18"/>
                            <w:szCs w:val="18"/>
                          </w:rPr>
                        </w:pPr>
                        <w:r>
                          <w:rPr>
                            <w:rFonts w:ascii="宋体" w:hAnsi="宋体" w:cs="宋体" w:eastAsia="宋体" w:hint="default"/>
                            <w:spacing w:val="-2"/>
                            <w:sz w:val="18"/>
                            <w:szCs w:val="18"/>
                          </w:rPr>
                          <w:t>群兴投资为公司控股股东，控股有广东兴信融资担保股份有限公司、汕头市澄海区兴信小额贷款股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份有限公司、汕头市群兴房地产有限公司、深圳市前海鼎辉投资管理有限公司，参股潮安县怡楷花</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木种植专业合作社。</w:t>
                        </w:r>
                      </w:p>
                    </w:tc>
                  </w:tr>
                  <w:tr>
                    <w:trPr>
                      <w:trHeight w:val="297" w:hRule="exact"/>
                    </w:trPr>
                    <w:tc>
                      <w:tcPr>
                        <w:tcW w:w="1846" w:type="dxa"/>
                        <w:vMerge w:val="restart"/>
                        <w:tcBorders>
                          <w:top w:val="single" w:sz="4" w:space="0" w:color="000000"/>
                          <w:left w:val="single" w:sz="4" w:space="0" w:color="000000"/>
                          <w:right w:val="single" w:sz="10" w:space="0" w:color="CCE8CF"/>
                        </w:tcBorders>
                        <w:shd w:val="clear" w:color="auto" w:fill="D2D2D2"/>
                      </w:tcPr>
                      <w:p>
                        <w:pPr>
                          <w:pStyle w:val="TableParagraph"/>
                          <w:spacing w:line="316" w:lineRule="auto" w:before="52"/>
                          <w:ind w:left="22" w:right="184"/>
                          <w:jc w:val="both"/>
                          <w:rPr>
                            <w:rFonts w:ascii="宋体" w:hAnsi="宋体" w:cs="宋体" w:eastAsia="宋体" w:hint="default"/>
                            <w:sz w:val="18"/>
                            <w:szCs w:val="18"/>
                          </w:rPr>
                        </w:pPr>
                        <w:r>
                          <w:rPr>
                            <w:rFonts w:ascii="宋体" w:hAnsi="宋体" w:cs="宋体" w:eastAsia="宋体" w:hint="default"/>
                            <w:sz w:val="18"/>
                            <w:szCs w:val="18"/>
                          </w:rPr>
                          <w:t>控股股东报告期内控 股和参股的其他境内 外上市公司的股权情</w:t>
                        </w:r>
                      </w:p>
                    </w:tc>
                    <w:tc>
                      <w:tcPr>
                        <w:tcW w:w="7711"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1846" w:type="dxa"/>
                        <w:vMerge/>
                        <w:tcBorders>
                          <w:left w:val="single" w:sz="4" w:space="0" w:color="000000"/>
                          <w:right w:val="single" w:sz="10" w:space="0" w:color="CCE8CF"/>
                        </w:tcBorders>
                        <w:shd w:val="clear" w:color="auto" w:fill="D2D2D2"/>
                      </w:tcPr>
                      <w:p>
                        <w:pPr/>
                      </w:p>
                    </w:tc>
                    <w:tc>
                      <w:tcPr>
                        <w:tcW w:w="7711"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96" w:hRule="exact"/>
                    </w:trPr>
                    <w:tc>
                      <w:tcPr>
                        <w:tcW w:w="1846" w:type="dxa"/>
                        <w:vMerge/>
                        <w:tcBorders>
                          <w:left w:val="single" w:sz="4" w:space="0" w:color="000000"/>
                          <w:bottom w:val="single" w:sz="4" w:space="0" w:color="000000"/>
                          <w:right w:val="single" w:sz="10" w:space="0" w:color="CCE8CF"/>
                        </w:tcBorders>
                        <w:shd w:val="clear" w:color="auto" w:fill="D2D2D2"/>
                      </w:tcPr>
                      <w:p>
                        <w:pPr/>
                      </w:p>
                    </w:tc>
                    <w:tc>
                      <w:tcPr>
                        <w:tcW w:w="7711"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1823;top:14;width:2;height:353" coordorigin="1823,14" coordsize="2,353">
              <v:shape style="position:absolute;left:1823;top:14;width:2;height:353" coordorigin="1823,14" coordsize="0,353" path="m1823,14l1823,367e" filled="false" stroked="true" strokeweight="1.140pt" strokecolor="#d2d2d2">
                <v:path arrowok="t"/>
              </v:shape>
            </v:group>
            <v:group style="position:absolute;left:32;top:14;width:1779;height:353" coordorigin="32,14" coordsize="1779,353">
              <v:shape style="position:absolute;left:32;top:14;width:1779;height:353" coordorigin="32,14" coordsize="1779,353" path="m32,367l1811,367,1811,14,32,14,32,367xe" filled="true" fillcolor="#d2d2d2" stroked="false">
                <v:path arrowok="t"/>
                <v:fill type="solid"/>
              </v:shape>
            </v:group>
            <v:group style="position:absolute;left:1844;top:14;width:7726;height:353" coordorigin="1844,14" coordsize="7726,353">
              <v:shape style="position:absolute;left:1844;top:14;width:7726;height:353" coordorigin="1844,14" coordsize="7726,353" path="m1844,367l9569,367,9569,14,1844,14,1844,367xe" filled="true" fillcolor="#cce8cf" stroked="false">
                <v:path arrowok="t"/>
                <v:fill type="solid"/>
              </v:shape>
            </v:group>
            <v:group style="position:absolute;left:10;top:10;width:1825;height:2" coordorigin="10,10" coordsize="1825,2">
              <v:shape style="position:absolute;left:10;top:10;width:1825;height:2" coordorigin="10,10" coordsize="1825,0" path="m10,10l1834,10e" filled="false" stroked="true" strokeweight=".48pt" strokecolor="#000000">
                <v:path arrowok="t"/>
              </v:shape>
            </v:group>
            <v:group style="position:absolute;left:1844;top:10;width:7726;height:2" coordorigin="1844,10" coordsize="7726,2">
              <v:shape style="position:absolute;left:1844;top:10;width:7726;height:2" coordorigin="1844,10" coordsize="7726,0" path="m1844,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825;height:2" coordorigin="10,372" coordsize="1825,2">
              <v:shape style="position:absolute;left:10;top:372;width:1825;height:2" coordorigin="10,372" coordsize="1825,0" path="m10,372l1834,372e" filled="false" stroked="true" strokeweight=".48pt" strokecolor="#000000">
                <v:path arrowok="t"/>
              </v:shape>
            </v:group>
            <v:group style="position:absolute;left:1839;top:5;width:2;height:372" coordorigin="1839,5" coordsize="2,372">
              <v:shape style="position:absolute;left:1839;top:5;width:2;height:372" coordorigin="1839,5" coordsize="0,372" path="m1839,5l1839,377e" filled="false" stroked="true" strokeweight=".48pt" strokecolor="#000000">
                <v:path arrowok="t"/>
              </v:shape>
            </v:group>
            <v:group style="position:absolute;left:1844;top:372;width:7726;height:2" coordorigin="1844,372" coordsize="7726,2">
              <v:shape style="position:absolute;left:1844;top:372;width:7726;height:2" coordorigin="1844,372" coordsize="7726,0" path="m1844,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2;top:82;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况</w:t>
                      </w:r>
                    </w:p>
                  </w:txbxContent>
                </v:textbox>
                <w10:wrap type="none"/>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87"/>
      <w:bookmarkEnd w:id="8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29"/>
        <w:gridCol w:w="2007"/>
        <w:gridCol w:w="4133"/>
      </w:tblGrid>
      <w:tr>
        <w:trPr>
          <w:trHeight w:val="401" w:hRule="exact"/>
        </w:trPr>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5"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林伟章（一致行动人）</w:t>
            </w:r>
          </w:p>
        </w:tc>
        <w:tc>
          <w:tcPr>
            <w:tcW w:w="20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黄仕群（一致行动人）</w:t>
            </w:r>
          </w:p>
        </w:tc>
        <w:tc>
          <w:tcPr>
            <w:tcW w:w="20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w:t>
            </w:r>
            <w:r>
              <w:rPr>
                <w:rFonts w:ascii="宋体" w:hAnsi="宋体" w:cs="宋体" w:eastAsia="宋体" w:hint="default"/>
                <w:sz w:val="18"/>
                <w:szCs w:val="18"/>
              </w:rPr>
              <w:t>董事的简历</w:t>
            </w:r>
            <w:r>
              <w:rPr>
                <w:rFonts w:ascii="Times New Roman" w:hAnsi="Times New Roman" w:cs="Times New Roman" w:eastAsia="Times New Roman" w:hint="default"/>
                <w:sz w:val="18"/>
                <w:szCs w:val="18"/>
              </w:rPr>
              <w:t>"</w:t>
            </w:r>
          </w:p>
        </w:tc>
      </w:tr>
      <w:tr>
        <w:trPr>
          <w:trHeight w:val="402" w:hRule="exact"/>
        </w:trPr>
        <w:tc>
          <w:tcPr>
            <w:tcW w:w="3429"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14"/>
          <w:szCs w:val="14"/>
        </w:rPr>
      </w:pPr>
    </w:p>
    <w:p>
      <w:pPr>
        <w:spacing w:line="4035" w:lineRule="exact"/>
        <w:ind w:left="135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314" cy="25622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314" cy="256222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3"/>
        <w:rPr>
          <w:rFonts w:ascii="宋体" w:hAnsi="宋体" w:cs="宋体" w:eastAsia="宋体" w:hint="default"/>
          <w:sz w:val="13"/>
          <w:szCs w:val="13"/>
        </w:rPr>
      </w:pPr>
    </w:p>
    <w:p>
      <w:pPr>
        <w:pStyle w:val="Heading3"/>
        <w:spacing w:line="240" w:lineRule="auto"/>
        <w:ind w:right="0"/>
        <w:jc w:val="left"/>
      </w:pPr>
      <w:r>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股东及其一致行动人在报告期提出或实施股份增持计划的情况" w:id="88"/>
      <w:bookmarkEnd w:id="88"/>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89"/>
      <w:bookmarkEnd w:id="89"/>
      <w:r>
        <w:rPr>
          <w:b w:val="0"/>
          <w:bCs w:val="0"/>
        </w:rPr>
      </w:r>
      <w:bookmarkStart w:name="_bookmark6" w:id="90"/>
      <w:bookmarkEnd w:id="9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91"/>
      <w:bookmarkEnd w:id="91"/>
      <w:r>
        <w:rPr>
          <w:b w:val="0"/>
          <w:bCs w:val="0"/>
        </w:rPr>
      </w:r>
      <w:bookmarkStart w:name="_bookmark7" w:id="92"/>
      <w:bookmarkEnd w:id="9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93"/>
      <w:bookmarkEnd w:id="9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林伟亮</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林桐波</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黄得歆</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黄仕昭</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任职情况" w:id="94"/>
      <w:bookmarkEnd w:id="94"/>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66" w:lineRule="auto" w:before="75"/>
        <w:ind w:right="1093"/>
        <w:jc w:val="left"/>
      </w:pPr>
      <w:r>
        <w:rPr>
          <w:rFonts w:ascii="Times New Roman" w:hAnsi="Times New Roman" w:cs="Times New Roman" w:eastAsia="Times New Roman" w:hint="default"/>
        </w:rPr>
        <w:t>1</w:t>
      </w:r>
      <w:r>
        <w:rPr/>
        <w:t>、林伟章先生，男，</w:t>
      </w:r>
      <w:r>
        <w:rPr>
          <w:rFonts w:ascii="Times New Roman" w:hAnsi="Times New Roman" w:cs="Times New Roman" w:eastAsia="Times New Roman" w:hint="default"/>
        </w:rPr>
        <w:t>1974</w:t>
      </w:r>
      <w:r>
        <w:rPr/>
        <w:t>年出生，中国国籍，无境外永久居留权。中共党员，在职本科学历。林伟章先</w:t>
      </w:r>
      <w:r>
        <w:rPr>
          <w:spacing w:val="-32"/>
        </w:rPr>
        <w:t> </w:t>
      </w:r>
      <w:r>
        <w:rPr>
          <w:spacing w:val="-32"/>
        </w:rPr>
      </w:r>
      <w:r>
        <w:rPr>
          <w:spacing w:val="-1"/>
        </w:rPr>
        <w:t>生是本公司的主要创立者之一、实际控制人，现任本公司董事长，并担任广东省青年联合会常委、广东省</w:t>
      </w:r>
      <w:r>
        <w:rPr>
          <w:spacing w:val="-85"/>
        </w:rPr>
        <w:t> </w:t>
      </w:r>
      <w:r>
        <w:rPr>
          <w:spacing w:val="-85"/>
        </w:rPr>
      </w:r>
      <w:r>
        <w:rPr>
          <w:spacing w:val="-1"/>
        </w:rPr>
        <w:t>玩具协会副会长、广东省小额贷款公司协会副会长、汕头市小额贷款融资担保协会会长、汕头市青年企业</w:t>
      </w:r>
      <w:r>
        <w:rPr>
          <w:spacing w:val="-83"/>
        </w:rPr>
        <w:t> </w:t>
      </w:r>
      <w:r>
        <w:rPr>
          <w:spacing w:val="-83"/>
        </w:rPr>
      </w:r>
      <w:r>
        <w:rPr>
          <w:spacing w:val="-1"/>
        </w:rPr>
        <w:t>家协会副会长、广东省汕头市人大代表、深圳汕头商会名誉会长、义乌澄海商会名誉会长、广东潮安县政</w:t>
      </w:r>
      <w:r>
        <w:rPr>
          <w:spacing w:val="-86"/>
        </w:rPr>
        <w:t> </w:t>
      </w:r>
      <w:r>
        <w:rPr>
          <w:spacing w:val="-86"/>
        </w:rPr>
      </w:r>
      <w:r>
        <w:rPr/>
        <w:t>协委员、中国玩具协会常务理事等职，具备</w:t>
      </w:r>
      <w:r>
        <w:rPr>
          <w:rFonts w:ascii="Times New Roman" w:hAnsi="Times New Roman" w:cs="Times New Roman" w:eastAsia="Times New Roman" w:hint="default"/>
        </w:rPr>
        <w:t>24</w:t>
      </w:r>
      <w:r>
        <w:rPr/>
        <w:t>年的玩具行业从业经验。公司第一、第二届董事会董事。 </w:t>
      </w:r>
      <w:r>
        <w:rPr>
          <w:rFonts w:ascii="Times New Roman" w:hAnsi="Times New Roman" w:cs="Times New Roman" w:eastAsia="Times New Roman" w:hint="default"/>
        </w:rPr>
        <w:t>2</w:t>
      </w:r>
      <w:r>
        <w:rPr/>
        <w:t>、黄仕群先生，男，</w:t>
      </w:r>
      <w:r>
        <w:rPr>
          <w:rFonts w:ascii="Times New Roman" w:hAnsi="Times New Roman" w:cs="Times New Roman" w:eastAsia="Times New Roman" w:hint="default"/>
        </w:rPr>
        <w:t>1963</w:t>
      </w:r>
      <w:r>
        <w:rPr/>
        <w:t>年出生，中国国籍，无境外永久居留权。本科学历，毕业于北京地质大学。黄</w:t>
      </w:r>
      <w:r>
        <w:rPr>
          <w:spacing w:val="-32"/>
        </w:rPr>
        <w:t> </w:t>
      </w:r>
      <w:r>
        <w:rPr>
          <w:spacing w:val="-32"/>
        </w:rPr>
      </w:r>
      <w:r>
        <w:rPr>
          <w:spacing w:val="-1"/>
        </w:rPr>
        <w:t>仕群先生是本公司主要创立者之一、实际控制人，并长期主管公司采购、生产、财务等工作，现任本公司</w:t>
      </w:r>
      <w:r>
        <w:rPr>
          <w:spacing w:val="-83"/>
        </w:rPr>
        <w:t> </w:t>
      </w:r>
      <w:r>
        <w:rPr>
          <w:spacing w:val="-83"/>
        </w:rPr>
      </w:r>
      <w:r>
        <w:rPr>
          <w:spacing w:val="-1"/>
        </w:rPr>
        <w:t>董事兼总经理，并担任群興玩具（香港）有限公司执行董事，澄海工商联合会副会长、澄海青年企业家联</w:t>
      </w:r>
      <w:r>
        <w:rPr>
          <w:spacing w:val="-82"/>
        </w:rPr>
        <w:t> </w:t>
      </w:r>
      <w:r>
        <w:rPr>
          <w:spacing w:val="-82"/>
        </w:rPr>
      </w:r>
      <w:r>
        <w:rPr>
          <w:spacing w:val="-1"/>
        </w:rPr>
        <w:t>合会名誉会长、汕头市澄海区政协常委等职。具备</w:t>
      </w:r>
      <w:r>
        <w:rPr>
          <w:rFonts w:ascii="Times New Roman" w:hAnsi="Times New Roman" w:cs="Times New Roman" w:eastAsia="Times New Roman" w:hint="default"/>
          <w:spacing w:val="-1"/>
        </w:rPr>
        <w:t>23</w:t>
      </w:r>
      <w:r>
        <w:rPr>
          <w:spacing w:val="-1"/>
        </w:rPr>
        <w:t>年的玩具行业从业经验。公司第一、第二届董事会董</w:t>
      </w:r>
      <w:r>
        <w:rPr>
          <w:spacing w:val="-87"/>
        </w:rPr>
        <w:t> </w:t>
      </w:r>
      <w:r>
        <w:rPr>
          <w:spacing w:val="-87"/>
        </w:rPr>
      </w:r>
      <w:r>
        <w:rPr/>
        <w:t>事。 </w:t>
      </w:r>
      <w:r>
        <w:rPr>
          <w:rFonts w:ascii="Times New Roman" w:hAnsi="Times New Roman" w:cs="Times New Roman" w:eastAsia="Times New Roman" w:hint="default"/>
        </w:rPr>
        <w:t>3</w:t>
      </w:r>
      <w:r>
        <w:rPr/>
        <w:t>、黄逸贤先生，男，</w:t>
      </w:r>
      <w:r>
        <w:rPr>
          <w:rFonts w:ascii="Times New Roman" w:hAnsi="Times New Roman" w:cs="Times New Roman" w:eastAsia="Times New Roman" w:hint="default"/>
        </w:rPr>
        <w:t>1972</w:t>
      </w:r>
      <w:r>
        <w:rPr/>
        <w:t>年出生，中国国籍，无境外永久居留权。大专学历。</w:t>
      </w:r>
      <w:r>
        <w:rPr>
          <w:rFonts w:ascii="Times New Roman" w:hAnsi="Times New Roman" w:cs="Times New Roman" w:eastAsia="Times New Roman" w:hint="default"/>
        </w:rPr>
        <w:t>1996</w:t>
      </w:r>
      <w:r>
        <w:rPr/>
        <w:t>年加入本公司，历任</w:t>
      </w:r>
      <w:r>
        <w:rPr>
          <w:spacing w:val="-28"/>
        </w:rPr>
        <w:t> </w:t>
      </w:r>
      <w:r>
        <w:rPr>
          <w:spacing w:val="-28"/>
        </w:rPr>
      </w:r>
      <w:r>
        <w:rPr/>
        <w:t>公司采购部经理、生产部经理、副总经理，现任公司董事，主管公司生产、行政及人力资源管理等工作。 </w:t>
      </w:r>
      <w:r>
        <w:rPr>
          <w:spacing w:val="-1"/>
        </w:rPr>
        <w:t>高级玩具设计师，国家认证认可监督委员会强制性产品认证技术专家组成员，具备</w:t>
      </w:r>
      <w:r>
        <w:rPr>
          <w:rFonts w:ascii="Times New Roman" w:hAnsi="Times New Roman" w:cs="Times New Roman" w:eastAsia="Times New Roman" w:hint="default"/>
          <w:spacing w:val="-1"/>
        </w:rPr>
        <w:t>23</w:t>
      </w:r>
      <w:r>
        <w:rPr>
          <w:spacing w:val="-1"/>
        </w:rPr>
        <w:t>年的玩具行业从业经</w:t>
      </w:r>
      <w:r>
        <w:rPr>
          <w:spacing w:val="-81"/>
        </w:rPr>
        <w:t> </w:t>
      </w:r>
      <w:r>
        <w:rPr>
          <w:spacing w:val="-81"/>
        </w:rPr>
      </w:r>
      <w:r>
        <w:rPr/>
        <w:t>验。公司第一、第二届董事会董事。</w:t>
      </w:r>
    </w:p>
    <w:p>
      <w:pPr>
        <w:pStyle w:val="BodyText"/>
        <w:spacing w:line="266" w:lineRule="auto" w:before="14"/>
        <w:ind w:right="1011"/>
        <w:jc w:val="left"/>
      </w:pPr>
      <w:r>
        <w:rPr>
          <w:rFonts w:ascii="Times New Roman" w:hAnsi="Times New Roman" w:cs="Times New Roman" w:eastAsia="Times New Roman" w:hint="default"/>
        </w:rPr>
        <w:t>4</w:t>
      </w:r>
      <w:r>
        <w:rPr/>
        <w:t>、林伟亮先生</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男，</w:t>
      </w:r>
      <w:r>
        <w:rPr>
          <w:rFonts w:ascii="Times New Roman" w:hAnsi="Times New Roman" w:cs="Times New Roman" w:eastAsia="Times New Roman" w:hint="default"/>
        </w:rPr>
        <w:t>1972</w:t>
      </w:r>
      <w:r>
        <w:rPr/>
        <w:t>年出生，中国国籍，无境外永久居留权。专科学历。</w:t>
      </w:r>
      <w:r>
        <w:rPr>
          <w:rFonts w:ascii="Times New Roman" w:hAnsi="Times New Roman" w:cs="Times New Roman" w:eastAsia="Times New Roman" w:hint="default"/>
        </w:rPr>
        <w:t>1999</w:t>
      </w:r>
      <w:r>
        <w:rPr/>
        <w:t>年加入本公司从事行政 及人力资源工作，曾任公司总经办主任，现任本公司董事，并兼任广东群兴投资有限公司总经理。公司第 一、第二届董事会董事。 </w:t>
      </w:r>
      <w:r>
        <w:rPr>
          <w:rFonts w:ascii="Times New Roman" w:hAnsi="Times New Roman" w:cs="Times New Roman" w:eastAsia="Times New Roman" w:hint="default"/>
        </w:rPr>
        <w:t>5</w:t>
      </w:r>
      <w:r>
        <w:rPr/>
        <w:t>、蔡友杰先生，男，</w:t>
      </w:r>
      <w:r>
        <w:rPr>
          <w:rFonts w:ascii="Times New Roman" w:hAnsi="Times New Roman" w:cs="Times New Roman" w:eastAsia="Times New Roman" w:hint="default"/>
        </w:rPr>
        <w:t>1964</w:t>
      </w:r>
      <w:r>
        <w:rPr/>
        <w:t>年出生，中国国籍，无境外永久居留权。中共党员，中山大学</w:t>
      </w:r>
      <w:r>
        <w:rPr>
          <w:rFonts w:ascii="Times New Roman" w:hAnsi="Times New Roman" w:cs="Times New Roman" w:eastAsia="Times New Roman" w:hint="default"/>
        </w:rPr>
        <w:t>EMBA</w:t>
      </w:r>
      <w:r>
        <w:rPr/>
        <w:t>，会计师， 中国注册会计师。现任本公司独立董事，并兼任汕头市丰业会计师事务所副主任会计师，汕头市澄海区青 年企业家协会理事。公司第一、第二届董事会独立董事。 </w:t>
      </w:r>
      <w:r>
        <w:rPr>
          <w:rFonts w:ascii="Times New Roman" w:hAnsi="Times New Roman" w:cs="Times New Roman" w:eastAsia="Times New Roman" w:hint="default"/>
        </w:rPr>
        <w:t>6</w:t>
      </w:r>
      <w:r>
        <w:rPr/>
        <w:t>、金连文先生，男，</w:t>
      </w:r>
      <w:r>
        <w:rPr>
          <w:rFonts w:ascii="Times New Roman" w:hAnsi="Times New Roman" w:cs="Times New Roman" w:eastAsia="Times New Roman" w:hint="default"/>
        </w:rPr>
        <w:t>1968</w:t>
      </w:r>
      <w:r>
        <w:rPr/>
        <w:t>年出生，中国国籍，无境外永久居留权。博士学历，教授，博士生导师。现任</w:t>
      </w:r>
      <w:r>
        <w:rPr>
          <w:spacing w:val="-25"/>
        </w:rPr>
        <w:t> </w:t>
      </w:r>
      <w:r>
        <w:rPr>
          <w:spacing w:val="-25"/>
        </w:rPr>
      </w:r>
      <w:r>
        <w:rPr/>
        <w:t>本公司独立董事，并兼任华南理工大学电子与信息学院信息工程系主任，广东省图像图形学会常务理事， 微软技术俱乐部顾问，中国图象图形学学会理事，新浪微博社区专家委员会委员。曾获广东省科技进步一</w:t>
      </w:r>
      <w:r>
        <w:rPr/>
        <w:t> 等奖、教育部新世纪优秀人才支持计划等奖励。公司第一、第二届董事会独立董事。 </w:t>
      </w:r>
      <w:r>
        <w:rPr>
          <w:rFonts w:ascii="Times New Roman" w:hAnsi="Times New Roman" w:cs="Times New Roman" w:eastAsia="Times New Roman" w:hint="default"/>
        </w:rPr>
        <w:t>7</w:t>
      </w:r>
      <w:r>
        <w:rPr/>
        <w:t>、王文璧先生，男，</w:t>
      </w:r>
      <w:r>
        <w:rPr>
          <w:rFonts w:ascii="Times New Roman" w:hAnsi="Times New Roman" w:cs="Times New Roman" w:eastAsia="Times New Roman" w:hint="default"/>
        </w:rPr>
        <w:t>1964</w:t>
      </w:r>
      <w:r>
        <w:rPr/>
        <w:t>年出生，中国国籍，无境外永久居留权。大专学历。现任本公司独立董事，并</w:t>
      </w:r>
      <w:r>
        <w:rPr>
          <w:spacing w:val="-32"/>
        </w:rPr>
        <w:t> </w:t>
      </w:r>
      <w:r>
        <w:rPr>
          <w:spacing w:val="-32"/>
        </w:rPr>
      </w:r>
      <w:r>
        <w:rPr/>
        <w:t>兼任《玩具世界》杂志社社长兼总编辑，汕头市启明星文化产业有限公司董事长，中国工艺美术协会玩具</w:t>
      </w:r>
      <w:r>
        <w:rPr/>
        <w:t> 专业委员会副主任，汕头市澄海区玩具协会副秘书长等职。公司第一、第二届董事会独立董事。 </w:t>
      </w:r>
      <w:r>
        <w:rPr>
          <w:rFonts w:ascii="Times New Roman" w:hAnsi="Times New Roman" w:cs="Times New Roman" w:eastAsia="Times New Roman" w:hint="default"/>
        </w:rPr>
        <w:t>8</w:t>
      </w:r>
      <w:r>
        <w:rPr/>
        <w:t>、林桐波先生，男，</w:t>
      </w:r>
      <w:r>
        <w:rPr>
          <w:rFonts w:ascii="Times New Roman" w:hAnsi="Times New Roman" w:cs="Times New Roman" w:eastAsia="Times New Roman" w:hint="default"/>
        </w:rPr>
        <w:t>1975</w:t>
      </w:r>
      <w:r>
        <w:rPr/>
        <w:t>年出生，中国国籍，无境外永久居留权。高中学历。</w:t>
      </w:r>
      <w:r>
        <w:rPr>
          <w:rFonts w:ascii="Times New Roman" w:hAnsi="Times New Roman" w:cs="Times New Roman" w:eastAsia="Times New Roman" w:hint="default"/>
        </w:rPr>
        <w:t>1996</w:t>
      </w:r>
      <w:r>
        <w:rPr/>
        <w:t>年加入本公司从事销</w:t>
      </w:r>
      <w:r>
        <w:rPr>
          <w:spacing w:val="-28"/>
        </w:rPr>
        <w:t> </w:t>
      </w:r>
      <w:r>
        <w:rPr>
          <w:spacing w:val="-28"/>
        </w:rPr>
      </w:r>
      <w:r>
        <w:rPr/>
        <w:t>售部工作，自</w:t>
      </w:r>
      <w:r>
        <w:rPr>
          <w:rFonts w:ascii="Times New Roman" w:hAnsi="Times New Roman" w:cs="Times New Roman" w:eastAsia="Times New Roman" w:hint="default"/>
        </w:rPr>
        <w:t>2001</w:t>
      </w:r>
      <w:r>
        <w:rPr/>
        <w:t>年开始负责公司销售部业务，现任本公司监事会主席，市场营销部经理。具备</w:t>
      </w:r>
      <w:r>
        <w:rPr>
          <w:rFonts w:ascii="Times New Roman" w:hAnsi="Times New Roman" w:cs="Times New Roman" w:eastAsia="Times New Roman" w:hint="default"/>
        </w:rPr>
        <w:t>18</w:t>
      </w:r>
      <w:r>
        <w:rPr/>
        <w:t>年的玩 具行业从业经验。公司第一、第二届监事会监事。 </w:t>
      </w:r>
      <w:r>
        <w:rPr>
          <w:rFonts w:ascii="Times New Roman" w:hAnsi="Times New Roman" w:cs="Times New Roman" w:eastAsia="Times New Roman" w:hint="default"/>
        </w:rPr>
        <w:t>9</w:t>
      </w:r>
      <w:r>
        <w:rPr/>
        <w:t>、黄仕昭先生，男，</w:t>
      </w:r>
      <w:r>
        <w:rPr>
          <w:rFonts w:ascii="Times New Roman" w:hAnsi="Times New Roman" w:cs="Times New Roman" w:eastAsia="Times New Roman" w:hint="default"/>
        </w:rPr>
        <w:t>1960</w:t>
      </w:r>
      <w:r>
        <w:rPr/>
        <w:t>年出生，中国国籍，无境外永久居留权。现任本公司监事，具备</w:t>
      </w:r>
      <w:r>
        <w:rPr>
          <w:rFonts w:ascii="Times New Roman" w:hAnsi="Times New Roman" w:cs="Times New Roman" w:eastAsia="Times New Roman" w:hint="default"/>
        </w:rPr>
        <w:t>18</w:t>
      </w:r>
      <w:r>
        <w:rPr/>
        <w:t>年的玩具行</w:t>
      </w:r>
      <w:r>
        <w:rPr>
          <w:spacing w:val="-25"/>
        </w:rPr>
        <w:t> </w:t>
      </w:r>
      <w:r>
        <w:rPr>
          <w:spacing w:val="-25"/>
        </w:rPr>
      </w:r>
      <w:r>
        <w:rPr/>
        <w:t>业从业经验。公司第一、第二届监事会监事。 </w:t>
      </w:r>
      <w:r>
        <w:rPr>
          <w:rFonts w:ascii="Times New Roman" w:hAnsi="Times New Roman" w:cs="Times New Roman" w:eastAsia="Times New Roman" w:hint="default"/>
        </w:rPr>
        <w:t>10</w:t>
      </w:r>
      <w:r>
        <w:rPr/>
        <w:t>、郑伟华先生，男，</w:t>
      </w:r>
      <w:r>
        <w:rPr>
          <w:rFonts w:ascii="Times New Roman" w:hAnsi="Times New Roman" w:cs="Times New Roman" w:eastAsia="Times New Roman" w:hint="default"/>
        </w:rPr>
        <w:t>1978</w:t>
      </w:r>
      <w:r>
        <w:rPr/>
        <w:t>年出生，中国国籍，无境外永久居留权。</w:t>
      </w:r>
      <w:r>
        <w:rPr>
          <w:rFonts w:ascii="Times New Roman" w:hAnsi="Times New Roman" w:cs="Times New Roman" w:eastAsia="Times New Roman" w:hint="default"/>
        </w:rPr>
        <w:t>1997</w:t>
      </w:r>
      <w:r>
        <w:rPr/>
        <w:t>年加入本公司负责生产管理部工 作，现任本公司生产管理部经理，具备</w:t>
      </w:r>
      <w:r>
        <w:rPr>
          <w:rFonts w:ascii="Times New Roman" w:hAnsi="Times New Roman" w:cs="Times New Roman" w:eastAsia="Times New Roman" w:hint="default"/>
        </w:rPr>
        <w:t>18</w:t>
      </w:r>
      <w:r>
        <w:rPr/>
        <w:t>年的玩具生产管理经验。公司第二届监事会监事。 </w:t>
      </w:r>
      <w:r>
        <w:rPr>
          <w:rFonts w:ascii="Times New Roman" w:hAnsi="Times New Roman" w:cs="Times New Roman" w:eastAsia="Times New Roman" w:hint="default"/>
        </w:rPr>
        <w:t>11</w:t>
      </w:r>
      <w:r>
        <w:rPr/>
        <w:t>、郑昕先生，男，</w:t>
      </w:r>
      <w:r>
        <w:rPr>
          <w:rFonts w:ascii="Times New Roman" w:hAnsi="Times New Roman" w:cs="Times New Roman" w:eastAsia="Times New Roman" w:hint="default"/>
        </w:rPr>
        <w:t>1975</w:t>
      </w:r>
      <w:r>
        <w:rPr/>
        <w:t>年出生，中国国籍，无境外居留权。大学学历，中级金融经济师，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月获</w:t>
      </w:r>
      <w:r>
        <w:rPr>
          <w:spacing w:val="-27"/>
        </w:rPr>
        <w:t> </w:t>
      </w:r>
      <w:r>
        <w:rPr/>
        <w:t>深圳证券交易所颁发的董事会秘书资格证书。现任本公司董事会秘书、副总经理，群興玩具（香港）有限</w:t>
      </w:r>
      <w:r>
        <w:rPr/>
        <w:t> 公司副总裁。曾任广东金刚玻璃科技股份有限公司董事会秘书兼资本运营总监；汕头市方大应用包装科技 有限公司董事会秘书兼任汕头市方大投资有限公司执行总经理；广东群兴玩具实业有限公司董事会办公室 主任。 </w:t>
      </w:r>
      <w:r>
        <w:rPr>
          <w:rFonts w:ascii="Times New Roman" w:hAnsi="Times New Roman" w:cs="Times New Roman" w:eastAsia="Times New Roman" w:hint="default"/>
          <w:spacing w:val="-3"/>
        </w:rPr>
        <w:t>12</w:t>
      </w:r>
      <w:r>
        <w:rPr>
          <w:spacing w:val="-3"/>
        </w:rPr>
        <w:t>、乔新睿先生，男，</w:t>
      </w:r>
      <w:r>
        <w:rPr>
          <w:rFonts w:ascii="Times New Roman" w:hAnsi="Times New Roman" w:cs="Times New Roman" w:eastAsia="Times New Roman" w:hint="default"/>
          <w:spacing w:val="-3"/>
        </w:rPr>
        <w:t>1977</w:t>
      </w:r>
      <w:r>
        <w:rPr>
          <w:spacing w:val="-3"/>
        </w:rPr>
        <w:t>年出生，中国国籍，无境外永久居留权。本科学历，毕业于中南财经政法大学。</w:t>
      </w:r>
      <w:r>
        <w:rPr>
          <w:spacing w:val="-89"/>
        </w:rPr>
        <w:t> </w:t>
      </w:r>
      <w:r>
        <w:rPr>
          <w:spacing w:val="-89"/>
        </w:rPr>
      </w:r>
      <w:r>
        <w:rPr/>
        <w:t>现任本公司财务总监，曾任职广东美的电器股份有限公司财务管理中心，广东嘉应制药股份有限公司财务</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20"/>
        <w:jc w:val="left"/>
      </w:pPr>
      <w:r>
        <w:rPr/>
        <w:t>经理。 </w:t>
      </w:r>
      <w:r>
        <w:rPr>
          <w:rFonts w:ascii="Times New Roman" w:hAnsi="Times New Roman" w:cs="Times New Roman" w:eastAsia="Times New Roman" w:hint="default"/>
          <w:spacing w:val="-1"/>
        </w:rPr>
        <w:t>13</w:t>
      </w:r>
      <w:r>
        <w:rPr>
          <w:spacing w:val="-1"/>
        </w:rPr>
        <w:t>、陈惠板先生，男，</w:t>
      </w:r>
      <w:r>
        <w:rPr>
          <w:rFonts w:ascii="Times New Roman" w:hAnsi="Times New Roman" w:cs="Times New Roman" w:eastAsia="Times New Roman" w:hint="default"/>
          <w:spacing w:val="-1"/>
        </w:rPr>
        <w:t>1973</w:t>
      </w:r>
      <w:r>
        <w:rPr>
          <w:spacing w:val="-1"/>
        </w:rPr>
        <w:t>年出生，中国国籍，无境外永久居留权。本科学历，毕业于华南农业大学。现</w:t>
      </w:r>
      <w:r>
        <w:rPr>
          <w:spacing w:val="-83"/>
        </w:rPr>
        <w:t> </w:t>
      </w:r>
      <w:r>
        <w:rPr>
          <w:spacing w:val="-83"/>
        </w:rPr>
      </w:r>
      <w:r>
        <w:rPr/>
        <w:t>任本公司副总经理，曾任职汕头市中联建会计师事务所有限公司，汕头海信发展有限公司任财务总监。</w:t>
      </w:r>
    </w:p>
    <w:p>
      <w:pPr>
        <w:spacing w:before="82"/>
        <w:ind w:left="15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09"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9"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林伟亮</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广东群兴投资有限公司</w:t>
            </w:r>
          </w:p>
        </w:tc>
        <w:tc>
          <w:tcPr>
            <w:tcW w:w="10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汕头市澄海区兴信小额贷款股份有限公 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广东兴信融资担保股份有限公司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汕头市群兴房地产有限公司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深圳市前海鼎辉投资管理有限公司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汕头市澄海区兴信小额贷款股份有限公 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广东兴信融资担保股份有限公司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汕头市群兴房地产有限公司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群興玩具（香港）有限公司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汕头市丰业会计师事务所</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28"/>
              <w:jc w:val="left"/>
              <w:rPr>
                <w:rFonts w:ascii="宋体" w:hAnsi="宋体" w:cs="宋体" w:eastAsia="宋体" w:hint="default"/>
                <w:sz w:val="18"/>
                <w:szCs w:val="18"/>
              </w:rPr>
            </w:pPr>
            <w:r>
              <w:rPr>
                <w:rFonts w:ascii="宋体" w:hAnsi="宋体" w:cs="宋体" w:eastAsia="宋体" w:hint="default"/>
                <w:sz w:val="18"/>
                <w:szCs w:val="18"/>
              </w:rPr>
              <w:t>副主任会计 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汕头市澄海区青年企业家协会</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汕头市澄海职业技术学校</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会计专业指 导委员会副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华南理工大学</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广东省图像图形学会</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广东省图像图形学会</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微软技术俱乐部</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中国图象图形学学会</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中国人工智能学会</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模式识别专 委会委员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新浪微博社区</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专家委员会 委员</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汕头市启明星文化产业有限公司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《玩具世界》杂志社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深圳市前海鼎辉投资管理有限公司</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both"/>
        <w:rPr>
          <w:b w:val="0"/>
          <w:bCs w:val="0"/>
        </w:rPr>
      </w:pPr>
      <w:bookmarkStart w:name="三、董事、监事、高级管理人员报酬情况" w:id="95"/>
      <w:bookmarkEnd w:id="95"/>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273" w:lineRule="auto" w:before="90"/>
        <w:ind w:right="1131"/>
        <w:jc w:val="both"/>
      </w:pPr>
      <w:r>
        <w:rPr>
          <w:spacing w:val="-1"/>
        </w:rPr>
        <w:t>公司董事、监事、高级管理人员的报酬决策程序、报酬确定依据：公司董事会薪酬与考核委员会提出的公</w:t>
      </w:r>
      <w:r>
        <w:rPr>
          <w:spacing w:val="-86"/>
        </w:rPr>
        <w:t> </w:t>
      </w:r>
      <w:r>
        <w:rPr>
          <w:spacing w:val="-86"/>
        </w:rPr>
      </w:r>
      <w:r>
        <w:rPr>
          <w:spacing w:val="-1"/>
        </w:rPr>
        <w:t>司董事、监事的薪酬方案，须报经董事会同意并提交股东大会审议通过后方可实施；公司其他高级管理人</w:t>
      </w:r>
      <w:r>
        <w:rPr>
          <w:spacing w:val="-83"/>
        </w:rPr>
        <w:t> </w:t>
      </w:r>
      <w:r>
        <w:rPr>
          <w:spacing w:val="-83"/>
        </w:rPr>
      </w:r>
      <w:r>
        <w:rPr>
          <w:spacing w:val="-1"/>
        </w:rPr>
        <w:t>员的薪酬分配方案须报董事会批准后方可实施。公司现行的薪酬方案经第一届董事会第十二次会议和公司</w:t>
      </w:r>
      <w:r>
        <w:rPr>
          <w:spacing w:val="-81"/>
        </w:rPr>
        <w:t> </w:t>
      </w:r>
      <w:r>
        <w:rPr>
          <w:spacing w:val="-81"/>
        </w:rPr>
      </w:r>
      <w:r>
        <w:rPr>
          <w:rFonts w:ascii="Times New Roman" w:hAnsi="Times New Roman" w:cs="Times New Roman" w:eastAsia="Times New Roman" w:hint="default"/>
        </w:rPr>
        <w:t>2011</w:t>
      </w:r>
      <w:r>
        <w:rPr/>
        <w:t>年年度股东大会审议确定。</w:t>
      </w:r>
    </w:p>
    <w:p>
      <w:pPr>
        <w:spacing w:before="55"/>
        <w:ind w:left="153" w:right="0" w:firstLine="0"/>
        <w:jc w:val="both"/>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林伟亮</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黄逸贤</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林桐波</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黄仕昭</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郑昕</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董事会秘书、 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乔新睿</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陈惠板</w:t>
            </w:r>
          </w:p>
        </w:tc>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公司董事、监事、高级管理人员变动情况" w:id="96"/>
      <w:bookmarkEnd w:id="96"/>
      <w:r>
        <w:rPr>
          <w:b w:val="0"/>
          <w:bCs w:val="0"/>
        </w:rPr>
      </w: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1"/>
        <w:gridCol w:w="1330"/>
        <w:gridCol w:w="4248"/>
      </w:tblGrid>
      <w:tr>
        <w:trPr>
          <w:trHeight w:val="39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9"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黄得歆</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郑伟华</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职工代表大会，选举了郑伟华先生为本公司第二届监 事会职工代表监事，任期至第二届监事会届满时止。</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公司员工情况" w:id="97"/>
      <w:bookmarkEnd w:id="97"/>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日，公司共有员工</w:t>
      </w:r>
      <w:r>
        <w:rPr>
          <w:rFonts w:ascii="Times New Roman" w:hAnsi="Times New Roman" w:cs="Times New Roman" w:eastAsia="Times New Roman" w:hint="default"/>
        </w:rPr>
        <w:t>891</w:t>
      </w:r>
      <w:r>
        <w:rPr/>
        <w:t>人，公司人员结构具体情况如下：</w:t>
      </w:r>
    </w:p>
    <w:p>
      <w:pPr>
        <w:pStyle w:val="BodyText"/>
        <w:spacing w:line="240" w:lineRule="auto" w:before="21"/>
        <w:ind w:left="573" w:right="0"/>
        <w:jc w:val="left"/>
      </w:pPr>
      <w:r>
        <w:rPr>
          <w:rFonts w:ascii="Times New Roman" w:hAnsi="Times New Roman" w:cs="Times New Roman" w:eastAsia="Times New Roman" w:hint="default"/>
        </w:rPr>
        <w:t>1</w:t>
      </w:r>
      <w:r>
        <w:rPr/>
        <w:t>、员工专业结构情况</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795"/>
        <w:gridCol w:w="2795"/>
        <w:gridCol w:w="2796"/>
      </w:tblGrid>
      <w:tr>
        <w:trPr>
          <w:trHeight w:val="415"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分工</w:t>
            </w:r>
          </w:p>
        </w:tc>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3"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研发技术人员</w:t>
            </w:r>
          </w:p>
        </w:tc>
        <w:tc>
          <w:tcPr>
            <w:tcW w:w="279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2" w:right="0"/>
              <w:jc w:val="left"/>
              <w:rPr>
                <w:rFonts w:ascii="Times New Roman" w:hAnsi="Times New Roman" w:cs="Times New Roman" w:eastAsia="Times New Roman" w:hint="default"/>
                <w:sz w:val="18"/>
                <w:szCs w:val="18"/>
              </w:rPr>
            </w:pPr>
            <w:r>
              <w:rPr>
                <w:rFonts w:ascii="Times New Roman"/>
                <w:sz w:val="18"/>
              </w:rPr>
              <w:t>94</w:t>
            </w:r>
          </w:p>
        </w:tc>
        <w:tc>
          <w:tcPr>
            <w:tcW w:w="279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3" w:right="0"/>
              <w:jc w:val="left"/>
              <w:rPr>
                <w:rFonts w:ascii="Times New Roman" w:hAnsi="Times New Roman" w:cs="Times New Roman" w:eastAsia="Times New Roman" w:hint="default"/>
                <w:sz w:val="18"/>
                <w:szCs w:val="18"/>
              </w:rPr>
            </w:pPr>
            <w:r>
              <w:rPr>
                <w:rFonts w:ascii="Times New Roman"/>
                <w:sz w:val="18"/>
              </w:rPr>
              <w:t>10.55%</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35</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3.93%</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659</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73.96%</w:t>
            </w:r>
          </w:p>
        </w:tc>
      </w:tr>
      <w:tr>
        <w:trPr>
          <w:trHeight w:val="428"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管理及行政人员</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103</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11.56%</w:t>
            </w:r>
          </w:p>
        </w:tc>
      </w:tr>
      <w:tr>
        <w:trPr>
          <w:trHeight w:val="427" w:hRule="exact"/>
        </w:trPr>
        <w:tc>
          <w:tcPr>
            <w:tcW w:w="2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891</w:t>
            </w:r>
          </w:p>
        </w:tc>
        <w:tc>
          <w:tcPr>
            <w:tcW w:w="2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p>
      <w:pPr>
        <w:spacing w:line="4302" w:lineRule="exact"/>
        <w:ind w:left="154" w:right="0" w:firstLine="0"/>
        <w:rPr>
          <w:rFonts w:ascii="宋体" w:hAnsi="宋体" w:cs="宋体" w:eastAsia="宋体" w:hint="default"/>
          <w:sz w:val="20"/>
          <w:szCs w:val="20"/>
        </w:rPr>
      </w:pPr>
      <w:r>
        <w:rPr>
          <w:rFonts w:ascii="宋体" w:hAnsi="宋体" w:cs="宋体" w:eastAsia="宋体" w:hint="default"/>
          <w:position w:val="-85"/>
          <w:sz w:val="20"/>
          <w:szCs w:val="20"/>
        </w:rPr>
        <w:drawing>
          <wp:inline distT="0" distB="0" distL="0" distR="0">
            <wp:extent cx="4540285" cy="273177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4540285" cy="2731770"/>
                    </a:xfrm>
                    <a:prstGeom prst="rect">
                      <a:avLst/>
                    </a:prstGeom>
                  </pic:spPr>
                </pic:pic>
              </a:graphicData>
            </a:graphic>
          </wp:inline>
        </w:drawing>
      </w:r>
      <w:r>
        <w:rPr>
          <w:rFonts w:ascii="宋体" w:hAnsi="宋体" w:cs="宋体" w:eastAsia="宋体" w:hint="default"/>
          <w:position w:val="-85"/>
          <w:sz w:val="20"/>
          <w:szCs w:val="20"/>
        </w:rPr>
      </w:r>
    </w:p>
    <w:p>
      <w:pPr>
        <w:spacing w:line="240" w:lineRule="auto" w:before="1"/>
        <w:rPr>
          <w:rFonts w:ascii="宋体" w:hAnsi="宋体" w:cs="宋体" w:eastAsia="宋体" w:hint="default"/>
          <w:sz w:val="23"/>
          <w:szCs w:val="23"/>
        </w:rPr>
      </w:pPr>
    </w:p>
    <w:p>
      <w:pPr>
        <w:pStyle w:val="BodyText"/>
        <w:spacing w:line="240" w:lineRule="auto" w:before="35"/>
        <w:ind w:left="573" w:right="0"/>
        <w:jc w:val="left"/>
      </w:pPr>
      <w:r>
        <w:rPr>
          <w:rFonts w:ascii="Times New Roman" w:hAnsi="Times New Roman" w:cs="Times New Roman" w:eastAsia="Times New Roman" w:hint="default"/>
        </w:rPr>
        <w:t>2</w:t>
      </w:r>
      <w:r>
        <w:rPr/>
        <w:t>、员工受教育程度情况</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789"/>
        <w:gridCol w:w="2789"/>
        <w:gridCol w:w="2788"/>
      </w:tblGrid>
      <w:tr>
        <w:trPr>
          <w:trHeight w:val="415" w:hRule="exact"/>
        </w:trPr>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学历</w:t>
            </w:r>
          </w:p>
        </w:tc>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7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硕士、本科及大专</w:t>
            </w:r>
          </w:p>
        </w:tc>
        <w:tc>
          <w:tcPr>
            <w:tcW w:w="27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2" w:right="0"/>
              <w:jc w:val="left"/>
              <w:rPr>
                <w:rFonts w:ascii="Times New Roman" w:hAnsi="Times New Roman" w:cs="Times New Roman" w:eastAsia="Times New Roman" w:hint="default"/>
                <w:sz w:val="18"/>
                <w:szCs w:val="18"/>
              </w:rPr>
            </w:pPr>
            <w:r>
              <w:rPr>
                <w:rFonts w:ascii="Times New Roman"/>
                <w:sz w:val="18"/>
              </w:rPr>
              <w:t>78</w:t>
            </w:r>
          </w:p>
        </w:tc>
        <w:tc>
          <w:tcPr>
            <w:tcW w:w="278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8.75%</w:t>
            </w:r>
          </w:p>
        </w:tc>
      </w:tr>
      <w:tr>
        <w:trPr>
          <w:trHeight w:val="426" w:hRule="exact"/>
        </w:trPr>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高中及中专</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192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21.55%</w:t>
            </w:r>
          </w:p>
        </w:tc>
      </w:tr>
      <w:tr>
        <w:trPr>
          <w:trHeight w:val="427" w:hRule="exact"/>
        </w:trPr>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621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69.70%</w:t>
            </w:r>
          </w:p>
        </w:tc>
      </w:tr>
      <w:tr>
        <w:trPr>
          <w:trHeight w:val="429" w:hRule="exact"/>
        </w:trPr>
        <w:tc>
          <w:tcPr>
            <w:tcW w:w="2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891</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26"/>
          <w:szCs w:val="26"/>
        </w:rPr>
      </w:pPr>
    </w:p>
    <w:p>
      <w:pPr>
        <w:spacing w:line="4271" w:lineRule="exact"/>
        <w:ind w:left="15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57385" cy="2712339"/>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4557385" cy="2712339"/>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5"/>
        <w:ind w:left="573" w:right="0"/>
        <w:jc w:val="left"/>
      </w:pPr>
      <w:r>
        <w:rPr>
          <w:rFonts w:ascii="Times New Roman" w:hAnsi="Times New Roman" w:cs="Times New Roman" w:eastAsia="Times New Roman" w:hint="default"/>
        </w:rPr>
        <w:t>3</w:t>
      </w:r>
      <w:r>
        <w:rPr/>
        <w:t>、员工年龄分布情况</w:t>
      </w:r>
    </w:p>
    <w:p>
      <w:pPr>
        <w:spacing w:line="240" w:lineRule="auto" w:before="10"/>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807"/>
        <w:gridCol w:w="2807"/>
        <w:gridCol w:w="2806"/>
      </w:tblGrid>
      <w:tr>
        <w:trPr>
          <w:trHeight w:val="413"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2" w:right="0"/>
              <w:jc w:val="left"/>
              <w:rPr>
                <w:rFonts w:ascii="宋体" w:hAnsi="宋体" w:cs="宋体" w:eastAsia="宋体" w:hint="default"/>
                <w:sz w:val="18"/>
                <w:szCs w:val="18"/>
              </w:rPr>
            </w:pPr>
            <w:r>
              <w:rPr>
                <w:rFonts w:ascii="宋体" w:hAnsi="宋体" w:cs="宋体" w:eastAsia="宋体" w:hint="default"/>
                <w:sz w:val="18"/>
                <w:szCs w:val="18"/>
              </w:rPr>
              <w:t>年龄区间</w:t>
            </w:r>
          </w:p>
        </w:tc>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2"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8"/>
              <w:ind w:left="2" w:right="0"/>
              <w:jc w:val="left"/>
              <w:rPr>
                <w:rFonts w:ascii="宋体" w:hAnsi="宋体" w:cs="宋体" w:eastAsia="宋体" w:hint="default"/>
                <w:sz w:val="18"/>
                <w:szCs w:val="18"/>
              </w:rPr>
            </w:pPr>
            <w:r>
              <w:rPr>
                <w:rFonts w:ascii="宋体" w:hAnsi="宋体" w:cs="宋体" w:eastAsia="宋体" w:hint="default"/>
                <w:sz w:val="18"/>
                <w:szCs w:val="18"/>
              </w:rPr>
              <w:t>占员工总数的比例（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8" w:hRule="exact"/>
        </w:trPr>
        <w:tc>
          <w:tcPr>
            <w:tcW w:w="28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28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left="2" w:right="0"/>
              <w:jc w:val="left"/>
              <w:rPr>
                <w:rFonts w:ascii="Times New Roman" w:hAnsi="Times New Roman" w:cs="Times New Roman" w:eastAsia="Times New Roman" w:hint="default"/>
                <w:sz w:val="18"/>
                <w:szCs w:val="18"/>
              </w:rPr>
            </w:pPr>
            <w:r>
              <w:rPr>
                <w:rFonts w:ascii="Times New Roman"/>
                <w:sz w:val="18"/>
              </w:rPr>
              <w:t>579</w:t>
            </w:r>
          </w:p>
        </w:tc>
        <w:tc>
          <w:tcPr>
            <w:tcW w:w="280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2" w:right="0"/>
              <w:jc w:val="left"/>
              <w:rPr>
                <w:rFonts w:ascii="Times New Roman" w:hAnsi="Times New Roman" w:cs="Times New Roman" w:eastAsia="Times New Roman" w:hint="default"/>
                <w:sz w:val="18"/>
                <w:szCs w:val="18"/>
              </w:rPr>
            </w:pPr>
            <w:r>
              <w:rPr>
                <w:rFonts w:ascii="Times New Roman"/>
                <w:sz w:val="18"/>
              </w:rPr>
              <w:t>64.98%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806"/>
        <w:gridCol w:w="2807"/>
        <w:gridCol w:w="2806"/>
      </w:tblGrid>
      <w:tr>
        <w:trPr>
          <w:trHeight w:val="427" w:hRule="exact"/>
        </w:trPr>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岁</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185</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20.76%</w:t>
            </w:r>
          </w:p>
        </w:tc>
      </w:tr>
      <w:tr>
        <w:trPr>
          <w:trHeight w:val="427" w:hRule="exact"/>
        </w:trPr>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w:t>
            </w:r>
            <w:r>
              <w:rPr>
                <w:rFonts w:ascii="Times New Roman" w:hAnsi="Times New Roman" w:cs="Times New Roman" w:eastAsia="Times New Roman" w:hint="default"/>
                <w:sz w:val="18"/>
                <w:szCs w:val="18"/>
              </w:rPr>
              <w:t>50</w:t>
            </w:r>
            <w:r>
              <w:rPr>
                <w:rFonts w:ascii="宋体" w:hAnsi="宋体" w:cs="宋体" w:eastAsia="宋体" w:hint="default"/>
                <w:sz w:val="18"/>
                <w:szCs w:val="18"/>
              </w:rPr>
              <w:t>岁</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105</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11.78%</w:t>
            </w:r>
          </w:p>
        </w:tc>
      </w:tr>
      <w:tr>
        <w:trPr>
          <w:trHeight w:val="426" w:hRule="exact"/>
        </w:trPr>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岁以上</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left"/>
              <w:rPr>
                <w:rFonts w:ascii="Times New Roman" w:hAnsi="Times New Roman" w:cs="Times New Roman" w:eastAsia="Times New Roman" w:hint="default"/>
                <w:sz w:val="18"/>
                <w:szCs w:val="18"/>
              </w:rPr>
            </w:pPr>
            <w:r>
              <w:rPr>
                <w:rFonts w:ascii="Times New Roman"/>
                <w:sz w:val="18"/>
              </w:rPr>
              <w:t>22</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2.47%</w:t>
            </w:r>
          </w:p>
        </w:tc>
      </w:tr>
      <w:tr>
        <w:trPr>
          <w:trHeight w:val="429" w:hRule="exact"/>
        </w:trPr>
        <w:tc>
          <w:tcPr>
            <w:tcW w:w="2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left"/>
              <w:rPr>
                <w:rFonts w:ascii="Times New Roman" w:hAnsi="Times New Roman" w:cs="Times New Roman" w:eastAsia="Times New Roman" w:hint="default"/>
                <w:sz w:val="18"/>
                <w:szCs w:val="18"/>
              </w:rPr>
            </w:pPr>
            <w:r>
              <w:rPr>
                <w:rFonts w:ascii="Times New Roman"/>
                <w:sz w:val="18"/>
              </w:rPr>
              <w:t>891</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24"/>
          <w:szCs w:val="24"/>
        </w:rPr>
      </w:pPr>
    </w:p>
    <w:p>
      <w:pPr>
        <w:spacing w:line="4339" w:lineRule="exact"/>
        <w:ind w:left="154"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2798" cy="2755392"/>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4582798" cy="2755392"/>
                    </a:xfrm>
                    <a:prstGeom prst="rect">
                      <a:avLst/>
                    </a:prstGeom>
                  </pic:spPr>
                </pic:pic>
              </a:graphicData>
            </a:graphic>
          </wp:inline>
        </w:drawing>
      </w:r>
      <w:r>
        <w:rPr>
          <w:rFonts w:ascii="宋体" w:hAnsi="宋体" w:cs="宋体" w:eastAsia="宋体" w:hint="default"/>
          <w:position w:val="-86"/>
          <w:sz w:val="20"/>
          <w:szCs w:val="20"/>
        </w:rPr>
      </w:r>
    </w:p>
    <w:p>
      <w:pPr>
        <w:pStyle w:val="BodyText"/>
        <w:spacing w:line="273" w:lineRule="auto" w:before="1"/>
        <w:ind w:right="1120" w:firstLine="420"/>
        <w:jc w:val="left"/>
      </w:pPr>
      <w:r>
        <w:rPr>
          <w:spacing w:val="-1"/>
        </w:rPr>
        <w:t>公司按照国家规定，为职工个人交纳了养老保险金、医疗保险金、失业保险金、工伤保险金和生育保</w:t>
      </w:r>
      <w:r>
        <w:rPr/>
        <w:t> 险金等。</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第九节 公司治理" w:id="98"/>
      <w:bookmarkEnd w:id="98"/>
      <w:r>
        <w:rPr>
          <w:b w:val="0"/>
          <w:bCs w:val="0"/>
        </w:rPr>
      </w:r>
      <w:bookmarkStart w:name="_bookmark8" w:id="99"/>
      <w:bookmarkEnd w:id="99"/>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00"/>
      <w:bookmarkEnd w:id="100"/>
      <w:r>
        <w:rPr>
          <w:b w:val="0"/>
          <w:bCs w:val="0"/>
        </w:rPr>
      </w:r>
      <w:r>
        <w:rPr/>
        <w:t>一、公司治理的基本状况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10"/>
        <w:jc w:val="both"/>
      </w:pPr>
      <w:r>
        <w:rPr>
          <w:spacing w:val="-1"/>
        </w:rPr>
        <w:t>报告期内，公司严格按照《公司法》、《证券法》、《上市公司治理准则》、《深圳证券交易所股票上市</w:t>
      </w:r>
      <w:r>
        <w:rPr>
          <w:spacing w:val="-85"/>
        </w:rPr>
        <w:t> </w:t>
      </w:r>
      <w:r>
        <w:rPr>
          <w:spacing w:val="-85"/>
        </w:rPr>
      </w:r>
      <w:r>
        <w:rPr>
          <w:spacing w:val="-1"/>
        </w:rPr>
        <w:t>规则》和中国证监会有关法律法规等的要求，规范运作，不断完善公司法人治理结构，建立了较为完备的</w:t>
      </w:r>
      <w:r>
        <w:rPr>
          <w:spacing w:val="-86"/>
        </w:rPr>
        <w:t> </w:t>
      </w:r>
      <w:r>
        <w:rPr>
          <w:spacing w:val="-86"/>
        </w:rPr>
      </w:r>
      <w:r>
        <w:rPr/>
        <w:t>公司治理及内部控制规章制度，同时根据监管部门的最新要求，及时对制度进行修订和完善。报告期内， </w:t>
      </w:r>
      <w:r>
        <w:rPr>
          <w:spacing w:val="-1"/>
        </w:rPr>
        <w:t>公司制定或修订了《财务管理制度》、《投资者投诉处理工作制度》，进一步规范了公司治理。截至报告</w:t>
      </w:r>
      <w:r>
        <w:rPr>
          <w:spacing w:val="-85"/>
        </w:rPr>
        <w:t> </w:t>
      </w:r>
      <w:r>
        <w:rPr>
          <w:spacing w:val="-85"/>
        </w:rPr>
      </w:r>
      <w:r>
        <w:rPr/>
        <w:t>期末，公司治理实际情况符合中国证监会发布的有关上市公司治理的规范性文件的要求。</w:t>
      </w:r>
    </w:p>
    <w:p>
      <w:pPr>
        <w:pStyle w:val="BodyText"/>
        <w:spacing w:line="273" w:lineRule="auto" w:before="7"/>
        <w:ind w:right="1093"/>
        <w:jc w:val="left"/>
      </w:pPr>
      <w:r>
        <w:rPr/>
        <w:t>（一）关于股东与股东大会 公司严格按照《上市公司股东大会规则》、《公司章程》和公司《股东大会议事规则》等的规定和要求， </w:t>
      </w:r>
      <w:r>
        <w:rPr>
          <w:spacing w:val="-1"/>
        </w:rPr>
        <w:t>召集、召开股东大会，能够确保所有股东享有平等地位，充分行使自己的权利。报告期内召开的股东大会</w:t>
      </w:r>
      <w:r>
        <w:rPr>
          <w:spacing w:val="-86"/>
        </w:rPr>
        <w:t> </w:t>
      </w:r>
      <w:r>
        <w:rPr>
          <w:spacing w:val="-86"/>
        </w:rPr>
      </w:r>
      <w:r>
        <w:rPr/>
        <w:t>均由董事会召集召开，并邀请见证律师进行现场见证。</w:t>
      </w:r>
    </w:p>
    <w:p>
      <w:pPr>
        <w:pStyle w:val="BodyText"/>
        <w:spacing w:line="273" w:lineRule="auto" w:before="7"/>
        <w:ind w:right="0"/>
        <w:jc w:val="left"/>
      </w:pPr>
      <w:r>
        <w:rPr/>
        <w:t>（二）关于公司与控股股东 </w:t>
      </w:r>
      <w:r>
        <w:rPr>
          <w:spacing w:val="-1"/>
        </w:rPr>
        <w:t>公司控股股东能够严格按照《公司法》、《证券法》、《深圳证券交易所股票上市规则》、《深圳证券交</w:t>
      </w:r>
      <w:r>
        <w:rPr>
          <w:spacing w:val="-85"/>
        </w:rPr>
        <w:t> </w:t>
      </w:r>
      <w:r>
        <w:rPr>
          <w:spacing w:val="-85"/>
        </w:rPr>
      </w:r>
      <w:r>
        <w:rPr>
          <w:spacing w:val="-1"/>
        </w:rPr>
        <w:t>易所中小企业板上市公司规范运作指引》、《公司章程》和《控股股东、实际控制人行为规范》的规定和</w:t>
      </w:r>
      <w:r>
        <w:rPr>
          <w:spacing w:val="-85"/>
        </w:rPr>
        <w:t> </w:t>
      </w:r>
      <w:r>
        <w:rPr>
          <w:spacing w:val="-85"/>
        </w:rPr>
      </w:r>
      <w:r>
        <w:rPr>
          <w:spacing w:val="-1"/>
        </w:rPr>
        <w:t>要求，规范控股股东行为。公司控股股东广东群兴投资有限公司，为境内非国有法人，通过股东大会行使</w:t>
      </w:r>
      <w:r>
        <w:rPr>
          <w:spacing w:val="-86"/>
        </w:rPr>
        <w:t> </w:t>
      </w:r>
      <w:r>
        <w:rPr>
          <w:spacing w:val="-86"/>
        </w:rPr>
      </w:r>
      <w:r>
        <w:rPr>
          <w:spacing w:val="-1"/>
        </w:rPr>
        <w:t>股东权利，并承担相应义务，没有超越公司股东大会直接或间接干预公司的决策和经营活动的行为。公司</w:t>
      </w:r>
      <w:r>
        <w:rPr>
          <w:spacing w:val="-83"/>
        </w:rPr>
        <w:t> </w:t>
      </w:r>
      <w:r>
        <w:rPr>
          <w:spacing w:val="-83"/>
        </w:rPr>
      </w:r>
      <w:r>
        <w:rPr>
          <w:spacing w:val="-1"/>
        </w:rPr>
        <w:t>拥有独立完整的业务和自主经营能力，在业务、资产、人员、财务、机构等方面独立于控股股东，公司董</w:t>
      </w:r>
      <w:r>
        <w:rPr>
          <w:spacing w:val="-83"/>
        </w:rPr>
        <w:t> </w:t>
      </w:r>
      <w:r>
        <w:rPr>
          <w:spacing w:val="-83"/>
        </w:rPr>
      </w:r>
      <w:r>
        <w:rPr/>
        <w:t>事会、监事会和内部机构独立运作。公司实际控制人不存在损害公司及其他股东利益的情况。</w:t>
      </w:r>
    </w:p>
    <w:p>
      <w:pPr>
        <w:pStyle w:val="BodyText"/>
        <w:spacing w:line="273" w:lineRule="auto" w:before="8"/>
        <w:ind w:right="0"/>
        <w:jc w:val="left"/>
      </w:pPr>
      <w:r>
        <w:rPr/>
        <w:t>（三）关于董事与董事会 </w:t>
      </w:r>
      <w:r>
        <w:rPr>
          <w:spacing w:val="-1"/>
        </w:rPr>
        <w:t>公司董事会严格按照《公司法》、《证券法》、《深圳证券交易所股票上市规则》、《深圳证券交易所中</w:t>
      </w:r>
      <w:r>
        <w:rPr>
          <w:spacing w:val="-85"/>
        </w:rPr>
        <w:t> </w:t>
      </w:r>
      <w:r>
        <w:rPr>
          <w:spacing w:val="-85"/>
        </w:rPr>
      </w:r>
      <w:r>
        <w:rPr>
          <w:spacing w:val="-1"/>
        </w:rPr>
        <w:t>小企业板上市公司规范运作指引》、《公司章程》、《董事会议事规则》、《独立董事工作制度》等相关</w:t>
      </w:r>
      <w:r>
        <w:rPr>
          <w:spacing w:val="-85"/>
        </w:rPr>
        <w:t> </w:t>
      </w:r>
      <w:r>
        <w:rPr>
          <w:spacing w:val="-85"/>
        </w:rPr>
      </w:r>
      <w:r>
        <w:rPr>
          <w:spacing w:val="-1"/>
        </w:rPr>
        <w:t>规定召集召开董事会，公司董事按时出席董事会及股东大会，勤勉尽责，认真审议各项议案并对公司重大</w:t>
      </w:r>
      <w:r>
        <w:rPr>
          <w:spacing w:val="-83"/>
        </w:rPr>
        <w:t> </w:t>
      </w:r>
      <w:r>
        <w:rPr>
          <w:spacing w:val="-83"/>
        </w:rPr>
      </w:r>
      <w:r>
        <w:rPr>
          <w:spacing w:val="-1"/>
        </w:rPr>
        <w:t>事项做出科学、合理决策。公司严格按照《公司法》和《公司章程》等规定的董事选聘程序以累积投票制</w:t>
      </w:r>
      <w:r>
        <w:rPr>
          <w:spacing w:val="-82"/>
        </w:rPr>
        <w:t> </w:t>
      </w:r>
      <w:r>
        <w:rPr>
          <w:spacing w:val="-82"/>
        </w:rPr>
      </w:r>
      <w:r>
        <w:rPr>
          <w:spacing w:val="-1"/>
        </w:rPr>
        <w:t>方式选举董事，董事会成员的构成符合法律法规的要求。公司独立董事独立履行职责，对公司重大事项发</w:t>
      </w:r>
      <w:r>
        <w:rPr>
          <w:spacing w:val="-83"/>
        </w:rPr>
        <w:t> </w:t>
      </w:r>
      <w:r>
        <w:rPr>
          <w:spacing w:val="-83"/>
        </w:rPr>
      </w:r>
      <w:r>
        <w:rPr>
          <w:spacing w:val="-1"/>
        </w:rPr>
        <w:t>表独立意见，切实维护公司利益和股东权益，尤其关注中小股东的合法权益不受损害，独立董事在公司重</w:t>
      </w:r>
      <w:r>
        <w:rPr>
          <w:spacing w:val="-83"/>
        </w:rPr>
        <w:t> </w:t>
      </w:r>
      <w:r>
        <w:rPr>
          <w:spacing w:val="-83"/>
        </w:rPr>
      </w:r>
      <w:r>
        <w:rPr>
          <w:spacing w:val="-1"/>
        </w:rPr>
        <w:t>大决策以及投资方面发挥了重要作用。公司董事会设立了审计委员会、战略委员会、提名委员会、薪酬与</w:t>
      </w:r>
      <w:r>
        <w:rPr>
          <w:spacing w:val="-86"/>
        </w:rPr>
        <w:t> </w:t>
      </w:r>
      <w:r>
        <w:rPr>
          <w:spacing w:val="-86"/>
        </w:rPr>
      </w:r>
      <w:r>
        <w:rPr>
          <w:spacing w:val="-1"/>
        </w:rPr>
        <w:t>考核委员会四个专门委员会，在促进公司规范运作、健康持续发展等方面发挥了重要的作用。未出现越权</w:t>
      </w:r>
      <w:r>
        <w:rPr>
          <w:spacing w:val="-83"/>
        </w:rPr>
        <w:t> </w:t>
      </w:r>
      <w:r>
        <w:rPr>
          <w:spacing w:val="-83"/>
        </w:rPr>
      </w:r>
      <w:r>
        <w:rPr/>
        <w:t>行使股东大会权利的行为，也未出现越权干预监事会运作和经营管理层的行为。</w:t>
      </w:r>
    </w:p>
    <w:p>
      <w:pPr>
        <w:pStyle w:val="BodyText"/>
        <w:spacing w:line="271" w:lineRule="auto" w:before="7"/>
        <w:ind w:right="0"/>
        <w:jc w:val="left"/>
      </w:pPr>
      <w:r>
        <w:rPr/>
        <w:t>（四）关于监事与监事会 </w:t>
      </w:r>
      <w:r>
        <w:rPr>
          <w:spacing w:val="-1"/>
        </w:rPr>
        <w:t>公司严格按照法律、法规及《公司章程》、《股东大会议事规则》、《监事会议事规则》等的规定产生监</w:t>
      </w:r>
      <w:r>
        <w:rPr>
          <w:spacing w:val="-84"/>
        </w:rPr>
        <w:t> </w:t>
      </w:r>
      <w:r>
        <w:rPr>
          <w:spacing w:val="-84"/>
        </w:rPr>
      </w:r>
      <w:r>
        <w:rPr>
          <w:spacing w:val="-1"/>
        </w:rPr>
        <w:t>事，公司监事会的人数及人员构成符合法律、法规和《公司章程》的要求，监事会现有三名监事，其中职</w:t>
      </w:r>
      <w:r>
        <w:rPr>
          <w:spacing w:val="-83"/>
        </w:rPr>
        <w:t> </w:t>
      </w:r>
      <w:r>
        <w:rPr>
          <w:spacing w:val="-83"/>
        </w:rPr>
      </w:r>
      <w:r>
        <w:rPr>
          <w:spacing w:val="-1"/>
        </w:rPr>
        <w:t>工代表监事二人。公司全体监事能够按照法律、法规和《监事会议事规则》等的要求，从保护股东利益出</w:t>
      </w:r>
      <w:r>
        <w:rPr>
          <w:spacing w:val="-83"/>
        </w:rPr>
        <w:t> </w:t>
      </w:r>
      <w:r>
        <w:rPr>
          <w:spacing w:val="-83"/>
        </w:rPr>
      </w:r>
      <w:r>
        <w:rPr>
          <w:spacing w:val="-1"/>
        </w:rPr>
        <w:t>发，认真履行自己的职责，对公司重大事项、财务状况以及公司董事、经理和其他高级管理人员履行职责</w:t>
      </w:r>
      <w:r>
        <w:rPr>
          <w:spacing w:val="-86"/>
        </w:rPr>
        <w:t> </w:t>
      </w:r>
      <w:r>
        <w:rPr>
          <w:spacing w:val="-86"/>
        </w:rPr>
      </w:r>
      <w:r>
        <w:rPr/>
        <w:t>的合法合规性进行监督，忠实、勤勉地维护公司及股东的合法权益。</w:t>
      </w:r>
    </w:p>
    <w:p>
      <w:pPr>
        <w:pStyle w:val="BodyText"/>
        <w:spacing w:line="273" w:lineRule="auto" w:before="10"/>
        <w:ind w:right="1009"/>
        <w:jc w:val="left"/>
      </w:pPr>
      <w:r>
        <w:rPr/>
        <w:t>（五）关于信息披露 公司指定董事会秘书具体负责信息披露工作、接待投资者的来访和咨询，严格按照监管部门颁布的制度法 规和公司制定的《信息披露事务管理制度》、《重大信息内部报告制度》和《投资者关系管理制度》等有 </w:t>
      </w:r>
      <w:r>
        <w:rPr>
          <w:spacing w:val="-7"/>
        </w:rPr>
        <w:t>关规定，加强信息披露事务管理，依法认真履行信息披露义务。公司指定《中国证劵报》、《上海证券报》、</w:t>
      </w:r>
    </w:p>
    <w:p>
      <w:pPr>
        <w:pStyle w:val="BodyText"/>
        <w:spacing w:line="256" w:lineRule="auto" w:before="7"/>
        <w:ind w:right="0"/>
        <w:jc w:val="left"/>
      </w:pPr>
      <w:r>
        <w:rPr>
          <w:spacing w:val="-2"/>
        </w:rPr>
        <w:t>《证券时报》和巨潮资讯网（</w:t>
      </w:r>
      <w:hyperlink r:id="rId11">
        <w:r>
          <w:rPr>
            <w:rFonts w:ascii="Times New Roman" w:hAnsi="Times New Roman" w:cs="Times New Roman" w:eastAsia="Times New Roman" w:hint="default"/>
            <w:spacing w:val="-2"/>
          </w:rPr>
          <w:t>www.cninfo.com.cn</w:t>
        </w:r>
      </w:hyperlink>
      <w:r>
        <w:rPr>
          <w:spacing w:val="-2"/>
        </w:rPr>
        <w:t>）为公司信息披露的报纸及网站，真实、完整、准确、公</w:t>
      </w:r>
      <w:r>
        <w:rPr>
          <w:spacing w:val="-57"/>
        </w:rPr>
        <w:t> </w:t>
      </w:r>
      <w:r>
        <w:rPr>
          <w:spacing w:val="-57"/>
        </w:rPr>
      </w:r>
      <w:r>
        <w:rPr/>
        <w:t>平、及时地披露有关信息，确保公司所有股东公平地获得公司相关信息。</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（六）关于相关利益者 </w:t>
      </w:r>
      <w:r>
        <w:rPr>
          <w:spacing w:val="-1"/>
        </w:rPr>
        <w:t>公司充分尊重和维护相关利益者的合法利益，实现社会、股东、公司、员工等各方利益的协调平衡，加强</w:t>
      </w:r>
      <w:r>
        <w:rPr>
          <w:spacing w:val="-83"/>
        </w:rPr>
        <w:t> </w:t>
      </w:r>
      <w:r>
        <w:rPr>
          <w:spacing w:val="-83"/>
        </w:rPr>
      </w:r>
      <w:r>
        <w:rPr/>
        <w:t>与各方建立良好的合作关系，共同推动公司健康、持续地发展。</w:t>
      </w:r>
    </w:p>
    <w:p>
      <w:pPr>
        <w:spacing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38" w:lineRule="auto" w:before="117"/>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line="338" w:lineRule="auto" w:before="4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 </w:t>
      </w:r>
      <w:r>
        <w:rPr>
          <w:rFonts w:ascii="宋体" w:hAnsi="宋体" w:cs="宋体" w:eastAsia="宋体" w:hint="default"/>
          <w:spacing w:val="-2"/>
          <w:sz w:val="18"/>
          <w:szCs w:val="18"/>
        </w:rPr>
        <w:t>在公司治理专项活动开展方面，公司根据中国证监会《关于开展加强上市公司治理专项活动有关事项的通知》和中国证监会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广东监管局《关于进一步深入开展上市公司治理专项活动有关工作的通知》、《关于进一步提高辖区上市公司治理水平的指导</w:t>
      </w:r>
    </w:p>
    <w:p>
      <w:pPr>
        <w:spacing w:before="2"/>
        <w:ind w:left="153" w:right="0" w:firstLine="0"/>
        <w:jc w:val="left"/>
        <w:rPr>
          <w:rFonts w:ascii="宋体" w:hAnsi="宋体" w:cs="宋体" w:eastAsia="宋体" w:hint="default"/>
          <w:sz w:val="18"/>
          <w:szCs w:val="18"/>
        </w:rPr>
      </w:pPr>
      <w:r>
        <w:rPr>
          <w:rFonts w:ascii="宋体" w:hAnsi="宋体" w:cs="宋体" w:eastAsia="宋体" w:hint="default"/>
          <w:sz w:val="18"/>
          <w:szCs w:val="18"/>
        </w:rPr>
        <w:t>意见</w:t>
      </w:r>
      <w:r>
        <w:rPr>
          <w:rFonts w:ascii="宋体" w:hAnsi="宋体" w:cs="宋体" w:eastAsia="宋体" w:hint="default"/>
          <w:spacing w:val="-44"/>
          <w:sz w:val="18"/>
          <w:szCs w:val="18"/>
        </w:rPr>
        <w:t>》</w:t>
      </w:r>
      <w:r>
        <w:rPr>
          <w:rFonts w:ascii="宋体" w:hAnsi="宋体" w:cs="宋体" w:eastAsia="宋体" w:hint="default"/>
          <w:sz w:val="18"/>
          <w:szCs w:val="18"/>
        </w:rPr>
        <w:t>的精神要求</w:t>
      </w:r>
      <w:r>
        <w:rPr>
          <w:rFonts w:ascii="宋体" w:hAnsi="宋体" w:cs="宋体" w:eastAsia="宋体" w:hint="default"/>
          <w:spacing w:val="-44"/>
          <w:sz w:val="18"/>
          <w:szCs w:val="18"/>
        </w:rPr>
        <w:t>，</w:t>
      </w:r>
      <w:r>
        <w:rPr>
          <w:rFonts w:ascii="宋体" w:hAnsi="宋体" w:cs="宋体" w:eastAsia="宋体" w:hint="default"/>
          <w:sz w:val="18"/>
          <w:szCs w:val="18"/>
        </w:rPr>
        <w:t>公司认真组织自查</w:t>
      </w:r>
      <w:r>
        <w:rPr>
          <w:rFonts w:ascii="宋体" w:hAnsi="宋体" w:cs="宋体" w:eastAsia="宋体" w:hint="default"/>
          <w:spacing w:val="-44"/>
          <w:sz w:val="18"/>
          <w:szCs w:val="18"/>
        </w:rPr>
        <w:t>、</w:t>
      </w:r>
      <w:r>
        <w:rPr>
          <w:rFonts w:ascii="宋体" w:hAnsi="宋体" w:cs="宋体" w:eastAsia="宋体" w:hint="default"/>
          <w:sz w:val="18"/>
          <w:szCs w:val="18"/>
        </w:rPr>
        <w:t>改善</w:t>
      </w:r>
      <w:r>
        <w:rPr>
          <w:rFonts w:ascii="宋体" w:hAnsi="宋体" w:cs="宋体" w:eastAsia="宋体" w:hint="default"/>
          <w:spacing w:val="-45"/>
          <w:sz w:val="18"/>
          <w:szCs w:val="18"/>
        </w:rPr>
        <w:t>。</w:t>
      </w:r>
      <w:r>
        <w:rPr>
          <w:rFonts w:ascii="宋体" w:hAnsi="宋体" w:cs="宋体" w:eastAsia="宋体" w:hint="default"/>
          <w:sz w:val="18"/>
          <w:szCs w:val="18"/>
        </w:rPr>
        <w:t>公司成立的治理专项活动工作小组本着实事求是的原则</w:t>
      </w:r>
      <w:r>
        <w:rPr>
          <w:rFonts w:ascii="宋体" w:hAnsi="宋体" w:cs="宋体" w:eastAsia="宋体" w:hint="default"/>
          <w:spacing w:val="-44"/>
          <w:sz w:val="18"/>
          <w:szCs w:val="18"/>
        </w:rPr>
        <w:t>，</w:t>
      </w:r>
      <w:r>
        <w:rPr>
          <w:rFonts w:ascii="宋体" w:hAnsi="宋体" w:cs="宋体" w:eastAsia="宋体" w:hint="default"/>
          <w:sz w:val="18"/>
          <w:szCs w:val="18"/>
        </w:rPr>
        <w:t>严格对</w:t>
      </w:r>
      <w:r>
        <w:rPr>
          <w:rFonts w:ascii="宋体" w:hAnsi="宋体" w:cs="宋体" w:eastAsia="宋体" w:hint="default"/>
          <w:spacing w:val="-44"/>
          <w:sz w:val="18"/>
          <w:szCs w:val="18"/>
        </w:rPr>
        <w:t>照</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319" w:lineRule="auto" w:before="76"/>
        <w:ind w:left="153" w:right="1033" w:firstLine="0"/>
        <w:jc w:val="left"/>
        <w:rPr>
          <w:rFonts w:ascii="宋体" w:hAnsi="宋体" w:cs="宋体" w:eastAsia="宋体" w:hint="default"/>
          <w:sz w:val="18"/>
          <w:szCs w:val="18"/>
        </w:rPr>
      </w:pPr>
      <w:r>
        <w:rPr>
          <w:rFonts w:ascii="宋体" w:hAnsi="宋体" w:cs="宋体" w:eastAsia="宋体" w:hint="default"/>
          <w:spacing w:val="-4"/>
          <w:sz w:val="18"/>
          <w:szCs w:val="18"/>
        </w:rPr>
        <w:t>《证券法》等有关法律、法规以及《深圳证券交易所股票上市规则》、《深圳证券交易所中小企业版上市公司规范运作指引》</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等规范性制度文件的要求，按照中国证监会广东监管局的通知要求和指导意见，公司第二届董事会第十次会议审议修订了《财</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务管理制度》；第二届董事会第十三次会议审议制定了《投资者投诉处理工作制度》进一步提高公司治理水平。在内幕信息</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知情人登记管理方面，为规范公司内幕信息知情人管理，加强内幕信息保密工作，维护公司信息披露的公开、公平、公正，</w:t>
      </w:r>
      <w:r>
        <w:rPr>
          <w:rFonts w:ascii="宋体" w:hAnsi="宋体" w:cs="宋体" w:eastAsia="宋体" w:hint="default"/>
          <w:sz w:val="18"/>
          <w:szCs w:val="18"/>
        </w:rPr>
        <w:t> </w:t>
      </w:r>
      <w:r>
        <w:rPr>
          <w:rFonts w:ascii="宋体" w:hAnsi="宋体" w:cs="宋体" w:eastAsia="宋体" w:hint="default"/>
          <w:spacing w:val="-11"/>
          <w:sz w:val="18"/>
          <w:szCs w:val="18"/>
        </w:rPr>
        <w:t>公司根据《公司法》、《证券法》、《上市公司信息披露管理办法》、《深圳证券交易所股票上市规则》等有关法律法规及《公司</w:t>
      </w:r>
      <w:r>
        <w:rPr>
          <w:rFonts w:ascii="宋体" w:hAnsi="宋体" w:cs="宋体" w:eastAsia="宋体" w:hint="default"/>
          <w:sz w:val="18"/>
          <w:szCs w:val="18"/>
        </w:rPr>
        <w:t> </w:t>
      </w:r>
      <w:r>
        <w:rPr>
          <w:rFonts w:ascii="宋体" w:hAnsi="宋体" w:cs="宋体" w:eastAsia="宋体" w:hint="default"/>
          <w:spacing w:val="-5"/>
          <w:sz w:val="18"/>
          <w:szCs w:val="18"/>
        </w:rPr>
        <w:t>章程》的有关规定，公司严格按照《内幕信息知情人登记和报备制度》、《内幕信息管理制度》的要求，严格管理内幕信息知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情人，认真做好内幕信息知情人的登记、报备和培训工作。报告期内，公司对内幕信息知情人买卖本公司股票的情况进行了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自查，公司未发生内幕信息知情人在影响公司股价的重大敏感信息披露前利用内幕信息买卖公司股票的行为，也没有发生监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管部门查处和需要整改的情况。</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二、报告期内召开的年度股东大会和临时股东大会的有关情况" w:id="101"/>
      <w:bookmarkEnd w:id="101"/>
      <w:r>
        <w:rPr>
          <w:b w:val="0"/>
          <w:bCs w:val="0"/>
        </w:rPr>
      </w:r>
      <w:r>
        <w:rPr/>
        <w:t>二、报告期内召开的年度股东大会和临时股东大会的有关情况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报告期年度股东大会情况"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99"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6"/>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7"/>
                <w:sz w:val="18"/>
                <w:szCs w:val="18"/>
              </w:rPr>
              <w:t>工作报告》；《</w:t>
            </w:r>
            <w:r>
              <w:rPr>
                <w:rFonts w:ascii="Times New Roman" w:hAnsi="Times New Roman" w:cs="Times New Roman" w:eastAsia="Times New Roman" w:hint="default"/>
                <w:spacing w:val="-17"/>
                <w:sz w:val="18"/>
                <w:szCs w:val="18"/>
              </w:rPr>
              <w:t>2013</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年度监事会工作报 </w:t>
            </w:r>
            <w:r>
              <w:rPr>
                <w:rFonts w:ascii="宋体" w:hAnsi="宋体" w:cs="宋体" w:eastAsia="宋体" w:hint="default"/>
                <w:spacing w:val="-23"/>
                <w:sz w:val="18"/>
                <w:szCs w:val="18"/>
              </w:rPr>
              <w:t>告》；《</w:t>
            </w:r>
            <w:r>
              <w:rPr>
                <w:rFonts w:ascii="Times New Roman" w:hAnsi="Times New Roman" w:cs="Times New Roman" w:eastAsia="Times New Roman" w:hint="default"/>
                <w:spacing w:val="-23"/>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年度财</w:t>
            </w:r>
            <w:r>
              <w:rPr>
                <w:rFonts w:ascii="宋体" w:hAnsi="宋体" w:cs="宋体" w:eastAsia="宋体" w:hint="default"/>
                <w:spacing w:val="-87"/>
                <w:sz w:val="18"/>
                <w:szCs w:val="18"/>
              </w:rPr>
              <w:t> </w:t>
            </w:r>
            <w:r>
              <w:rPr>
                <w:rFonts w:ascii="宋体" w:hAnsi="宋体" w:cs="宋体" w:eastAsia="宋体" w:hint="default"/>
                <w:spacing w:val="-22"/>
                <w:sz w:val="18"/>
                <w:szCs w:val="18"/>
              </w:rPr>
              <w:t>务决算报告》；《</w:t>
            </w:r>
            <w:r>
              <w:rPr>
                <w:rFonts w:ascii="Times New Roman" w:hAnsi="Times New Roman" w:cs="Times New Roman" w:eastAsia="Times New Roman" w:hint="default"/>
                <w:spacing w:val="-22"/>
                <w:sz w:val="18"/>
                <w:szCs w:val="18"/>
              </w:rPr>
              <w:t>2013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年年度报告及摘 </w:t>
            </w:r>
            <w:r>
              <w:rPr>
                <w:rFonts w:ascii="宋体" w:hAnsi="宋体" w:cs="宋体" w:eastAsia="宋体" w:hint="default"/>
                <w:spacing w:val="-30"/>
                <w:sz w:val="18"/>
                <w:szCs w:val="18"/>
              </w:rPr>
              <w:t>要》；《关于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度利润分配预案的 </w:t>
            </w:r>
            <w:r>
              <w:rPr>
                <w:rFonts w:ascii="宋体" w:hAnsi="宋体" w:cs="宋体" w:eastAsia="宋体" w:hint="default"/>
                <w:spacing w:val="-20"/>
                <w:sz w:val="18"/>
                <w:szCs w:val="18"/>
              </w:rPr>
              <w:t>议案》；《募集资金</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年度存放与使 用情况的专项报 </w:t>
            </w:r>
            <w:r>
              <w:rPr>
                <w:rFonts w:ascii="宋体" w:hAnsi="宋体" w:cs="宋体" w:eastAsia="宋体" w:hint="default"/>
                <w:spacing w:val="-27"/>
                <w:sz w:val="18"/>
                <w:szCs w:val="18"/>
              </w:rPr>
              <w:t>告》；《关于续聘立信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会计师事务所（特殊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普通合伙）为公司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年度财务审计 机构并授权董事长 决定其报酬的议案</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会议以现场投票与 网络投票相结合的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338"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披露网站：巨潮资讯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7">
              <w:r>
                <w:rPr>
                  <w:rFonts w:ascii="Times New Roman" w:hAnsi="Times New Roman" w:cs="Times New Roman" w:eastAsia="Times New Roman" w:hint="default"/>
                  <w:sz w:val="18"/>
                  <w:szCs w:val="18"/>
                </w:rPr>
                <w:t>http://www.cninfo.co</w:t>
              </w:r>
            </w:hyperlink>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300" w:lineRule="auto" w:before="63"/>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2014-032</w:t>
            </w:r>
            <w:r>
              <w:rPr>
                <w:rFonts w:ascii="宋体" w:hAnsi="宋体" w:cs="宋体" w:eastAsia="宋体" w:hint="default"/>
                <w:sz w:val="18"/>
                <w:szCs w:val="18"/>
              </w:rPr>
              <w:t>，公告名 称：</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 东大会决议公告</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r>
        <w:rPr/>
        <w:pict>
          <v:shape style="position:absolute;margin-left:272.059998pt;margin-top:544.179993pt;width:103.35pt;height:225.3pt;mso-position-horizontal-relative:page;mso-position-vertical-relative:page;z-index:-74584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尹超、</w:t>
                  </w:r>
                </w:p>
              </w:txbxContent>
            </v:textbox>
            <w10:wrap type="none"/>
          </v:shape>
        </w:pict>
      </w:r>
    </w:p>
    <w:p>
      <w:pPr>
        <w:pStyle w:val="Heading4"/>
        <w:spacing w:line="240" w:lineRule="auto" w:before="35"/>
        <w:ind w:right="0"/>
        <w:jc w:val="left"/>
        <w:rPr>
          <w:b w:val="0"/>
          <w:bCs w:val="0"/>
        </w:rPr>
      </w:pPr>
      <w:bookmarkStart w:name="2、本报告期临时股东大会情况" w:id="103"/>
      <w:bookmarkEnd w:id="10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9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9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《关于部分超募资 金使用计划的议 </w:t>
            </w:r>
            <w:r>
              <w:rPr>
                <w:rFonts w:ascii="宋体" w:hAnsi="宋体" w:cs="宋体" w:eastAsia="宋体" w:hint="default"/>
                <w:spacing w:val="-27"/>
                <w:sz w:val="18"/>
                <w:szCs w:val="18"/>
              </w:rPr>
              <w:t>案》；《关于使用部分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超募资金永久性补 充流动资金的议案</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6"/>
                <w:szCs w:val="16"/>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会议以现场投票与 网络投票相结合的 </w:t>
            </w:r>
            <w:r>
              <w:rPr>
                <w:rFonts w:ascii="宋体" w:hAnsi="宋体" w:cs="宋体" w:eastAsia="宋体" w:hint="default"/>
                <w:spacing w:val="-10"/>
                <w:sz w:val="18"/>
                <w:szCs w:val="18"/>
              </w:rPr>
              <w:t>方式，审议通过了全</w:t>
            </w:r>
          </w:p>
          <w:p>
            <w:pPr>
              <w:pStyle w:val="TableParagraph"/>
              <w:spacing w:line="196" w:lineRule="exact" w:before="20"/>
              <w:ind w:left="22" w:right="0"/>
              <w:jc w:val="both"/>
              <w:rPr>
                <w:rFonts w:ascii="宋体" w:hAnsi="宋体" w:cs="宋体" w:eastAsia="宋体" w:hint="default"/>
                <w:sz w:val="18"/>
                <w:szCs w:val="18"/>
              </w:rPr>
            </w:pPr>
            <w:r>
              <w:rPr>
                <w:rFonts w:ascii="宋体" w:hAnsi="宋体" w:cs="宋体" w:eastAsia="宋体" w:hint="default"/>
                <w:sz w:val="18"/>
                <w:szCs w:val="18"/>
              </w:rPr>
              <w:t>部议案</w:t>
            </w:r>
          </w:p>
          <w:p>
            <w:pPr>
              <w:pStyle w:val="TableParagraph"/>
              <w:spacing w:line="196"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38" w:lineRule="auto" w:before="56"/>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披露网站：巨潮资讯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7">
              <w:r>
                <w:rPr>
                  <w:rFonts w:ascii="Times New Roman" w:hAnsi="Times New Roman" w:cs="Times New Roman" w:eastAsia="Times New Roman" w:hint="default"/>
                  <w:sz w:val="18"/>
                  <w:szCs w:val="18"/>
                </w:rPr>
                <w:t>http://www.cninfo.co</w:t>
              </w:r>
            </w:hyperlink>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307" w:lineRule="auto" w:before="63"/>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2014-045</w:t>
            </w:r>
            <w:r>
              <w:rPr>
                <w:rFonts w:ascii="宋体" w:hAnsi="宋体" w:cs="宋体" w:eastAsia="宋体" w:hint="default"/>
                <w:sz w:val="18"/>
                <w:szCs w:val="18"/>
              </w:rPr>
              <w:t>，公告名 称：</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 临时股东大会决议 公告</w:t>
            </w:r>
          </w:p>
        </w:tc>
      </w:tr>
      <w:tr>
        <w:trPr>
          <w:trHeight w:val="10347"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57"/>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《关于公司符合上 市公司发行股份及 支付现金购买资产 并募集配套资金条 </w:t>
            </w:r>
            <w:r>
              <w:rPr>
                <w:rFonts w:ascii="宋体" w:hAnsi="宋体" w:cs="宋体" w:eastAsia="宋体" w:hint="default"/>
                <w:spacing w:val="-27"/>
                <w:sz w:val="18"/>
                <w:szCs w:val="18"/>
              </w:rPr>
              <w:t>件的议案》；《关于公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司发行股份及支付 现金购买资产并募 集配套资金方案的 </w:t>
            </w:r>
            <w:r>
              <w:rPr>
                <w:rFonts w:ascii="宋体" w:hAnsi="宋体" w:cs="宋体" w:eastAsia="宋体" w:hint="default"/>
                <w:spacing w:val="-27"/>
                <w:sz w:val="18"/>
                <w:szCs w:val="18"/>
              </w:rPr>
              <w:t>议案》；《关于公司发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行股份及支付现金 购买资产并募集配 套资金符合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关于 规范上市公司重大 资产重组若干问题 的规定</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第四条规 </w:t>
            </w:r>
            <w:r>
              <w:rPr>
                <w:rFonts w:ascii="宋体" w:hAnsi="宋体" w:cs="宋体" w:eastAsia="宋体" w:hint="default"/>
                <w:spacing w:val="-27"/>
                <w:sz w:val="18"/>
                <w:szCs w:val="18"/>
              </w:rPr>
              <w:t>定的说明》；《关于本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次交易符合</w:t>
            </w:r>
            <w:r>
              <w:rPr>
                <w:rFonts w:ascii="Times New Roman" w:hAnsi="Times New Roman" w:cs="Times New Roman" w:eastAsia="Times New Roman" w:hint="default"/>
                <w:sz w:val="18"/>
                <w:szCs w:val="18"/>
              </w:rPr>
              <w:t>&lt;</w:t>
            </w:r>
            <w:r>
              <w:rPr>
                <w:rFonts w:ascii="宋体" w:hAnsi="宋体" w:cs="宋体" w:eastAsia="宋体" w:hint="default"/>
                <w:sz w:val="18"/>
                <w:szCs w:val="18"/>
              </w:rPr>
              <w:t>上市 公司重大资产重组 管理办法</w:t>
            </w:r>
            <w:r>
              <w:rPr>
                <w:rFonts w:ascii="Times New Roman" w:hAnsi="Times New Roman" w:cs="Times New Roman" w:eastAsia="Times New Roman" w:hint="default"/>
                <w:sz w:val="18"/>
                <w:szCs w:val="18"/>
              </w:rPr>
              <w:t>&gt;</w:t>
            </w:r>
            <w:r>
              <w:rPr>
                <w:rFonts w:ascii="宋体" w:hAnsi="宋体" w:cs="宋体" w:eastAsia="宋体" w:hint="default"/>
                <w:sz w:val="18"/>
                <w:szCs w:val="18"/>
              </w:rPr>
              <w:t>第四十 二条第二款规定的 </w:t>
            </w:r>
            <w:r>
              <w:rPr>
                <w:rFonts w:ascii="宋体" w:hAnsi="宋体" w:cs="宋体" w:eastAsia="宋体" w:hint="default"/>
                <w:spacing w:val="-27"/>
                <w:sz w:val="18"/>
                <w:szCs w:val="18"/>
              </w:rPr>
              <w:t>议案》；《关于本次交</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易不属于关联交易 </w:t>
            </w:r>
            <w:r>
              <w:rPr>
                <w:rFonts w:ascii="宋体" w:hAnsi="宋体" w:cs="宋体" w:eastAsia="宋体" w:hint="default"/>
                <w:spacing w:val="-27"/>
                <w:sz w:val="18"/>
                <w:szCs w:val="18"/>
              </w:rPr>
              <w:t>的议案》；《关于公司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与李波、尹超、腾讯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公司、世纪凯华就相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应的星创互联股权 签署附条件生效的</w:t>
            </w:r>
          </w:p>
          <w:p>
            <w:pPr>
              <w:pStyle w:val="TableParagraph"/>
              <w:spacing w:line="312" w:lineRule="auto" w:before="20"/>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发行股份及支付 现金购买资产协 </w:t>
            </w:r>
            <w:r>
              <w:rPr>
                <w:rFonts w:ascii="宋体" w:hAnsi="宋体" w:cs="宋体" w:eastAsia="宋体" w:hint="default"/>
                <w:spacing w:val="-7"/>
                <w:sz w:val="18"/>
                <w:szCs w:val="18"/>
              </w:rPr>
              <w:t>议</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；与李波、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腾讯公司、世纪凯华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就相应的星创互联 股权签署附条件生</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会议以现场投票与 网络投票相结合的 </w:t>
            </w:r>
            <w:r>
              <w:rPr>
                <w:rFonts w:ascii="宋体" w:hAnsi="宋体" w:cs="宋体" w:eastAsia="宋体" w:hint="default"/>
                <w:spacing w:val="-10"/>
                <w:sz w:val="18"/>
                <w:szCs w:val="18"/>
              </w:rPr>
              <w:t>方式，审议通过了全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部议案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38"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披露网站：巨潮资讯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 </w:t>
            </w:r>
            <w:hyperlink r:id="rId17">
              <w:r>
                <w:rPr>
                  <w:rFonts w:ascii="Times New Roman" w:hAnsi="Times New Roman" w:cs="Times New Roman" w:eastAsia="Times New Roman" w:hint="default"/>
                  <w:sz w:val="18"/>
                  <w:szCs w:val="18"/>
                </w:rPr>
                <w:t>http://www.cninfo.co</w:t>
              </w:r>
            </w:hyperlink>
          </w:p>
          <w:p>
            <w:pPr>
              <w:pStyle w:val="TableParagraph"/>
              <w:spacing w:line="23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307" w:lineRule="auto" w:before="63"/>
              <w:ind w:left="23"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2014-067</w:t>
            </w:r>
            <w:r>
              <w:rPr>
                <w:rFonts w:ascii="宋体" w:hAnsi="宋体" w:cs="宋体" w:eastAsia="宋体" w:hint="default"/>
                <w:sz w:val="18"/>
                <w:szCs w:val="18"/>
              </w:rPr>
              <w:t>，公告名 称：</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临时股东大会决议 公告</w:t>
            </w:r>
          </w:p>
        </w:tc>
      </w:tr>
    </w:tbl>
    <w:p>
      <w:pPr>
        <w:spacing w:after="0" w:line="30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322" w:hRule="exact"/>
        </w:trPr>
        <w:tc>
          <w:tcPr>
            <w:tcW w:w="1596" w:type="dxa"/>
            <w:vMerge w:val="restart"/>
            <w:tcBorders>
              <w:top w:val="single" w:sz="4" w:space="0" w:color="000000"/>
              <w:left w:val="single" w:sz="4" w:space="0" w:color="000000"/>
              <w:right w:val="single" w:sz="4" w:space="0" w:color="000000"/>
            </w:tcBorders>
            <w:shd w:val="clear" w:color="auto" w:fill="CCE8CF"/>
          </w:tcPr>
          <w:p>
            <w:pPr/>
          </w:p>
        </w:tc>
        <w:tc>
          <w:tcPr>
            <w:tcW w:w="1594"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效的</w:t>
            </w:r>
            <w:r>
              <w:rPr>
                <w:rFonts w:ascii="Times New Roman" w:hAnsi="Times New Roman" w:cs="Times New Roman" w:eastAsia="Times New Roman" w:hint="default"/>
                <w:sz w:val="18"/>
                <w:szCs w:val="18"/>
              </w:rPr>
              <w:t>&lt;</w:t>
            </w:r>
            <w:r>
              <w:rPr>
                <w:rFonts w:ascii="宋体" w:hAnsi="宋体" w:cs="宋体" w:eastAsia="宋体" w:hint="default"/>
                <w:sz w:val="18"/>
                <w:szCs w:val="18"/>
              </w:rPr>
              <w:t>盈利预测补</w:t>
            </w:r>
          </w:p>
        </w:tc>
        <w:tc>
          <w:tcPr>
            <w:tcW w:w="1594"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广东群兴</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玩具股份有限公司</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发行股份及支付现</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金购买资产并募集</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配套资金报告书</w:t>
            </w:r>
            <w:r>
              <w:rPr>
                <w:rFonts w:ascii="Times New Roman" w:hAnsi="Times New Roman" w:cs="Times New Roman" w:eastAsia="Times New Roman" w:hint="default"/>
                <w:sz w:val="18"/>
                <w:szCs w:val="18"/>
              </w:rPr>
              <w:t>(</w:t>
            </w:r>
            <w:r>
              <w:rPr>
                <w:rFonts w:ascii="宋体" w:hAnsi="宋体" w:cs="宋体" w:eastAsia="宋体" w:hint="default"/>
                <w:sz w:val="18"/>
                <w:szCs w:val="18"/>
              </w:rPr>
              <w:t>草</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Times New Roman" w:hAnsi="Times New Roman" w:cs="Times New Roman" w:eastAsia="Times New Roman" w:hint="default"/>
                <w:sz w:val="18"/>
                <w:szCs w:val="18"/>
              </w:rPr>
              <w:t>)&gt;</w:t>
            </w:r>
            <w:r>
              <w:rPr>
                <w:rFonts w:ascii="宋体" w:hAnsi="宋体" w:cs="宋体" w:eastAsia="宋体" w:hint="default"/>
                <w:sz w:val="18"/>
                <w:szCs w:val="18"/>
              </w:rPr>
              <w:t>及其摘要的议</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07"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《关于评估机构</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的独立性</w:t>
            </w:r>
            <w:r>
              <w:rPr>
                <w:rFonts w:ascii="宋体" w:hAnsi="宋体" w:cs="宋体" w:eastAsia="宋体" w:hint="default"/>
                <w:spacing w:val="-82"/>
                <w:sz w:val="18"/>
                <w:szCs w:val="18"/>
              </w:rPr>
              <w:t>、</w:t>
            </w:r>
            <w:r>
              <w:rPr>
                <w:rFonts w:ascii="宋体" w:hAnsi="宋体" w:cs="宋体" w:eastAsia="宋体" w:hint="default"/>
                <w:sz w:val="18"/>
                <w:szCs w:val="18"/>
              </w:rPr>
              <w:t>评估假设</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前提的合理性</w:t>
            </w:r>
            <w:r>
              <w:rPr>
                <w:rFonts w:ascii="宋体" w:hAnsi="宋体" w:cs="宋体" w:eastAsia="宋体" w:hint="default"/>
                <w:spacing w:val="-82"/>
                <w:sz w:val="18"/>
                <w:szCs w:val="18"/>
              </w:rPr>
              <w:t>、</w:t>
            </w:r>
            <w:r>
              <w:rPr>
                <w:rFonts w:ascii="宋体" w:hAnsi="宋体" w:cs="宋体" w:eastAsia="宋体" w:hint="default"/>
                <w:sz w:val="18"/>
                <w:szCs w:val="18"/>
              </w:rPr>
              <w:t>评估</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方法与评估目的相</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关性以及评估定价</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的公允性的意见的</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《关于审议公</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司本次交易的审计</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82"/>
                <w:sz w:val="18"/>
                <w:szCs w:val="18"/>
              </w:rPr>
              <w:t>、</w:t>
            </w:r>
            <w:r>
              <w:rPr>
                <w:rFonts w:ascii="宋体" w:hAnsi="宋体" w:cs="宋体" w:eastAsia="宋体" w:hint="default"/>
                <w:sz w:val="18"/>
                <w:szCs w:val="18"/>
              </w:rPr>
              <w:t>盈利预测报告</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与资产评估报告的</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《关于公司本</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次交易定价的依据</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及公平合理性说明</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172"/>
                <w:sz w:val="18"/>
                <w:szCs w:val="18"/>
              </w:rPr>
              <w:t>；</w:t>
            </w:r>
            <w:r>
              <w:rPr>
                <w:rFonts w:ascii="宋体" w:hAnsi="宋体" w:cs="宋体" w:eastAsia="宋体" w:hint="default"/>
                <w:sz w:val="18"/>
                <w:szCs w:val="18"/>
              </w:rPr>
              <w:t>《关于提请</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公司股东大会授权</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董事会办理发行股</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2"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份及支付现金购买</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13" w:hRule="exact"/>
        </w:trPr>
        <w:tc>
          <w:tcPr>
            <w:tcW w:w="1596" w:type="dxa"/>
            <w:vMerge/>
            <w:tcBorders>
              <w:left w:val="single" w:sz="4" w:space="0" w:color="000000"/>
              <w:right w:val="single" w:sz="4" w:space="0" w:color="000000"/>
            </w:tcBorders>
            <w:shd w:val="clear" w:color="auto" w:fill="CCE8CF"/>
          </w:tcPr>
          <w:p>
            <w:pPr/>
          </w:p>
        </w:tc>
        <w:tc>
          <w:tcPr>
            <w:tcW w:w="1594"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资产并募集配套资</w:t>
            </w:r>
          </w:p>
        </w:tc>
        <w:tc>
          <w:tcPr>
            <w:tcW w:w="1594" w:type="dxa"/>
            <w:tcBorders>
              <w:top w:val="nil" w:sz="6" w:space="0" w:color="auto"/>
              <w:left w:val="single" w:sz="4" w:space="0" w:color="000000"/>
              <w:bottom w:val="nil" w:sz="6" w:space="0" w:color="auto"/>
              <w:right w:val="single" w:sz="4" w:space="0" w:color="000000"/>
            </w:tcBorders>
            <w:shd w:val="clear" w:color="auto" w:fill="CCE8CF"/>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357" w:hRule="exact"/>
        </w:trPr>
        <w:tc>
          <w:tcPr>
            <w:tcW w:w="1596" w:type="dxa"/>
            <w:vMerge/>
            <w:tcBorders>
              <w:left w:val="single" w:sz="4" w:space="0" w:color="000000"/>
              <w:bottom w:val="single" w:sz="4" w:space="0" w:color="000000"/>
              <w:right w:val="single" w:sz="4" w:space="0" w:color="000000"/>
            </w:tcBorders>
            <w:shd w:val="clear" w:color="auto" w:fill="CCE8CF"/>
          </w:tcPr>
          <w:p>
            <w:pPr/>
          </w:p>
        </w:tc>
        <w:tc>
          <w:tcPr>
            <w:tcW w:w="1594"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金相关事宜的议案</w:t>
            </w:r>
          </w:p>
        </w:tc>
        <w:tc>
          <w:tcPr>
            <w:tcW w:w="1594"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报告期内独立董事履行职责的情况" w:id="104"/>
      <w:bookmarkEnd w:id="104"/>
      <w:r>
        <w:rPr>
          <w:b w:val="0"/>
          <w:bCs w:val="0"/>
        </w:rPr>
      </w:r>
      <w:r>
        <w:rPr/>
        <w:t>三、报告期内独立董事履行职责的情况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05"/>
      <w:bookmarkEnd w:id="105"/>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13"/>
        <w:gridCol w:w="1336"/>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9"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蔡友杰</w:t>
            </w:r>
          </w:p>
        </w:tc>
        <w:tc>
          <w:tcPr>
            <w:tcW w:w="133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金连文</w:t>
            </w:r>
          </w:p>
        </w:tc>
        <w:tc>
          <w:tcPr>
            <w:tcW w:w="133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王文璧</w:t>
            </w:r>
          </w:p>
        </w:tc>
        <w:tc>
          <w:tcPr>
            <w:tcW w:w="1336"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独立董事履行职责的其他说明" w:id="106"/>
      <w:bookmarkEnd w:id="106"/>
      <w:r>
        <w:rPr>
          <w:b w:val="0"/>
          <w:bCs w:val="0"/>
        </w:rPr>
      </w:r>
      <w:r>
        <w:rPr>
          <w:rFonts w:ascii="Times New Roman" w:hAnsi="Times New Roman" w:cs="Times New Roman" w:eastAsia="Times New Roman" w:hint="default"/>
        </w:rPr>
        <w:t>2</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64" w:lineRule="auto" w:before="14"/>
        <w:ind w:right="1109"/>
        <w:jc w:val="both"/>
      </w:pPr>
      <w:r>
        <w:rPr>
          <w:spacing w:val="-1"/>
        </w:rPr>
        <w:t>独立董事利用自己的专业优势，密切关注公司的经营情况，并利用召开董事会、股东大会的机会及其他时</w:t>
      </w:r>
      <w:r>
        <w:rPr>
          <w:spacing w:val="-83"/>
        </w:rPr>
        <w:t> </w:t>
      </w:r>
      <w:r>
        <w:rPr>
          <w:spacing w:val="-83"/>
        </w:rPr>
      </w:r>
      <w:r>
        <w:rPr>
          <w:spacing w:val="-1"/>
        </w:rPr>
        <w:t>间，多次到公司现场工作，通过现场工作深入了解公司的经营情况，积极与其他董事、监事、管理层沟通</w:t>
      </w:r>
      <w:r>
        <w:rPr>
          <w:spacing w:val="-83"/>
        </w:rPr>
        <w:t> </w:t>
      </w:r>
      <w:r>
        <w:rPr>
          <w:spacing w:val="-83"/>
        </w:rPr>
      </w:r>
      <w:r>
        <w:rPr/>
        <w:t>交流，及时掌握公司的经营动态，对公司总体发展战略以及面临的市场形势提出建设性意见。报告期内， 公司独立董事对公司会计估计变更、</w:t>
      </w:r>
      <w:r>
        <w:rPr>
          <w:rFonts w:ascii="Times New Roman" w:hAnsi="Times New Roman" w:cs="Times New Roman" w:eastAsia="Times New Roman" w:hint="default"/>
        </w:rPr>
        <w:t>2013</w:t>
      </w:r>
      <w:r>
        <w:rPr/>
        <w:t>年度控股股东及其他关联方占用公司资金、公司对外担保情况、 </w:t>
      </w:r>
      <w:r>
        <w:rPr>
          <w:rFonts w:ascii="Times New Roman" w:hAnsi="Times New Roman" w:cs="Times New Roman" w:eastAsia="Times New Roman" w:hint="default"/>
          <w:spacing w:val="-1"/>
        </w:rPr>
        <w:t>2013</w:t>
      </w:r>
      <w:r>
        <w:rPr>
          <w:spacing w:val="-1"/>
        </w:rPr>
        <w:t>年度公司内部控制的自我评价报告、续聘立信会计师事务所（特殊普通合伙）为公司</w:t>
      </w:r>
      <w:r>
        <w:rPr>
          <w:rFonts w:ascii="Times New Roman" w:hAnsi="Times New Roman" w:cs="Times New Roman" w:eastAsia="Times New Roman" w:hint="default"/>
          <w:spacing w:val="-1"/>
        </w:rPr>
        <w:t>2014</w:t>
      </w:r>
      <w:r>
        <w:rPr>
          <w:spacing w:val="-1"/>
        </w:rPr>
        <w:t>年度财务审</w:t>
      </w:r>
      <w:r>
        <w:rPr>
          <w:spacing w:val="-79"/>
        </w:rPr>
        <w:t> </w:t>
      </w:r>
      <w:r>
        <w:rPr>
          <w:spacing w:val="-1"/>
        </w:rPr>
        <w:t>计机构、公司</w:t>
      </w:r>
      <w:r>
        <w:rPr>
          <w:rFonts w:ascii="Times New Roman" w:hAnsi="Times New Roman" w:cs="Times New Roman" w:eastAsia="Times New Roman" w:hint="default"/>
          <w:spacing w:val="-1"/>
        </w:rPr>
        <w:t>2013</w:t>
      </w:r>
      <w:r>
        <w:rPr>
          <w:spacing w:val="-1"/>
        </w:rPr>
        <w:t>年度利润分配、</w:t>
      </w:r>
      <w:r>
        <w:rPr>
          <w:rFonts w:ascii="Times New Roman" w:hAnsi="Times New Roman" w:cs="Times New Roman" w:eastAsia="Times New Roman" w:hint="default"/>
          <w:spacing w:val="-1"/>
        </w:rPr>
        <w:t>2013</w:t>
      </w:r>
      <w:r>
        <w:rPr>
          <w:spacing w:val="-1"/>
        </w:rPr>
        <w:t>年度募集资金存放与实际使用情况、公司发行股份并支付现金购买</w:t>
      </w:r>
      <w:r>
        <w:rPr>
          <w:spacing w:val="-82"/>
        </w:rPr>
        <w:t> </w:t>
      </w:r>
      <w:r>
        <w:rPr>
          <w:spacing w:val="-82"/>
        </w:rPr>
      </w:r>
      <w:r>
        <w:rPr>
          <w:spacing w:val="-1"/>
        </w:rPr>
        <w:t>资产的事前认可、</w:t>
      </w:r>
      <w:r>
        <w:rPr>
          <w:rFonts w:ascii="Times New Roman" w:hAnsi="Times New Roman" w:cs="Times New Roman" w:eastAsia="Times New Roman" w:hint="default"/>
          <w:spacing w:val="-1"/>
        </w:rPr>
        <w:t>2014</w:t>
      </w:r>
      <w:r>
        <w:rPr>
          <w:spacing w:val="-1"/>
        </w:rPr>
        <w:t>年半年度控股股东及其他关联方占用公司资金、公司对外担保情况、</w:t>
      </w:r>
      <w:r>
        <w:rPr>
          <w:rFonts w:ascii="Times New Roman" w:hAnsi="Times New Roman" w:cs="Times New Roman" w:eastAsia="Times New Roman" w:hint="default"/>
          <w:spacing w:val="-1"/>
        </w:rPr>
        <w:t>2014</w:t>
      </w:r>
      <w:r>
        <w:rPr>
          <w:spacing w:val="-1"/>
        </w:rPr>
        <w:t>年半年度</w:t>
      </w:r>
      <w:r>
        <w:rPr>
          <w:spacing w:val="-77"/>
        </w:rPr>
        <w:t> </w:t>
      </w:r>
      <w:r>
        <w:rPr>
          <w:spacing w:val="-1"/>
        </w:rPr>
        <w:t>募集资金存放与使用情况及其他需要独立董事发表意见的事项发表了独立、公正的意见，为完善公司监督</w:t>
      </w:r>
      <w:r>
        <w:rPr>
          <w:spacing w:val="-81"/>
        </w:rPr>
        <w:t> </w:t>
      </w:r>
      <w:r>
        <w:rPr>
          <w:spacing w:val="-81"/>
        </w:rPr>
      </w:r>
      <w:r>
        <w:rPr/>
        <w:t>机制，维护公司和全体股东的合法权益发挥了应有的作用。</w:t>
      </w: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bookmarkStart w:name="四、董事会下设专门委员会在报告期内履行职责情况" w:id="107"/>
      <w:bookmarkEnd w:id="107"/>
      <w:r>
        <w:rPr>
          <w:b w:val="0"/>
          <w:bCs w:val="0"/>
        </w:rPr>
      </w:r>
      <w:r>
        <w:rPr/>
        <w:t>四、董事会下设专门委员会在报告期内履行职责情况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spacing w:line="261" w:lineRule="auto" w:before="0"/>
        <w:ind w:left="153" w:right="0" w:firstLine="0"/>
        <w:jc w:val="left"/>
        <w:rPr>
          <w:rFonts w:ascii="宋体" w:hAnsi="宋体" w:cs="宋体" w:eastAsia="宋体" w:hint="default"/>
          <w:sz w:val="24"/>
          <w:szCs w:val="24"/>
        </w:rPr>
      </w:pPr>
      <w:r>
        <w:rPr>
          <w:rFonts w:ascii="宋体" w:hAnsi="宋体" w:cs="宋体" w:eastAsia="宋体" w:hint="default"/>
          <w:sz w:val="21"/>
          <w:szCs w:val="21"/>
        </w:rPr>
        <w:t>（一）战略委员会的履职情况 </w:t>
      </w:r>
      <w:r>
        <w:rPr>
          <w:rFonts w:ascii="宋体" w:hAnsi="宋体" w:cs="宋体" w:eastAsia="宋体" w:hint="default"/>
          <w:spacing w:val="-1"/>
          <w:sz w:val="21"/>
          <w:szCs w:val="21"/>
        </w:rPr>
        <w:t>报告期内，公司战略委员会勤勉尽责履行职责，对公司战略规划进行了研究，召开了三次会议，通过对宏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观经营环境、行业发展趋势的深入研究，结合公司的实际经营情况和发展需要，审议并通过了《关于投资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设立广东省粤科融资租赁有限公司的议案》、《关于筹划重大资产重组事项及授权董事长办理筹划期间相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关事项的议案》、</w:t>
      </w:r>
      <w:r>
        <w:rPr>
          <w:rFonts w:ascii="宋体" w:hAnsi="宋体" w:cs="宋体" w:eastAsia="宋体" w:hint="default"/>
          <w:sz w:val="24"/>
          <w:szCs w:val="24"/>
        </w:rPr>
        <w:t>《关于终止公司拟发行股份及募集配套资金支付现金方式收购深圳市明日空</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间信息技术有限公司</w:t>
      </w:r>
      <w:r>
        <w:rPr>
          <w:rFonts w:ascii="Times New Roman" w:hAnsi="Times New Roman" w:cs="Times New Roman" w:eastAsia="Times New Roman" w:hint="default"/>
          <w:spacing w:val="-2"/>
          <w:sz w:val="24"/>
          <w:szCs w:val="24"/>
        </w:rPr>
        <w:t>100%</w:t>
      </w:r>
      <w:r>
        <w:rPr>
          <w:rFonts w:ascii="宋体" w:hAnsi="宋体" w:cs="宋体" w:eastAsia="宋体" w:hint="default"/>
          <w:spacing w:val="-2"/>
          <w:sz w:val="24"/>
          <w:szCs w:val="24"/>
        </w:rPr>
        <w:t>的股权的议案》、《关于终止公司拟发行股份及募集配套资金支付</w:t>
      </w:r>
    </w:p>
    <w:p>
      <w:pPr>
        <w:pStyle w:val="Heading3"/>
        <w:spacing w:line="278" w:lineRule="exact"/>
        <w:ind w:right="0"/>
        <w:jc w:val="left"/>
      </w:pPr>
      <w:r>
        <w:rPr/>
        <w:t>现金方式收购浙江小布叮动漫文化股份有限公司</w:t>
      </w:r>
      <w:r>
        <w:rPr>
          <w:rFonts w:ascii="Times New Roman" w:hAnsi="Times New Roman" w:cs="Times New Roman" w:eastAsia="Times New Roman" w:hint="default"/>
        </w:rPr>
        <w:t>54.51%</w:t>
      </w:r>
      <w:r>
        <w:rPr/>
        <w:t>的股权的议案》、《关于筹划拟发行</w:t>
      </w:r>
    </w:p>
    <w:p>
      <w:pPr>
        <w:pStyle w:val="Heading3"/>
        <w:spacing w:line="312" w:lineRule="exact" w:before="20"/>
        <w:ind w:right="1115"/>
        <w:jc w:val="left"/>
      </w:pPr>
      <w:r>
        <w:rPr>
          <w:spacing w:val="-1"/>
        </w:rPr>
        <w:t>股份及募集配套资金支付现金方式收购星创互联（北京）科技有限公司</w:t>
      </w:r>
      <w:r>
        <w:rPr>
          <w:rFonts w:ascii="Times New Roman" w:hAnsi="Times New Roman" w:cs="Times New Roman" w:eastAsia="Times New Roman" w:hint="default"/>
          <w:spacing w:val="-1"/>
        </w:rPr>
        <w:t>100%</w:t>
      </w:r>
      <w:r>
        <w:rPr>
          <w:spacing w:val="-1"/>
        </w:rPr>
        <w:t>的股权的议案及</w:t>
      </w:r>
      <w:r>
        <w:rPr/>
        <w:t> 授权董事长办理筹划期间相关事项的议案》。</w:t>
      </w:r>
    </w:p>
    <w:p>
      <w:pPr>
        <w:pStyle w:val="BodyText"/>
        <w:spacing w:line="268" w:lineRule="auto"/>
        <w:ind w:right="1024"/>
        <w:jc w:val="left"/>
      </w:pPr>
      <w:r>
        <w:rPr/>
        <w:t>（二）审计委员会的履职情况 报告期内，审计委员会根据《公司法》、《证券法》、《上市公司治理准则》、《审计委员会工作细则》 </w:t>
      </w:r>
      <w:r>
        <w:rPr>
          <w:spacing w:val="-3"/>
        </w:rPr>
        <w:t>及《董事会审计委员会年报工作制度》等有关规定，积极履行职责。报告期内审计委员会召开了四次会议，</w:t>
      </w:r>
      <w:r>
        <w:rPr>
          <w:spacing w:val="-95"/>
        </w:rPr>
        <w:t> </w:t>
      </w:r>
      <w:r>
        <w:rPr>
          <w:spacing w:val="-95"/>
        </w:rPr>
      </w:r>
      <w:r>
        <w:rPr/>
        <w:t>审核了公司</w:t>
      </w:r>
      <w:r>
        <w:rPr>
          <w:rFonts w:ascii="Times New Roman" w:hAnsi="Times New Roman" w:cs="Times New Roman" w:eastAsia="Times New Roman" w:hint="default"/>
        </w:rPr>
        <w:t>2014</w:t>
      </w:r>
      <w:r>
        <w:rPr/>
        <w:t>年的相关财务报告，审查了公司内部控制制度及执行情况，认真听取了公司内审部门</w:t>
      </w:r>
      <w:r>
        <w:rPr>
          <w:rFonts w:ascii="Times New Roman" w:hAnsi="Times New Roman" w:cs="Times New Roman" w:eastAsia="Times New Roman" w:hint="default"/>
        </w:rPr>
        <w:t>2014 </w:t>
      </w:r>
      <w:r>
        <w:rPr/>
        <w:t>年内审工作报告及</w:t>
      </w:r>
      <w:r>
        <w:rPr>
          <w:rFonts w:ascii="Times New Roman" w:hAnsi="Times New Roman" w:cs="Times New Roman" w:eastAsia="Times New Roman" w:hint="default"/>
        </w:rPr>
        <w:t>2015</w:t>
      </w:r>
      <w:r>
        <w:rPr/>
        <w:t>年内审工作计划，审核了公司所有重要的会计政策，督促和指导审计部对公司财务 管理运行情况进行定期和不定期的检查和评估，委员会认为公司内控制度体系符合法律、法规及《公司章 程》的要求，适应当前公司生产经营实际情况的需要，并能够得到有效的执行。同时，审计委员会还就下 列事项展开工作：</w:t>
      </w:r>
    </w:p>
    <w:p>
      <w:pPr>
        <w:pStyle w:val="BodyText"/>
        <w:spacing w:line="240" w:lineRule="auto" w:before="12"/>
        <w:ind w:left="154" w:right="0"/>
        <w:jc w:val="left"/>
      </w:pPr>
      <w:r>
        <w:rPr/>
        <w:t>（</w:t>
      </w:r>
      <w:r>
        <w:rPr>
          <w:rFonts w:ascii="Times New Roman" w:hAnsi="Times New Roman" w:cs="Times New Roman" w:eastAsia="Times New Roman" w:hint="default"/>
        </w:rPr>
        <w:t>1</w:t>
      </w:r>
      <w:r>
        <w:rPr/>
        <w:t>）审计委员会在年度审计工作中，对公司编制的年度财务报表进行审阅并出具书面审核意见；</w:t>
      </w:r>
    </w:p>
    <w:p>
      <w:pPr>
        <w:pStyle w:val="BodyText"/>
        <w:spacing w:line="240" w:lineRule="auto" w:before="21"/>
        <w:ind w:left="154" w:right="0"/>
        <w:jc w:val="left"/>
      </w:pPr>
      <w:r>
        <w:rPr/>
        <w:t>（</w:t>
      </w:r>
      <w:r>
        <w:rPr>
          <w:rFonts w:ascii="Times New Roman" w:hAnsi="Times New Roman" w:cs="Times New Roman" w:eastAsia="Times New Roman" w:hint="default"/>
        </w:rPr>
        <w:t>2</w:t>
      </w:r>
      <w:r>
        <w:rPr/>
        <w:t>）与会计师事务所就公司年报审计进行沟通和交流并不定期督促会计师事务所如期出具审计报告，对</w:t>
      </w:r>
    </w:p>
    <w:p>
      <w:pPr>
        <w:pStyle w:val="BodyText"/>
        <w:spacing w:line="240" w:lineRule="auto" w:before="21"/>
        <w:ind w:left="154" w:right="0"/>
        <w:jc w:val="left"/>
      </w:pPr>
      <w:r>
        <w:rPr>
          <w:rFonts w:ascii="Times New Roman" w:hAnsi="Times New Roman" w:cs="Times New Roman" w:eastAsia="Times New Roman" w:hint="default"/>
        </w:rPr>
        <w:t>2014</w:t>
      </w:r>
      <w:r>
        <w:rPr/>
        <w:t>年年度财务报告的编制工作进行了全程跟踪督促；</w:t>
      </w:r>
    </w:p>
    <w:p>
      <w:pPr>
        <w:pStyle w:val="BodyText"/>
        <w:spacing w:line="240" w:lineRule="auto" w:before="21"/>
        <w:ind w:left="154" w:right="0"/>
        <w:jc w:val="left"/>
      </w:pPr>
      <w:r>
        <w:rPr/>
        <w:t>（</w:t>
      </w:r>
      <w:r>
        <w:rPr>
          <w:rFonts w:ascii="Times New Roman" w:hAnsi="Times New Roman" w:cs="Times New Roman" w:eastAsia="Times New Roman" w:hint="default"/>
        </w:rPr>
        <w:t>3</w:t>
      </w:r>
      <w:r>
        <w:rPr/>
        <w:t>）与公司审计部就募集资金存放与使用、公司内部控制制度的完善与执行交流意见。</w:t>
      </w:r>
    </w:p>
    <w:p>
      <w:pPr>
        <w:pStyle w:val="BodyText"/>
        <w:spacing w:line="240" w:lineRule="auto" w:before="21"/>
        <w:ind w:left="154" w:right="0"/>
        <w:jc w:val="left"/>
      </w:pPr>
      <w:r>
        <w:rPr/>
        <w:t>（</w:t>
      </w:r>
      <w:r>
        <w:rPr>
          <w:rFonts w:ascii="Times New Roman" w:hAnsi="Times New Roman" w:cs="Times New Roman" w:eastAsia="Times New Roman" w:hint="default"/>
        </w:rPr>
        <w:t>4</w:t>
      </w:r>
      <w:r>
        <w:rPr/>
        <w:t>）就年度审计过程中发现的问题进行了沟通和交流。</w:t>
      </w:r>
    </w:p>
    <w:p>
      <w:pPr>
        <w:pStyle w:val="BodyText"/>
        <w:spacing w:line="240" w:lineRule="auto" w:before="21"/>
        <w:ind w:right="0"/>
        <w:jc w:val="left"/>
      </w:pPr>
      <w:r>
        <w:rPr/>
        <w:t>（</w:t>
      </w:r>
      <w:r>
        <w:rPr>
          <w:rFonts w:ascii="Times New Roman" w:hAnsi="Times New Roman" w:cs="Times New Roman" w:eastAsia="Times New Roman" w:hint="default"/>
        </w:rPr>
        <w:t>5</w:t>
      </w:r>
      <w:r>
        <w:rPr/>
        <w:t>）对会计师事务所的工作进行客观的评价并向董事会提续聘议案。</w:t>
      </w:r>
    </w:p>
    <w:p>
      <w:pPr>
        <w:pStyle w:val="BodyText"/>
        <w:spacing w:line="266" w:lineRule="auto" w:before="21"/>
        <w:ind w:right="1120"/>
        <w:jc w:val="left"/>
      </w:pPr>
      <w:r>
        <w:rPr/>
        <w:t>（三）薪酬与考核委员会的履职情况 </w:t>
      </w:r>
      <w:r>
        <w:rPr>
          <w:spacing w:val="-1"/>
        </w:rPr>
        <w:t>报告期内，董事会薪酬与考核委员会按照《公司章程》、《董事会薪酬与考核委员会工作细则》等相关规</w:t>
      </w:r>
      <w:r>
        <w:rPr>
          <w:spacing w:val="-83"/>
        </w:rPr>
        <w:t> </w:t>
      </w:r>
      <w:r>
        <w:rPr>
          <w:spacing w:val="-83"/>
        </w:rPr>
      </w:r>
      <w:r>
        <w:rPr>
          <w:spacing w:val="-1"/>
        </w:rPr>
        <w:t>定规范运作，对公司</w:t>
      </w:r>
      <w:r>
        <w:rPr>
          <w:rFonts w:ascii="Times New Roman" w:hAnsi="Times New Roman" w:cs="Times New Roman" w:eastAsia="Times New Roman" w:hint="default"/>
          <w:spacing w:val="-1"/>
        </w:rPr>
        <w:t>2014</w:t>
      </w:r>
      <w:r>
        <w:rPr>
          <w:spacing w:val="-1"/>
        </w:rPr>
        <w:t>年度董事薪酬、公司高级管理人员薪酬、年度公司高管薪酬发放情况等提出了意</w:t>
      </w:r>
      <w:r>
        <w:rPr>
          <w:spacing w:val="-83"/>
        </w:rPr>
        <w:t> </w:t>
      </w:r>
      <w:r>
        <w:rPr>
          <w:spacing w:val="-83"/>
        </w:rPr>
      </w:r>
      <w:r>
        <w:rPr/>
        <w:t>见和建议。</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2"/>
        <w:jc w:val="both"/>
      </w:pPr>
      <w:r>
        <w:rPr>
          <w:spacing w:val="-1"/>
        </w:rPr>
        <w:t>薪酬与考核委员会认真审查了公司</w:t>
      </w:r>
      <w:r>
        <w:rPr>
          <w:rFonts w:ascii="Times New Roman" w:hAnsi="Times New Roman" w:cs="Times New Roman" w:eastAsia="Times New Roman" w:hint="default"/>
          <w:spacing w:val="-1"/>
        </w:rPr>
        <w:t>2014</w:t>
      </w:r>
      <w:r>
        <w:rPr>
          <w:spacing w:val="-1"/>
        </w:rPr>
        <w:t>年年度报告中董事、监事和高级管理人员的薪酬与津贴，认为公司</w:t>
      </w:r>
      <w:r>
        <w:rPr>
          <w:spacing w:val="-81"/>
        </w:rPr>
        <w:t> </w:t>
      </w:r>
      <w:r>
        <w:rPr>
          <w:spacing w:val="-81"/>
        </w:rPr>
      </w:r>
      <w:r>
        <w:rPr>
          <w:spacing w:val="-1"/>
        </w:rPr>
        <w:t>董事、监事和高级管理人员的薪酬标准符合公司薪资的规定，公司</w:t>
      </w:r>
      <w:r>
        <w:rPr>
          <w:rFonts w:ascii="Times New Roman" w:hAnsi="Times New Roman" w:cs="Times New Roman" w:eastAsia="Times New Roman" w:hint="default"/>
          <w:spacing w:val="-1"/>
        </w:rPr>
        <w:t>2014</w:t>
      </w:r>
      <w:r>
        <w:rPr>
          <w:spacing w:val="-1"/>
        </w:rPr>
        <w:t>年年度报告中所披露的董事、监事</w:t>
      </w:r>
      <w:r>
        <w:rPr>
          <w:spacing w:val="-83"/>
        </w:rPr>
        <w:t> </w:t>
      </w:r>
      <w:r>
        <w:rPr>
          <w:spacing w:val="-83"/>
        </w:rPr>
      </w:r>
      <w:r>
        <w:rPr/>
        <w:t>和高级管理人员的薪酬真实、准确。</w:t>
      </w:r>
    </w:p>
    <w:p>
      <w:pPr>
        <w:pStyle w:val="BodyText"/>
        <w:spacing w:line="273" w:lineRule="auto" w:before="22"/>
        <w:ind w:right="1093"/>
        <w:jc w:val="left"/>
      </w:pPr>
      <w:r>
        <w:rPr/>
        <w:t>（四）提名委员会的履职情况 </w:t>
      </w:r>
      <w:r>
        <w:rPr>
          <w:spacing w:val="-1"/>
        </w:rPr>
        <w:t>董事会提名委员会依照法律、法规以及《公司章程》、公司《董事会提名委员会工作细则》的规定，勤勉</w:t>
      </w:r>
      <w:r>
        <w:rPr>
          <w:spacing w:val="-85"/>
        </w:rPr>
        <w:t> </w:t>
      </w:r>
      <w:r>
        <w:rPr>
          <w:spacing w:val="-85"/>
        </w:rPr>
      </w:r>
      <w:r>
        <w:rPr/>
        <w:t>履行职责，对公司董事会成员以及公司经营层主要管理人员任职等事项符合《公司法》及国家有关法律、 法规规定的任职资格进行审核并提交公司董事会审议。</w:t>
      </w:r>
    </w:p>
    <w:p>
      <w:pPr>
        <w:spacing w:line="240" w:lineRule="auto" w:before="11"/>
        <w:rPr>
          <w:rFonts w:ascii="宋体" w:hAnsi="宋体" w:cs="宋体" w:eastAsia="宋体" w:hint="default"/>
          <w:sz w:val="21"/>
          <w:szCs w:val="21"/>
        </w:rPr>
      </w:pPr>
    </w:p>
    <w:p>
      <w:pPr>
        <w:pStyle w:val="Heading2"/>
        <w:spacing w:line="240" w:lineRule="auto"/>
        <w:ind w:left="154" w:right="0"/>
        <w:jc w:val="both"/>
        <w:rPr>
          <w:b w:val="0"/>
          <w:bCs w:val="0"/>
        </w:rPr>
      </w:pPr>
      <w:bookmarkStart w:name="五、监事会工作情况" w:id="108"/>
      <w:bookmarkEnd w:id="108"/>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六、公司相对于控股股东在业务、人员、资产、机构、财务等方面的独立完整情况" w:id="109"/>
      <w:bookmarkEnd w:id="109"/>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jc w:val="both"/>
      </w:pPr>
      <w:r>
        <w:rPr>
          <w:spacing w:val="-1"/>
        </w:rPr>
        <w:t>报告期内，公司与控股股东在业务、人员、资产、机构、财务等方面完全独立于控股股东，具有独立完整</w:t>
      </w:r>
      <w:r>
        <w:rPr>
          <w:spacing w:val="-83"/>
        </w:rPr>
        <w:t> </w:t>
      </w:r>
      <w:r>
        <w:rPr>
          <w:spacing w:val="-83"/>
        </w:rPr>
      </w:r>
      <w:r>
        <w:rPr/>
        <w:t>的业务及自主经营能力。</w:t>
      </w:r>
    </w:p>
    <w:p>
      <w:pPr>
        <w:pStyle w:val="BodyText"/>
        <w:spacing w:line="273" w:lineRule="auto" w:before="7"/>
        <w:ind w:right="1024"/>
        <w:jc w:val="left"/>
      </w:pPr>
      <w:r>
        <w:rPr/>
        <w:t>（一）业务独立情况公司与控股股东、实际控制人及其控制的其他企业不存在同业竞争。公司目前主要从 </w:t>
      </w:r>
      <w:r>
        <w:rPr>
          <w:spacing w:val="-3"/>
        </w:rPr>
        <w:t>事童车等玩具产品的研发，生产和销售业务，而公司控股股东及其子公司没有开展童车等玩具产品的研发，</w:t>
      </w:r>
      <w:r>
        <w:rPr>
          <w:spacing w:val="-92"/>
        </w:rPr>
        <w:t> </w:t>
      </w:r>
      <w:r>
        <w:rPr>
          <w:spacing w:val="-92"/>
        </w:rPr>
      </w:r>
      <w:r>
        <w:rPr/>
        <w:t>生产和销售方面的业务。公司控股股东及其一致行动人均出具了避免同业竞争的承诺函，承诺不从事任何</w:t>
      </w:r>
      <w:r>
        <w:rPr/>
        <w:t> 与公司构成同业竞争的业务。公司能够自主制定产品营销策略，具有面向市场独立开展业务的能力，不存 在其它需要依赖股东及其他关联方进行生产经营活动的情况。</w:t>
      </w:r>
    </w:p>
    <w:p>
      <w:pPr>
        <w:pStyle w:val="BodyText"/>
        <w:spacing w:line="273" w:lineRule="auto" w:before="7"/>
        <w:ind w:right="1130"/>
        <w:jc w:val="both"/>
      </w:pPr>
      <w:r>
        <w:rPr>
          <w:spacing w:val="-1"/>
        </w:rPr>
        <w:t>（二）人员独立情况公司的董事、监事、高级管理人员的任职，均按照《公司法》及其他法律、法规、规</w:t>
      </w:r>
      <w:r>
        <w:rPr>
          <w:spacing w:val="-84"/>
        </w:rPr>
        <w:t> </w:t>
      </w:r>
      <w:r>
        <w:rPr>
          <w:spacing w:val="-84"/>
        </w:rPr>
      </w:r>
      <w:r>
        <w:rPr>
          <w:spacing w:val="-1"/>
        </w:rPr>
        <w:t>范性文件、《公司章程》规定的程序进行。公司总经理、副总经理、财务总监和董事会秘书等高级管理人</w:t>
      </w:r>
      <w:r>
        <w:rPr>
          <w:spacing w:val="-83"/>
        </w:rPr>
        <w:t> </w:t>
      </w:r>
      <w:r>
        <w:rPr>
          <w:spacing w:val="-83"/>
        </w:rPr>
      </w:r>
      <w:r>
        <w:rPr>
          <w:spacing w:val="-1"/>
        </w:rPr>
        <w:t>员均在公司工作并领取薪酬，没有在控股股东、实际控制人及其控制的其他企业中担任除董事、监事以外</w:t>
      </w:r>
      <w:r>
        <w:rPr>
          <w:spacing w:val="-83"/>
        </w:rPr>
        <w:t> </w:t>
      </w:r>
      <w:r>
        <w:rPr>
          <w:spacing w:val="-83"/>
        </w:rPr>
      </w:r>
      <w:r>
        <w:rPr>
          <w:spacing w:val="-1"/>
        </w:rPr>
        <w:t>的任何职务及领取薪酬。公司的财务人员也不存在在控股股东、实际控制人或其控制的其他企业中兼职的</w:t>
      </w:r>
      <w:r>
        <w:rPr>
          <w:spacing w:val="-81"/>
        </w:rPr>
        <w:t> </w:t>
      </w:r>
      <w:r>
        <w:rPr>
          <w:spacing w:val="-81"/>
        </w:rPr>
      </w:r>
      <w:r>
        <w:rPr>
          <w:spacing w:val="-1"/>
        </w:rPr>
        <w:t>情况。公司建立独立的人事管理系统，与员工签订了劳动合同，建立独立的工资管理、福利与社会保障体</w:t>
      </w:r>
      <w:r>
        <w:rPr>
          <w:spacing w:val="-86"/>
        </w:rPr>
        <w:t> </w:t>
      </w:r>
      <w:r>
        <w:rPr>
          <w:spacing w:val="-86"/>
        </w:rPr>
      </w:r>
      <w:r>
        <w:rPr/>
        <w:t>系。</w:t>
      </w:r>
    </w:p>
    <w:p>
      <w:pPr>
        <w:pStyle w:val="BodyText"/>
        <w:spacing w:line="273" w:lineRule="auto" w:before="7"/>
        <w:ind w:left="154" w:right="1130"/>
        <w:jc w:val="both"/>
      </w:pPr>
      <w:r>
        <w:rPr>
          <w:spacing w:val="-1"/>
        </w:rPr>
        <w:t>（三）资产独立情况公司合法拥有与主营业务相关的土地、厂房、机器设备以及商标、专利、非专利技术</w:t>
      </w:r>
      <w:r>
        <w:rPr>
          <w:spacing w:val="-83"/>
        </w:rPr>
        <w:t> </w:t>
      </w:r>
      <w:r>
        <w:rPr>
          <w:spacing w:val="-83"/>
        </w:rPr>
      </w:r>
      <w:r>
        <w:rPr>
          <w:spacing w:val="-1"/>
        </w:rPr>
        <w:t>的所有权或者使用权。公司与股东之间的资产产权界定清晰，生产经营场所独立，不存在依靠股东的生产</w:t>
      </w:r>
      <w:r>
        <w:rPr>
          <w:spacing w:val="-83"/>
        </w:rPr>
        <w:t> </w:t>
      </w:r>
      <w:r>
        <w:rPr>
          <w:spacing w:val="-83"/>
        </w:rPr>
      </w:r>
      <w:r>
        <w:rPr>
          <w:spacing w:val="-1"/>
        </w:rPr>
        <w:t>经营场所进行生产经营的情况。公司不存在以资产、权益或信誉为股东的债务提供担保的情况，公司对所</w:t>
      </w:r>
      <w:r>
        <w:rPr>
          <w:spacing w:val="-83"/>
        </w:rPr>
        <w:t> </w:t>
      </w:r>
      <w:r>
        <w:rPr>
          <w:spacing w:val="-83"/>
        </w:rPr>
      </w:r>
      <w:r>
        <w:rPr/>
        <w:t>有资产拥有完全的控制支配权，不存在资产、资金被股东占用而损害公司利益的情况。</w:t>
      </w:r>
    </w:p>
    <w:p>
      <w:pPr>
        <w:pStyle w:val="BodyText"/>
        <w:spacing w:line="273" w:lineRule="auto" w:before="7"/>
        <w:ind w:right="1131"/>
        <w:jc w:val="both"/>
      </w:pPr>
      <w:r>
        <w:rPr>
          <w:spacing w:val="-1"/>
        </w:rPr>
        <w:t>（四）机构独立情况公司设立健全的组织体系，股东大会、董事会、监事会及各职能部门均独立运作，依</w:t>
      </w:r>
      <w:r>
        <w:rPr>
          <w:spacing w:val="-83"/>
        </w:rPr>
        <w:t> </w:t>
      </w:r>
      <w:r>
        <w:rPr>
          <w:spacing w:val="-83"/>
        </w:rPr>
      </w:r>
      <w:r>
        <w:rPr>
          <w:spacing w:val="-1"/>
        </w:rPr>
        <w:t>法独立行使各自职权。公司生产经营和办公机构完全独立，不存在与股东混合经营的情形。公司的机构设</w:t>
      </w:r>
      <w:r>
        <w:rPr>
          <w:spacing w:val="-83"/>
        </w:rPr>
        <w:t> </w:t>
      </w:r>
      <w:r>
        <w:rPr>
          <w:spacing w:val="-83"/>
        </w:rPr>
      </w:r>
      <w:r>
        <w:rPr/>
        <w:t>置均独立于控股股东，未发生控股股东及其关联企业干预公司机构设置和生产经营活动的情况。</w:t>
      </w:r>
    </w:p>
    <w:p>
      <w:pPr>
        <w:pStyle w:val="BodyText"/>
        <w:spacing w:line="273" w:lineRule="auto" w:before="48"/>
        <w:ind w:right="1110"/>
        <w:jc w:val="both"/>
      </w:pPr>
      <w:r>
        <w:rPr>
          <w:spacing w:val="-1"/>
        </w:rPr>
        <w:t>（五）财务独立情况公司设有独立的财务会计部门和内部审计部门，并配备专职财务管理人员及内部审计</w:t>
      </w:r>
      <w:r>
        <w:rPr>
          <w:spacing w:val="-81"/>
        </w:rPr>
        <w:t> </w:t>
      </w:r>
      <w:r>
        <w:rPr>
          <w:spacing w:val="-81"/>
        </w:rPr>
      </w:r>
      <w:r>
        <w:rPr/>
        <w:t>人员。公司制定了独立于控股股东的财务管理制度和内部审计管理制度，并建立了独立的会计核算体系。 </w:t>
      </w:r>
      <w:r>
        <w:rPr>
          <w:spacing w:val="-1"/>
        </w:rPr>
        <w:t>公司具有独立的银行账户并依法独立纳税。公司不存在货币资金或其他资产被股东单位或其他关联方占用</w:t>
      </w:r>
      <w:r>
        <w:rPr>
          <w:spacing w:val="-81"/>
        </w:rPr>
        <w:t> </w:t>
      </w:r>
      <w:r>
        <w:rPr>
          <w:spacing w:val="-81"/>
        </w:rPr>
      </w:r>
      <w:r>
        <w:rPr/>
        <w:t>的情况，也不存在为股东及其下属单位、其他关联企业提供担保的情况。</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七、同业竞争情况" w:id="110"/>
      <w:bookmarkEnd w:id="110"/>
      <w:r>
        <w:rPr>
          <w:b w:val="0"/>
          <w:bCs w:val="0"/>
        </w:rPr>
      </w:r>
      <w:r>
        <w:rPr/>
        <w:t>七、同业竞争情况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公司控股股东及其一致行动人均出具了避免同业竞争的承诺函，承诺不从事任何与公司构成同业竞争的业</w:t>
      </w:r>
      <w:r>
        <w:rPr>
          <w:spacing w:val="-81"/>
        </w:rPr>
        <w:t> </w:t>
      </w:r>
      <w:r>
        <w:rPr>
          <w:spacing w:val="-81"/>
        </w:rPr>
      </w:r>
      <w:r>
        <w:rPr>
          <w:spacing w:val="-1"/>
        </w:rPr>
        <w:t>务。公司与控股股东、实际控制人间不存在同业竞争，目前公司主营业务与控股股东之间均无重叠，公司</w:t>
      </w:r>
      <w:r>
        <w:rPr>
          <w:spacing w:val="-85"/>
        </w:rPr>
        <w:t> </w:t>
      </w:r>
      <w:r>
        <w:rPr>
          <w:spacing w:val="-85"/>
        </w:rPr>
      </w:r>
      <w:r>
        <w:rPr/>
        <w:t>与控股股东及其控股、参股单位不存在同业竞争或显失公平的关联交易。</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63"/>
        <w:jc w:val="center"/>
        <w:rPr>
          <w:b w:val="0"/>
          <w:bCs w:val="0"/>
        </w:rPr>
      </w:pPr>
      <w:bookmarkStart w:name="第十节 内部控制" w:id="111"/>
      <w:bookmarkEnd w:id="111"/>
      <w:r>
        <w:rPr>
          <w:b w:val="0"/>
          <w:bCs w:val="0"/>
        </w:rPr>
      </w:r>
      <w:bookmarkStart w:name="_bookmark9" w:id="112"/>
      <w:bookmarkEnd w:id="112"/>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13"/>
      <w:bookmarkEnd w:id="113"/>
      <w:r>
        <w:rPr>
          <w:b w:val="0"/>
          <w:bCs w:val="0"/>
        </w:rPr>
      </w:r>
      <w:r>
        <w:rPr/>
        <w:t>一、内部控制建设情况</w:t>
      </w:r>
      <w:r>
        <w:rPr>
          <w:b w:val="0"/>
          <w:bCs w:val="0"/>
        </w:rPr>
      </w:r>
    </w:p>
    <w:p>
      <w:pPr>
        <w:spacing w:line="240" w:lineRule="auto" w:before="8"/>
        <w:rPr>
          <w:rFonts w:ascii="宋体" w:hAnsi="宋体" w:cs="宋体" w:eastAsia="宋体" w:hint="default"/>
          <w:b/>
          <w:bCs/>
          <w:sz w:val="24"/>
          <w:szCs w:val="24"/>
        </w:rPr>
      </w:pPr>
    </w:p>
    <w:p>
      <w:pPr>
        <w:pStyle w:val="BodyText"/>
        <w:spacing w:line="271" w:lineRule="auto"/>
        <w:ind w:right="1024"/>
        <w:jc w:val="left"/>
      </w:pPr>
      <w:r>
        <w:rPr>
          <w:spacing w:val="-3"/>
        </w:rPr>
        <w:t>公司已建立一套完整的涵盖公司治理、生产经营、财务管理、信息披露等内容的内部控制制度，包括经营、</w:t>
      </w:r>
      <w:r>
        <w:rPr>
          <w:spacing w:val="-95"/>
        </w:rPr>
        <w:t> </w:t>
      </w:r>
      <w:r>
        <w:rPr>
          <w:spacing w:val="-95"/>
        </w:rPr>
      </w:r>
      <w:r>
        <w:rPr/>
        <w:t>财务、人力资源、资金管理、对外投资、对外担保管理、关联交易管理、行政管理、内部审计管理和信息</w:t>
      </w:r>
      <w:r>
        <w:rPr/>
        <w:t> </w:t>
      </w:r>
      <w:r>
        <w:rPr>
          <w:spacing w:val="-3"/>
        </w:rPr>
        <w:t>披露等方面的制度，这些制度构成了公司的内部控制制度体系。公司设置的专门内部审计机构</w:t>
      </w:r>
      <w:r>
        <w:rPr>
          <w:rFonts w:ascii="Times New Roman" w:hAnsi="Times New Roman" w:cs="Times New Roman" w:eastAsia="Times New Roman" w:hint="default"/>
          <w:spacing w:val="-3"/>
        </w:rPr>
        <w:t>——</w:t>
      </w:r>
      <w:r>
        <w:rPr>
          <w:spacing w:val="-3"/>
        </w:rPr>
        <w:t>审计部，</w:t>
      </w:r>
      <w:r>
        <w:rPr>
          <w:spacing w:val="-91"/>
        </w:rPr>
        <w:t> </w:t>
      </w:r>
      <w:r>
        <w:rPr>
          <w:spacing w:val="-3"/>
        </w:rPr>
        <w:t>直属审计委员会，审计部配备专职审计人员，具体负责对生产经营活动和内部控制执行情况的监督、检查，</w:t>
      </w:r>
      <w:r>
        <w:rPr>
          <w:spacing w:val="-90"/>
        </w:rPr>
        <w:t> </w:t>
      </w:r>
      <w:r>
        <w:rPr>
          <w:spacing w:val="-90"/>
        </w:rPr>
      </w:r>
      <w:r>
        <w:rPr/>
        <w:t>包括进行审计和评价、提出改进建议和处理意见，确保内部控制制度的有效实施和生产经营活动的正常进</w:t>
      </w:r>
      <w:r>
        <w:rPr/>
        <w:t> 行。审计部将在检查中发现的内部控制缺陷和异常事项、改进建议及解决进展情况等形成内部审计报告， 报送管理层并跟进后续改正事宜，定期检查改进情况。审计部定期或不定期向审计委员会报告实施审计监 督的情况。</w:t>
      </w:r>
    </w:p>
    <w:p>
      <w:pPr>
        <w:spacing w:line="240" w:lineRule="auto" w:before="0"/>
        <w:rPr>
          <w:rFonts w:ascii="宋体" w:hAnsi="宋体" w:cs="宋体" w:eastAsia="宋体" w:hint="default"/>
          <w:sz w:val="22"/>
          <w:szCs w:val="22"/>
        </w:rPr>
      </w:pPr>
    </w:p>
    <w:p>
      <w:pPr>
        <w:pStyle w:val="Heading2"/>
        <w:spacing w:line="240" w:lineRule="auto"/>
        <w:ind w:right="0"/>
        <w:jc w:val="left"/>
        <w:rPr>
          <w:b w:val="0"/>
          <w:bCs w:val="0"/>
        </w:rPr>
      </w:pPr>
      <w:bookmarkStart w:name="二、董事会关于内部控制责任的声明" w:id="114"/>
      <w:bookmarkEnd w:id="114"/>
      <w:r>
        <w:rPr>
          <w:b w:val="0"/>
          <w:bCs w:val="0"/>
        </w:rPr>
      </w:r>
      <w:r>
        <w:rPr/>
        <w:t>二、董事会关于内部控制责任的声明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93"/>
        <w:jc w:val="left"/>
      </w:pPr>
      <w:r>
        <w:rPr/>
        <w:t>本公司董事会及全体董事保证内部控制自我评价报告内容不存在任何虚假记载、误导性陈述或重大遗漏， 并对其内容的真实性、准确性和完整性承担个别及连带责任。</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三、建立财务报告内部控制的依据" w:id="115"/>
      <w:bookmarkEnd w:id="115"/>
      <w:r>
        <w:rPr>
          <w:b w:val="0"/>
          <w:bCs w:val="0"/>
        </w:rPr>
      </w:r>
      <w:r>
        <w:rPr/>
        <w:t>三、建立财务报告内部控制的依据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4" w:firstLine="420"/>
        <w:jc w:val="left"/>
      </w:pPr>
      <w:r>
        <w:rPr/>
        <w:t>公司依据</w:t>
      </w:r>
      <w:r>
        <w:rPr>
          <w:spacing w:val="18"/>
        </w:rPr>
        <w:t> </w:t>
      </w:r>
      <w:r>
        <w:rPr/>
        <w:t>《公司法》、《会计法》、《企业会计准则》和《企业内部控制基本规范》以及监管部门</w:t>
      </w:r>
      <w:r>
        <w:rPr>
          <w:spacing w:val="2"/>
        </w:rPr>
        <w:t> </w:t>
      </w:r>
      <w:r>
        <w:rPr>
          <w:spacing w:val="-3"/>
        </w:rPr>
        <w:t>的相关规范性文件为依据，建立了财务报告内部控制。报告期内，公司财务报告内部控制不存在重大缺陷。</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四、内部控制评价报告" w:id="116"/>
      <w:bookmarkEnd w:id="116"/>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74"/>
        <w:gridCol w:w="6895"/>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2"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11" w:right="23"/>
              <w:jc w:val="left"/>
              <w:rPr>
                <w:rFonts w:ascii="宋体" w:hAnsi="宋体" w:cs="宋体" w:eastAsia="宋体" w:hint="default"/>
                <w:sz w:val="18"/>
                <w:szCs w:val="18"/>
              </w:rPr>
            </w:pPr>
            <w:r>
              <w:rPr>
                <w:rFonts w:ascii="宋体" w:hAnsi="宋体" w:cs="宋体" w:eastAsia="宋体" w:hint="default"/>
                <w:sz w:val="18"/>
                <w:szCs w:val="18"/>
              </w:rPr>
              <w:t>详见披露于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日的巨潮资讯网的《广东群兴玩具股份有限公司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 内部控制自我评价报告》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17"/>
      <w:bookmarkEnd w:id="117"/>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鉴证结论我们认为，贵公司按照财政部等五部委颁发的《企业内部控制基本规范》及相关规定于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 有重大方面保持了与财务报表相关的有效的内部控制。本结论是在受到鉴证报告中指出的固有限制的条件下形成的。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详见披露于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日的巨潮资讯网的《内部控制鉴证报告》</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年度报告重大差错责任追究制度的建立与执行情况" w:id="118"/>
      <w:bookmarkEnd w:id="118"/>
      <w:r>
        <w:rPr>
          <w:b w:val="0"/>
          <w:bCs w:val="0"/>
        </w:rPr>
      </w:r>
      <w:r>
        <w:rPr/>
        <w:t>六、年度报告重大差错责任追究制度的建立与执行情况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0"/>
        <w:jc w:val="left"/>
      </w:pPr>
      <w:r>
        <w:rPr>
          <w:spacing w:val="-1"/>
        </w:rPr>
        <w:t>公司严格按照中国证监会、深圳证券交易所等监管部门的要求，建立了相应制度，并就年报信息披露重大</w:t>
      </w:r>
      <w:r>
        <w:rPr>
          <w:spacing w:val="-83"/>
        </w:rPr>
        <w:t> </w:t>
      </w:r>
      <w:r>
        <w:rPr>
          <w:spacing w:val="-83"/>
        </w:rPr>
      </w:r>
      <w:r>
        <w:rPr/>
        <w:t>差错责任追究做了明确规定。报告期内，公司未发生重大会计差错更正、重大遗漏信息补充的情况。</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0"/>
        <w:jc w:val="left"/>
        <w:rPr>
          <w:b w:val="0"/>
          <w:bCs w:val="0"/>
        </w:rPr>
      </w:pPr>
      <w:bookmarkStart w:name="第十一节 财务报告" w:id="119"/>
      <w:bookmarkEnd w:id="119"/>
      <w:r>
        <w:rPr>
          <w:b w:val="0"/>
          <w:bCs w:val="0"/>
        </w:rPr>
      </w:r>
      <w:bookmarkStart w:name="_bookmark10" w:id="120"/>
      <w:bookmarkEnd w:id="12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21"/>
      <w:bookmarkEnd w:id="121"/>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310070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陈琼、钟宇</w:t>
            </w:r>
          </w:p>
        </w:tc>
      </w:tr>
    </w:tbl>
    <w:p>
      <w:pPr>
        <w:spacing w:before="51"/>
        <w:ind w:left="2786" w:right="376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3"/>
        <w:rPr>
          <w:rFonts w:ascii="宋体" w:hAnsi="宋体" w:cs="宋体" w:eastAsia="宋体" w:hint="default"/>
          <w:sz w:val="10"/>
          <w:szCs w:val="10"/>
        </w:rPr>
      </w:pPr>
    </w:p>
    <w:p>
      <w:pPr>
        <w:pStyle w:val="Heading4"/>
        <w:spacing w:line="240" w:lineRule="auto" w:before="35"/>
        <w:ind w:right="0"/>
        <w:jc w:val="left"/>
        <w:rPr>
          <w:b w:val="0"/>
          <w:bCs w:val="0"/>
        </w:rPr>
      </w:pPr>
      <w:r>
        <w:rPr/>
        <w:t>广东群兴玩具股份有限公司全体股东：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386" w:lineRule="auto" w:before="137"/>
        <w:ind w:right="1130" w:firstLine="420"/>
        <w:jc w:val="both"/>
      </w:pPr>
      <w:r>
        <w:rPr>
          <w:spacing w:val="-1"/>
        </w:rPr>
        <w:t>我们审计了后附的广东群兴玩具股份有限公司（以下简称群兴玩具）财务报表，包括</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w:t>
      </w:r>
      <w:r>
        <w:rPr>
          <w:spacing w:val="-1"/>
        </w:rPr>
        <w:t>的合并及公司资产负债表、</w:t>
      </w:r>
      <w:r>
        <w:rPr>
          <w:rFonts w:ascii="Times New Roman" w:hAnsi="Times New Roman" w:cs="Times New Roman" w:eastAsia="Times New Roman" w:hint="default"/>
          <w:spacing w:val="-1"/>
        </w:rPr>
        <w:t>2014</w:t>
      </w:r>
      <w:r>
        <w:rPr>
          <w:spacing w:val="-1"/>
        </w:rPr>
        <w:t>年度的合并及公司利润表、合并及公司现金流量表、合并及公司所有者权</w:t>
      </w:r>
      <w:r>
        <w:rPr>
          <w:spacing w:val="-81"/>
        </w:rPr>
        <w:t> </w:t>
      </w:r>
      <w:r>
        <w:rPr>
          <w:spacing w:val="-81"/>
        </w:rPr>
      </w:r>
      <w:r>
        <w:rPr/>
        <w:t>益变动表以及财务报表附注。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4"/>
        <w:spacing w:line="240" w:lineRule="auto"/>
        <w:ind w:left="576" w:right="0"/>
        <w:jc w:val="left"/>
        <w:rPr>
          <w:b w:val="0"/>
          <w:bCs w:val="0"/>
        </w:rPr>
      </w:pPr>
      <w:r>
        <w:rPr/>
        <w:t>一、管理层对财务报表的责任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right="1131" w:firstLine="420"/>
        <w:jc w:val="both"/>
      </w:pPr>
      <w:r>
        <w:rPr/>
        <w:t>编制和公允列报财务报表是群兴玩具管理层的责任。这种责任包括：（</w:t>
      </w:r>
      <w:r>
        <w:rPr>
          <w:rFonts w:ascii="宋体" w:hAnsi="宋体" w:cs="宋体" w:eastAsia="宋体" w:hint="default"/>
        </w:rPr>
        <w:t>1</w:t>
      </w:r>
      <w:r>
        <w:rPr/>
        <w:t>）按照企业会计准则的规定 编制财务报表，并使其实现公允反映；（</w:t>
      </w:r>
      <w:r>
        <w:rPr>
          <w:rFonts w:ascii="宋体" w:hAnsi="宋体" w:cs="宋体" w:eastAsia="宋体" w:hint="default"/>
        </w:rPr>
        <w:t>2</w:t>
      </w:r>
      <w:r>
        <w:rPr/>
        <w:t>）设计、执行和维护必要的内部控制，以使财务报表不存在由</w:t>
      </w:r>
      <w:r>
        <w:rPr>
          <w:spacing w:val="-27"/>
        </w:rPr>
        <w:t> </w:t>
      </w:r>
      <w:r>
        <w:rPr>
          <w:spacing w:val="-27"/>
        </w:rPr>
      </w:r>
      <w:r>
        <w:rPr/>
        <w:t>于舞弊或错误导致的重大错报。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4"/>
        <w:spacing w:line="240" w:lineRule="auto"/>
        <w:ind w:left="576" w:right="0"/>
        <w:jc w:val="left"/>
        <w:rPr>
          <w:b w:val="0"/>
          <w:bCs w:val="0"/>
        </w:rPr>
      </w:pPr>
      <w:r>
        <w:rPr/>
        <w:t>二、注册会计师的责任</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right="1131" w:firstLine="420"/>
        <w:jc w:val="both"/>
      </w:pPr>
      <w:r>
        <w:rPr>
          <w:spacing w:val="-1"/>
        </w:rPr>
        <w:t>我们的责任是在执行审计工作的基础上对财务报表发表审计意见。我们按照中国注册会计师审计准则</w:t>
      </w:r>
      <w:r>
        <w:rPr/>
        <w:t> </w:t>
      </w: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573" w:right="0"/>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576" w:right="0"/>
        <w:jc w:val="left"/>
        <w:rPr>
          <w:b w:val="0"/>
          <w:bCs w:val="0"/>
        </w:rPr>
      </w:pPr>
      <w:r>
        <w:rPr/>
        <w:t>三、审计意见</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right="0" w:firstLine="420"/>
        <w:jc w:val="left"/>
      </w:pPr>
      <w:r>
        <w:rPr>
          <w:spacing w:val="3"/>
        </w:rPr>
        <w:t>我们认为，群兴玩具财务报表在所有重大方面按照企业会计准则的规定编制，公允反映了群兴玩具</w:t>
      </w:r>
      <w:r>
        <w:rPr/>
        <w:t> </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2014</w:t>
      </w:r>
      <w:r>
        <w:rPr/>
        <w:t>年度的合并及公司经营成果和现金流量。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6931" w:val="left" w:leader="none"/>
        </w:tabs>
        <w:spacing w:line="240" w:lineRule="auto" w:before="146"/>
        <w:ind w:left="0" w:right="1320"/>
        <w:jc w:val="right"/>
      </w:pPr>
      <w:r>
        <w:rPr/>
        <w:t>立信会计师事务所（特殊普通合伙）</w:t>
        <w:tab/>
      </w:r>
      <w:r>
        <w:rPr>
          <w:spacing w:val="-1"/>
        </w:rPr>
        <w:t>中国注册会计师：陈琼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0" w:right="1340"/>
        <w:jc w:val="right"/>
      </w:pPr>
      <w:r>
        <w:rPr/>
        <w:t>中国注册会计师：钟宇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tabs>
          <w:tab w:pos="7796" w:val="left" w:leader="none"/>
        </w:tabs>
        <w:spacing w:line="240" w:lineRule="auto"/>
        <w:ind w:left="1309" w:right="0"/>
        <w:jc w:val="left"/>
      </w:pPr>
      <w:r>
        <w:rPr>
          <w:spacing w:val="-5"/>
        </w:rPr>
        <w:t>中国·上海</w:t>
        <w:tab/>
      </w:r>
      <w:r>
        <w:rPr/>
        <w:t>二</w:t>
      </w:r>
      <w:r>
        <w:rPr>
          <w:rFonts w:ascii="宋体" w:hAnsi="宋体" w:cs="宋体" w:eastAsia="宋体" w:hint="default"/>
        </w:rPr>
        <w:t>O</w:t>
      </w:r>
      <w:r>
        <w:rPr/>
        <w:t>一五年二月十一日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22"/>
      <w:bookmarkEnd w:id="122"/>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23"/>
      <w:bookmarkEnd w:id="12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编制单位：广东群兴玩具股份有限公司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89,942,323.40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241,839,909.96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130,546,354.94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78,647,043.59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16,106,673.26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12,067,199.40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1,137,644.44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5,561,417.60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8,662,223.12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82,489,530.74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96,873,692.78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2,311,573.18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5,475,975.27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326,957,873.12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444,915,888.56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128,428,471.10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419,614,270.27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172,534,402.34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208,233,478.26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103,272,650.57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100,882,490.22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1,038,345.12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1,359,109.60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568,775.63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6,742,765.32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7,500,865.06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660,455,611.98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490,758,356.63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987,413,485.10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935,674,245.19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728,166.40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29,443,595.74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21,874,723.47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1,835,523.12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4,544,419.03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2,628,970.31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2,883,181.00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3,459,653.94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2,434,417.76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82,171,039.99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31,772,741.90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2,174,256.30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2,191,086.30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84,208,693.81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33,963,828.20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474,837,414.13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474,837,414.13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-107,886.38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-116,393.81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24,504,787.92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22,436,181.65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136,370,475.62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136,953,215.02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903,204,791.29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901,710,416.99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903,204,791.29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901,710,416.99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987,413,485.10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935,674,245.19</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法定代表人：林伟章</w:t>
        <w:tab/>
        <w:t>主管会计工作负责人：乔新睿</w:t>
        <w:tab/>
        <w:t>会计机构负责人：陈轲</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24"/>
      <w:bookmarkEnd w:id="12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86,160,783.19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237,645,080.43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130,546,354.94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78,647,043.59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16,106,673.26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12,067,199.40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1,137,644.44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105,139,681.41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107,995,283.78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82,489,530.74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96,873,692.78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2,311,573.18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5,475,975.27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422,754,596.72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540,054,119.69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182,174,520.10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351,412,072.66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106,650,013.47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203,675,662.26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30,498,020.88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26,942,761.89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1,359,109.60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568,775.63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6,742,765.32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7,500,865.06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572,186,488.56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399,084,127.31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994,941,085.28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939,138,247.00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728,166.40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23,836,203.74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18,015,421.47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1,835,523.12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4,544,419.03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2,625,970.31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2,880,181.00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3,378,365.94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2,353,129.76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76,479,359.99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27,829,151.90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2,174,256.30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2,037,653.82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2,191,086.30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78,517,013.81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30,020,238.20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267,600,000.00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267,600,000.00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474,837,414.13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474,837,414.13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24,504,787.92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22,436,181.65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149,481,869.42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144,244,413.02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916,424,071.47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909,118,008.80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994,941,085.28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939,138,247.00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25"/>
      <w:bookmarkEnd w:id="12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404,163,124.81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500,877,242.70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404,163,124.81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500,877,242.70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391,210,880.00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473,799,940.90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319,771,959.92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388,919,652.80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745816"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2,615,128.98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4,776,151.47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14,866,476.03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22,462,254.22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51,656,274.01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56,683,336.81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1,200,109.65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789,979.79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1,100,931.41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168,565.81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-840,366.40</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4,927,681.08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60,115.07</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17,039,559.49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27,249,616.87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721,146.82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1,035,043.48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120,073.97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149,533.11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9,301.97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22,910.10</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17,640,632.34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28,135,127.24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2,774,765.47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3,664,324.64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14,865,866.87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24,470,802.60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14,865,866.87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24,470,802.60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8,507.43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-72,346.79</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8,507.43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-72,346.79</w:t>
            </w:r>
            <w:r>
              <w:rPr>
                <w:rFonts w:ascii="Times New Roman"/>
                <w:sz w:val="18"/>
              </w:rPr>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8,507.43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-72,346.79</w:t>
            </w:r>
            <w:r>
              <w:rPr>
                <w:rFonts w:ascii="Times New Roman"/>
                <w:sz w:val="18"/>
              </w:rPr>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8,507.43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-72,346.79</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14,874,374.30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24,398,455.81</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14,874,374.30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24,398,455.81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bl>
    <w:p>
      <w:pPr>
        <w:tabs>
          <w:tab w:pos="3664" w:val="left" w:leader="none"/>
          <w:tab w:pos="789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法定代表人：林伟章</w:t>
        <w:tab/>
        <w:t>主管会计工作负责人：乔新睿</w:t>
        <w:tab/>
        <w:t>会计机构负责人：陈轲 </w:t>
      </w:r>
      <w:bookmarkStart w:name="4、母公司利润表" w:id="126"/>
      <w:bookmarkEnd w:id="126"/>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404,163,124.81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500,877,242.70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319,771,959.92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388,919,652.80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2,615,128.98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4,776,151.47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14,866,476.03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22,462,254.22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45,841,007.59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50,908,172.47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1,195,180.27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786,305.37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168,565.81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-840,366.40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4,927,681.08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60,115.07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22,859,755.29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33,028,455.63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721,146.82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1,035,043.48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120,073.97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149,533.11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22,910.10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23,460,828.14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33,913,966.00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2,774,765.47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3,664,324.64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20,686,062.67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30,249,641.36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20,686,062.67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30,249,641.36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5、合并现金流量表" w:id="127"/>
      <w:bookmarkEnd w:id="12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389,266,870.52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526,882,941.69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10,794,429.66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12,468,545.55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4,136,136.85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6,822,815.96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404,197,437.03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546,174,303.20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334,401,144.11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379,231,650.04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45,398,659.28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60,552,327.18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10,245,799.71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14,232,165.06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20,249,529.76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20,290,670.04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410,295,132.86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474,306,812.32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-6,097,695.83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71,867,490.88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46,060,115.07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662,364.38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170,255,459.38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47,550,115.07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48,545,060.99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97,558,808.79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4,294,312.98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285,008.31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344,839,373.97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143,843,817.10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-174,583,914.59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-96,293,702.03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16,060,123.54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8,336,499.99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138,620.59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56,060,123.54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78,475,120.58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27,939,876.46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-53,475,120.58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16,916.26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-106,807.01</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-152,724,817.70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-78,008,138.74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241,554,901.65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319,563,040.39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88,830,083.95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241,554,901.65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6、母公司现金流量表" w:id="128"/>
      <w:bookmarkEnd w:id="12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389,730,076.46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525,350,014.32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10,794,429.66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12,468,545.55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4,134,487.03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6,822,119.46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404,658,993.15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544,640,679.33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334,401,144.11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379,231,650.04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45,359,898.32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60,512,710.21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9,936,541.87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13,921,560.92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20,883,762.18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65,877,133.56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410,581,346.48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519,543,054.73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-5,922,353.33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25,097,624.60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46,060,115.07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662,364.38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1,584,095.00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170,255,459.38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47,550,115.07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48,290,197.91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51,949,097.11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4,294,312.98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285,008.31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344,584,510.89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98,234,105.42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-174,329,051.51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-50,683,990.35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16,060,123.54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8,336,499.99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138,620.59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56,060,123.54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78,475,120.58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27,939,876.46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-53,475,120.58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-152,311,528.38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-79,061,486.33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237,360,072.12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316,421,558.45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85,048,543.74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237,360,072.12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合并所有者权益变动表" w:id="129"/>
      <w:bookmarkEnd w:id="12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-116,39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3.81</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181.65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136,953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,215.02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901,710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,416.99</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-116,39</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181.65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136,953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,215.02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901,710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,416.99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06.27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-582,73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1,494,3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74.30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14,865,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866.87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14,874,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374.30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06.27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-15,448,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06.27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06.27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-107,88</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6.38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24,504,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787.92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136,370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,475.62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903,204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,791.29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608,637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,414.13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19,411,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217.51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122,197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,376.56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884,001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,961.18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608,637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,414.13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19,411,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217.51</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122,197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,376.56</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884,001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,961.18</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left="6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37"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14,755,</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838.46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17,708,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455.81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24,470,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802.60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24,398,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455.81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-9,714,9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-6,690,0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64.14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-6,690,0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-6,690,0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267,60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474,837</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,414.13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-116,39</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3.81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181.65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136,953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,215.02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901,710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,416.99</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8、母公司所有者权益变动表" w:id="130"/>
      <w:bookmarkEnd w:id="13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14.13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22,436,18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1.65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144,244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,413.02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34" w:right="0"/>
              <w:jc w:val="left"/>
              <w:rPr>
                <w:rFonts w:ascii="Times New Roman" w:hAnsi="Times New Roman" w:cs="Times New Roman" w:eastAsia="Times New Roman" w:hint="default"/>
                <w:sz w:val="18"/>
                <w:szCs w:val="18"/>
              </w:rPr>
            </w:pPr>
            <w:r>
              <w:rPr>
                <w:rFonts w:ascii="Times New Roman"/>
                <w:sz w:val="18"/>
              </w:rPr>
              <w:t>909,118,0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08.80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14.13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22,436,18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1.65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144,244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,413.02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909,118,0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08.80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2,068,606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5,237,4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56.40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7,306,062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062.67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20,686,06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2.67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2,068,606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-15,448,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606.27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2,068,606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-2,068,6</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06.27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-13,380,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24,504,78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149,481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,869.42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916,424,0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71.47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97"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608,637,4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14.13</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19,411,21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123,709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,735.80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885,558,3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67.44</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608,637,4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14.13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19,411,21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7.51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123,709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,735.80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885,558,3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67.44</w:t>
            </w:r>
          </w:p>
        </w:tc>
      </w:tr>
      <w:tr>
        <w:trPr>
          <w:trHeight w:val="391"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3,024,964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20,534,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677.22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23,559,64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641.36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30,249,64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-9,714,9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-6,690,00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3,024,964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-3,024,9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64.14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-6,690,0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-6,690,00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-133,800,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267,600,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474,837,4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22,436,18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144,244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,413.02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909,118,0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08.80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公司基本情况" w:id="131"/>
      <w:bookmarkEnd w:id="131"/>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4" w:right="1116"/>
        <w:jc w:val="left"/>
      </w:pPr>
      <w:r>
        <w:rPr>
          <w:spacing w:val="-4"/>
        </w:rPr>
        <w:t>广东群兴玩具股份有限公司（以下简称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），前身为</w:t>
      </w:r>
      <w:r>
        <w:rPr>
          <w:rFonts w:ascii="Times New Roman" w:hAnsi="Times New Roman" w:cs="Times New Roman" w:eastAsia="Times New Roman" w:hint="default"/>
          <w:spacing w:val="-4"/>
        </w:rPr>
        <w:t>“</w:t>
      </w:r>
      <w:r>
        <w:rPr>
          <w:spacing w:val="-4"/>
        </w:rPr>
        <w:t>澄海市运达计量器具厂</w:t>
      </w:r>
      <w:r>
        <w:rPr>
          <w:rFonts w:ascii="Times New Roman" w:hAnsi="Times New Roman" w:cs="Times New Roman" w:eastAsia="Times New Roman" w:hint="default"/>
          <w:spacing w:val="-4"/>
        </w:rPr>
        <w:t>”</w:t>
      </w:r>
      <w:r>
        <w:rPr>
          <w:spacing w:val="-4"/>
        </w:rPr>
        <w:t>，成立于</w:t>
      </w:r>
      <w:r>
        <w:rPr>
          <w:rFonts w:ascii="Times New Roman" w:hAnsi="Times New Roman" w:cs="Times New Roman" w:eastAsia="Times New Roman" w:hint="default"/>
          <w:spacing w:val="-4"/>
        </w:rPr>
        <w:t>1996</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日，系由澄海市澄华街道城西工贸管理站（以下简称</w:t>
      </w:r>
      <w:r>
        <w:rPr>
          <w:rFonts w:ascii="Times New Roman" w:hAnsi="Times New Roman" w:cs="Times New Roman" w:eastAsia="Times New Roman" w:hint="default"/>
        </w:rPr>
        <w:t>“</w:t>
      </w:r>
      <w:r>
        <w:rPr/>
        <w:t>工贸管理站</w:t>
      </w:r>
      <w:r>
        <w:rPr>
          <w:rFonts w:ascii="Times New Roman" w:hAnsi="Times New Roman" w:cs="Times New Roman" w:eastAsia="Times New Roman" w:hint="default"/>
        </w:rPr>
        <w:t>”</w:t>
      </w:r>
      <w:r>
        <w:rPr/>
        <w:t>）出资组建，成立时注册资本为 人民币</w:t>
      </w:r>
      <w:r>
        <w:rPr>
          <w:rFonts w:ascii="Times New Roman" w:hAnsi="Times New Roman" w:cs="Times New Roman" w:eastAsia="Times New Roman" w:hint="default"/>
        </w:rPr>
        <w:t>58</w:t>
      </w:r>
      <w:r>
        <w:rPr/>
        <w:t>万元，其中以实物作价出资</w:t>
      </w:r>
      <w:r>
        <w:rPr>
          <w:rFonts w:ascii="Times New Roman" w:hAnsi="Times New Roman" w:cs="Times New Roman" w:eastAsia="Times New Roman" w:hint="default"/>
        </w:rPr>
        <w:t>57</w:t>
      </w:r>
      <w:r>
        <w:rPr/>
        <w:t>万元，货币资金出资</w:t>
      </w:r>
      <w:r>
        <w:rPr>
          <w:rFonts w:ascii="Times New Roman" w:hAnsi="Times New Roman" w:cs="Times New Roman" w:eastAsia="Times New Roman" w:hint="default"/>
        </w:rPr>
        <w:t>1</w:t>
      </w:r>
      <w:r>
        <w:rPr/>
        <w:t>万元。上述注册资本业经澄海市审计师事务</w:t>
      </w:r>
      <w:r>
        <w:rPr>
          <w:spacing w:val="-31"/>
        </w:rPr>
        <w:t> </w:t>
      </w:r>
      <w:r>
        <w:rPr>
          <w:spacing w:val="-31"/>
        </w:rPr>
      </w:r>
      <w:r>
        <w:rPr/>
        <w:t>所澄审事验字</w:t>
      </w:r>
      <w:r>
        <w:rPr>
          <w:rFonts w:ascii="Times New Roman" w:hAnsi="Times New Roman" w:cs="Times New Roman" w:eastAsia="Times New Roman" w:hint="default"/>
        </w:rPr>
        <w:t>[1996]164</w:t>
      </w:r>
      <w:r>
        <w:rPr/>
        <w:t>号验资报告验证确认。 </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日，经澄海市工商行政管理局核准，本公司名称变更为</w:t>
      </w:r>
      <w:r>
        <w:rPr>
          <w:rFonts w:ascii="Times New Roman" w:hAnsi="Times New Roman" w:cs="Times New Roman" w:eastAsia="Times New Roman" w:hint="default"/>
        </w:rPr>
        <w:t>“</w:t>
      </w:r>
      <w:r>
        <w:rPr/>
        <w:t>澄海市群兴电子塑胶玩具厂</w:t>
      </w:r>
      <w:r>
        <w:rPr>
          <w:rFonts w:ascii="Times New Roman" w:hAnsi="Times New Roman" w:cs="Times New Roman" w:eastAsia="Times New Roman" w:hint="default"/>
        </w:rPr>
        <w:t>”</w:t>
      </w:r>
      <w:r>
        <w:rPr/>
        <w:t>。</w:t>
      </w:r>
    </w:p>
    <w:p>
      <w:pPr>
        <w:pStyle w:val="BodyText"/>
        <w:spacing w:line="261" w:lineRule="auto" w:before="5"/>
        <w:ind w:right="0"/>
        <w:jc w:val="left"/>
      </w:pPr>
      <w:r>
        <w:rPr>
          <w:rFonts w:ascii="Times New Roman" w:hAnsi="Times New Roman" w:cs="Times New Roman" w:eastAsia="Times New Roman" w:hint="default"/>
        </w:rPr>
        <w:t>2002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日，根据澄海市澄华街道办事处澄华企改</w:t>
      </w:r>
      <w:r>
        <w:rPr>
          <w:rFonts w:ascii="Times New Roman" w:hAnsi="Times New Roman" w:cs="Times New Roman" w:eastAsia="Times New Roman" w:hint="default"/>
        </w:rPr>
        <w:t>[2002]001</w:t>
      </w:r>
      <w:r>
        <w:rPr/>
        <w:t>号批复，本公司实行脱钩改制。经企业行</w:t>
      </w:r>
      <w:r>
        <w:rPr>
          <w:spacing w:val="-68"/>
        </w:rPr>
        <w:t> </w:t>
      </w:r>
      <w:r>
        <w:rPr>
          <w:spacing w:val="-68"/>
        </w:rPr>
      </w:r>
      <w:r>
        <w:rPr>
          <w:spacing w:val="-1"/>
        </w:rPr>
        <w:t>政管理部门澄海市澄华街道经济技术发展办公室、澄海市澄华街道城西工贸管理站、澄海市澄华街道财政</w:t>
      </w:r>
      <w:r>
        <w:rPr>
          <w:spacing w:val="-81"/>
        </w:rPr>
        <w:t> </w:t>
      </w:r>
      <w:r>
        <w:rPr>
          <w:spacing w:val="-81"/>
        </w:rPr>
      </w:r>
      <w:r>
        <w:rPr/>
        <w:t>所及澄海市澄华街道办事处共同界定及确认：公司净资产</w:t>
      </w:r>
      <w:r>
        <w:rPr>
          <w:rFonts w:ascii="Times New Roman" w:hAnsi="Times New Roman" w:cs="Times New Roman" w:eastAsia="Times New Roman" w:hint="default"/>
        </w:rPr>
        <w:t>389</w:t>
      </w:r>
      <w:r>
        <w:rPr/>
        <w:t>万元归属于投资者林伟章、黄仕群所有，并</w:t>
      </w:r>
      <w:r>
        <w:rPr>
          <w:spacing w:val="-30"/>
        </w:rPr>
        <w:t> </w:t>
      </w:r>
      <w:r>
        <w:rPr>
          <w:spacing w:val="-30"/>
        </w:rPr>
      </w:r>
      <w:r>
        <w:rPr/>
        <w:t>同意企业改制设立为有限责任公司。 </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日，根据公司股东会决议，本公司申请改制为有限公司，注册资本为人民币</w:t>
      </w:r>
      <w:r>
        <w:rPr>
          <w:rFonts w:ascii="Times New Roman" w:hAnsi="Times New Roman" w:cs="Times New Roman" w:eastAsia="Times New Roman" w:hint="default"/>
          <w:spacing w:val="-1"/>
        </w:rPr>
        <w:t>387</w:t>
      </w:r>
      <w:r>
        <w:rPr>
          <w:spacing w:val="-1"/>
        </w:rPr>
        <w:t>万，其中净资</w:t>
      </w:r>
      <w:r>
        <w:rPr>
          <w:spacing w:val="-83"/>
        </w:rPr>
        <w:t> </w:t>
      </w:r>
      <w:r>
        <w:rPr>
          <w:spacing w:val="-83"/>
        </w:rPr>
      </w:r>
      <w:r>
        <w:rPr>
          <w:spacing w:val="-1"/>
        </w:rPr>
        <w:t>产出资人民币</w:t>
      </w:r>
      <w:r>
        <w:rPr>
          <w:rFonts w:ascii="Times New Roman" w:hAnsi="Times New Roman" w:cs="Times New Roman" w:eastAsia="Times New Roman" w:hint="default"/>
          <w:spacing w:val="-1"/>
        </w:rPr>
        <w:t>200</w:t>
      </w:r>
      <w:r>
        <w:rPr>
          <w:spacing w:val="-1"/>
        </w:rPr>
        <w:t>万元（上述界定的剩余资产由投资者收回），货币资金出资</w:t>
      </w:r>
      <w:r>
        <w:rPr>
          <w:rFonts w:ascii="Times New Roman" w:hAnsi="Times New Roman" w:cs="Times New Roman" w:eastAsia="Times New Roman" w:hint="default"/>
          <w:spacing w:val="-1"/>
        </w:rPr>
        <w:t>187</w:t>
      </w:r>
      <w:r>
        <w:rPr>
          <w:spacing w:val="-1"/>
        </w:rPr>
        <w:t>万元。改制完成后，本公</w:t>
      </w:r>
      <w:r>
        <w:rPr>
          <w:spacing w:val="-81"/>
        </w:rPr>
        <w:t> </w:t>
      </w:r>
      <w:r>
        <w:rPr>
          <w:spacing w:val="-81"/>
        </w:rPr>
      </w:r>
      <w:r>
        <w:rPr>
          <w:spacing w:val="-3"/>
        </w:rPr>
        <w:t>司注册资本为人民币</w:t>
      </w:r>
      <w:r>
        <w:rPr>
          <w:rFonts w:ascii="Times New Roman" w:hAnsi="Times New Roman" w:cs="Times New Roman" w:eastAsia="Times New Roman" w:hint="default"/>
          <w:spacing w:val="-3"/>
        </w:rPr>
        <w:t>387</w:t>
      </w:r>
      <w:r>
        <w:rPr>
          <w:spacing w:val="-3"/>
        </w:rPr>
        <w:t>万元，其中林伟章出资人民币</w:t>
      </w:r>
      <w:r>
        <w:rPr>
          <w:rFonts w:ascii="Times New Roman" w:hAnsi="Times New Roman" w:cs="Times New Roman" w:eastAsia="Times New Roman" w:hint="default"/>
          <w:spacing w:val="-3"/>
        </w:rPr>
        <w:t>193.50</w:t>
      </w:r>
      <w:r>
        <w:rPr>
          <w:spacing w:val="-3"/>
        </w:rPr>
        <w:t>万元，以净资产出资</w:t>
      </w:r>
      <w:r>
        <w:rPr>
          <w:rFonts w:ascii="Times New Roman" w:hAnsi="Times New Roman" w:cs="Times New Roman" w:eastAsia="Times New Roman" w:hint="default"/>
          <w:spacing w:val="-3"/>
        </w:rPr>
        <w:t>100</w:t>
      </w:r>
      <w:r>
        <w:rPr>
          <w:spacing w:val="-3"/>
        </w:rPr>
        <w:t>万元，以货币出资</w:t>
      </w:r>
      <w:r>
        <w:rPr>
          <w:rFonts w:ascii="Times New Roman" w:hAnsi="Times New Roman" w:cs="Times New Roman" w:eastAsia="Times New Roman" w:hint="default"/>
          <w:spacing w:val="-3"/>
        </w:rPr>
        <w:t>93.5</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2"/>
        </w:rPr>
        <w:t>万元，占注册资本的</w:t>
      </w:r>
      <w:r>
        <w:rPr>
          <w:rFonts w:ascii="Times New Roman" w:hAnsi="Times New Roman" w:cs="Times New Roman" w:eastAsia="Times New Roman" w:hint="default"/>
          <w:spacing w:val="-2"/>
        </w:rPr>
        <w:t>50%</w:t>
      </w:r>
      <w:r>
        <w:rPr>
          <w:spacing w:val="-2"/>
        </w:rPr>
        <w:t>；黄仕群出资人民币</w:t>
      </w:r>
      <w:r>
        <w:rPr>
          <w:rFonts w:ascii="Times New Roman" w:hAnsi="Times New Roman" w:cs="Times New Roman" w:eastAsia="Times New Roman" w:hint="default"/>
          <w:spacing w:val="-2"/>
        </w:rPr>
        <w:t>193.5</w:t>
      </w:r>
      <w:r>
        <w:rPr>
          <w:spacing w:val="-2"/>
        </w:rPr>
        <w:t>万元，以净资产出资</w:t>
      </w:r>
      <w:r>
        <w:rPr>
          <w:rFonts w:ascii="Times New Roman" w:hAnsi="Times New Roman" w:cs="Times New Roman" w:eastAsia="Times New Roman" w:hint="default"/>
          <w:spacing w:val="-2"/>
        </w:rPr>
        <w:t>100</w:t>
      </w:r>
      <w:r>
        <w:rPr>
          <w:spacing w:val="-2"/>
        </w:rPr>
        <w:t>万元，以货币出资</w:t>
      </w:r>
      <w:r>
        <w:rPr>
          <w:rFonts w:ascii="Times New Roman" w:hAnsi="Times New Roman" w:cs="Times New Roman" w:eastAsia="Times New Roman" w:hint="default"/>
          <w:spacing w:val="-2"/>
        </w:rPr>
        <w:t>93.5</w:t>
      </w:r>
      <w:r>
        <w:rPr>
          <w:spacing w:val="-2"/>
        </w:rPr>
        <w:t>万元，占</w:t>
      </w:r>
    </w:p>
    <w:p>
      <w:pPr>
        <w:spacing w:after="0" w:line="26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9" w:lineRule="auto" w:before="35"/>
        <w:ind w:right="0"/>
        <w:jc w:val="left"/>
      </w:pPr>
      <w:r>
        <w:rPr>
          <w:spacing w:val="-2"/>
        </w:rPr>
        <w:t>注册资本的</w:t>
      </w:r>
      <w:r>
        <w:rPr>
          <w:rFonts w:ascii="Times New Roman" w:hAnsi="Times New Roman" w:cs="Times New Roman" w:eastAsia="Times New Roman" w:hint="default"/>
          <w:spacing w:val="-2"/>
        </w:rPr>
        <w:t>50%</w:t>
      </w:r>
      <w:r>
        <w:rPr>
          <w:spacing w:val="-2"/>
        </w:rPr>
        <w:t>。上述注册资本业经澄海市丰业会计师事务所有限公司澄丰会内验（</w:t>
      </w:r>
      <w:r>
        <w:rPr>
          <w:rFonts w:ascii="Times New Roman" w:hAnsi="Times New Roman" w:cs="Times New Roman" w:eastAsia="Times New Roman" w:hint="default"/>
          <w:spacing w:val="-2"/>
        </w:rPr>
        <w:t>2002</w:t>
      </w:r>
      <w:r>
        <w:rPr>
          <w:spacing w:val="-2"/>
        </w:rPr>
        <w:t>）第</w:t>
      </w:r>
      <w:r>
        <w:rPr>
          <w:rFonts w:ascii="Times New Roman" w:hAnsi="Times New Roman" w:cs="Times New Roman" w:eastAsia="Times New Roman" w:hint="default"/>
          <w:spacing w:val="-2"/>
        </w:rPr>
        <w:t>124</w:t>
      </w:r>
      <w:r>
        <w:rPr>
          <w:spacing w:val="-2"/>
        </w:rPr>
        <w:t>号验资报</w:t>
      </w:r>
      <w:r>
        <w:rPr>
          <w:spacing w:val="-98"/>
        </w:rPr>
        <w:t> </w:t>
      </w:r>
      <w:r>
        <w:rPr/>
        <w:t>告验证确认。 </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日，经澄海市工商行政管理局〔（澄司）名称预核字</w:t>
      </w:r>
      <w:r>
        <w:rPr>
          <w:rFonts w:ascii="Times New Roman" w:hAnsi="Times New Roman" w:cs="Times New Roman" w:eastAsia="Times New Roman" w:hint="default"/>
        </w:rPr>
        <w:t>[2002]</w:t>
      </w:r>
      <w:r>
        <w:rPr/>
        <w:t>第</w:t>
      </w:r>
      <w:r>
        <w:rPr>
          <w:rFonts w:ascii="Times New Roman" w:hAnsi="Times New Roman" w:cs="Times New Roman" w:eastAsia="Times New Roman" w:hint="default"/>
        </w:rPr>
        <w:t>095</w:t>
      </w:r>
      <w:r>
        <w:rPr/>
        <w:t>号〕核准，本公司名称变更</w:t>
      </w:r>
      <w:r>
        <w:rPr>
          <w:spacing w:val="-67"/>
        </w:rPr>
        <w:t> </w:t>
      </w:r>
      <w:r>
        <w:rPr>
          <w:spacing w:val="-67"/>
        </w:rPr>
      </w:r>
      <w:r>
        <w:rPr/>
        <w:t>为</w:t>
      </w:r>
      <w:r>
        <w:rPr>
          <w:rFonts w:ascii="Times New Roman" w:hAnsi="Times New Roman" w:cs="Times New Roman" w:eastAsia="Times New Roman" w:hint="default"/>
        </w:rPr>
        <w:t>“</w:t>
      </w:r>
      <w:r>
        <w:rPr/>
        <w:t>澄海市群兴玩具有限公司</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9</w:t>
      </w:r>
      <w:r>
        <w:rPr>
          <w:spacing w:val="-3"/>
        </w:rPr>
        <w:t>日，根据公司股东会决议，本公司增加注册资本</w:t>
      </w:r>
      <w:r>
        <w:rPr>
          <w:rFonts w:ascii="Times New Roman" w:hAnsi="Times New Roman" w:cs="Times New Roman" w:eastAsia="Times New Roman" w:hint="default"/>
          <w:spacing w:val="-3"/>
        </w:rPr>
        <w:t>700</w:t>
      </w:r>
      <w:r>
        <w:rPr>
          <w:spacing w:val="-3"/>
        </w:rPr>
        <w:t>万元，其中林伟章以货币资金增资</w:t>
      </w:r>
      <w:r>
        <w:rPr>
          <w:rFonts w:ascii="Times New Roman" w:hAnsi="Times New Roman" w:cs="Times New Roman" w:eastAsia="Times New Roman" w:hint="default"/>
          <w:spacing w:val="-3"/>
        </w:rPr>
        <w:t>350</w:t>
      </w:r>
      <w:r>
        <w:rPr>
          <w:spacing w:val="-3"/>
        </w:rPr>
        <w:t>万元，</w:t>
      </w:r>
      <w:r>
        <w:rPr>
          <w:spacing w:val="-75"/>
        </w:rPr>
        <w:t> </w:t>
      </w:r>
      <w:r>
        <w:rPr/>
        <w:t>黄仕群以货币资金增资</w:t>
      </w:r>
      <w:r>
        <w:rPr>
          <w:rFonts w:ascii="Times New Roman" w:hAnsi="Times New Roman" w:cs="Times New Roman" w:eastAsia="Times New Roman" w:hint="default"/>
        </w:rPr>
        <w:t>350</w:t>
      </w:r>
      <w:r>
        <w:rPr/>
        <w:t>万元。增资完成后，本公司注册资本为人民币</w:t>
      </w:r>
      <w:r>
        <w:rPr>
          <w:rFonts w:ascii="Times New Roman" w:hAnsi="Times New Roman" w:cs="Times New Roman" w:eastAsia="Times New Roman" w:hint="default"/>
        </w:rPr>
        <w:t>1,087</w:t>
      </w:r>
      <w:r>
        <w:rPr/>
        <w:t>万元，其中林伟章出资人民</w:t>
      </w:r>
      <w:r>
        <w:rPr>
          <w:spacing w:val="-79"/>
        </w:rPr>
        <w:t> </w:t>
      </w:r>
      <w:r>
        <w:rPr>
          <w:spacing w:val="-79"/>
        </w:rPr>
      </w:r>
      <w:r>
        <w:rPr/>
        <w:t>币</w:t>
      </w:r>
      <w:r>
        <w:rPr>
          <w:rFonts w:ascii="Times New Roman" w:hAnsi="Times New Roman" w:cs="Times New Roman" w:eastAsia="Times New Roman" w:hint="default"/>
        </w:rPr>
        <w:t>543.5</w:t>
      </w:r>
      <w:r>
        <w:rPr/>
        <w:t>万元，占注册资本的</w:t>
      </w:r>
      <w:r>
        <w:rPr>
          <w:rFonts w:ascii="Times New Roman" w:hAnsi="Times New Roman" w:cs="Times New Roman" w:eastAsia="Times New Roman" w:hint="default"/>
        </w:rPr>
        <w:t>50%</w:t>
      </w:r>
      <w:r>
        <w:rPr/>
        <w:t>；黄仕群出资人民币</w:t>
      </w:r>
      <w:r>
        <w:rPr>
          <w:rFonts w:ascii="Times New Roman" w:hAnsi="Times New Roman" w:cs="Times New Roman" w:eastAsia="Times New Roman" w:hint="default"/>
        </w:rPr>
        <w:t>543.5</w:t>
      </w:r>
      <w:r>
        <w:rPr/>
        <w:t>万元，占注册资本的</w:t>
      </w:r>
      <w:r>
        <w:rPr>
          <w:rFonts w:ascii="Times New Roman" w:hAnsi="Times New Roman" w:cs="Times New Roman" w:eastAsia="Times New Roman" w:hint="default"/>
        </w:rPr>
        <w:t>50%</w:t>
      </w:r>
      <w:r>
        <w:rPr/>
        <w:t>。上述增资业经汕头市 丰业会计师事务所汕丰会内验（</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016</w:t>
      </w:r>
      <w:r>
        <w:rPr/>
        <w:t>号验资报告验证确认。 </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日，经广东省工商行政管理局（粤名预私冠字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55</w:t>
      </w:r>
      <w:r>
        <w:rPr/>
        <w:t>号）核准，本公司名称变更为</w:t>
      </w:r>
      <w:r>
        <w:rPr>
          <w:rFonts w:ascii="Times New Roman" w:hAnsi="Times New Roman" w:cs="Times New Roman" w:eastAsia="Times New Roman" w:hint="default"/>
        </w:rPr>
        <w:t>“</w:t>
      </w:r>
      <w:r>
        <w:rPr/>
        <w:t>广东群 兴玩具实业有限公司</w:t>
      </w:r>
      <w:r>
        <w:rPr>
          <w:rFonts w:ascii="Times New Roman" w:hAnsi="Times New Roman" w:cs="Times New Roman" w:eastAsia="Times New Roman" w:hint="default"/>
        </w:rPr>
        <w:t>”</w:t>
      </w:r>
      <w:r>
        <w:rPr/>
        <w:t>。 </w:t>
      </w:r>
      <w:r>
        <w:rPr>
          <w:rFonts w:ascii="Times New Roman" w:hAnsi="Times New Roman" w:cs="Times New Roman" w:eastAsia="Times New Roman" w:hint="default"/>
          <w:spacing w:val="6"/>
        </w:rPr>
        <w:t>2008</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28</w:t>
      </w:r>
      <w:r>
        <w:rPr>
          <w:spacing w:val="6"/>
        </w:rPr>
        <w:t>日，根据公司股东会决议，本公司增加注册资本</w:t>
      </w:r>
      <w:r>
        <w:rPr>
          <w:rFonts w:ascii="Times New Roman" w:hAnsi="Times New Roman" w:cs="Times New Roman" w:eastAsia="Times New Roman" w:hint="default"/>
          <w:spacing w:val="6"/>
        </w:rPr>
        <w:t>4,000</w:t>
      </w:r>
      <w:r>
        <w:rPr>
          <w:spacing w:val="6"/>
        </w:rPr>
        <w:t>万元，其中林伟章以货币资金增资</w:t>
      </w:r>
    </w:p>
    <w:p>
      <w:pPr>
        <w:pStyle w:val="BodyText"/>
        <w:spacing w:line="259" w:lineRule="auto" w:before="2"/>
        <w:ind w:right="1024"/>
        <w:jc w:val="left"/>
        <w:rPr>
          <w:rFonts w:ascii="Times New Roman" w:hAnsi="Times New Roman" w:cs="Times New Roman" w:eastAsia="Times New Roman" w:hint="default"/>
        </w:rPr>
      </w:pPr>
      <w:r>
        <w:rPr>
          <w:rFonts w:ascii="Times New Roman" w:hAnsi="Times New Roman" w:cs="Times New Roman" w:eastAsia="Times New Roman" w:hint="default"/>
        </w:rPr>
        <w:t>1,491.30</w:t>
      </w:r>
      <w:r>
        <w:rPr/>
        <w:t>万元，黄仕群以货币资金增资</w:t>
      </w:r>
      <w:r>
        <w:rPr>
          <w:rFonts w:ascii="Times New Roman" w:hAnsi="Times New Roman" w:cs="Times New Roman" w:eastAsia="Times New Roman" w:hint="default"/>
        </w:rPr>
        <w:t>982.60</w:t>
      </w:r>
      <w:r>
        <w:rPr/>
        <w:t>万元，林少洁以货币资金增资</w:t>
      </w:r>
      <w:r>
        <w:rPr>
          <w:rFonts w:ascii="Times New Roman" w:hAnsi="Times New Roman" w:cs="Times New Roman" w:eastAsia="Times New Roman" w:hint="default"/>
        </w:rPr>
        <w:t>1,017.40</w:t>
      </w:r>
      <w:r>
        <w:rPr/>
        <w:t>万元，林伟亮以货币资</w:t>
      </w:r>
      <w:r>
        <w:rPr>
          <w:spacing w:val="-79"/>
        </w:rPr>
        <w:t> </w:t>
      </w:r>
      <w:r>
        <w:rPr>
          <w:spacing w:val="-79"/>
        </w:rPr>
      </w:r>
      <w:r>
        <w:rPr/>
        <w:t>金增资</w:t>
      </w:r>
      <w:r>
        <w:rPr>
          <w:rFonts w:ascii="Times New Roman" w:hAnsi="Times New Roman" w:cs="Times New Roman" w:eastAsia="Times New Roman" w:hint="default"/>
        </w:rPr>
        <w:t>508.70</w:t>
      </w:r>
      <w:r>
        <w:rPr/>
        <w:t>万元。增资完成后，本公司注册资本为人民币</w:t>
      </w:r>
      <w:r>
        <w:rPr>
          <w:rFonts w:ascii="Times New Roman" w:hAnsi="Times New Roman" w:cs="Times New Roman" w:eastAsia="Times New Roman" w:hint="default"/>
        </w:rPr>
        <w:t>5,087</w:t>
      </w:r>
      <w:r>
        <w:rPr/>
        <w:t>万元，其中林伟章出资人民币</w:t>
      </w:r>
      <w:r>
        <w:rPr>
          <w:rFonts w:ascii="Times New Roman" w:hAnsi="Times New Roman" w:cs="Times New Roman" w:eastAsia="Times New Roman" w:hint="default"/>
        </w:rPr>
        <w:t>2,034.80</w:t>
      </w:r>
      <w:r>
        <w:rPr/>
        <w:t>万</w:t>
      </w:r>
      <w:r>
        <w:rPr>
          <w:spacing w:val="-30"/>
        </w:rPr>
        <w:t> </w:t>
      </w:r>
      <w:r>
        <w:rPr/>
        <w:t>元，占注册资本的</w:t>
      </w:r>
      <w:r>
        <w:rPr>
          <w:rFonts w:ascii="Times New Roman" w:hAnsi="Times New Roman" w:cs="Times New Roman" w:eastAsia="Times New Roman" w:hint="default"/>
        </w:rPr>
        <w:t>40%</w:t>
      </w:r>
      <w:r>
        <w:rPr/>
        <w:t>；黄仕群出资人民币</w:t>
      </w:r>
      <w:r>
        <w:rPr>
          <w:rFonts w:ascii="Times New Roman" w:hAnsi="Times New Roman" w:cs="Times New Roman" w:eastAsia="Times New Roman" w:hint="default"/>
        </w:rPr>
        <w:t>1,526.10</w:t>
      </w:r>
      <w:r>
        <w:rPr/>
        <w:t>万元，占注册资本的</w:t>
      </w:r>
      <w:r>
        <w:rPr>
          <w:rFonts w:ascii="Times New Roman" w:hAnsi="Times New Roman" w:cs="Times New Roman" w:eastAsia="Times New Roman" w:hint="default"/>
        </w:rPr>
        <w:t>30%</w:t>
      </w:r>
      <w:r>
        <w:rPr/>
        <w:t>；林少洁出资人民币</w:t>
      </w:r>
      <w:r>
        <w:rPr>
          <w:rFonts w:ascii="Times New Roman" w:hAnsi="Times New Roman" w:cs="Times New Roman" w:eastAsia="Times New Roman" w:hint="default"/>
        </w:rPr>
        <w:t>1,017.40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万元，占注册资本的</w:t>
      </w:r>
      <w:r>
        <w:rPr>
          <w:rFonts w:ascii="Times New Roman" w:hAnsi="Times New Roman" w:cs="Times New Roman" w:eastAsia="Times New Roman" w:hint="default"/>
        </w:rPr>
        <w:t>20%</w:t>
      </w:r>
      <w:r>
        <w:rPr/>
        <w:t>；林伟亮出资人民币</w:t>
      </w:r>
      <w:r>
        <w:rPr>
          <w:rFonts w:ascii="Times New Roman" w:hAnsi="Times New Roman" w:cs="Times New Roman" w:eastAsia="Times New Roman" w:hint="default"/>
        </w:rPr>
        <w:t>508.70</w:t>
      </w:r>
      <w:r>
        <w:rPr/>
        <w:t>万元，占注册资本的</w:t>
      </w:r>
      <w:r>
        <w:rPr>
          <w:rFonts w:ascii="Times New Roman" w:hAnsi="Times New Roman" w:cs="Times New Roman" w:eastAsia="Times New Roman" w:hint="default"/>
        </w:rPr>
        <w:t>10%</w:t>
      </w:r>
      <w:r>
        <w:rPr/>
        <w:t>。上述增资业经汕头市丰业</w:t>
      </w:r>
      <w:r>
        <w:rPr>
          <w:spacing w:val="-21"/>
        </w:rPr>
        <w:t> </w:t>
      </w:r>
      <w:r>
        <w:rPr>
          <w:spacing w:val="-21"/>
        </w:rPr>
      </w:r>
      <w:r>
        <w:rPr/>
        <w:t>会计师事务所汕丰会内验（</w:t>
      </w:r>
      <w:r>
        <w:rPr>
          <w:rFonts w:ascii="Times New Roman" w:hAnsi="Times New Roman" w:cs="Times New Roman" w:eastAsia="Times New Roman" w:hint="default"/>
        </w:rPr>
        <w:t>2008</w:t>
      </w:r>
      <w:r>
        <w:rPr/>
        <w:t>）第</w:t>
      </w:r>
      <w:r>
        <w:rPr>
          <w:rFonts w:ascii="Times New Roman" w:hAnsi="Times New Roman" w:cs="Times New Roman" w:eastAsia="Times New Roman" w:hint="default"/>
        </w:rPr>
        <w:t>1085</w:t>
      </w:r>
      <w:r>
        <w:rPr/>
        <w:t>号验资报告验证确认。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日，林伟章、黄仕群、林少洁、林伟亮与广东群兴投资有限公司（以下简称</w:t>
      </w:r>
      <w:r>
        <w:rPr>
          <w:rFonts w:ascii="Times New Roman" w:hAnsi="Times New Roman" w:cs="Times New Roman" w:eastAsia="Times New Roman" w:hint="default"/>
        </w:rPr>
        <w:t>“</w:t>
      </w:r>
      <w:r>
        <w:rPr/>
        <w:t>群兴投资</w:t>
      </w:r>
      <w:r>
        <w:rPr>
          <w:rFonts w:ascii="Times New Roman" w:hAnsi="Times New Roman" w:cs="Times New Roman" w:eastAsia="Times New Roman" w:hint="default"/>
        </w:rPr>
        <w:t>”</w:t>
      </w:r>
      <w:r>
        <w:rPr/>
        <w:t>）签订 股权转让协议，林伟章将持有的本公司</w:t>
      </w:r>
      <w:r>
        <w:rPr>
          <w:rFonts w:ascii="Times New Roman" w:hAnsi="Times New Roman" w:cs="Times New Roman" w:eastAsia="Times New Roman" w:hint="default"/>
        </w:rPr>
        <w:t>40%</w:t>
      </w:r>
      <w:r>
        <w:rPr/>
        <w:t>的股份以人民币</w:t>
      </w:r>
      <w:r>
        <w:rPr>
          <w:rFonts w:ascii="Times New Roman" w:hAnsi="Times New Roman" w:cs="Times New Roman" w:eastAsia="Times New Roman" w:hint="default"/>
        </w:rPr>
        <w:t>2,034.8</w:t>
      </w:r>
      <w:r>
        <w:rPr/>
        <w:t>万元的价格转让给群兴投资，黄仕群将</w:t>
      </w:r>
      <w:r>
        <w:rPr>
          <w:spacing w:val="-99"/>
        </w:rPr>
        <w:t> </w:t>
      </w:r>
      <w:r>
        <w:rPr>
          <w:spacing w:val="-99"/>
        </w:rPr>
      </w:r>
      <w:r>
        <w:rPr/>
        <w:t>持有的本公司</w:t>
      </w:r>
      <w:r>
        <w:rPr>
          <w:rFonts w:ascii="Times New Roman" w:hAnsi="Times New Roman" w:cs="Times New Roman" w:eastAsia="Times New Roman" w:hint="default"/>
        </w:rPr>
        <w:t>30%</w:t>
      </w:r>
      <w:r>
        <w:rPr/>
        <w:t>的股份以人民币</w:t>
      </w:r>
      <w:r>
        <w:rPr>
          <w:rFonts w:ascii="Times New Roman" w:hAnsi="Times New Roman" w:cs="Times New Roman" w:eastAsia="Times New Roman" w:hint="default"/>
        </w:rPr>
        <w:t>1,526.1</w:t>
      </w:r>
      <w:r>
        <w:rPr/>
        <w:t>万元的价格转让给群兴投资，林少洁将持有的本公司</w:t>
      </w:r>
      <w:r>
        <w:rPr>
          <w:rFonts w:ascii="Times New Roman" w:hAnsi="Times New Roman" w:cs="Times New Roman" w:eastAsia="Times New Roman" w:hint="default"/>
        </w:rPr>
        <w:t>20%</w:t>
      </w:r>
      <w:r>
        <w:rPr/>
        <w:t>的股份</w:t>
      </w:r>
      <w:r>
        <w:rPr>
          <w:spacing w:val="-62"/>
        </w:rPr>
        <w:t> </w:t>
      </w:r>
      <w:r>
        <w:rPr/>
        <w:t>以人民币</w:t>
      </w:r>
      <w:r>
        <w:rPr>
          <w:rFonts w:ascii="Times New Roman" w:hAnsi="Times New Roman" w:cs="Times New Roman" w:eastAsia="Times New Roman" w:hint="default"/>
        </w:rPr>
        <w:t>1,017.4</w:t>
      </w:r>
      <w:r>
        <w:rPr/>
        <w:t>万元的价格转让给群兴投资，林伟亮将持有的本公司</w:t>
      </w:r>
      <w:r>
        <w:rPr>
          <w:rFonts w:ascii="Times New Roman" w:hAnsi="Times New Roman" w:cs="Times New Roman" w:eastAsia="Times New Roman" w:hint="default"/>
        </w:rPr>
        <w:t>10%</w:t>
      </w:r>
      <w:r>
        <w:rPr/>
        <w:t>的股份以人民币</w:t>
      </w:r>
      <w:r>
        <w:rPr>
          <w:rFonts w:ascii="Times New Roman" w:hAnsi="Times New Roman" w:cs="Times New Roman" w:eastAsia="Times New Roman" w:hint="default"/>
        </w:rPr>
        <w:t>508.7</w:t>
      </w:r>
      <w:r>
        <w:rPr/>
        <w:t>万元的价格 转让给群兴投资。转让完成后，群兴投资持有本公司</w:t>
      </w:r>
      <w:r>
        <w:rPr>
          <w:rFonts w:ascii="Times New Roman" w:hAnsi="Times New Roman" w:cs="Times New Roman" w:eastAsia="Times New Roman" w:hint="default"/>
        </w:rPr>
        <w:t>100%</w:t>
      </w:r>
      <w:r>
        <w:rPr/>
        <w:t>股权。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日，根据公司股东会决议，本公司增加注册资本</w:t>
      </w:r>
      <w:r>
        <w:rPr>
          <w:rFonts w:ascii="Times New Roman" w:hAnsi="Times New Roman" w:cs="Times New Roman" w:eastAsia="Times New Roman" w:hint="default"/>
        </w:rPr>
        <w:t>1,271.75</w:t>
      </w:r>
      <w:r>
        <w:rPr/>
        <w:t>万元，其中梁健锋以货币资金对本</w:t>
      </w:r>
      <w:r>
        <w:rPr>
          <w:spacing w:val="-31"/>
        </w:rPr>
        <w:t> </w:t>
      </w:r>
      <w:r>
        <w:rPr>
          <w:spacing w:val="-31"/>
        </w:rPr>
      </w:r>
      <w:r>
        <w:rPr/>
        <w:t>公司增资</w:t>
      </w:r>
      <w:r>
        <w:rPr>
          <w:rFonts w:ascii="Times New Roman" w:hAnsi="Times New Roman" w:cs="Times New Roman" w:eastAsia="Times New Roman" w:hint="default"/>
        </w:rPr>
        <w:t>585</w:t>
      </w:r>
      <w:r>
        <w:rPr/>
        <w:t>万元，其中认缴注册资本</w:t>
      </w:r>
      <w:r>
        <w:rPr>
          <w:rFonts w:ascii="Times New Roman" w:hAnsi="Times New Roman" w:cs="Times New Roman" w:eastAsia="Times New Roman" w:hint="default"/>
        </w:rPr>
        <w:t>286.14</w:t>
      </w:r>
      <w:r>
        <w:rPr/>
        <w:t>万元；陈明光以货币资金对本公司增资</w:t>
      </w:r>
      <w:r>
        <w:rPr>
          <w:rFonts w:ascii="Times New Roman" w:hAnsi="Times New Roman" w:cs="Times New Roman" w:eastAsia="Times New Roman" w:hint="default"/>
        </w:rPr>
        <w:t>585</w:t>
      </w:r>
      <w:r>
        <w:rPr/>
        <w:t>万元，其中认缴注</w:t>
      </w:r>
      <w:r>
        <w:rPr>
          <w:spacing w:val="-80"/>
        </w:rPr>
        <w:t> </w:t>
      </w:r>
      <w:r>
        <w:rPr>
          <w:spacing w:val="-80"/>
        </w:rPr>
      </w:r>
      <w:r>
        <w:rPr/>
        <w:t>册资本</w:t>
      </w:r>
      <w:r>
        <w:rPr>
          <w:rFonts w:ascii="Times New Roman" w:hAnsi="Times New Roman" w:cs="Times New Roman" w:eastAsia="Times New Roman" w:hint="default"/>
        </w:rPr>
        <w:t>286.14</w:t>
      </w:r>
      <w:r>
        <w:rPr/>
        <w:t>万元；李新岗以货币资金对本公司增资</w:t>
      </w:r>
      <w:r>
        <w:rPr>
          <w:rFonts w:ascii="Times New Roman" w:hAnsi="Times New Roman" w:cs="Times New Roman" w:eastAsia="Times New Roman" w:hint="default"/>
        </w:rPr>
        <w:t>390</w:t>
      </w:r>
      <w:r>
        <w:rPr/>
        <w:t>万元，其中认缴注册资本</w:t>
      </w:r>
      <w:r>
        <w:rPr>
          <w:rFonts w:ascii="Times New Roman" w:hAnsi="Times New Roman" w:cs="Times New Roman" w:eastAsia="Times New Roman" w:hint="default"/>
        </w:rPr>
        <w:t>190.77</w:t>
      </w:r>
      <w:r>
        <w:rPr/>
        <w:t>万元；林少明以货 币资金对本公司增资</w:t>
      </w:r>
      <w:r>
        <w:rPr>
          <w:rFonts w:ascii="Times New Roman" w:hAnsi="Times New Roman" w:cs="Times New Roman" w:eastAsia="Times New Roman" w:hint="default"/>
        </w:rPr>
        <w:t>520</w:t>
      </w:r>
      <w:r>
        <w:rPr/>
        <w:t>万元，其中认缴注册资本</w:t>
      </w:r>
      <w:r>
        <w:rPr>
          <w:rFonts w:ascii="Times New Roman" w:hAnsi="Times New Roman" w:cs="Times New Roman" w:eastAsia="Times New Roman" w:hint="default"/>
        </w:rPr>
        <w:t>254.35</w:t>
      </w:r>
      <w:r>
        <w:rPr/>
        <w:t>万元；林桂升以货币资金对本公司增资</w:t>
      </w:r>
      <w:r>
        <w:rPr>
          <w:rFonts w:ascii="Times New Roman" w:hAnsi="Times New Roman" w:cs="Times New Roman" w:eastAsia="Times New Roman" w:hint="default"/>
        </w:rPr>
        <w:t>520</w:t>
      </w:r>
      <w:r>
        <w:rPr/>
        <w:t>万元，</w:t>
      </w:r>
      <w:r>
        <w:rPr>
          <w:spacing w:val="-79"/>
        </w:rPr>
        <w:t> </w:t>
      </w:r>
      <w:r>
        <w:rPr>
          <w:spacing w:val="-4"/>
        </w:rPr>
        <w:t>其中认缴注册资本</w:t>
      </w:r>
      <w:r>
        <w:rPr>
          <w:rFonts w:ascii="Times New Roman" w:hAnsi="Times New Roman" w:cs="Times New Roman" w:eastAsia="Times New Roman" w:hint="default"/>
          <w:spacing w:val="-4"/>
        </w:rPr>
        <w:t>254.35</w:t>
      </w:r>
      <w:r>
        <w:rPr>
          <w:spacing w:val="-4"/>
        </w:rPr>
        <w:t>万元；此次增资款与认缴注册资本的差额</w:t>
      </w:r>
      <w:r>
        <w:rPr>
          <w:rFonts w:ascii="Times New Roman" w:hAnsi="Times New Roman" w:cs="Times New Roman" w:eastAsia="Times New Roman" w:hint="default"/>
          <w:spacing w:val="-4"/>
        </w:rPr>
        <w:t>1,328.25</w:t>
      </w:r>
      <w:r>
        <w:rPr>
          <w:spacing w:val="-4"/>
        </w:rPr>
        <w:t>万元转作资本公积。增资完成后，</w:t>
      </w:r>
      <w:r>
        <w:rPr>
          <w:spacing w:val="-69"/>
        </w:rPr>
        <w:t> </w:t>
      </w:r>
      <w:r>
        <w:rPr>
          <w:spacing w:val="-69"/>
        </w:rPr>
      </w:r>
      <w:r>
        <w:rPr/>
        <w:t>本公司注册资本为人民币</w:t>
      </w:r>
      <w:r>
        <w:rPr>
          <w:rFonts w:ascii="Times New Roman" w:hAnsi="Times New Roman" w:cs="Times New Roman" w:eastAsia="Times New Roman" w:hint="default"/>
        </w:rPr>
        <w:t>6,358.75</w:t>
      </w:r>
      <w:r>
        <w:rPr/>
        <w:t>万元，群兴投资出资人民币</w:t>
      </w:r>
      <w:r>
        <w:rPr>
          <w:rFonts w:ascii="Times New Roman" w:hAnsi="Times New Roman" w:cs="Times New Roman" w:eastAsia="Times New Roman" w:hint="default"/>
        </w:rPr>
        <w:t>5,087</w:t>
      </w:r>
      <w:r>
        <w:rPr/>
        <w:t>万元，占注册资本的</w:t>
      </w:r>
      <w:r>
        <w:rPr>
          <w:rFonts w:ascii="Times New Roman" w:hAnsi="Times New Roman" w:cs="Times New Roman" w:eastAsia="Times New Roman" w:hint="default"/>
        </w:rPr>
        <w:t>80%</w:t>
      </w:r>
      <w:r>
        <w:rPr/>
        <w:t>；梁健锋出资</w:t>
      </w:r>
      <w:r>
        <w:rPr>
          <w:spacing w:val="-48"/>
        </w:rPr>
        <w:t> </w:t>
      </w:r>
      <w:r>
        <w:rPr/>
        <w:t>人民币</w:t>
      </w:r>
      <w:r>
        <w:rPr>
          <w:rFonts w:ascii="Times New Roman" w:hAnsi="Times New Roman" w:cs="Times New Roman" w:eastAsia="Times New Roman" w:hint="default"/>
        </w:rPr>
        <w:t>286.15</w:t>
      </w:r>
      <w:r>
        <w:rPr/>
        <w:t>万元，占注册资本的</w:t>
      </w:r>
      <w:r>
        <w:rPr>
          <w:rFonts w:ascii="Times New Roman" w:hAnsi="Times New Roman" w:cs="Times New Roman" w:eastAsia="Times New Roman" w:hint="default"/>
        </w:rPr>
        <w:t>4.5%</w:t>
      </w:r>
      <w:r>
        <w:rPr/>
        <w:t>；陈明光出资人民币</w:t>
      </w:r>
      <w:r>
        <w:rPr>
          <w:rFonts w:ascii="Times New Roman" w:hAnsi="Times New Roman" w:cs="Times New Roman" w:eastAsia="Times New Roman" w:hint="default"/>
        </w:rPr>
        <w:t>286.15</w:t>
      </w:r>
      <w:r>
        <w:rPr/>
        <w:t>万元，占注册资本的</w:t>
      </w:r>
      <w:r>
        <w:rPr>
          <w:rFonts w:ascii="Times New Roman" w:hAnsi="Times New Roman" w:cs="Times New Roman" w:eastAsia="Times New Roman" w:hint="default"/>
        </w:rPr>
        <w:t>4.5%</w:t>
      </w:r>
      <w:r>
        <w:rPr/>
        <w:t>；李新岗出资</w:t>
      </w:r>
      <w:r>
        <w:rPr>
          <w:spacing w:val="-66"/>
        </w:rPr>
        <w:t> </w:t>
      </w:r>
      <w:r>
        <w:rPr>
          <w:spacing w:val="-66"/>
        </w:rPr>
      </w:r>
      <w:r>
        <w:rPr/>
        <w:t>人民币</w:t>
      </w:r>
      <w:r>
        <w:rPr>
          <w:rFonts w:ascii="Times New Roman" w:hAnsi="Times New Roman" w:cs="Times New Roman" w:eastAsia="Times New Roman" w:hint="default"/>
        </w:rPr>
        <w:t>190.75</w:t>
      </w:r>
      <w:r>
        <w:rPr/>
        <w:t>万元，占注册资本的</w:t>
      </w:r>
      <w:r>
        <w:rPr>
          <w:rFonts w:ascii="Times New Roman" w:hAnsi="Times New Roman" w:cs="Times New Roman" w:eastAsia="Times New Roman" w:hint="default"/>
        </w:rPr>
        <w:t>3%</w:t>
      </w:r>
      <w:r>
        <w:rPr/>
        <w:t>；林少明出资人民币</w:t>
      </w:r>
      <w:r>
        <w:rPr>
          <w:rFonts w:ascii="Times New Roman" w:hAnsi="Times New Roman" w:cs="Times New Roman" w:eastAsia="Times New Roman" w:hint="default"/>
        </w:rPr>
        <w:t>254.35</w:t>
      </w:r>
      <w:r>
        <w:rPr/>
        <w:t>万元，占注册资本的</w:t>
      </w:r>
      <w:r>
        <w:rPr>
          <w:rFonts w:ascii="Times New Roman" w:hAnsi="Times New Roman" w:cs="Times New Roman" w:eastAsia="Times New Roman" w:hint="default"/>
        </w:rPr>
        <w:t>4%</w:t>
      </w:r>
      <w:r>
        <w:rPr/>
        <w:t>；林桂升出资人民 </w:t>
      </w:r>
      <w:r>
        <w:rPr>
          <w:spacing w:val="-2"/>
        </w:rPr>
        <w:t>币</w:t>
      </w:r>
      <w:r>
        <w:rPr>
          <w:rFonts w:ascii="Times New Roman" w:hAnsi="Times New Roman" w:cs="Times New Roman" w:eastAsia="Times New Roman" w:hint="default"/>
          <w:spacing w:val="-2"/>
        </w:rPr>
        <w:t>254.35</w:t>
      </w:r>
      <w:r>
        <w:rPr>
          <w:spacing w:val="-2"/>
        </w:rPr>
        <w:t>万元，占注册资本的</w:t>
      </w:r>
      <w:r>
        <w:rPr>
          <w:rFonts w:ascii="Times New Roman" w:hAnsi="Times New Roman" w:cs="Times New Roman" w:eastAsia="Times New Roman" w:hint="default"/>
          <w:spacing w:val="-2"/>
        </w:rPr>
        <w:t>4%</w:t>
      </w:r>
      <w:r>
        <w:rPr>
          <w:spacing w:val="-2"/>
        </w:rPr>
        <w:t>。上述增资业经广东大华德律会计师事务所华德验字</w:t>
      </w:r>
      <w:r>
        <w:rPr>
          <w:rFonts w:ascii="Times New Roman" w:hAnsi="Times New Roman" w:cs="Times New Roman" w:eastAsia="Times New Roman" w:hint="default"/>
          <w:spacing w:val="-2"/>
        </w:rPr>
        <w:t>[2009]113</w:t>
      </w:r>
      <w:r>
        <w:rPr>
          <w:spacing w:val="-2"/>
        </w:rPr>
        <w:t>号验资报告</w:t>
      </w:r>
      <w:r>
        <w:rPr>
          <w:spacing w:val="-77"/>
        </w:rPr>
        <w:t> </w:t>
      </w:r>
      <w:r>
        <w:rPr>
          <w:spacing w:val="-77"/>
        </w:rPr>
      </w:r>
      <w:r>
        <w:rPr/>
        <w:t>验证确认。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日，经原广东群兴玩具实业有限公司各股东发起人协议本公司改制变更为股份有限公司，通</w:t>
      </w:r>
      <w:r>
        <w:rPr>
          <w:spacing w:val="-27"/>
        </w:rPr>
        <w:t> </w:t>
      </w:r>
      <w:r>
        <w:rPr>
          <w:spacing w:val="-27"/>
        </w:rPr>
      </w:r>
      <w:r>
        <w:rPr/>
        <w:t>过对原广东群兴玩具实业有限公司经审计确认的截止</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日的净资产总额</w:t>
      </w:r>
      <w:r>
        <w:rPr>
          <w:rFonts w:ascii="Times New Roman" w:hAnsi="Times New Roman" w:cs="Times New Roman" w:eastAsia="Times New Roman" w:hint="default"/>
        </w:rPr>
        <w:t>128,939,663.01</w:t>
      </w:r>
      <w:r>
        <w:rPr/>
        <w:t>元按</w:t>
      </w:r>
      <w:r>
        <w:rPr>
          <w:rFonts w:ascii="Times New Roman" w:hAnsi="Times New Roman" w:cs="Times New Roman" w:eastAsia="Times New Roman" w:hint="default"/>
        </w:rPr>
        <w:t>1</w:t>
      </w:r>
      <w:r>
        <w:rPr/>
        <w:t>：</w:t>
      </w:r>
      <w:r>
        <w:rPr>
          <w:spacing w:val="-79"/>
        </w:rPr>
        <w:t> </w:t>
      </w:r>
      <w:r>
        <w:rPr>
          <w:rFonts w:ascii="Times New Roman" w:hAnsi="Times New Roman" w:cs="Times New Roman" w:eastAsia="Times New Roman" w:hint="default"/>
        </w:rPr>
        <w:t>0.7756</w:t>
      </w:r>
      <w:r>
        <w:rPr/>
        <w:t>折为</w:t>
      </w:r>
      <w:r>
        <w:rPr>
          <w:rFonts w:ascii="Times New Roman" w:hAnsi="Times New Roman" w:cs="Times New Roman" w:eastAsia="Times New Roman" w:hint="default"/>
        </w:rPr>
        <w:t>100,000,000.00</w:t>
      </w:r>
      <w:r>
        <w:rPr/>
        <w:t>股普通股，每股面值</w:t>
      </w:r>
      <w:r>
        <w:rPr>
          <w:rFonts w:ascii="Times New Roman" w:hAnsi="Times New Roman" w:cs="Times New Roman" w:eastAsia="Times New Roman" w:hint="default"/>
        </w:rPr>
        <w:t>1</w:t>
      </w:r>
      <w:r>
        <w:rPr/>
        <w:t>元，整体改制变更为股份有限公司。各股东所占股份比例</w:t>
      </w:r>
      <w:r>
        <w:rPr>
          <w:spacing w:val="-35"/>
        </w:rPr>
        <w:t> </w:t>
      </w:r>
      <w:r>
        <w:rPr>
          <w:spacing w:val="-35"/>
        </w:rPr>
      </w:r>
      <w:r>
        <w:rPr/>
        <w:t>保持不变。改制完成后，本公司注册为资本为人民币</w:t>
      </w:r>
      <w:r>
        <w:rPr>
          <w:rFonts w:ascii="Times New Roman" w:hAnsi="Times New Roman" w:cs="Times New Roman" w:eastAsia="Times New Roman" w:hint="default"/>
        </w:rPr>
        <w:t>100,000,000.00</w:t>
      </w:r>
      <w:r>
        <w:rPr/>
        <w:t>元。 </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3</w:t>
      </w:r>
      <w:r>
        <w:rPr>
          <w:spacing w:val="-3"/>
        </w:rPr>
        <w:t>日，本公司完成工商变更登记手续，领取汕头市工商行政管理局核发的《企业法人营业执照》，</w:t>
      </w:r>
      <w:r>
        <w:rPr>
          <w:spacing w:val="-88"/>
        </w:rPr>
        <w:t> </w:t>
      </w:r>
      <w:r>
        <w:rPr>
          <w:spacing w:val="-88"/>
        </w:rPr>
      </w:r>
      <w:r>
        <w:rPr/>
        <w:t>名称变更为</w:t>
      </w:r>
      <w:r>
        <w:rPr>
          <w:rFonts w:ascii="Times New Roman" w:hAnsi="Times New Roman" w:cs="Times New Roman" w:eastAsia="Times New Roman" w:hint="default"/>
        </w:rPr>
        <w:t>“</w:t>
      </w:r>
      <w:r>
        <w:rPr/>
        <w:t>广东群兴玩具股份有限公司</w:t>
      </w:r>
      <w:r>
        <w:rPr>
          <w:rFonts w:ascii="Times New Roman" w:hAnsi="Times New Roman" w:cs="Times New Roman" w:eastAsia="Times New Roman" w:hint="default"/>
        </w:rPr>
        <w:t>”</w:t>
      </w:r>
      <w:r>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日，根据公司</w:t>
      </w:r>
      <w:r>
        <w:rPr>
          <w:rFonts w:ascii="Times New Roman" w:hAnsi="Times New Roman" w:cs="Times New Roman" w:eastAsia="Times New Roman" w:hint="default"/>
        </w:rPr>
        <w:t>2009</w:t>
      </w:r>
      <w:r>
        <w:rPr/>
        <w:t>年年度股东大会决议和修改后章程，并经中国证券监督管理委员会证监发</w:t>
      </w:r>
      <w:r>
        <w:rPr>
          <w:spacing w:val="-35"/>
        </w:rPr>
        <w:t> </w:t>
      </w:r>
      <w:r>
        <w:rPr>
          <w:spacing w:val="-35"/>
        </w:rPr>
      </w:r>
      <w:r>
        <w:rPr/>
        <w:t>行字［</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486</w:t>
      </w:r>
      <w:r>
        <w:rPr/>
        <w:t>号文《关于核准广东群兴玩具股份有限公司首次公开发行股票的通知》的核准，本公司</w:t>
      </w:r>
      <w:r>
        <w:rPr>
          <w:spacing w:val="-37"/>
        </w:rPr>
        <w:t> </w:t>
      </w:r>
      <w:r>
        <w:rPr>
          <w:spacing w:val="-37"/>
        </w:rPr>
      </w:r>
      <w:r>
        <w:rPr/>
        <w:t>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3,380</w:t>
      </w:r>
      <w:r>
        <w:rPr/>
        <w:t>万股，每股面值人民币</w:t>
      </w:r>
      <w:r>
        <w:rPr>
          <w:rFonts w:ascii="Times New Roman" w:hAnsi="Times New Roman" w:cs="Times New Roman" w:eastAsia="Times New Roman" w:hint="default"/>
        </w:rPr>
        <w:t>1.00</w:t>
      </w:r>
      <w:r>
        <w:rPr/>
        <w:t>元，合计人民币</w:t>
      </w:r>
      <w:r>
        <w:rPr>
          <w:rFonts w:ascii="Times New Roman" w:hAnsi="Times New Roman" w:cs="Times New Roman" w:eastAsia="Times New Roman" w:hint="default"/>
        </w:rPr>
        <w:t>3,380</w:t>
      </w:r>
      <w:r>
        <w:rPr/>
        <w:t>万元。发行完 成后，本公司注册资本为人民币</w:t>
      </w:r>
      <w:r>
        <w:rPr>
          <w:rFonts w:ascii="Times New Roman" w:hAnsi="Times New Roman" w:cs="Times New Roman" w:eastAsia="Times New Roman" w:hint="default"/>
        </w:rPr>
        <w:t>13,380</w:t>
      </w:r>
      <w:r>
        <w:rPr/>
        <w:t>万元。其中：有限售条件的流通股份占</w:t>
      </w:r>
      <w:r>
        <w:rPr>
          <w:rFonts w:ascii="Times New Roman" w:hAnsi="Times New Roman" w:cs="Times New Roman" w:eastAsia="Times New Roman" w:hint="default"/>
        </w:rPr>
        <w:t>74.74%</w:t>
      </w:r>
      <w:r>
        <w:rPr/>
        <w:t>，无限售条件的流通</w:t>
      </w:r>
      <w:r>
        <w:rPr>
          <w:spacing w:val="-96"/>
        </w:rPr>
        <w:t> </w:t>
      </w:r>
      <w:r>
        <w:rPr>
          <w:spacing w:val="-96"/>
        </w:rPr>
      </w:r>
      <w:r>
        <w:rPr/>
        <w:t>股份占</w:t>
      </w:r>
      <w:r>
        <w:rPr>
          <w:rFonts w:ascii="Times New Roman" w:hAnsi="Times New Roman" w:cs="Times New Roman" w:eastAsia="Times New Roman" w:hint="default"/>
        </w:rPr>
        <w:t>25.26%</w:t>
      </w:r>
      <w:r>
        <w:rPr/>
        <w:t>。 </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日，根据公司</w:t>
      </w:r>
      <w:r>
        <w:rPr>
          <w:rFonts w:ascii="Times New Roman" w:hAnsi="Times New Roman" w:cs="Times New Roman" w:eastAsia="Times New Roman" w:hint="default"/>
          <w:spacing w:val="-2"/>
        </w:rPr>
        <w:t>2012</w:t>
      </w:r>
      <w:r>
        <w:rPr>
          <w:spacing w:val="-2"/>
        </w:rPr>
        <w:t>年年度股东大会决议，本公司以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13,380</w:t>
      </w:r>
      <w:r>
        <w:rPr>
          <w:spacing w:val="-2"/>
        </w:rPr>
        <w:t>万股为基数，以</w:t>
      </w:r>
      <w:r>
        <w:rPr>
          <w:spacing w:val="-71"/>
        </w:rPr>
        <w:t> </w:t>
      </w:r>
      <w:r>
        <w:rPr>
          <w:spacing w:val="-71"/>
        </w:rPr>
      </w:r>
      <w:r>
        <w:rPr/>
        <w:t>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股，共转增</w:t>
      </w:r>
      <w:r>
        <w:rPr>
          <w:rFonts w:ascii="Times New Roman" w:hAnsi="Times New Roman" w:cs="Times New Roman" w:eastAsia="Times New Roman" w:hint="default"/>
        </w:rPr>
        <w:t>13,380</w:t>
      </w:r>
      <w:r>
        <w:rPr>
          <w:rFonts w:ascii="Times New Roman" w:hAnsi="Times New Roman" w:cs="Times New Roman" w:eastAsia="Times New Roman" w:hint="default"/>
          <w:spacing w:val="26"/>
        </w:rPr>
        <w:t> </w:t>
      </w:r>
      <w:r>
        <w:rPr/>
        <w:t>万股。转增完成后，本公司注册资本为人民币</w:t>
      </w:r>
      <w:r>
        <w:rPr>
          <w:rFonts w:ascii="Times New Roman" w:hAnsi="Times New Roman" w:cs="Times New Roman" w:eastAsia="Times New Roman" w:hint="default"/>
        </w:rPr>
        <w:t>26,760</w:t>
      </w:r>
    </w:p>
    <w:p>
      <w:pPr>
        <w:spacing w:after="0" w:line="259"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BodyText"/>
        <w:spacing w:line="271" w:lineRule="auto" w:before="35"/>
        <w:ind w:right="1024"/>
        <w:jc w:val="left"/>
      </w:pPr>
      <w:r>
        <w:rPr/>
        <w:t>万元。其中：有限售条件的流通股份占</w:t>
      </w:r>
      <w:r>
        <w:rPr>
          <w:rFonts w:ascii="Times New Roman" w:hAnsi="Times New Roman" w:cs="Times New Roman" w:eastAsia="Times New Roman" w:hint="default"/>
        </w:rPr>
        <w:t>74.74%</w:t>
      </w:r>
      <w:r>
        <w:rPr/>
        <w:t>，无限售条件的流通股份占</w:t>
      </w:r>
      <w:r>
        <w:rPr>
          <w:rFonts w:ascii="Times New Roman" w:hAnsi="Times New Roman" w:cs="Times New Roman" w:eastAsia="Times New Roman" w:hint="default"/>
        </w:rPr>
        <w:t>25.26%</w:t>
      </w:r>
      <w:r>
        <w:rPr/>
        <w:t>。 本公司主要的经营范围：生产、加工、销售；玩具、塑料制品、五金制品；动漫软件设计、开发、制作； </w:t>
      </w:r>
      <w:r>
        <w:rPr>
          <w:spacing w:val="-3"/>
        </w:rPr>
        <w:t>童车、手推车、婴儿床、学步车、三轮车、婴儿车、行李车、自行车、电动车、摇篮车、摇椅、儿童摇床；</w:t>
      </w:r>
      <w:r>
        <w:rPr>
          <w:spacing w:val="-92"/>
        </w:rPr>
        <w:t> </w:t>
      </w:r>
      <w:r>
        <w:rPr>
          <w:spacing w:val="-92"/>
        </w:rPr>
      </w:r>
      <w:r>
        <w:rPr/>
        <w:t>废旧塑料回收、加工；对高新科技项目、文化产业项目、文化休闲娱乐服务业、软件业、金融业、租赁和</w:t>
      </w:r>
      <w:r>
        <w:rPr/>
        <w:t> 商务服务业的投资；工业产品设计，多媒体和动漫技术的研发，电子信息技术的应用和开发，房屋租赁， 机器设备租赁，仪器仪表租赁；货物进出口、技术进出口（法律、行政法规禁止的项目除外：法律、行政 法规限制的项目须取得许可后方可经营）。法定代表人：林伟章。注册地址：广东省汕头市澄海区莱芜经 济试验区莱美工业区。</w:t>
      </w:r>
    </w:p>
    <w:p>
      <w:pPr>
        <w:pStyle w:val="BodyText"/>
        <w:spacing w:line="240" w:lineRule="auto" w:before="10"/>
        <w:ind w:right="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日，本公司合并财务报表范围内子公司如下：</w:t>
      </w:r>
    </w:p>
    <w:p>
      <w:pPr>
        <w:spacing w:line="240" w:lineRule="auto" w:before="10"/>
        <w:rPr>
          <w:rFonts w:ascii="宋体" w:hAnsi="宋体" w:cs="宋体" w:eastAsia="宋体" w:hint="default"/>
          <w:sz w:val="2"/>
          <w:szCs w:val="2"/>
        </w:rPr>
      </w:pPr>
    </w:p>
    <w:tbl>
      <w:tblPr>
        <w:tblW w:w="0" w:type="auto"/>
        <w:jc w:val="left"/>
        <w:tblInd w:w="770" w:type="dxa"/>
        <w:tblLayout w:type="fixed"/>
        <w:tblCellMar>
          <w:top w:w="0" w:type="dxa"/>
          <w:left w:w="0" w:type="dxa"/>
          <w:bottom w:w="0" w:type="dxa"/>
          <w:right w:w="0" w:type="dxa"/>
        </w:tblCellMar>
        <w:tblLook w:val="01E0"/>
      </w:tblPr>
      <w:tblGrid>
        <w:gridCol w:w="7771"/>
      </w:tblGrid>
      <w:tr>
        <w:trPr>
          <w:trHeight w:val="355" w:hRule="exact"/>
        </w:trPr>
        <w:tc>
          <w:tcPr>
            <w:tcW w:w="7771" w:type="dxa"/>
            <w:tcBorders>
              <w:top w:val="single" w:sz="6" w:space="0" w:color="000000"/>
              <w:left w:val="nil" w:sz="6" w:space="0" w:color="auto"/>
              <w:bottom w:val="single" w:sz="12" w:space="0" w:color="000000"/>
              <w:right w:val="nil" w:sz="6" w:space="0" w:color="auto"/>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子公司名称</w:t>
            </w:r>
          </w:p>
        </w:tc>
      </w:tr>
      <w:tr>
        <w:trPr>
          <w:trHeight w:val="352"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群兴（香港）有限公司</w:t>
            </w:r>
          </w:p>
        </w:tc>
      </w:tr>
      <w:tr>
        <w:trPr>
          <w:trHeight w:val="353" w:hRule="exact"/>
        </w:trPr>
        <w:tc>
          <w:tcPr>
            <w:tcW w:w="7771" w:type="dxa"/>
            <w:tcBorders>
              <w:top w:val="single" w:sz="12" w:space="0" w:color="000000"/>
              <w:left w:val="nil" w:sz="6" w:space="0" w:color="auto"/>
              <w:bottom w:val="single" w:sz="12" w:space="0" w:color="000000"/>
              <w:right w:val="nil" w:sz="6" w:space="0" w:color="auto"/>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汕头市童乐乐玩具有限公司</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四、财务报表的编制基础" w:id="132"/>
      <w:bookmarkEnd w:id="132"/>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33"/>
      <w:bookmarkEnd w:id="13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09"/>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 </w:t>
      </w:r>
      <w:r>
        <w:rPr>
          <w:spacing w:val="2"/>
        </w:rPr>
        <w:t>和各项具体会计准则、企业会计准则应用指南、企业会计准则解释及其他相关规定（以下合称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w:t>
      </w:r>
      <w:r>
        <w:rPr>
          <w:spacing w:val="-103"/>
        </w:rPr>
        <w:t> </w:t>
      </w:r>
      <w:r>
        <w:rPr/>
        <w:t>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财务报告的 一般规定》的披露规定编制财务报表。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spacing w:line="496" w:lineRule="auto" w:before="0"/>
        <w:ind w:left="153" w:right="6553" w:firstLine="0"/>
        <w:jc w:val="left"/>
        <w:rPr>
          <w:rFonts w:ascii="宋体" w:hAnsi="宋体" w:cs="宋体" w:eastAsia="宋体" w:hint="default"/>
          <w:sz w:val="24"/>
          <w:szCs w:val="24"/>
        </w:rPr>
      </w:pPr>
      <w:bookmarkStart w:name="2、持续经营" w:id="134"/>
      <w:bookmarkEnd w:id="1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公司自报告年末起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个月具有持续经营能力。 </w:t>
      </w:r>
      <w:bookmarkStart w:name="五、重要会计政策及会计估计" w:id="135"/>
      <w:bookmarkEnd w:id="135"/>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line="357" w:lineRule="auto" w:before="91"/>
        <w:ind w:left="154" w:right="3912"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 以下披露内容已涵盖了本公司根据实际生产经营特点制定的具体会计政策和会计估计。</w:t>
      </w:r>
    </w:p>
    <w:p>
      <w:pPr>
        <w:spacing w:line="240" w:lineRule="auto" w:before="2"/>
        <w:rPr>
          <w:rFonts w:ascii="宋体" w:hAnsi="宋体" w:cs="宋体" w:eastAsia="宋体" w:hint="default"/>
          <w:sz w:val="20"/>
          <w:szCs w:val="20"/>
        </w:rPr>
      </w:pPr>
    </w:p>
    <w:p>
      <w:pPr>
        <w:pStyle w:val="Heading4"/>
        <w:spacing w:line="240" w:lineRule="auto"/>
        <w:ind w:left="154" w:right="0"/>
        <w:jc w:val="left"/>
        <w:rPr>
          <w:b w:val="0"/>
          <w:bCs w:val="0"/>
        </w:rPr>
      </w:pPr>
      <w:bookmarkStart w:name="1、遵循企业会计准则的声明" w:id="136"/>
      <w:bookmarkEnd w:id="136"/>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1023"/>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8"/>
        <w:rPr>
          <w:rFonts w:ascii="宋体" w:hAnsi="宋体" w:cs="宋体" w:eastAsia="宋体" w:hint="default"/>
          <w:sz w:val="23"/>
          <w:szCs w:val="23"/>
        </w:rPr>
      </w:pPr>
    </w:p>
    <w:p>
      <w:pPr>
        <w:spacing w:line="506" w:lineRule="auto" w:before="0"/>
        <w:ind w:left="154" w:right="6552" w:firstLine="0"/>
        <w:jc w:val="left"/>
        <w:rPr>
          <w:rFonts w:ascii="宋体" w:hAnsi="宋体" w:cs="宋体" w:eastAsia="宋体" w:hint="default"/>
          <w:sz w:val="21"/>
          <w:szCs w:val="21"/>
        </w:rPr>
      </w:pPr>
      <w:bookmarkStart w:name="2、会计期间" w:id="137"/>
      <w:bookmarkEnd w:id="1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06" w:lineRule="auto" w:before="35"/>
        <w:ind w:left="153" w:right="7603" w:firstLine="0"/>
        <w:jc w:val="left"/>
        <w:rPr>
          <w:rFonts w:ascii="宋体" w:hAnsi="宋体" w:cs="宋体" w:eastAsia="宋体" w:hint="default"/>
          <w:sz w:val="21"/>
          <w:szCs w:val="21"/>
        </w:rPr>
      </w:pPr>
      <w:bookmarkStart w:name="3、营业周期" w:id="138"/>
      <w:bookmarkEnd w:id="1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 </w:t>
      </w:r>
      <w:bookmarkStart w:name="4、记账本位币" w:id="139"/>
      <w:bookmarkEnd w:id="139"/>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pStyle w:val="Heading4"/>
        <w:spacing w:line="240" w:lineRule="auto" w:before="105"/>
        <w:ind w:left="154" w:right="0"/>
        <w:jc w:val="left"/>
        <w:rPr>
          <w:b w:val="0"/>
          <w:bCs w:val="0"/>
        </w:rPr>
      </w:pPr>
      <w:bookmarkStart w:name="5、同一控制下和非同一控制下企业合并的会计处理方法" w:id="140"/>
      <w:bookmarkEnd w:id="14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024"/>
        <w:jc w:val="left"/>
      </w:pPr>
      <w:r>
        <w:rPr/>
        <w:t>同一控制下企业合并：本公司在企业合并中取得的资产和负债，按照合并日在被合并方资产、负债（包括 最终控制方收购被合并方而形成的商誉）在最终控制方合并财务报表中的账面价值计量。在合并中取得的 </w:t>
      </w:r>
      <w:r>
        <w:rPr>
          <w:spacing w:val="-3"/>
        </w:rPr>
        <w:t>净资产账面价值与支付的合并对价账面价值（或发行股份面值总额）的差额，调整资本公积中的股本溢价，</w:t>
      </w:r>
      <w:r>
        <w:rPr>
          <w:spacing w:val="-89"/>
        </w:rPr>
        <w:t> </w:t>
      </w:r>
      <w:r>
        <w:rPr>
          <w:spacing w:val="-89"/>
        </w:rPr>
      </w:r>
      <w:r>
        <w:rPr/>
        <w:t>资本公积中的股本溢价不足冲减的，调整留存收益。 非同一控制下企业合并：本公司在购买日对作为企业合并对价付出的资产、发生或承担的负债按照公允价</w:t>
      </w:r>
      <w:r>
        <w:rPr/>
        <w:t> 值计量，公允价值与其账面价值的差额，计入当期损益。本公司对合并成本大于合并中取得的被购买方可 辨认净资产公允价值份额的差额，确认为商誉；合并成本小于合并中取得的被购买方可辨认净资产公允价 值份额的差额，经复核后，计入当期损益。 </w:t>
      </w:r>
      <w:r>
        <w:rPr>
          <w:spacing w:val="-3"/>
        </w:rPr>
        <w:t>为企业合并发生的审计、法律服务、评估咨询等中介费用以及其他直接相关费用，于发生时计入当期损益；</w:t>
      </w:r>
      <w:r>
        <w:rPr>
          <w:spacing w:val="-90"/>
        </w:rPr>
        <w:t> </w:t>
      </w:r>
      <w:r>
        <w:rPr>
          <w:spacing w:val="-90"/>
        </w:rPr>
      </w:r>
      <w:r>
        <w:rPr/>
        <w:t>为企业合并而发行权益性证券的交易费用，冲减权益。</w:t>
      </w:r>
    </w:p>
    <w:p>
      <w:pPr>
        <w:spacing w:line="240" w:lineRule="auto" w:before="1"/>
        <w:rPr>
          <w:rFonts w:ascii="宋体" w:hAnsi="宋体" w:cs="宋体" w:eastAsia="宋体" w:hint="default"/>
          <w:sz w:val="23"/>
          <w:szCs w:val="23"/>
        </w:rPr>
      </w:pPr>
    </w:p>
    <w:p>
      <w:pPr>
        <w:pStyle w:val="Heading4"/>
        <w:spacing w:line="610" w:lineRule="atLeast"/>
        <w:ind w:left="154" w:right="8117"/>
        <w:jc w:val="left"/>
        <w:rPr>
          <w:b w:val="0"/>
          <w:bCs w:val="0"/>
        </w:rPr>
      </w:pPr>
      <w:bookmarkStart w:name="6、合并财务报表的编制方法" w:id="141"/>
      <w:bookmarkEnd w:id="141"/>
      <w:r>
        <w:rPr>
          <w:b w:val="0"/>
          <w:bCs w:val="0"/>
        </w:rPr>
      </w:r>
      <w:r>
        <w:rPr>
          <w:rFonts w:ascii="Times New Roman" w:hAnsi="Times New Roman" w:cs="Times New Roman" w:eastAsia="Times New Roman" w:hint="default"/>
        </w:rPr>
        <w:t>6</w:t>
      </w:r>
      <w:r>
        <w:rPr/>
        <w:t>、合并财务报表的编制方法</w:t>
      </w:r>
      <w:r>
        <w:rPr>
          <w:w w:val="99"/>
        </w:rPr>
        <w:t> </w:t>
      </w:r>
      <w:r>
        <w:rPr>
          <w:rFonts w:ascii="Times New Roman" w:hAnsi="Times New Roman" w:cs="Times New Roman" w:eastAsia="Times New Roman" w:hint="default"/>
        </w:rPr>
        <w:t>A</w:t>
      </w:r>
      <w:r>
        <w:rPr/>
        <w:t>、合并范围</w:t>
      </w:r>
      <w:r>
        <w:rPr>
          <w:b w:val="0"/>
          <w:bCs w:val="0"/>
        </w:rPr>
      </w:r>
    </w:p>
    <w:p>
      <w:pPr>
        <w:pStyle w:val="BodyText"/>
        <w:spacing w:line="273" w:lineRule="auto" w:before="21"/>
        <w:ind w:left="154" w:right="0"/>
        <w:jc w:val="left"/>
      </w:pPr>
      <w:r>
        <w:rPr>
          <w:spacing w:val="-1"/>
        </w:rPr>
        <w:t>本公司合并财务报表的合并范围以控制为基础确定，所有子公司（包括本公司所控制的被投资方可分割的</w:t>
      </w:r>
      <w:r>
        <w:rPr>
          <w:spacing w:val="-81"/>
        </w:rPr>
        <w:t> </w:t>
      </w:r>
      <w:r>
        <w:rPr>
          <w:spacing w:val="-81"/>
        </w:rPr>
      </w:r>
      <w:r>
        <w:rPr/>
        <w:t>部分）均纳入合并财务报表。</w:t>
      </w:r>
    </w:p>
    <w:p>
      <w:pPr>
        <w:pStyle w:val="BodyText"/>
        <w:spacing w:line="271" w:lineRule="auto" w:before="7"/>
        <w:ind w:right="0"/>
        <w:jc w:val="left"/>
      </w:pPr>
      <w:r>
        <w:rPr>
          <w:rFonts w:ascii="Times New Roman" w:hAnsi="Times New Roman" w:cs="Times New Roman" w:eastAsia="Times New Roman" w:hint="default"/>
          <w:b/>
          <w:bCs/>
        </w:rPr>
        <w:t>B</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本公司以自身和各子公司的财务报表为基础，根据其他有关资料，编制合并财务报表。本公司编制合并财</w:t>
      </w:r>
      <w:r>
        <w:rPr>
          <w:spacing w:val="-83"/>
        </w:rPr>
        <w:t> </w:t>
      </w:r>
      <w:r>
        <w:rPr>
          <w:spacing w:val="-83"/>
        </w:rPr>
      </w:r>
      <w:r>
        <w:rPr>
          <w:spacing w:val="-1"/>
        </w:rPr>
        <w:t>务报表，将整个企业集团视为一个会计主体，依据相关企业会计准则的确认、计量和列报要求，按照统一</w:t>
      </w:r>
      <w:r>
        <w:rPr>
          <w:spacing w:val="-86"/>
        </w:rPr>
        <w:t> </w:t>
      </w:r>
      <w:r>
        <w:rPr>
          <w:spacing w:val="-86"/>
        </w:rPr>
      </w:r>
      <w:r>
        <w:rPr/>
        <w:t>的会计政策，反映本企业集团整体财务状况、经营成果和现金流量。 </w:t>
      </w:r>
      <w:r>
        <w:rPr>
          <w:spacing w:val="-1"/>
        </w:rPr>
        <w:t>所有纳入合并财务报表合并范围的子公司所采用的会计政策、会计期间与本公司一致，如子公司采用的会</w:t>
      </w:r>
      <w:r>
        <w:rPr>
          <w:spacing w:val="-80"/>
        </w:rPr>
        <w:t> </w:t>
      </w:r>
      <w:r>
        <w:rPr>
          <w:spacing w:val="-80"/>
        </w:rPr>
      </w:r>
      <w:r>
        <w:rPr>
          <w:spacing w:val="-1"/>
        </w:rPr>
        <w:t>计政策、会计期间与本公司不一致的，在编制合并财务报表时，按本公司的会计政策、会计期间进行必要</w:t>
      </w:r>
      <w:r>
        <w:rPr>
          <w:spacing w:val="-86"/>
        </w:rPr>
        <w:t> </w:t>
      </w:r>
      <w:r>
        <w:rPr>
          <w:spacing w:val="-86"/>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进行调整。对于同一控制下企业合并取得的子公司，以其资产、负债（包括最终控制方收购该子公司而形</w:t>
      </w:r>
      <w:r>
        <w:rPr>
          <w:spacing w:val="-86"/>
        </w:rPr>
        <w:t> </w:t>
      </w:r>
      <w:r>
        <w:rPr>
          <w:spacing w:val="-86"/>
        </w:rPr>
      </w:r>
      <w:r>
        <w:rPr/>
        <w:t>成的商誉）在最终控制方财务报表中的账面价值为基础对其财务报表进行调整。 </w:t>
      </w:r>
      <w:r>
        <w:rPr>
          <w:spacing w:val="-1"/>
        </w:rPr>
        <w:t>子公司所有者权益、当期净损益和当期综合收益中属于少数股东的份额分别在合并资产负债表中所有者权</w:t>
      </w:r>
      <w:r>
        <w:rPr>
          <w:spacing w:val="-81"/>
        </w:rPr>
        <w:t> </w:t>
      </w:r>
      <w:r>
        <w:rPr>
          <w:spacing w:val="-81"/>
        </w:rPr>
      </w:r>
      <w:r>
        <w:rPr>
          <w:spacing w:val="-1"/>
        </w:rPr>
        <w:t>益项目下、合并利润表中净利润项目下和综合收益总额项目下单独列示。子公司少数股东分担的当期亏损</w:t>
      </w:r>
      <w:r>
        <w:rPr>
          <w:spacing w:val="-81"/>
        </w:rPr>
        <w:t> </w:t>
      </w:r>
      <w:r>
        <w:rPr>
          <w:spacing w:val="-81"/>
        </w:rPr>
      </w:r>
      <w:r>
        <w:rPr/>
        <w:t>超过了少数股东在该子公司期初所有者权益中所享有份额而形成的余额，冲减少数股东权益。</w:t>
      </w:r>
    </w:p>
    <w:p>
      <w:pPr>
        <w:pStyle w:val="BodyText"/>
        <w:spacing w:line="268" w:lineRule="auto" w:before="10"/>
        <w:ind w:left="154" w:right="0"/>
        <w:jc w:val="left"/>
      </w:pPr>
      <w:r>
        <w:rPr/>
        <w:t>（</w:t>
      </w:r>
      <w:r>
        <w:rPr>
          <w:rFonts w:ascii="Times New Roman" w:hAnsi="Times New Roman" w:cs="Times New Roman" w:eastAsia="Times New Roman" w:hint="default"/>
        </w:rPr>
        <w:t>1</w:t>
      </w:r>
      <w:r>
        <w:rPr/>
        <w:t>）增加子公司或业务 </w:t>
      </w:r>
      <w:r>
        <w:rPr>
          <w:spacing w:val="-1"/>
        </w:rPr>
        <w:t>在报告期内，若因同一控制下企业合并增加子公司或业务的，则调整合并资产负债表的期初数；将子公司</w:t>
      </w:r>
      <w:r>
        <w:rPr>
          <w:spacing w:val="-83"/>
        </w:rPr>
        <w:t> </w:t>
      </w:r>
      <w:r>
        <w:rPr>
          <w:spacing w:val="-83"/>
        </w:rPr>
      </w:r>
      <w:r>
        <w:rPr>
          <w:spacing w:val="-1"/>
        </w:rPr>
        <w:t>或业务合并当期期初至报告年末的收入、费用、利润纳入合并利润表；将子公司或业务合并当期期初至报</w:t>
      </w:r>
      <w:r>
        <w:rPr>
          <w:spacing w:val="-83"/>
        </w:rPr>
        <w:t> </w:t>
      </w:r>
      <w:r>
        <w:rPr>
          <w:spacing w:val="-83"/>
        </w:rPr>
      </w:r>
      <w:r>
        <w:rPr>
          <w:spacing w:val="-1"/>
        </w:rPr>
        <w:t>告年末的现金流量纳入合并现金流量表，同时对比较报表的相关项目进行调整，视同合并后的报告主体自</w:t>
      </w:r>
      <w:r>
        <w:rPr>
          <w:spacing w:val="-81"/>
        </w:rPr>
        <w:t> </w:t>
      </w:r>
      <w:r>
        <w:rPr>
          <w:spacing w:val="-81"/>
        </w:rPr>
      </w:r>
      <w:r>
        <w:rPr/>
        <w:t>最终控制方开始控制时点起一直存在。 </w:t>
      </w:r>
      <w:r>
        <w:rPr>
          <w:spacing w:val="-1"/>
        </w:rPr>
        <w:t>因追加投资等原因能够对同一控制下的被投资方实施控制的，视同参与合并的各方在最终控制方开始控制</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93"/>
        <w:jc w:val="left"/>
      </w:pPr>
      <w:r>
        <w:rPr>
          <w:spacing w:val="-1"/>
        </w:rPr>
        <w:t>时即以目前的状态存在进行调整。在取得被合并方控制权之前持有的股权投资，在取得原股权之日与合并</w:t>
      </w:r>
      <w:r>
        <w:rPr>
          <w:spacing w:val="-81"/>
        </w:rPr>
        <w:t> </w:t>
      </w:r>
      <w:r>
        <w:rPr>
          <w:spacing w:val="-81"/>
        </w:rPr>
      </w:r>
      <w:r>
        <w:rPr>
          <w:spacing w:val="-1"/>
        </w:rPr>
        <w:t>方和被合并方同处于同一控制之日孰晚日起至合并日之间已确认有关损益、其他综合收益以及其他净资产</w:t>
      </w:r>
      <w:r>
        <w:rPr>
          <w:spacing w:val="-81"/>
        </w:rPr>
        <w:t> </w:t>
      </w:r>
      <w:r>
        <w:rPr>
          <w:spacing w:val="-81"/>
        </w:rPr>
      </w:r>
      <w:r>
        <w:rPr/>
        <w:t>变动，分别冲减比较报表期间的期初留存收益或当期损益。 </w:t>
      </w:r>
      <w:r>
        <w:rPr>
          <w:spacing w:val="-1"/>
        </w:rPr>
        <w:t>在报告期内，若因非同一控制下企业合并增加子公司或业务的，则不调整合并资产负债表期初数；将该子</w:t>
      </w:r>
      <w:r>
        <w:rPr>
          <w:spacing w:val="-83"/>
        </w:rPr>
        <w:t> </w:t>
      </w:r>
      <w:r>
        <w:rPr>
          <w:spacing w:val="-83"/>
        </w:rPr>
      </w:r>
      <w:r>
        <w:rPr>
          <w:spacing w:val="-1"/>
        </w:rPr>
        <w:t>公司或业务自购买日至报告年末的收入、费用、利润纳入合并利润表；该子公司或业务自购买日至报告年</w:t>
      </w:r>
      <w:r>
        <w:rPr>
          <w:spacing w:val="-83"/>
        </w:rPr>
        <w:t> </w:t>
      </w:r>
      <w:r>
        <w:rPr>
          <w:spacing w:val="-83"/>
        </w:rPr>
      </w:r>
      <w:r>
        <w:rPr/>
        <w:t>末的现金流量纳入合并现金流量表。 因追加投资等原因能够对非同一控制下的被投资方实施控制的，对于购买日之前持有的被购买方的股权， 本公司按照该股权在购买日的公允价值进行重新计量，公允价值与其账面价值的差额计入当期投资收益。 </w:t>
      </w:r>
      <w:r>
        <w:rPr>
          <w:spacing w:val="-1"/>
        </w:rPr>
        <w:t>购买日之前持有的被购买方的股权涉及权益法核算下的其他综合收益以及除净损益、其他综合收益和利润</w:t>
      </w:r>
      <w:r>
        <w:rPr>
          <w:spacing w:val="-81"/>
        </w:rPr>
        <w:t> </w:t>
      </w:r>
      <w:r>
        <w:rPr>
          <w:spacing w:val="-81"/>
        </w:rPr>
      </w:r>
      <w:r>
        <w:rPr>
          <w:spacing w:val="-1"/>
        </w:rPr>
        <w:t>分配之外的其他所有者权益变动的，与其相关的其他综合收益、其他所有者权益变动转为购买日所属当期</w:t>
      </w:r>
      <w:r>
        <w:rPr>
          <w:spacing w:val="-81"/>
        </w:rPr>
        <w:t> </w:t>
      </w:r>
      <w:r>
        <w:rPr>
          <w:spacing w:val="-81"/>
        </w:rPr>
      </w:r>
      <w:r>
        <w:rPr/>
        <w:t>投资收益，由于被投资方重新计量设定受益计划净负债或净资产变动而产生的其他综合收益除外。</w:t>
      </w:r>
    </w:p>
    <w:p>
      <w:pPr>
        <w:pStyle w:val="BodyText"/>
        <w:spacing w:line="240" w:lineRule="auto" w:before="7"/>
        <w:ind w:right="0"/>
        <w:jc w:val="left"/>
      </w:pPr>
      <w:r>
        <w:rPr/>
        <w:t>（</w:t>
      </w:r>
      <w:r>
        <w:rPr>
          <w:rFonts w:ascii="Times New Roman" w:hAnsi="Times New Roman" w:cs="Times New Roman" w:eastAsia="Times New Roman" w:hint="default"/>
        </w:rPr>
        <w:t>2</w:t>
      </w:r>
      <w:r>
        <w:rPr/>
        <w:t>）处置子公司或业务</w:t>
      </w:r>
    </w:p>
    <w:p>
      <w:pPr>
        <w:pStyle w:val="BodyText"/>
        <w:spacing w:line="273" w:lineRule="auto" w:before="21"/>
        <w:ind w:right="0"/>
        <w:jc w:val="left"/>
      </w:pPr>
      <w:r>
        <w:rPr/>
        <w:t>①一般处理方法 </w:t>
      </w:r>
      <w:r>
        <w:rPr>
          <w:spacing w:val="-1"/>
        </w:rPr>
        <w:t>在报告期内，本公司处置子公司或业务，则该子公司或业务期初至处置日的收入、费用、利润纳入合并利</w:t>
      </w:r>
      <w:r>
        <w:rPr>
          <w:spacing w:val="-86"/>
        </w:rPr>
        <w:t> </w:t>
      </w:r>
      <w:r>
        <w:rPr>
          <w:spacing w:val="-86"/>
        </w:rPr>
      </w:r>
      <w:r>
        <w:rPr/>
        <w:t>润表；该子公司或业务期初至处置日的现金流量纳入合并现金流量表。 </w:t>
      </w:r>
      <w:r>
        <w:rPr>
          <w:spacing w:val="-1"/>
        </w:rPr>
        <w:t>因处置部分股权投资或其他原因丧失了对被投资方控制权时，对于处置后的剩余股权投资，本公司按照其</w:t>
      </w:r>
      <w:r>
        <w:rPr>
          <w:spacing w:val="-81"/>
        </w:rPr>
        <w:t> </w:t>
      </w:r>
      <w:r>
        <w:rPr>
          <w:spacing w:val="-81"/>
        </w:rPr>
      </w:r>
      <w:r>
        <w:rPr>
          <w:spacing w:val="-1"/>
        </w:rPr>
        <w:t>在丧失控制权日的公允价值进行重新计量。处置股权取得的对价与剩余股权公允价值之和，减去按原持股</w:t>
      </w:r>
      <w:r>
        <w:rPr>
          <w:spacing w:val="-81"/>
        </w:rPr>
        <w:t> </w:t>
      </w:r>
      <w:r>
        <w:rPr>
          <w:spacing w:val="-81"/>
        </w:rPr>
      </w:r>
      <w:r>
        <w:rPr>
          <w:spacing w:val="-1"/>
        </w:rPr>
        <w:t>比例计算应享有原有子公司自购买日或合并日开始持续计算的净资产的份额与商誉之和的差额，计入丧失</w:t>
      </w:r>
      <w:r>
        <w:rPr>
          <w:spacing w:val="-81"/>
        </w:rPr>
        <w:t> </w:t>
      </w:r>
      <w:r>
        <w:rPr>
          <w:spacing w:val="-81"/>
        </w:rPr>
      </w:r>
      <w:r>
        <w:rPr>
          <w:spacing w:val="-1"/>
        </w:rPr>
        <w:t>控制权当期的投资收益。与原有子公司股权投资相关的其他综合收益或除净损益、其他综合收益及利润分</w:t>
      </w:r>
      <w:r>
        <w:rPr>
          <w:spacing w:val="-81"/>
        </w:rPr>
        <w:t> </w:t>
      </w:r>
      <w:r>
        <w:rPr>
          <w:spacing w:val="-81"/>
        </w:rPr>
      </w:r>
      <w:r>
        <w:rPr>
          <w:spacing w:val="-1"/>
        </w:rPr>
        <w:t>配之外的其他所有者权益变动，在丧失控制权时转为当期投资收益，由于被投资方重新计量设定受益计划</w:t>
      </w:r>
      <w:r>
        <w:rPr>
          <w:spacing w:val="-81"/>
        </w:rPr>
        <w:t> </w:t>
      </w:r>
      <w:r>
        <w:rPr>
          <w:spacing w:val="-81"/>
        </w:rPr>
      </w:r>
      <w:r>
        <w:rPr/>
        <w:t>净负债或净资产变动而产生的其他综合收益除外。</w:t>
      </w:r>
    </w:p>
    <w:p>
      <w:pPr>
        <w:pStyle w:val="BodyText"/>
        <w:spacing w:line="273" w:lineRule="auto" w:before="7"/>
        <w:ind w:left="154" w:right="1092"/>
        <w:jc w:val="left"/>
      </w:pPr>
      <w:r>
        <w:rPr/>
        <w:t>②分步处置子公司 通过多次交易分步处置对子公司股权投资直至丧失控制权的，处置对子公司股权投资的各项交易的条款、 条件以及经济影响符合以下一种或多种情况，通常表明应将多次交易事项作为一揽子交易进行会计处理： ⅰ．这些交易是同时或者在考虑了彼此影响的情况下订立的； ⅱ．这些交易整体才能达成一项完整的商业结果；</w:t>
      </w:r>
    </w:p>
    <w:p>
      <w:pPr>
        <w:pStyle w:val="BodyText"/>
        <w:spacing w:line="273" w:lineRule="auto" w:before="7"/>
        <w:ind w:right="0"/>
        <w:jc w:val="left"/>
      </w:pPr>
      <w:r>
        <w:rPr/>
        <w:t>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处置对子公司股权投资直至丧失控制权的各项交易属于一揽子交易的，本公司将各项交易作为一项处置子</w:t>
      </w:r>
      <w:r>
        <w:rPr>
          <w:spacing w:val="-81"/>
        </w:rPr>
        <w:t> </w:t>
      </w:r>
      <w:r>
        <w:rPr>
          <w:spacing w:val="-81"/>
        </w:rPr>
      </w:r>
      <w:r>
        <w:rPr>
          <w:spacing w:val="-1"/>
        </w:rPr>
        <w:t>公司并丧失控制权的交易进行会计处理；但是，在丧失控制权之前每一次处置价款与处置投资对应的享有</w:t>
      </w:r>
      <w:r>
        <w:rPr>
          <w:spacing w:val="-81"/>
        </w:rPr>
        <w:t> </w:t>
      </w:r>
      <w:r>
        <w:rPr>
          <w:spacing w:val="-81"/>
        </w:rPr>
      </w:r>
      <w:r>
        <w:rPr>
          <w:spacing w:val="-1"/>
        </w:rPr>
        <w:t>该子公司净资产份额的差额，在合并财务报表中确认为其他综合收益，在丧失控制权时一并转入丧失控制</w:t>
      </w:r>
      <w:r>
        <w:rPr>
          <w:spacing w:val="-81"/>
        </w:rPr>
        <w:t> </w:t>
      </w:r>
      <w:r>
        <w:rPr>
          <w:spacing w:val="-81"/>
        </w:rPr>
      </w:r>
      <w:r>
        <w:rPr/>
        <w:t>权当期的损益。 </w:t>
      </w:r>
      <w:r>
        <w:rPr>
          <w:spacing w:val="-1"/>
        </w:rPr>
        <w:t>处置对子公司股权投资直至丧失控制权的各项交易不属于一揽子交易的，在丧失控制权之前，按不丧失控</w:t>
      </w:r>
      <w:r>
        <w:rPr>
          <w:spacing w:val="-81"/>
        </w:rPr>
        <w:t> </w:t>
      </w:r>
      <w:r>
        <w:rPr>
          <w:spacing w:val="-81"/>
        </w:rPr>
      </w:r>
      <w:r>
        <w:rPr>
          <w:spacing w:val="-1"/>
        </w:rPr>
        <w:t>制权的情况下部分处置对子公司的股权投资的相关政策进行会计处理；在丧失控制权时，按处置子公司一</w:t>
      </w:r>
      <w:r>
        <w:rPr>
          <w:spacing w:val="-81"/>
        </w:rPr>
        <w:t> </w:t>
      </w:r>
      <w:r>
        <w:rPr>
          <w:spacing w:val="-81"/>
        </w:rPr>
      </w:r>
      <w:r>
        <w:rPr/>
        <w:t>般处理方法进行会计处理。</w:t>
      </w:r>
    </w:p>
    <w:p>
      <w:pPr>
        <w:pStyle w:val="BodyText"/>
        <w:spacing w:line="266" w:lineRule="auto" w:before="7"/>
        <w:ind w:left="154" w:right="0"/>
        <w:jc w:val="left"/>
      </w:pPr>
      <w:r>
        <w:rPr/>
        <w:t>（</w:t>
      </w:r>
      <w:r>
        <w:rPr>
          <w:rFonts w:ascii="Times New Roman" w:hAnsi="Times New Roman" w:cs="Times New Roman" w:eastAsia="Times New Roman" w:hint="default"/>
        </w:rPr>
        <w:t>3</w:t>
      </w:r>
      <w:r>
        <w:rPr/>
        <w:t>）购买子公司少数股权 </w:t>
      </w:r>
      <w:r>
        <w:rPr>
          <w:spacing w:val="3"/>
        </w:rPr>
        <w:t>本公司因购买少数股权新取得的长期股权投资与按照新增持股比例计算应享有子公司自购买日（或合并</w:t>
      </w:r>
      <w:r>
        <w:rPr>
          <w:spacing w:val="-82"/>
        </w:rPr>
        <w:t> </w:t>
      </w:r>
      <w:r>
        <w:rPr>
          <w:spacing w:val="-82"/>
        </w:rPr>
      </w:r>
      <w:r>
        <w:rPr>
          <w:spacing w:val="-1"/>
        </w:rPr>
        <w:t>日）开始持续计算的净资产份额之间的差额，调整合并资产负债表中的资本公积中的股本溢价，资本公积</w:t>
      </w:r>
      <w:r>
        <w:rPr>
          <w:spacing w:val="-83"/>
        </w:rPr>
        <w:t> </w:t>
      </w:r>
      <w:r>
        <w:rPr>
          <w:spacing w:val="-83"/>
        </w:rPr>
      </w:r>
      <w:r>
        <w:rPr/>
        <w:t>中的股本溢价不足冲减的，调整留存收益。</w:t>
      </w:r>
    </w:p>
    <w:p>
      <w:pPr>
        <w:pStyle w:val="BodyText"/>
        <w:spacing w:line="268" w:lineRule="auto" w:before="14"/>
        <w:ind w:right="0"/>
        <w:jc w:val="left"/>
      </w:pPr>
      <w:r>
        <w:rPr/>
        <w:t>（</w:t>
      </w:r>
      <w:r>
        <w:rPr>
          <w:rFonts w:ascii="Times New Roman" w:hAnsi="Times New Roman" w:cs="Times New Roman" w:eastAsia="Times New Roman" w:hint="default"/>
        </w:rPr>
        <w:t>4</w:t>
      </w:r>
      <w:r>
        <w:rPr/>
        <w:t>）不丧失控制权的情况下部分处置对子公司的股权投资 </w:t>
      </w:r>
      <w:r>
        <w:rPr>
          <w:spacing w:val="3"/>
        </w:rPr>
        <w:t>在不丧失控制权的情况下因部分处置对子公司的长期股权投资而取得的处置价款与处置长期股权投资相</w:t>
      </w:r>
      <w:r>
        <w:rPr>
          <w:spacing w:val="-82"/>
        </w:rPr>
        <w:t> </w:t>
      </w:r>
      <w:r>
        <w:rPr>
          <w:spacing w:val="-82"/>
        </w:rPr>
      </w:r>
      <w:r>
        <w:rPr>
          <w:spacing w:val="-1"/>
        </w:rPr>
        <w:t>对应享有子公司自购买日或合并日开始持续计算的净资产份额之间的差额，调整合并资产负债表中的资本</w:t>
      </w:r>
      <w:r>
        <w:rPr>
          <w:spacing w:val="-81"/>
        </w:rPr>
        <w:t> </w:t>
      </w:r>
      <w:r>
        <w:rPr>
          <w:spacing w:val="-81"/>
        </w:rPr>
      </w:r>
      <w:r>
        <w:rPr/>
        <w:t>公积中的股本溢价，资本公积中的股本溢价不足冲减的，调整留存收益。</w:t>
      </w:r>
    </w:p>
    <w:p>
      <w:pPr>
        <w:spacing w:after="0" w:line="26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合营安排分类及共同经营会计处理方法" w:id="142"/>
      <w:bookmarkEnd w:id="14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51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7"/>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154"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154"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left="154"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56" w:lineRule="auto" w:before="21"/>
        <w:ind w:left="154" w:right="371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3"/>
          <w:szCs w:val="23"/>
        </w:rPr>
      </w:pPr>
    </w:p>
    <w:p>
      <w:pPr>
        <w:pStyle w:val="Heading4"/>
        <w:spacing w:line="240" w:lineRule="auto"/>
        <w:ind w:left="154" w:right="0"/>
        <w:jc w:val="left"/>
        <w:rPr>
          <w:b w:val="0"/>
          <w:bCs w:val="0"/>
        </w:rPr>
      </w:pPr>
      <w:bookmarkStart w:name="8、现金及现金等价物的确定标准" w:id="143"/>
      <w:bookmarkEnd w:id="14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0"/>
        <w:jc w:val="both"/>
      </w:pPr>
      <w:r>
        <w:rPr>
          <w:spacing w:val="-5"/>
        </w:rPr>
        <w:t>在编制现金流量表时，将本公司库存现金以及可以随时用于支付的存款确认为现金。将同时具备期限短（从</w:t>
      </w:r>
      <w:r>
        <w:rPr>
          <w:spacing w:val="-101"/>
        </w:rPr>
        <w:t> </w:t>
      </w:r>
      <w:r>
        <w:rPr>
          <w:spacing w:val="-101"/>
        </w:rPr>
      </w:r>
      <w:r>
        <w:rPr>
          <w:spacing w:val="-1"/>
        </w:rPr>
        <w:t>购买日起三个月内到期）、流动性强、易于转换为已知现金、价值变动风险很小四个条件的投资，确定为</w:t>
      </w:r>
      <w:r>
        <w:rPr>
          <w:spacing w:val="-83"/>
        </w:rPr>
        <w:t> </w:t>
      </w:r>
      <w:r>
        <w:rPr>
          <w:spacing w:val="-83"/>
        </w:rPr>
      </w:r>
      <w:r>
        <w:rPr/>
        <w:t>现金等价物。</w:t>
      </w:r>
    </w:p>
    <w:p>
      <w:pPr>
        <w:pStyle w:val="Heading4"/>
        <w:spacing w:line="612" w:lineRule="exact" w:before="64"/>
        <w:ind w:left="154" w:right="8117"/>
        <w:jc w:val="left"/>
        <w:rPr>
          <w:b w:val="0"/>
          <w:bCs w:val="0"/>
        </w:rPr>
      </w:pPr>
      <w:bookmarkStart w:name="9、外币业务和外币报表折算" w:id="144"/>
      <w:bookmarkEnd w:id="144"/>
      <w:r>
        <w:rPr>
          <w:b w:val="0"/>
          <w:bCs w:val="0"/>
        </w:rPr>
      </w:r>
      <w:r>
        <w:rPr>
          <w:rFonts w:ascii="Times New Roman" w:hAnsi="Times New Roman" w:cs="Times New Roman" w:eastAsia="Times New Roman" w:hint="default"/>
        </w:rPr>
        <w:t>9</w:t>
      </w:r>
      <w:r>
        <w:rPr/>
        <w:t>、外币业务和外币报表折算</w:t>
      </w:r>
      <w:r>
        <w:rPr>
          <w:w w:val="99"/>
        </w:rPr>
        <w:t> </w:t>
      </w:r>
      <w:r>
        <w:rPr>
          <w:rFonts w:ascii="Times New Roman" w:hAnsi="Times New Roman" w:cs="Times New Roman" w:eastAsia="Times New Roman" w:hint="default"/>
        </w:rPr>
        <w:t>A</w:t>
      </w:r>
      <w:r>
        <w:rPr/>
        <w:t>、外币业务</w:t>
      </w:r>
      <w:r>
        <w:rPr>
          <w:b w:val="0"/>
          <w:bCs w:val="0"/>
        </w:rPr>
      </w:r>
    </w:p>
    <w:p>
      <w:pPr>
        <w:pStyle w:val="BodyText"/>
        <w:spacing w:line="219" w:lineRule="exact"/>
        <w:ind w:left="154" w:right="0"/>
        <w:jc w:val="left"/>
      </w:pPr>
      <w:r>
        <w:rPr/>
        <w:t>外币业务采用交易发生日的平均汇率作为折算汇率将外币金额折合成人民币记账。</w:t>
      </w:r>
    </w:p>
    <w:p>
      <w:pPr>
        <w:pStyle w:val="BodyText"/>
        <w:spacing w:line="273" w:lineRule="auto" w:before="37"/>
        <w:ind w:left="154" w:right="1131"/>
        <w:jc w:val="both"/>
      </w:pPr>
      <w:r>
        <w:rPr>
          <w:spacing w:val="-1"/>
        </w:rPr>
        <w:t>资产负债表日外币货币性项目余额按资产负债表日即期汇率折算，由此产生的汇兑差额，除属于与购建符</w:t>
      </w:r>
      <w:r>
        <w:rPr>
          <w:spacing w:val="-81"/>
        </w:rPr>
        <w:t> </w:t>
      </w:r>
      <w:r>
        <w:rPr>
          <w:spacing w:val="-81"/>
        </w:rPr>
      </w:r>
      <w:r>
        <w:rPr>
          <w:spacing w:val="-1"/>
        </w:rPr>
        <w:t>合资本化条件的资产相关的外币专门借款产生的汇兑差额按照借款费用资本化的原则处理外，均计入当期</w:t>
      </w:r>
      <w:r>
        <w:rPr>
          <w:spacing w:val="-81"/>
        </w:rPr>
        <w:t> </w:t>
      </w:r>
      <w:r>
        <w:rPr>
          <w:spacing w:val="-81"/>
        </w:rPr>
      </w:r>
      <w:r>
        <w:rPr/>
        <w:t>损益。</w:t>
      </w:r>
    </w:p>
    <w:p>
      <w:pPr>
        <w:pStyle w:val="BodyText"/>
        <w:spacing w:line="264" w:lineRule="auto" w:before="7"/>
        <w:ind w:right="1093"/>
        <w:jc w:val="left"/>
      </w:pPr>
      <w:r>
        <w:rPr>
          <w:rFonts w:ascii="Times New Roman" w:hAnsi="Times New Roman" w:cs="Times New Roman" w:eastAsia="Times New Roman" w:hint="default"/>
          <w:b/>
          <w:bCs/>
        </w:rPr>
        <w:t>B</w:t>
      </w:r>
      <w:r>
        <w:rPr>
          <w:rFonts w:ascii="宋体" w:hAnsi="宋体" w:cs="宋体" w:eastAsia="宋体" w:hint="default"/>
          <w:b/>
          <w:bCs/>
        </w:rPr>
        <w:t>、外币财务报表的折算</w:t>
      </w:r>
      <w:r>
        <w:rPr>
          <w:rFonts w:ascii="宋体" w:hAnsi="宋体" w:cs="宋体" w:eastAsia="宋体" w:hint="default"/>
          <w:b/>
          <w:bCs/>
          <w:w w:val="99"/>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w:t>
      </w:r>
      <w:r>
        <w:rPr>
          <w:spacing w:val="-1"/>
        </w:rPr>
        <w:t>目外，其他项目采用发生时的即期汇率折算。利润表中的收入和费用项目，采用交易发生日的平均汇率折</w:t>
      </w:r>
      <w:r>
        <w:rPr>
          <w:spacing w:val="-83"/>
        </w:rPr>
        <w:t> </w:t>
      </w:r>
      <w:r>
        <w:rPr>
          <w:spacing w:val="-83"/>
        </w:rPr>
      </w:r>
      <w:r>
        <w:rPr/>
        <w:t>算。 处置境外经营时，将与该境外经营相关的外币财务报表折算差额，自所有者权益项目转入处置当期损益。</w:t>
      </w:r>
    </w:p>
    <w:p>
      <w:pPr>
        <w:spacing w:line="590" w:lineRule="atLeast" w:before="18"/>
        <w:ind w:left="154" w:right="6342" w:firstLine="0"/>
        <w:jc w:val="left"/>
        <w:rPr>
          <w:rFonts w:ascii="宋体" w:hAnsi="宋体" w:cs="宋体" w:eastAsia="宋体" w:hint="default"/>
          <w:sz w:val="21"/>
          <w:szCs w:val="21"/>
        </w:rPr>
      </w:pPr>
      <w:bookmarkStart w:name="10、金融工具" w:id="145"/>
      <w:bookmarkEnd w:id="14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BodyText"/>
        <w:spacing w:line="268" w:lineRule="auto" w:before="37"/>
        <w:ind w:right="1120"/>
        <w:jc w:val="left"/>
        <w:rPr>
          <w:rFonts w:ascii="宋体" w:hAnsi="宋体" w:cs="宋体" w:eastAsia="宋体" w:hint="default"/>
        </w:rPr>
      </w:pPr>
      <w:r>
        <w:rPr>
          <w:rFonts w:ascii="Times New Roman" w:hAnsi="Times New Roman" w:cs="Times New Roman" w:eastAsia="Times New Roman" w:hint="default"/>
          <w:b/>
          <w:bCs/>
        </w:rPr>
        <w:t>A</w:t>
      </w:r>
      <w:r>
        <w:rPr>
          <w:rFonts w:ascii="宋体" w:hAnsi="宋体" w:cs="宋体" w:eastAsia="宋体" w:hint="default"/>
          <w:b/>
          <w:bCs/>
        </w:rPr>
        <w:t>、金融工具的分类</w:t>
      </w:r>
      <w:r>
        <w:rPr>
          <w:rFonts w:ascii="宋体" w:hAnsi="宋体" w:cs="宋体" w:eastAsia="宋体" w:hint="default"/>
          <w:b/>
          <w:bCs/>
          <w:w w:val="99"/>
        </w:rPr>
        <w:t> </w:t>
      </w:r>
      <w:r>
        <w:rPr>
          <w:spacing w:val="3"/>
        </w:rPr>
        <w:t>金融资产和金融负债于初始确认时分类为：以公允价值计量且其变动计入当期损益的金融资产或金融负</w:t>
      </w:r>
      <w:r>
        <w:rPr>
          <w:spacing w:val="-82"/>
        </w:rPr>
        <w:t> </w:t>
      </w:r>
      <w:r>
        <w:rPr>
          <w:spacing w:val="-82"/>
        </w:rPr>
      </w:r>
      <w:r>
        <w:rPr>
          <w:spacing w:val="-1"/>
        </w:rPr>
        <w:t>债，包括交易性金融资产或金融负债和直接指定为以公允价值计量且其变动计入当期损益的金融资产或金</w:t>
      </w:r>
      <w:r>
        <w:rPr>
          <w:spacing w:val="-81"/>
        </w:rPr>
        <w:t> </w:t>
      </w:r>
      <w:r>
        <w:rPr>
          <w:spacing w:val="-81"/>
        </w:rPr>
      </w:r>
      <w:r>
        <w:rPr/>
        <w:t>融负债；持有至到期投资；应收款项；可供出售金融资产；其他金融负债等。 </w:t>
      </w:r>
      <w:r>
        <w:rPr>
          <w:rFonts w:ascii="Times New Roman" w:hAnsi="Times New Roman" w:cs="Times New Roman" w:eastAsia="Times New Roman" w:hint="default"/>
          <w:b/>
          <w:bCs/>
        </w:rPr>
        <w:t>B</w:t>
      </w:r>
      <w:r>
        <w:rPr>
          <w:rFonts w:ascii="宋体" w:hAnsi="宋体" w:cs="宋体" w:eastAsia="宋体" w:hint="default"/>
          <w:b/>
          <w:bCs/>
        </w:rPr>
        <w:t>、金融工具的确认依据和计量方法</w:t>
      </w:r>
      <w:r>
        <w:rPr>
          <w:rFonts w:ascii="宋体" w:hAnsi="宋体" w:cs="宋体" w:eastAsia="宋体" w:hint="default"/>
        </w:rPr>
      </w:r>
    </w:p>
    <w:p>
      <w:pPr>
        <w:pStyle w:val="BodyText"/>
        <w:spacing w:line="268" w:lineRule="auto"/>
        <w:ind w:left="154" w:right="0"/>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1"/>
        </w:rPr>
        <w:t>取得时以公允价值（扣除已宣告但尚未发放的现金股利或已到付息期但尚未领取的债券利息）作为初始确</w:t>
      </w:r>
      <w:r>
        <w:rPr>
          <w:spacing w:val="-80"/>
        </w:rPr>
        <w:t> </w:t>
      </w:r>
      <w:r>
        <w:rPr>
          <w:spacing w:val="-80"/>
        </w:rPr>
      </w:r>
      <w:r>
        <w:rPr/>
        <w:t>认金额，相关的交易费用计入当期损益。 持有期间将取得的利息或现金股利确认为投资收益，年末将公允价值变动计入当期损益。 处置时，其公允价值与初始入账金额之间的差额确认为投资收益，同时调整公允价值变动损益。</w:t>
      </w:r>
    </w:p>
    <w:p>
      <w:pPr>
        <w:pStyle w:val="BodyText"/>
        <w:spacing w:line="240" w:lineRule="auto" w:before="12"/>
        <w:ind w:left="154" w:right="0"/>
        <w:jc w:val="left"/>
      </w:pPr>
      <w:r>
        <w:rPr/>
        <w:t>（</w:t>
      </w:r>
      <w:r>
        <w:rPr>
          <w:rFonts w:ascii="Times New Roman" w:hAnsi="Times New Roman" w:cs="Times New Roman" w:eastAsia="Times New Roman" w:hint="default"/>
        </w:rPr>
        <w:t>2</w:t>
      </w:r>
      <w:r>
        <w:rPr/>
        <w:t>）持有至到期投资</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20"/>
        <w:jc w:val="left"/>
      </w:pPr>
      <w:r>
        <w:rPr/>
        <w:t>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pStyle w:val="BodyText"/>
        <w:spacing w:line="268" w:lineRule="auto" w:before="8"/>
        <w:ind w:left="154" w:right="1092"/>
        <w:jc w:val="left"/>
      </w:pPr>
      <w:r>
        <w:rPr/>
        <w:t>（</w:t>
      </w:r>
      <w:r>
        <w:rPr>
          <w:rFonts w:ascii="Times New Roman" w:hAnsi="Times New Roman" w:cs="Times New Roman" w:eastAsia="Times New Roman" w:hint="default"/>
        </w:rPr>
        <w:t>3</w:t>
      </w:r>
      <w:r>
        <w:rPr/>
        <w:t>）应收款项 </w:t>
      </w:r>
      <w:r>
        <w:rPr>
          <w:spacing w:val="-1"/>
        </w:rPr>
        <w:t>公司对外销售商品或提供劳务形成的应收债权，以及公司持有的其他企业的不包括在活跃市场上有报价的</w:t>
      </w:r>
      <w:r>
        <w:rPr>
          <w:spacing w:val="-81"/>
        </w:rPr>
        <w:t> </w:t>
      </w:r>
      <w:r>
        <w:rPr>
          <w:spacing w:val="-81"/>
        </w:rPr>
      </w:r>
      <w:r>
        <w:rPr/>
        <w:t>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BodyText"/>
        <w:spacing w:line="271" w:lineRule="auto" w:before="12"/>
        <w:ind w:right="0"/>
        <w:jc w:val="left"/>
      </w:pPr>
      <w:r>
        <w:rPr/>
        <w:t>（</w:t>
      </w:r>
      <w:r>
        <w:rPr>
          <w:rFonts w:ascii="Times New Roman" w:hAnsi="Times New Roman" w:cs="Times New Roman" w:eastAsia="Times New Roman" w:hint="default"/>
        </w:rPr>
        <w:t>4</w:t>
      </w:r>
      <w:r>
        <w:rPr/>
        <w:t>）可供出售金融资产 </w:t>
      </w:r>
      <w:r>
        <w:rPr>
          <w:spacing w:val="-1"/>
        </w:rPr>
        <w:t>取得时按公允价值（扣除已宣告但尚未发放的现金股利或已到付息期但尚未领取的债券利息）和相关交易</w:t>
      </w:r>
      <w:r>
        <w:rPr>
          <w:spacing w:val="-81"/>
        </w:rPr>
        <w:t> </w:t>
      </w:r>
      <w:r>
        <w:rPr>
          <w:spacing w:val="-81"/>
        </w:rPr>
      </w:r>
      <w:r>
        <w:rPr/>
        <w:t>费用之和作为初始确认金额。 </w:t>
      </w:r>
      <w:r>
        <w:rPr>
          <w:spacing w:val="-1"/>
        </w:rPr>
        <w:t>持有期间将取得的利息或现金股利确认为投资收益。年末以公允价值计量且将公允价值变动计入其他综合</w:t>
      </w:r>
      <w:r>
        <w:rPr>
          <w:spacing w:val="-81"/>
        </w:rPr>
        <w:t> </w:t>
      </w:r>
      <w:r>
        <w:rPr>
          <w:spacing w:val="-81"/>
        </w:rPr>
      </w:r>
      <w:r>
        <w:rPr>
          <w:spacing w:val="-1"/>
        </w:rPr>
        <w:t>收益。但是，在活跃市场中没有报价且其公允价值不能可靠计量的权益工具投资，以及与该权益工具挂钩</w:t>
      </w:r>
      <w:r>
        <w:rPr>
          <w:spacing w:val="-83"/>
        </w:rPr>
        <w:t> </w:t>
      </w:r>
      <w:r>
        <w:rPr>
          <w:spacing w:val="-83"/>
        </w:rPr>
      </w:r>
      <w:r>
        <w:rPr/>
        <w:t>并须通过交付该权益工具结算的衍生金融资产，按照成本计量。 </w:t>
      </w:r>
      <w:r>
        <w:rPr>
          <w:spacing w:val="-1"/>
        </w:rPr>
        <w:t>处置时，将取得的价款与该金融资产账面价值之间的差额，计入投资损益；同时，将原直接计入其他综合</w:t>
      </w:r>
      <w:r>
        <w:rPr>
          <w:spacing w:val="-86"/>
        </w:rPr>
        <w:t> </w:t>
      </w:r>
      <w:r>
        <w:rPr>
          <w:spacing w:val="-86"/>
        </w:rPr>
      </w:r>
      <w:r>
        <w:rPr/>
        <w:t>收益的公允价值变动累计额对应处置部分的金额转出，计入当期损益。</w:t>
      </w:r>
    </w:p>
    <w:p>
      <w:pPr>
        <w:spacing w:line="264" w:lineRule="auto" w:before="10"/>
        <w:ind w:left="153" w:right="29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）其他金融负债 按其公允价值和相关交易费用之和作为初始确认金额。采用摊余成本进行后续计量。 </w:t>
      </w:r>
      <w:r>
        <w:rPr>
          <w:rFonts w:ascii="Times New Roman" w:hAnsi="Times New Roman" w:cs="Times New Roman" w:eastAsia="Times New Roman" w:hint="default"/>
          <w:b/>
          <w:bCs/>
          <w:sz w:val="21"/>
          <w:szCs w:val="21"/>
        </w:rPr>
        <w:t>C</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pStyle w:val="BodyText"/>
        <w:spacing w:line="273" w:lineRule="auto"/>
        <w:ind w:right="0"/>
        <w:jc w:val="left"/>
      </w:pP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r>
        <w:rPr>
          <w:spacing w:val="-81"/>
        </w:rPr>
        <w:t> </w:t>
      </w:r>
      <w:r>
        <w:rPr>
          <w:spacing w:val="-81"/>
        </w:rPr>
      </w: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BodyText"/>
        <w:spacing w:line="240" w:lineRule="auto" w:before="7"/>
        <w:ind w:right="0"/>
        <w:jc w:val="left"/>
      </w:pPr>
      <w:r>
        <w:rPr/>
        <w:t>（</w:t>
      </w:r>
      <w:r>
        <w:rPr>
          <w:rFonts w:ascii="Times New Roman" w:hAnsi="Times New Roman" w:cs="Times New Roman" w:eastAsia="Times New Roman" w:hint="default"/>
        </w:rPr>
        <w:t>1</w:t>
      </w:r>
      <w:r>
        <w:rPr/>
        <w:t>）所转移金融资产的账面价值；</w:t>
      </w:r>
    </w:p>
    <w:p>
      <w:pPr>
        <w:pStyle w:val="BodyText"/>
        <w:spacing w:line="266" w:lineRule="auto" w:before="21"/>
        <w:ind w:right="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w:t>
      </w:r>
      <w:r>
        <w:rPr>
          <w:spacing w:val="-35"/>
        </w:rPr>
        <w:t> </w:t>
      </w:r>
      <w:r>
        <w:rPr>
          <w:spacing w:val="-35"/>
        </w:rPr>
      </w:r>
      <w:r>
        <w:rPr/>
        <w:t>供出售金融资产的情形）之和。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BodyText"/>
        <w:spacing w:line="240" w:lineRule="auto" w:before="14"/>
        <w:ind w:right="0"/>
        <w:jc w:val="left"/>
      </w:pPr>
      <w:r>
        <w:rPr/>
        <w:t>（</w:t>
      </w:r>
      <w:r>
        <w:rPr>
          <w:rFonts w:ascii="Times New Roman" w:hAnsi="Times New Roman" w:cs="Times New Roman" w:eastAsia="Times New Roman" w:hint="default"/>
        </w:rPr>
        <w:t>1</w:t>
      </w:r>
      <w:r>
        <w:rPr/>
        <w:t>）终止确认部分的账面价值；</w:t>
      </w:r>
    </w:p>
    <w:p>
      <w:pPr>
        <w:pStyle w:val="BodyText"/>
        <w:spacing w:line="240" w:lineRule="auto" w:before="21"/>
        <w:ind w:right="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w:t>
      </w:r>
    </w:p>
    <w:p>
      <w:pPr>
        <w:pStyle w:val="BodyText"/>
        <w:spacing w:line="271" w:lineRule="auto" w:before="21"/>
        <w:ind w:right="1024"/>
        <w:jc w:val="left"/>
      </w:pPr>
      <w:r>
        <w:rPr/>
        <w:t>（涉及转移的金融资产为可供出售金融资产的情形）之和。 金融资产转移不满足终止确认条件的，继续确认该金融资产，所收到的对价确认为一项金融负债。 </w:t>
      </w:r>
      <w:r>
        <w:rPr>
          <w:rFonts w:ascii="Times New Roman" w:hAnsi="Times New Roman" w:cs="Times New Roman" w:eastAsia="Times New Roman" w:hint="default"/>
          <w:b/>
          <w:bCs/>
        </w:rPr>
        <w:t>D</w:t>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担的新金融负债）之间的差额，计入当期损益。</w:t>
      </w:r>
    </w:p>
    <w:p>
      <w:pPr>
        <w:pStyle w:val="BodyText"/>
        <w:spacing w:line="268" w:lineRule="auto" w:before="37"/>
        <w:ind w:right="1120"/>
        <w:jc w:val="left"/>
      </w:pPr>
      <w:r>
        <w:rPr>
          <w:rFonts w:ascii="Times New Roman" w:hAnsi="Times New Roman" w:cs="Times New Roman" w:eastAsia="Times New Roman" w:hint="default"/>
          <w:b/>
          <w:bCs/>
        </w:rPr>
        <w:t>E</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1"/>
        </w:rPr>
        <w:t>存在活跃市场的金融工具，以活跃市场中的报价确定其公允价值。不存在活跃市场的金融工具，采用估值</w:t>
      </w:r>
      <w:r>
        <w:rPr>
          <w:spacing w:val="-83"/>
        </w:rPr>
        <w:t> </w:t>
      </w:r>
      <w:r>
        <w:rPr>
          <w:spacing w:val="-83"/>
        </w:rPr>
      </w:r>
      <w:r>
        <w:rPr>
          <w:spacing w:val="-1"/>
        </w:rPr>
        <w:t>技术确定其公允价值。在估值时，本公司采用在当前情况下适用并且有足够可利用数据和其他信息支持的</w:t>
      </w:r>
      <w:r>
        <w:rPr>
          <w:spacing w:val="-81"/>
        </w:rPr>
        <w:t> </w:t>
      </w:r>
      <w:r>
        <w:rPr>
          <w:spacing w:val="-81"/>
        </w:rPr>
      </w:r>
      <w:r>
        <w:rPr>
          <w:spacing w:val="-1"/>
        </w:rPr>
        <w:t>估值技术，选择与市场参与者在相关资产或负债的交易中所考虑的资产或负债特征相一致的输入值，并优</w:t>
      </w:r>
      <w:r>
        <w:rPr>
          <w:spacing w:val="-81"/>
        </w:rPr>
        <w:t> </w:t>
      </w:r>
      <w:r>
        <w:rPr>
          <w:spacing w:val="-81"/>
        </w:rPr>
      </w:r>
      <w:r>
        <w:rPr>
          <w:spacing w:val="-1"/>
        </w:rPr>
        <w:t>先使用相关可观察输入值。只有在相关可观察输入值无法取得或取得不切实可行的情况下，才使用不可观</w:t>
      </w:r>
      <w:r>
        <w:rPr>
          <w:spacing w:val="-81"/>
        </w:rPr>
        <w:t> </w:t>
      </w:r>
      <w:r>
        <w:rPr>
          <w:spacing w:val="-81"/>
        </w:rPr>
      </w:r>
      <w:r>
        <w:rPr/>
        <w:t>察输入值。</w:t>
      </w:r>
    </w:p>
    <w:p>
      <w:pPr>
        <w:spacing w:line="264" w:lineRule="auto" w:before="12"/>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F</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除以公允价值计量且其变动计入当期损益的金融资产外，本公司于资产负债表日对金融资产的账面价值进</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行检查，如果有客观证据表明某项金融资产发生减值的，计提减值准备。</w:t>
      </w:r>
    </w:p>
    <w:p>
      <w:pPr>
        <w:pStyle w:val="BodyText"/>
        <w:spacing w:line="271" w:lineRule="auto" w:before="16"/>
        <w:ind w:right="0"/>
        <w:jc w:val="left"/>
      </w:pPr>
      <w:r>
        <w:rPr/>
        <w:t>（</w:t>
      </w:r>
      <w:r>
        <w:rPr>
          <w:rFonts w:ascii="Times New Roman" w:hAnsi="Times New Roman" w:cs="Times New Roman" w:eastAsia="Times New Roman" w:hint="default"/>
        </w:rPr>
        <w:t>1</w:t>
      </w:r>
      <w:r>
        <w:rPr/>
        <w:t>）可供出售金融资产的减值准备： </w:t>
      </w:r>
      <w:r>
        <w:rPr>
          <w:spacing w:val="-1"/>
        </w:rPr>
        <w:t>年末如果可供出售金融资产的公允价值发生严重下降，或在综合考虑各种相关因素后，预期这种下降趋势</w:t>
      </w:r>
      <w:r>
        <w:rPr>
          <w:spacing w:val="-81"/>
        </w:rPr>
        <w:t> </w:t>
      </w:r>
      <w:r>
        <w:rPr>
          <w:spacing w:val="-81"/>
        </w:rPr>
      </w:r>
      <w:r>
        <w:rPr>
          <w:spacing w:val="-1"/>
        </w:rPr>
        <w:t>属于非暂时性的，就认定其已发生减值，将原直接计入所有者权益的公允价值下降形成的累计损失一并转</w:t>
      </w:r>
      <w:r>
        <w:rPr>
          <w:spacing w:val="-80"/>
        </w:rPr>
        <w:t> </w:t>
      </w:r>
      <w:r>
        <w:rPr>
          <w:spacing w:val="-80"/>
        </w:rPr>
      </w:r>
      <w:r>
        <w:rPr/>
        <w:t>出，确认减值损失。 </w:t>
      </w:r>
      <w:r>
        <w:rPr>
          <w:spacing w:val="-1"/>
        </w:rPr>
        <w:t>对于已确认减值损失的可供出售债务工具，在随后的会计期间公允价值已上升且客观上与确认原减值损失</w:t>
      </w:r>
      <w:r>
        <w:rPr>
          <w:spacing w:val="-81"/>
        </w:rPr>
        <w:t> </w:t>
      </w:r>
      <w:r>
        <w:rPr>
          <w:spacing w:val="-81"/>
        </w:rPr>
      </w:r>
      <w:r>
        <w:rPr/>
        <w:t>确认后发生的事项有关的，原确认的减值损失予以转回，计入当期损益。 可供出售权益工具投资发生的减值损失，不通过损益转回。</w:t>
      </w:r>
    </w:p>
    <w:p>
      <w:pPr>
        <w:pStyle w:val="BodyText"/>
        <w:spacing w:line="256" w:lineRule="auto" w:before="10"/>
        <w:ind w:right="424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11、应收款项" w:id="146"/>
      <w:bookmarkEnd w:id="146"/>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47"/>
      <w:bookmarkEnd w:id="14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年末余额占应收账款年末余额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以上的应收款项。</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按信用风险特征组合计提坏账准备的应收款项" w:id="148"/>
      <w:bookmarkEnd w:id="14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上重大但单独计提坏账准备的应收款项" w:id="149"/>
      <w:bookmarkEnd w:id="14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0"/>
        <w:ind w:left="0" w:right="1140" w:firstLine="0"/>
        <w:jc w:val="right"/>
        <w:rPr>
          <w:rFonts w:ascii="宋体" w:hAnsi="宋体" w:cs="宋体" w:eastAsia="宋体" w:hint="default"/>
          <w:sz w:val="18"/>
          <w:szCs w:val="18"/>
        </w:rPr>
      </w:pPr>
      <w:r>
        <w:rPr/>
        <w:pict>
          <v:shape style="position:absolute;margin-left:56.459999pt;margin-top:-85.548309pt;width:479.2pt;height:103.1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有客观证据表明可能发生减值，如债务人出现撤销、破产或 死亡，以其破产财产或遗产清偿后仍不能收回，现金流量严 重不足等情况。</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对有客观证据表明可能发生了减值的应收款项，将其从相关 组合中分离出来，单独进行减值测试，根据其未来现金流量 </w:t>
                        </w:r>
                        <w:r>
                          <w:rPr>
                            <w:rFonts w:ascii="宋体" w:hAnsi="宋体" w:cs="宋体" w:eastAsia="宋体" w:hint="default"/>
                            <w:spacing w:val="-2"/>
                            <w:sz w:val="18"/>
                            <w:szCs w:val="18"/>
                          </w:rPr>
                          <w:t>现值低于其账面价值的差额，确认减值损失，计提坏账准备</w:t>
                        </w:r>
                      </w:p>
                    </w:tc>
                  </w:tr>
                </w:tbl>
                <w:p>
                  <w:pPr/>
                </w:p>
              </w:txbxContent>
            </v:textbox>
            <w10:wrap type="none"/>
          </v:shape>
        </w:pict>
      </w:r>
      <w:r>
        <w:rPr>
          <w:rFonts w:ascii="宋体" w:hAnsi="宋体" w:cs="宋体" w:eastAsia="宋体" w:hint="default"/>
          <w:sz w:val="18"/>
          <w:szCs w:val="18"/>
        </w:rPr>
        <w:t>。</w:t>
      </w:r>
    </w:p>
    <w:p>
      <w:pPr>
        <w:spacing w:line="240" w:lineRule="auto" w:before="13"/>
        <w:rPr>
          <w:rFonts w:ascii="宋体" w:hAnsi="宋体" w:cs="宋体" w:eastAsia="宋体" w:hint="default"/>
          <w:sz w:val="27"/>
          <w:szCs w:val="27"/>
        </w:rPr>
      </w:pPr>
    </w:p>
    <w:p>
      <w:pPr>
        <w:pStyle w:val="Heading4"/>
        <w:spacing w:line="240" w:lineRule="auto" w:before="35"/>
        <w:ind w:left="154" w:right="0"/>
        <w:jc w:val="left"/>
        <w:rPr>
          <w:b w:val="0"/>
          <w:bCs w:val="0"/>
        </w:rPr>
      </w:pPr>
      <w:bookmarkStart w:name="12、存货" w:id="150"/>
      <w:bookmarkEnd w:id="150"/>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line="264" w:lineRule="auto" w:before="0"/>
        <w:ind w:left="153" w:right="214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A</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t>存货分类为：存货分类为：原材料、半成品、产成品、发出商品、委托加工物资、包装物等。 </w:t>
      </w:r>
      <w:r>
        <w:rPr>
          <w:rFonts w:ascii="Times New Roman" w:hAnsi="Times New Roman" w:cs="Times New Roman" w:eastAsia="Times New Roman" w:hint="default"/>
          <w:b/>
          <w:bCs/>
          <w:sz w:val="21"/>
          <w:szCs w:val="21"/>
        </w:rPr>
        <w:t>B</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pStyle w:val="BodyText"/>
        <w:spacing w:line="273" w:lineRule="exact"/>
        <w:ind w:right="0"/>
        <w:jc w:val="left"/>
      </w:pPr>
      <w:r>
        <w:rPr/>
        <w:t>存货发出时按月末一次加权平均法计价。</w:t>
      </w:r>
    </w:p>
    <w:p>
      <w:pPr>
        <w:pStyle w:val="BodyText"/>
        <w:spacing w:line="271" w:lineRule="auto" w:before="37"/>
        <w:ind w:right="1120"/>
        <w:jc w:val="left"/>
      </w:pPr>
      <w:r>
        <w:rPr>
          <w:rFonts w:ascii="Times New Roman" w:hAnsi="Times New Roman" w:cs="Times New Roman" w:eastAsia="Times New Roman" w:hint="default"/>
          <w:b/>
          <w:bCs/>
        </w:rPr>
        <w:t>C</w:t>
      </w:r>
      <w:r>
        <w:rPr>
          <w:rFonts w:ascii="宋体" w:hAnsi="宋体" w:cs="宋体" w:eastAsia="宋体" w:hint="default"/>
          <w:b/>
          <w:bCs/>
        </w:rPr>
        <w:t>、不同类别存货可变现净值的确定依据</w:t>
      </w:r>
      <w:r>
        <w:rPr>
          <w:rFonts w:ascii="宋体" w:hAnsi="宋体" w:cs="宋体" w:eastAsia="宋体" w:hint="default"/>
          <w:b/>
          <w:bCs/>
          <w:w w:val="99"/>
        </w:rPr>
        <w:t>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年末按照单个存货项目计提存货跌价准备；但对于数量繁多、单价较低的存货，按照存货类别计提存货跌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 </w:t>
      </w:r>
      <w:r>
        <w:rPr>
          <w:spacing w:val="-1"/>
        </w:rPr>
        <w:t>除有明确证据表明资产负债表日市场价格异常外，存货项目的可变现净值以资产负债表日市场价格为基础</w:t>
      </w:r>
      <w:r>
        <w:rPr>
          <w:spacing w:val="-81"/>
        </w:rPr>
        <w:t> </w:t>
      </w:r>
      <w:r>
        <w:rPr>
          <w:spacing w:val="-81"/>
        </w:rPr>
      </w:r>
      <w:r>
        <w:rPr/>
        <w:t>确定。</w:t>
      </w:r>
    </w:p>
    <w:p>
      <w:pPr>
        <w:pStyle w:val="BodyText"/>
        <w:spacing w:line="240" w:lineRule="auto" w:before="10"/>
        <w:ind w:left="154" w:right="0"/>
        <w:jc w:val="left"/>
      </w:pPr>
      <w:r>
        <w:rPr/>
        <w:t>本年年末存货项目的可变现净值以资产负债表日市场价格为基础确定。</w:t>
      </w:r>
    </w:p>
    <w:p>
      <w:pPr>
        <w:spacing w:line="264" w:lineRule="auto" w:before="37"/>
        <w:ind w:left="153" w:right="745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D</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 </w:t>
      </w:r>
      <w:r>
        <w:rPr>
          <w:rFonts w:ascii="Times New Roman" w:hAnsi="Times New Roman" w:cs="Times New Roman" w:eastAsia="Times New Roman" w:hint="default"/>
          <w:b/>
          <w:bCs/>
          <w:sz w:val="21"/>
          <w:szCs w:val="21"/>
        </w:rPr>
        <w:t>E</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89" w:lineRule="exact"/>
        <w:ind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1"/>
        <w:ind w:right="0"/>
        <w:jc w:val="left"/>
      </w:pPr>
      <w:r>
        <w:rPr/>
        <w:t>（</w:t>
      </w:r>
      <w:r>
        <w:rPr>
          <w:rFonts w:ascii="Times New Roman" w:hAnsi="Times New Roman" w:cs="Times New Roman" w:eastAsia="Times New Roman" w:hint="default"/>
        </w:rPr>
        <w:t>2</w:t>
      </w:r>
      <w:r>
        <w:rPr/>
        <w:t>）包装物采用一次转销法。</w:t>
      </w:r>
    </w:p>
    <w:p>
      <w:pPr>
        <w:spacing w:line="240" w:lineRule="auto" w:before="9"/>
        <w:rPr>
          <w:rFonts w:ascii="宋体" w:hAnsi="宋体" w:cs="宋体" w:eastAsia="宋体" w:hint="default"/>
          <w:sz w:val="24"/>
          <w:szCs w:val="24"/>
        </w:rPr>
      </w:pPr>
    </w:p>
    <w:p>
      <w:pPr>
        <w:spacing w:line="506" w:lineRule="auto" w:before="0"/>
        <w:ind w:left="153" w:right="3823" w:firstLine="0"/>
        <w:jc w:val="left"/>
        <w:rPr>
          <w:rFonts w:ascii="宋体" w:hAnsi="宋体" w:cs="宋体" w:eastAsia="宋体" w:hint="default"/>
          <w:sz w:val="21"/>
          <w:szCs w:val="21"/>
        </w:rPr>
      </w:pPr>
      <w:bookmarkStart w:name="13、划分为持有待售资产" w:id="151"/>
      <w:bookmarkEnd w:id="151"/>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本公司将同时满足下列条件的组成部分（或非流动资产）确认为持有待售：</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256" w:lineRule="auto" w:before="21"/>
        <w:ind w:left="154" w:right="0"/>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w:t>
      </w:r>
      <w:r>
        <w:rPr>
          <w:spacing w:val="-35"/>
        </w:rPr>
        <w:t> </w:t>
      </w:r>
      <w:r>
        <w:rPr>
          <w:spacing w:val="-35"/>
        </w:rPr>
      </w:r>
      <w:r>
        <w:rPr/>
        <w:t>东大会或相应权力机构的批准；</w:t>
      </w:r>
    </w:p>
    <w:p>
      <w:pPr>
        <w:pStyle w:val="BodyText"/>
        <w:spacing w:line="240" w:lineRule="auto" w:before="22"/>
        <w:ind w:left="154" w:right="0"/>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21"/>
        <w:ind w:right="0"/>
        <w:jc w:val="left"/>
      </w:pPr>
      <w:r>
        <w:rPr/>
        <w:t>（</w:t>
      </w:r>
      <w:r>
        <w:rPr>
          <w:rFonts w:ascii="Times New Roman" w:hAnsi="Times New Roman" w:cs="Times New Roman" w:eastAsia="Times New Roman" w:hint="default"/>
        </w:rPr>
        <w:t>4</w:t>
      </w:r>
      <w:r>
        <w:rPr/>
        <w:t>）该项转让将在一年内完成。</w:t>
      </w:r>
    </w:p>
    <w:p>
      <w:pPr>
        <w:pStyle w:val="Heading4"/>
        <w:spacing w:line="610" w:lineRule="atLeast" w:before="3"/>
        <w:ind w:left="154" w:right="7438"/>
        <w:jc w:val="left"/>
        <w:rPr>
          <w:b w:val="0"/>
          <w:bCs w:val="0"/>
        </w:rPr>
      </w:pPr>
      <w:bookmarkStart w:name="14、长期股权投资" w:id="152"/>
      <w:bookmarkEnd w:id="152"/>
      <w:r>
        <w:rPr>
          <w:b w:val="0"/>
          <w:bCs w:val="0"/>
        </w:rPr>
      </w:r>
      <w:r>
        <w:rPr>
          <w:rFonts w:ascii="Times New Roman" w:hAnsi="Times New Roman" w:cs="Times New Roman" w:eastAsia="Times New Roman" w:hint="default"/>
        </w:rPr>
        <w:t>14</w:t>
      </w:r>
      <w:r>
        <w:rPr/>
        <w:t>、长期股权投资</w:t>
      </w:r>
      <w:r>
        <w:rPr>
          <w:w w:val="99"/>
        </w:rPr>
        <w:t> </w:t>
      </w:r>
      <w:r>
        <w:rPr>
          <w:rFonts w:ascii="Times New Roman" w:hAnsi="Times New Roman" w:cs="Times New Roman" w:eastAsia="Times New Roman" w:hint="default"/>
        </w:rPr>
        <w:t>A</w:t>
      </w:r>
      <w:r>
        <w:rPr/>
        <w:t>、共同控制、重大影响的判断标准</w:t>
      </w:r>
      <w:r>
        <w:rPr>
          <w:b w:val="0"/>
          <w:bCs w:val="0"/>
        </w:rPr>
      </w:r>
    </w:p>
    <w:p>
      <w:pPr>
        <w:pStyle w:val="BodyText"/>
        <w:spacing w:line="273" w:lineRule="auto" w:before="21"/>
        <w:ind w:right="0"/>
        <w:jc w:val="left"/>
        <w:rPr>
          <w:rFonts w:ascii="宋体" w:hAnsi="宋体" w:cs="宋体" w:eastAsia="宋体" w:hint="default"/>
        </w:rPr>
      </w:pPr>
      <w:r>
        <w:rPr>
          <w:spacing w:val="-1"/>
        </w:rPr>
        <w:t>共同控制，是指按照相关约定对某项安排所共有的控制，并且该安排的相关活动必须经过分享控制权的参</w:t>
      </w:r>
      <w:r>
        <w:rPr>
          <w:spacing w:val="-81"/>
        </w:rPr>
        <w:t> </w:t>
      </w:r>
      <w:r>
        <w:rPr>
          <w:spacing w:val="-81"/>
        </w:rPr>
      </w:r>
      <w:r>
        <w:rPr>
          <w:spacing w:val="-1"/>
        </w:rPr>
        <w:t>与方一致同意后才能决策。本公司与其他合营方一同对被投资单位实施共同控制且对被投资单位净资产享</w:t>
      </w:r>
      <w:r>
        <w:rPr>
          <w:spacing w:val="-81"/>
        </w:rPr>
        <w:t> </w:t>
      </w:r>
      <w:r>
        <w:rPr>
          <w:spacing w:val="-81"/>
        </w:rPr>
      </w:r>
      <w:r>
        <w:rPr/>
        <w:t>有权利的，被投资单位为本公司的合营企业。 </w:t>
      </w:r>
      <w:r>
        <w:rPr>
          <w:spacing w:val="-1"/>
        </w:rPr>
        <w:t>重大影响，是指对一个企业的财务和经营决策有参与决策的权力，但并不能够控制或者与其他方一起共同</w:t>
      </w:r>
      <w:r>
        <w:rPr>
          <w:spacing w:val="-81"/>
        </w:rPr>
        <w:t> </w:t>
      </w:r>
      <w:r>
        <w:rPr>
          <w:spacing w:val="-81"/>
        </w:rPr>
      </w:r>
      <w:r>
        <w:rPr/>
        <w:t>控制这些政策的制定。本能够对被投资单位施加重大影响的，被投资单位为本公司联营企业。</w:t>
      </w:r>
      <w:r>
        <w:rPr/>
        <w:t> </w:t>
      </w:r>
      <w:r>
        <w:rPr>
          <w:rFonts w:ascii="Times New Roman" w:hAnsi="Times New Roman" w:cs="Times New Roman" w:eastAsia="Times New Roman" w:hint="default"/>
          <w:b/>
          <w:bCs/>
        </w:rPr>
        <w:t>B</w:t>
      </w:r>
      <w:r>
        <w:rPr>
          <w:rFonts w:ascii="宋体" w:hAnsi="宋体" w:cs="宋体" w:eastAsia="宋体" w:hint="default"/>
          <w:b/>
          <w:bCs/>
        </w:rPr>
        <w:t>、初始投资成本的确定</w:t>
      </w:r>
      <w:r>
        <w:rPr>
          <w:rFonts w:ascii="宋体" w:hAnsi="宋体" w:cs="宋体" w:eastAsia="宋体" w:hint="default"/>
        </w:rPr>
      </w:r>
    </w:p>
    <w:p>
      <w:pPr>
        <w:pStyle w:val="BodyText"/>
        <w:spacing w:line="271" w:lineRule="auto"/>
        <w:ind w:right="1093"/>
        <w:jc w:val="left"/>
      </w:pPr>
      <w:r>
        <w:rPr/>
        <w:t>（</w:t>
      </w:r>
      <w:r>
        <w:rPr>
          <w:rFonts w:ascii="Times New Roman" w:hAnsi="Times New Roman" w:cs="Times New Roman" w:eastAsia="Times New Roman" w:hint="default"/>
        </w:rPr>
        <w:t>1</w:t>
      </w:r>
      <w:r>
        <w:rPr/>
        <w:t>）企业合并形成的长期股权投资 </w:t>
      </w: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并对价的，在合并日按照取得被合并方所有者权益在最终控制方合并财务报表中的账面价值的份额作为长</w:t>
      </w:r>
      <w:r>
        <w:rPr>
          <w:spacing w:val="-81"/>
        </w:rPr>
        <w:t> </w:t>
      </w:r>
      <w:r>
        <w:rPr>
          <w:spacing w:val="-81"/>
        </w:rPr>
      </w:r>
      <w:r>
        <w:rPr>
          <w:spacing w:val="-1"/>
        </w:rPr>
        <w:t>期股权投资的初始投资成本。因追加投资等原因能够对同一控制下的被投资单位实施控制的，在合并日根</w:t>
      </w:r>
      <w:r>
        <w:rPr>
          <w:spacing w:val="-81"/>
        </w:rPr>
        <w:t> </w:t>
      </w:r>
      <w:r>
        <w:rPr>
          <w:spacing w:val="-81"/>
        </w:rPr>
      </w:r>
      <w:r>
        <w:rPr>
          <w:spacing w:val="-1"/>
        </w:rPr>
        <w:t>据合并后应享有被合并方净资产在最终控制方合并财务报表中的账面价值的份额，确定长期股权投资的初</w:t>
      </w:r>
      <w:r>
        <w:rPr>
          <w:spacing w:val="-81"/>
        </w:rPr>
        <w:t> </w:t>
      </w:r>
      <w:r>
        <w:rPr>
          <w:spacing w:val="-81"/>
        </w:rPr>
      </w:r>
      <w:r>
        <w:rPr>
          <w:spacing w:val="-1"/>
        </w:rPr>
        <w:t>始投资成本。合并日长期股权投资的初始投资成本，与达到合并前的长期股权投资账面价值加上合并日进</w:t>
      </w:r>
      <w:r>
        <w:rPr>
          <w:spacing w:val="-80"/>
        </w:rPr>
        <w:t> </w:t>
      </w:r>
      <w:r>
        <w:rPr>
          <w:spacing w:val="-80"/>
        </w:rPr>
      </w:r>
      <w:r>
        <w:rPr/>
        <w:t>一步取得股份新支付对价的账面价值之和的差额，调整股本溢价，股本溢价不足冲减的，冲减留存收益。 </w:t>
      </w:r>
      <w:r>
        <w:rPr>
          <w:spacing w:val="-1"/>
        </w:rPr>
        <w:t>非同一控制下的企业合并：公司按照购买日确定的合并成本作为长期股权投资的初始投资成本。因追加投</w:t>
      </w:r>
      <w:r>
        <w:rPr>
          <w:spacing w:val="-81"/>
        </w:rPr>
        <w:t> </w:t>
      </w:r>
      <w:r>
        <w:rPr>
          <w:spacing w:val="-81"/>
        </w:rPr>
      </w:r>
      <w:r>
        <w:rPr>
          <w:spacing w:val="-1"/>
        </w:rPr>
        <w:t>资等原因能够对非同一控制下的被投资单位实施控制的，按照原持有的股权投资账面价值加上新增投资成</w:t>
      </w:r>
      <w:r>
        <w:rPr>
          <w:spacing w:val="-81"/>
        </w:rPr>
        <w:t> </w:t>
      </w:r>
      <w:r>
        <w:rPr>
          <w:spacing w:val="-81"/>
        </w:rPr>
      </w:r>
      <w:r>
        <w:rPr/>
        <w:t>本之和，作为改按成本法核算的初始投资成本。</w:t>
      </w:r>
    </w:p>
    <w:p>
      <w:pPr>
        <w:pStyle w:val="BodyText"/>
        <w:spacing w:line="271" w:lineRule="auto" w:before="10"/>
        <w:ind w:right="1120"/>
        <w:jc w:val="left"/>
        <w:rPr>
          <w:rFonts w:ascii="宋体" w:hAnsi="宋体" w:cs="宋体" w:eastAsia="宋体" w:hint="default"/>
        </w:rPr>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在非货币性资产交换具备商业实质和换入资产或换出资产的公允价值能够可靠计量的前提下，非货币性资</w:t>
      </w:r>
      <w:r>
        <w:rPr>
          <w:spacing w:val="-81"/>
        </w:rPr>
        <w:t> </w:t>
      </w:r>
      <w:r>
        <w:rPr>
          <w:spacing w:val="-81"/>
        </w:rPr>
      </w:r>
      <w:r>
        <w:rPr>
          <w:spacing w:val="-1"/>
        </w:rPr>
        <w:t>产交换换入的长期股权投资以换出资产的公允价值和应支付的相关税费确定其初始投资成本，除非有确凿</w:t>
      </w:r>
      <w:r>
        <w:rPr>
          <w:spacing w:val="-81"/>
        </w:rPr>
        <w:t> </w:t>
      </w:r>
      <w:r>
        <w:rPr>
          <w:spacing w:val="-81"/>
        </w:rPr>
      </w:r>
      <w:r>
        <w:rPr>
          <w:spacing w:val="-1"/>
        </w:rPr>
        <w:t>证据表明换入资产的公允价值更加可靠；不满足上述前提的非货币性资产交换，以换出资产的账面价值和</w:t>
      </w:r>
      <w:r>
        <w:rPr>
          <w:spacing w:val="-81"/>
        </w:rPr>
        <w:t> </w:t>
      </w:r>
      <w:r>
        <w:rPr>
          <w:spacing w:val="-81"/>
        </w:rPr>
      </w:r>
      <w:r>
        <w:rPr/>
        <w:t>应支付的相关税费作为换入长期股权投资的初始投资成本。 通过债务重组取得的长期股权投资，其初始投资成本按照公允价值为基础确定。 </w:t>
      </w:r>
      <w:r>
        <w:rPr>
          <w:rFonts w:ascii="Times New Roman" w:hAnsi="Times New Roman" w:cs="Times New Roman" w:eastAsia="Times New Roman" w:hint="default"/>
          <w:b/>
          <w:bCs/>
        </w:rPr>
        <w:t>C</w:t>
      </w:r>
      <w:r>
        <w:rPr>
          <w:rFonts w:ascii="宋体" w:hAnsi="宋体" w:cs="宋体" w:eastAsia="宋体" w:hint="default"/>
          <w:b/>
          <w:bCs/>
        </w:rPr>
        <w:t>、后续计量及损益确认方法</w:t>
      </w:r>
      <w:r>
        <w:rPr>
          <w:rFonts w:ascii="宋体" w:hAnsi="宋体" w:cs="宋体" w:eastAsia="宋体" w:hint="default"/>
        </w:rPr>
      </w:r>
    </w:p>
    <w:p>
      <w:pPr>
        <w:pStyle w:val="BodyText"/>
        <w:spacing w:line="264" w:lineRule="auto"/>
        <w:ind w:right="1093"/>
        <w:jc w:val="left"/>
      </w:pPr>
      <w:r>
        <w:rPr/>
        <w:t>（</w:t>
      </w:r>
      <w:r>
        <w:rPr>
          <w:rFonts w:ascii="Times New Roman" w:hAnsi="Times New Roman" w:cs="Times New Roman" w:eastAsia="Times New Roman" w:hint="default"/>
        </w:rPr>
        <w:t>1</w:t>
      </w:r>
      <w:r>
        <w:rPr/>
        <w:t>）成本法核算的长期股权投资 </w:t>
      </w:r>
      <w:r>
        <w:rPr>
          <w:spacing w:val="-1"/>
        </w:rPr>
        <w:t>公司对子公司的长期股权投资，采用成本法核算。除取得投资时实际支付的价款或对价中包含的已宣告但</w:t>
      </w:r>
      <w:r>
        <w:rPr>
          <w:spacing w:val="-81"/>
        </w:rPr>
        <w:t> </w:t>
      </w:r>
      <w:r>
        <w:rPr>
          <w:spacing w:val="-81"/>
        </w:rPr>
      </w:r>
      <w:r>
        <w:rPr/>
        <w:t>尚未发放的现金股利或利润外，公司按照享有被投资单位宣告发放的现金股利或利润确认当期投资收益。</w:t>
      </w:r>
    </w:p>
    <w:p>
      <w:pPr>
        <w:pStyle w:val="BodyText"/>
        <w:spacing w:line="271" w:lineRule="auto" w:before="16"/>
        <w:ind w:right="0"/>
        <w:jc w:val="left"/>
      </w:pPr>
      <w:r>
        <w:rPr/>
        <w:t>（</w:t>
      </w:r>
      <w:r>
        <w:rPr>
          <w:rFonts w:ascii="Times New Roman" w:hAnsi="Times New Roman" w:cs="Times New Roman" w:eastAsia="Times New Roman" w:hint="default"/>
        </w:rPr>
        <w:t>2</w:t>
      </w:r>
      <w:r>
        <w:rPr/>
        <w:t>）权益法核算的长期股权投资 </w:t>
      </w:r>
      <w:r>
        <w:rPr>
          <w:spacing w:val="-1"/>
        </w:rPr>
        <w:t>对联营企业和合营企业的长期股权投资，采用权益法核算。初始投资成本大于投资时应享有被投资单位可</w:t>
      </w:r>
      <w:r>
        <w:rPr>
          <w:spacing w:val="-81"/>
        </w:rPr>
        <w:t> </w:t>
      </w:r>
      <w:r>
        <w:rPr>
          <w:spacing w:val="-81"/>
        </w:rPr>
      </w:r>
      <w:r>
        <w:rPr>
          <w:spacing w:val="-1"/>
        </w:rPr>
        <w:t>辨认净资产公允价值份额的差额，不调整长期股权投资的初始投资成本；初始投资成本小于投资时应享有</w:t>
      </w:r>
      <w:r>
        <w:rPr>
          <w:spacing w:val="-81"/>
        </w:rPr>
        <w:t> </w:t>
      </w:r>
      <w:r>
        <w:rPr>
          <w:spacing w:val="-81"/>
        </w:rPr>
      </w:r>
      <w:r>
        <w:rPr/>
        <w:t>被投资单位可辨认净资产公允价值份额的差额，计入当期损益。 </w:t>
      </w:r>
      <w:r>
        <w:rPr>
          <w:spacing w:val="-1"/>
        </w:rPr>
        <w:t>公司按照应享有或应分担的被投资单位实现的净损益和其他综合收益的份额，分别确认投资收益和其他综</w:t>
      </w:r>
      <w:r>
        <w:rPr>
          <w:spacing w:val="-80"/>
        </w:rPr>
        <w:t> </w:t>
      </w:r>
      <w:r>
        <w:rPr>
          <w:spacing w:val="-80"/>
        </w:rPr>
      </w:r>
      <w:r>
        <w:rPr>
          <w:spacing w:val="-1"/>
        </w:rPr>
        <w:t>合收益，同时调整长期股权投资的账面价值；按照被投资单位宣告分派的利润或现金股利计算应享有的部</w:t>
      </w:r>
      <w:r>
        <w:rPr>
          <w:spacing w:val="-81"/>
        </w:rPr>
        <w:t> </w:t>
      </w:r>
      <w:r>
        <w:rPr>
          <w:spacing w:val="-81"/>
        </w:rPr>
      </w:r>
      <w:r>
        <w:rPr>
          <w:spacing w:val="-1"/>
        </w:rPr>
        <w:t>分，相应减少长期股权投资的账面价值；对于被投资单位除净损益、其他综合收益和利润分配以外所有者</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权益的其他变动，调整长期股权投资的账面价值并计入所有者权益。 在确认应享有被投资单位净损益的份额时，以取得投资时被投资单位可辨认净资产的公允价值为基础，并 按照公司的会计政策及会计期间，对被投资单位的净利润进行调整后确认。在持有投资期间，被投资单位 编制合并财务报表的，以合并财务报表中的净利润、其他综合收益和其他所有者权益变动中归属于被投资 单位的金额为基础进行核算。 公司与联营企业、合营企业之间发生的未实现内部交易损益按照应享有的比例计算归属于公司的部分，予 以抵销，在此基础上确认投资收益。与被投资单位发生的未实现内部交易损失，属于资产减值损失的，全 </w:t>
      </w:r>
      <w:r>
        <w:rPr>
          <w:spacing w:val="-5"/>
        </w:rPr>
        <w:t>额确认。公司与联营企业、合营企业之间发生投出或出售资产的交易，该资产构成业务的，按照本附注</w:t>
      </w:r>
      <w:r>
        <w:rPr>
          <w:rFonts w:ascii="Times New Roman" w:hAnsi="Times New Roman" w:cs="Times New Roman" w:eastAsia="Times New Roman" w:hint="default"/>
          <w:spacing w:val="-5"/>
        </w:rPr>
        <w:t>“</w:t>
      </w:r>
      <w:r>
        <w:rPr>
          <w:spacing w:val="-5"/>
        </w:rPr>
        <w:t>三、</w:t>
      </w:r>
    </w:p>
    <w:p>
      <w:pPr>
        <w:pStyle w:val="BodyText"/>
        <w:spacing w:line="268" w:lineRule="auto"/>
        <w:ind w:right="1119"/>
        <w:jc w:val="left"/>
      </w:pPr>
      <w:r>
        <w:rPr>
          <w:spacing w:val="-2"/>
        </w:rPr>
        <w:t>（五）同一控制下和非同一控制下企业合并的会计处理方法</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三、（六）合并财务报表的编制方法</w:t>
      </w:r>
      <w:r>
        <w:rPr>
          <w:rFonts w:ascii="Times New Roman" w:hAnsi="Times New Roman" w:cs="Times New Roman" w:eastAsia="Times New Roman" w:hint="default"/>
          <w:spacing w:val="-2"/>
        </w:rPr>
        <w:t>”</w:t>
      </w:r>
      <w:r>
        <w:rPr>
          <w:spacing w:val="-2"/>
        </w:rPr>
        <w:t>中披</w:t>
      </w:r>
      <w:r>
        <w:rPr>
          <w:spacing w:val="-102"/>
        </w:rPr>
        <w:t> </w:t>
      </w:r>
      <w:r>
        <w:rPr/>
        <w:t>露的相关政策进行会计处理。 </w:t>
      </w:r>
      <w:r>
        <w:rPr>
          <w:spacing w:val="-1"/>
        </w:rPr>
        <w:t>在公司确认应分担被投资单位发生的亏损时，按照以下顺序进行处理：首先，冲减长期股权投资的账面价</w:t>
      </w:r>
      <w:r>
        <w:rPr>
          <w:spacing w:val="-83"/>
        </w:rPr>
        <w:t> </w:t>
      </w:r>
      <w:r>
        <w:rPr>
          <w:spacing w:val="-83"/>
        </w:rPr>
      </w:r>
      <w:r>
        <w:rPr>
          <w:spacing w:val="-1"/>
        </w:rPr>
        <w:t>值。其次，长期股权投资的账面价值不足以冲减的，以其他实质上构成对被投资单位净投资的长期权益账</w:t>
      </w:r>
      <w:r>
        <w:rPr>
          <w:spacing w:val="-83"/>
        </w:rPr>
        <w:t> </w:t>
      </w:r>
      <w:r>
        <w:rPr>
          <w:spacing w:val="-83"/>
        </w:rPr>
      </w:r>
      <w:r>
        <w:rPr>
          <w:spacing w:val="-1"/>
        </w:rPr>
        <w:t>面价值为限继续确认投资损失，冲减长期应收项目等的账面价值。最后，经过上述处理，按照投资合同或</w:t>
      </w:r>
      <w:r>
        <w:rPr>
          <w:spacing w:val="-86"/>
        </w:rPr>
        <w:t> </w:t>
      </w:r>
      <w:r>
        <w:rPr>
          <w:spacing w:val="-86"/>
        </w:rPr>
      </w:r>
      <w:r>
        <w:rPr/>
        <w:t>协议约定企业仍承担额外义务的，按预计承担的义务确认预计负债，计入当期投资损失。</w:t>
      </w:r>
    </w:p>
    <w:p>
      <w:pPr>
        <w:pStyle w:val="BodyText"/>
        <w:spacing w:line="256" w:lineRule="auto" w:before="12"/>
        <w:ind w:left="154" w:right="4032"/>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73" w:lineRule="auto" w:before="22"/>
        <w:ind w:right="1120"/>
        <w:jc w:val="left"/>
      </w:pPr>
      <w:r>
        <w:rPr>
          <w:spacing w:val="-1"/>
        </w:rPr>
        <w:t>采用权益法核算的长期股权投资，在处置该项投资时，采用与被投资单位直接处置相关资产或负债相同的</w:t>
      </w:r>
      <w:r>
        <w:rPr>
          <w:spacing w:val="-81"/>
        </w:rPr>
        <w:t> </w:t>
      </w:r>
      <w:r>
        <w:rPr>
          <w:spacing w:val="-81"/>
        </w:rPr>
      </w:r>
      <w:r>
        <w:rPr>
          <w:spacing w:val="-1"/>
        </w:rPr>
        <w:t>基础，按相应比例对原计入其他综合收益的部分进行会计处理。因被投资单位除净损益、其他综合收益和</w:t>
      </w:r>
      <w:r>
        <w:rPr>
          <w:spacing w:val="-83"/>
        </w:rPr>
        <w:t> </w:t>
      </w:r>
      <w:r>
        <w:rPr>
          <w:spacing w:val="-83"/>
        </w:rPr>
      </w:r>
      <w:r>
        <w:rPr>
          <w:spacing w:val="-1"/>
        </w:rPr>
        <w:t>利润分配以外的其他所有者权益变动而确认的所有者权益，按比例结转入当期损益，由于被投资方重新计</w:t>
      </w:r>
      <w:r>
        <w:rPr>
          <w:spacing w:val="-81"/>
        </w:rPr>
        <w:t> </w:t>
      </w:r>
      <w:r>
        <w:rPr>
          <w:spacing w:val="-81"/>
        </w:rPr>
      </w:r>
      <w:r>
        <w:rPr/>
        <w:t>量设定受益计划净负债或净资产变动而产生的其他综合收益除外。 </w:t>
      </w:r>
      <w:r>
        <w:rPr>
          <w:spacing w:val="-1"/>
        </w:rPr>
        <w:t>因处置部分股权投资等原因丧失了对被投资单位的共同控制或重大影响的，处置后的剩余股权改按金融工</w:t>
      </w:r>
      <w:r>
        <w:rPr>
          <w:spacing w:val="-81"/>
        </w:rPr>
        <w:t> </w:t>
      </w:r>
      <w:r>
        <w:rPr>
          <w:spacing w:val="-81"/>
        </w:rPr>
      </w:r>
      <w:r>
        <w:rPr>
          <w:spacing w:val="-1"/>
        </w:rPr>
        <w:t>具确认和计量准则核算，其在丧失共同控制或重大影响之日的公允价值与账面价值之间的差额计入当期损</w:t>
      </w:r>
      <w:r>
        <w:rPr>
          <w:spacing w:val="-81"/>
        </w:rPr>
        <w:t> </w:t>
      </w:r>
      <w:r>
        <w:rPr>
          <w:spacing w:val="-81"/>
        </w:rPr>
      </w:r>
      <w:r>
        <w:rPr>
          <w:spacing w:val="-1"/>
        </w:rPr>
        <w:t>益。原股权投资因采用权益法核算而确认的其他综合收益，在终止采用权益法核算时采用与被投资单位直</w:t>
      </w:r>
      <w:r>
        <w:rPr>
          <w:spacing w:val="-81"/>
        </w:rPr>
        <w:t> </w:t>
      </w:r>
      <w:r>
        <w:rPr>
          <w:spacing w:val="-81"/>
        </w:rPr>
      </w:r>
      <w:r>
        <w:rPr>
          <w:spacing w:val="-1"/>
        </w:rPr>
        <w:t>接处置相关资产或负债相同的基础进行会计处理。因被投资方除净损益、其他综合收益和利润分配以外的</w:t>
      </w:r>
      <w:r>
        <w:rPr>
          <w:spacing w:val="-81"/>
        </w:rPr>
        <w:t> </w:t>
      </w:r>
      <w:r>
        <w:rPr>
          <w:spacing w:val="-81"/>
        </w:rPr>
      </w:r>
      <w:r>
        <w:rPr/>
        <w:t>其他所有者权益变动而确认的所有者权益，在终止采用权益法核算时全部转入当期损益。 </w:t>
      </w:r>
      <w:r>
        <w:rPr>
          <w:spacing w:val="-1"/>
        </w:rPr>
        <w:t>因处置部分股权投资等原因丧失了对被投资单位控制权的，在编制个别财务报表时，处置后的剩余股权能</w:t>
      </w:r>
      <w:r>
        <w:rPr>
          <w:spacing w:val="-81"/>
        </w:rPr>
        <w:t> </w:t>
      </w:r>
      <w:r>
        <w:rPr>
          <w:spacing w:val="-81"/>
        </w:rPr>
      </w:r>
      <w:r>
        <w:rPr>
          <w:spacing w:val="-1"/>
        </w:rPr>
        <w:t>够对被投资单位实施共同控制或重大影响的，改按权益法核算，并对该剩余股权视同自取得时即采用权益</w:t>
      </w:r>
      <w:r>
        <w:rPr>
          <w:spacing w:val="-81"/>
        </w:rPr>
        <w:t> </w:t>
      </w:r>
      <w:r>
        <w:rPr>
          <w:spacing w:val="-81"/>
        </w:rPr>
      </w:r>
      <w:r>
        <w:rPr>
          <w:spacing w:val="-1"/>
        </w:rPr>
        <w:t>法核算进行调整；处置后的剩余股权不能对被投资单位实施共同控制或施加重大影响的，改按金融工具确</w:t>
      </w:r>
      <w:r>
        <w:rPr>
          <w:spacing w:val="-81"/>
        </w:rPr>
        <w:t> </w:t>
      </w:r>
      <w:r>
        <w:rPr>
          <w:spacing w:val="-81"/>
        </w:rPr>
      </w:r>
      <w:r>
        <w:rPr>
          <w:spacing w:val="3"/>
        </w:rPr>
        <w:t>认和计量准则的有关规定进行会计处理，其在丧失控制之日的公允价值与账面价值间的差额计入当期损</w:t>
      </w:r>
      <w:r>
        <w:rPr>
          <w:spacing w:val="-72"/>
        </w:rPr>
        <w:t> </w:t>
      </w:r>
      <w:r>
        <w:rPr>
          <w:spacing w:val="-72"/>
        </w:rPr>
      </w:r>
      <w:r>
        <w:rPr/>
        <w:t>益。 </w:t>
      </w:r>
      <w:r>
        <w:rPr>
          <w:spacing w:val="-1"/>
        </w:rPr>
        <w:t>处置的股权是因追加投资等原因通过企业合并取得的，在编制个别财务报表时，处置后的剩余股权采用成</w:t>
      </w:r>
      <w:r>
        <w:rPr>
          <w:spacing w:val="-81"/>
        </w:rPr>
        <w:t> </w:t>
      </w:r>
      <w:r>
        <w:rPr>
          <w:spacing w:val="-81"/>
        </w:rPr>
      </w:r>
      <w:r>
        <w:rPr>
          <w:spacing w:val="-1"/>
        </w:rPr>
        <w:t>本法或权益法核算的，购买日之前持有的股权投资因采用权益法核算而确认的其他综合收益和其他所有者</w:t>
      </w:r>
      <w:r>
        <w:rPr>
          <w:spacing w:val="-81"/>
        </w:rPr>
        <w:t> </w:t>
      </w:r>
      <w:r>
        <w:rPr>
          <w:spacing w:val="-81"/>
        </w:rPr>
      </w:r>
      <w:r>
        <w:rPr>
          <w:spacing w:val="-1"/>
        </w:rPr>
        <w:t>权益按比例结转；处置后的剩余股权改按金融工具确认和计量准则进行会计处理的，其他综合收益和其他</w:t>
      </w:r>
      <w:r>
        <w:rPr>
          <w:spacing w:val="-81"/>
        </w:rPr>
        <w:t> </w:t>
      </w:r>
      <w:r>
        <w:rPr>
          <w:spacing w:val="-81"/>
        </w:rPr>
      </w:r>
      <w:r>
        <w:rPr/>
        <w:t>所有者权益全部结转。</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15、投资性房地产" w:id="153"/>
      <w:bookmarkEnd w:id="15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ind w:left="154" w:right="0"/>
        <w:jc w:val="left"/>
      </w:pPr>
      <w:r>
        <w:rPr>
          <w:spacing w:val="-1"/>
        </w:rPr>
        <w:t>投资性房地产是指为赚取租金或资本增值，或两者兼有而持有的房地产，包括已出租的土地使用权、持有</w:t>
      </w:r>
      <w:r>
        <w:rPr>
          <w:spacing w:val="-83"/>
        </w:rPr>
        <w:t> </w:t>
      </w:r>
      <w:r>
        <w:rPr>
          <w:spacing w:val="-83"/>
        </w:rPr>
      </w:r>
      <w:r>
        <w:rPr>
          <w:spacing w:val="-1"/>
        </w:rPr>
        <w:t>并准备增值后转让的土地使用权、已出租的建筑物（含自行建造或开发活动完成后用于出租的建筑物以及</w:t>
      </w:r>
      <w:r>
        <w:rPr>
          <w:spacing w:val="-81"/>
        </w:rPr>
        <w:t> </w:t>
      </w:r>
      <w:r>
        <w:rPr>
          <w:spacing w:val="-81"/>
        </w:rPr>
      </w:r>
      <w:r>
        <w:rPr/>
        <w:t>正在建造或开发过程中将来用于出租的建筑物）。 </w:t>
      </w:r>
      <w:r>
        <w:rPr>
          <w:spacing w:val="-1"/>
        </w:rPr>
        <w:t>公司对现有投资性房地产采用成本模式计量。对按照成本模式计量的投资性房地产－出租用建筑物采用与</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本公司固定资产相同的折旧政策，出租用土地使用权按与无形资产相同的摊销政策执行。</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16、固定资产" w:id="154"/>
      <w:bookmarkEnd w:id="15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4" w:right="0"/>
        <w:jc w:val="left"/>
        <w:rPr>
          <w:b w:val="0"/>
          <w:bCs w:val="0"/>
        </w:rPr>
      </w:pPr>
      <w:bookmarkStart w:name="（1）确认条件" w:id="155"/>
      <w:bookmarkEnd w:id="15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折旧方法" w:id="156"/>
      <w:bookmarkEnd w:id="15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2.11-4.75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7.92-11.88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260" w:lineRule="exact"/>
        <w:ind w:left="154" w:right="0"/>
        <w:jc w:val="left"/>
      </w:pPr>
      <w:r>
        <w:rPr/>
        <w:t>固定资产折旧采用年限平均法分类计提，根据固定资产类别、预计使用寿命和预计净残值率确定折旧率。</w:t>
      </w:r>
    </w:p>
    <w:p>
      <w:pPr>
        <w:pStyle w:val="BodyText"/>
        <w:spacing w:line="273" w:lineRule="auto" w:before="37"/>
        <w:ind w:left="154" w:right="0"/>
        <w:jc w:val="left"/>
      </w:pPr>
      <w:r>
        <w:rPr>
          <w:spacing w:val="-1"/>
        </w:rPr>
        <w:t>如固定资产各组成部分的使用寿命不同或者以不同方式为企业提供经济利益，则选择不同折旧率或折旧方</w:t>
      </w:r>
      <w:r>
        <w:rPr>
          <w:spacing w:val="-80"/>
        </w:rPr>
        <w:t> </w:t>
      </w:r>
      <w:r>
        <w:rPr>
          <w:spacing w:val="-80"/>
        </w:rPr>
      </w:r>
      <w:r>
        <w:rPr/>
        <w:t>法，分别计提折旧。 </w:t>
      </w:r>
      <w:r>
        <w:rPr>
          <w:spacing w:val="-1"/>
        </w:rPr>
        <w:t>融资租赁方式租入的固定资产，能合理确定租赁期届满时将会取得租赁资产所有权的，在租赁资产尚可使</w:t>
      </w:r>
      <w:r>
        <w:rPr>
          <w:spacing w:val="-81"/>
        </w:rPr>
        <w:t> </w:t>
      </w:r>
      <w:r>
        <w:rPr>
          <w:spacing w:val="-81"/>
        </w:rPr>
      </w:r>
      <w:r>
        <w:rPr>
          <w:spacing w:val="-1"/>
        </w:rPr>
        <w:t>用年限内计提折旧；无法合理确定租赁期届满时能够取得租赁资产所有权的，在租赁期与租赁资产尚可使</w:t>
      </w:r>
      <w:r>
        <w:rPr>
          <w:spacing w:val="-81"/>
        </w:rPr>
        <w:t> </w:t>
      </w:r>
      <w:r>
        <w:rPr>
          <w:spacing w:val="-81"/>
        </w:rPr>
      </w:r>
      <w:r>
        <w:rPr/>
        <w:t>用年限两者中较短的期间内计提折旧。</w:t>
      </w:r>
    </w:p>
    <w:p>
      <w:pPr>
        <w:spacing w:line="240" w:lineRule="auto" w:before="8"/>
        <w:rPr>
          <w:rFonts w:ascii="宋体" w:hAnsi="宋体" w:cs="宋体" w:eastAsia="宋体" w:hint="default"/>
          <w:sz w:val="24"/>
          <w:szCs w:val="24"/>
        </w:rPr>
      </w:pPr>
    </w:p>
    <w:p>
      <w:pPr>
        <w:spacing w:line="590" w:lineRule="atLeast" w:before="0"/>
        <w:ind w:left="154" w:right="2772" w:firstLine="0"/>
        <w:jc w:val="left"/>
        <w:rPr>
          <w:rFonts w:ascii="宋体" w:hAnsi="宋体" w:cs="宋体" w:eastAsia="宋体" w:hint="default"/>
          <w:sz w:val="21"/>
          <w:szCs w:val="21"/>
        </w:rPr>
      </w:pPr>
      <w:bookmarkStart w:name="（3）融资租入固定资产的认定依据、计价和折旧方法" w:id="157"/>
      <w:bookmarkEnd w:id="1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公司与租赁方所签订的租赁协议条款中规定了下列条件之一的，确认为融资租入资产：</w:t>
      </w:r>
    </w:p>
    <w:p>
      <w:pPr>
        <w:pStyle w:val="BodyText"/>
        <w:spacing w:line="240" w:lineRule="auto" w:before="37"/>
        <w:ind w:right="0"/>
        <w:jc w:val="left"/>
      </w:pPr>
      <w:r>
        <w:rPr/>
        <w:t>（</w:t>
      </w:r>
      <w:r>
        <w:rPr>
          <w:rFonts w:ascii="Times New Roman" w:hAnsi="Times New Roman" w:cs="Times New Roman" w:eastAsia="Times New Roman" w:hint="default"/>
        </w:rPr>
        <w:t>A</w:t>
      </w:r>
      <w:r>
        <w:rPr/>
        <w:t>）租赁期满后租赁资产的所有权归属于本公司；</w:t>
      </w:r>
    </w:p>
    <w:p>
      <w:pPr>
        <w:pStyle w:val="BodyText"/>
        <w:spacing w:line="240" w:lineRule="auto" w:before="21"/>
        <w:ind w:left="154" w:right="0"/>
        <w:jc w:val="left"/>
      </w:pPr>
      <w:r>
        <w:rPr/>
        <w:t>（</w:t>
      </w:r>
      <w:r>
        <w:rPr>
          <w:rFonts w:ascii="Times New Roman" w:hAnsi="Times New Roman" w:cs="Times New Roman" w:eastAsia="Times New Roman" w:hint="default"/>
        </w:rPr>
        <w:t>B</w:t>
      </w:r>
      <w:r>
        <w:rPr/>
        <w:t>）公司具有购买资产的选择权，购买价款远低于行使选择权时该资产的公允价值；</w:t>
      </w:r>
    </w:p>
    <w:p>
      <w:pPr>
        <w:pStyle w:val="BodyText"/>
        <w:spacing w:line="240" w:lineRule="auto" w:before="21"/>
        <w:ind w:right="0"/>
        <w:jc w:val="left"/>
      </w:pPr>
      <w:r>
        <w:rPr/>
        <w:t>（</w:t>
      </w:r>
      <w:r>
        <w:rPr>
          <w:rFonts w:ascii="Times New Roman" w:hAnsi="Times New Roman" w:cs="Times New Roman" w:eastAsia="Times New Roman" w:hint="default"/>
        </w:rPr>
        <w:t>C</w:t>
      </w:r>
      <w:r>
        <w:rPr/>
        <w:t>）租赁期占所租赁资产使用寿命的大部分；</w:t>
      </w:r>
    </w:p>
    <w:p>
      <w:pPr>
        <w:pStyle w:val="BodyText"/>
        <w:spacing w:line="264" w:lineRule="auto" w:before="21"/>
        <w:ind w:right="1093"/>
        <w:jc w:val="left"/>
      </w:pPr>
      <w:r>
        <w:rPr/>
        <w:t>（</w:t>
      </w:r>
      <w:r>
        <w:rPr>
          <w:rFonts w:ascii="Times New Roman" w:hAnsi="Times New Roman" w:cs="Times New Roman" w:eastAsia="Times New Roman" w:hint="default"/>
        </w:rPr>
        <w:t>D</w:t>
      </w:r>
      <w:r>
        <w:rPr/>
        <w:t>）租赁开始日的最低租赁付款额现值，与该资产的公允价值不存在较大的差异。 公司在承租开始日，将租赁资产公允价值与最低租赁付款额现值两者中较低者作为租入资产的入账价值， 将最低租赁付款额作为长期应付款的入账价值，其差额作为未确认的融资费。</w:t>
      </w:r>
    </w:p>
    <w:p>
      <w:pPr>
        <w:spacing w:line="240" w:lineRule="auto" w:before="3"/>
        <w:rPr>
          <w:rFonts w:ascii="宋体" w:hAnsi="宋体" w:cs="宋体" w:eastAsia="宋体" w:hint="default"/>
          <w:sz w:val="24"/>
          <w:szCs w:val="24"/>
        </w:rPr>
      </w:pPr>
    </w:p>
    <w:p>
      <w:pPr>
        <w:pStyle w:val="Heading4"/>
        <w:spacing w:line="240" w:lineRule="auto"/>
        <w:ind w:right="0"/>
        <w:jc w:val="left"/>
        <w:rPr>
          <w:b w:val="0"/>
          <w:bCs w:val="0"/>
        </w:rPr>
      </w:pPr>
      <w:bookmarkStart w:name="17、在建工程" w:id="158"/>
      <w:bookmarkEnd w:id="15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026"/>
        <w:jc w:val="both"/>
      </w:pPr>
      <w:r>
        <w:rPr/>
        <w:t>在建工程项目按建造该项资产达到预定可使用状态前所发生的必要支出，作为固定资产的入账价值。所建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借款费用" w:id="159"/>
      <w:bookmarkEnd w:id="159"/>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0"/>
        <w:jc w:val="left"/>
      </w:pPr>
      <w:r>
        <w:rPr>
          <w:rFonts w:ascii="Times New Roman" w:hAnsi="Times New Roman" w:cs="Times New Roman" w:eastAsia="Times New Roman" w:hint="default"/>
          <w:b/>
          <w:bCs/>
        </w:rPr>
        <w:t>A</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BodyText"/>
        <w:spacing w:line="240" w:lineRule="auto" w:before="12"/>
        <w:ind w:left="154" w:right="0"/>
        <w:jc w:val="left"/>
      </w:pPr>
      <w:r>
        <w:rPr/>
        <w:t>借款费用同时满足下列条件时开始资本化：</w:t>
      </w:r>
    </w:p>
    <w:p>
      <w:pPr>
        <w:pStyle w:val="BodyText"/>
        <w:spacing w:line="256" w:lineRule="auto" w:before="37"/>
        <w:ind w:left="154" w:right="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w:t>
      </w:r>
      <w:r>
        <w:rPr>
          <w:spacing w:val="-35"/>
        </w:rPr>
        <w:t> </w:t>
      </w:r>
      <w:r>
        <w:rPr>
          <w:spacing w:val="-35"/>
        </w:rPr>
      </w:r>
      <w:r>
        <w:rPr/>
        <w:t>金资产或者承担带息债务形式发生的支出；</w:t>
      </w:r>
    </w:p>
    <w:p>
      <w:pPr>
        <w:pStyle w:val="BodyText"/>
        <w:spacing w:line="240" w:lineRule="auto" w:before="22"/>
        <w:ind w:left="154" w:right="0"/>
        <w:jc w:val="left"/>
      </w:pPr>
      <w:r>
        <w:rPr/>
        <w:t>（</w:t>
      </w:r>
      <w:r>
        <w:rPr>
          <w:rFonts w:ascii="Times New Roman" w:hAnsi="Times New Roman" w:cs="Times New Roman" w:eastAsia="Times New Roman" w:hint="default"/>
        </w:rPr>
        <w:t>2</w:t>
      </w:r>
      <w:r>
        <w:rPr/>
        <w:t>）借款费用已经发生；</w:t>
      </w:r>
    </w:p>
    <w:p>
      <w:pPr>
        <w:pStyle w:val="BodyText"/>
        <w:spacing w:line="268" w:lineRule="auto" w:before="21"/>
        <w:ind w:right="1131"/>
        <w:jc w:val="left"/>
      </w:pPr>
      <w:r>
        <w:rPr/>
        <w:t>（</w:t>
      </w:r>
      <w:r>
        <w:rPr>
          <w:rFonts w:ascii="Times New Roman" w:hAnsi="Times New Roman" w:cs="Times New Roman" w:eastAsia="Times New Roman" w:hint="default"/>
        </w:rPr>
        <w:t>3</w:t>
      </w:r>
      <w:r>
        <w:rPr/>
        <w:t>）为使资产达到预定可使用或者可销售状态所必要的购建或者生产活动已经开始。 </w:t>
      </w:r>
      <w:r>
        <w:rPr>
          <w:rFonts w:ascii="Times New Roman" w:hAnsi="Times New Roman" w:cs="Times New Roman" w:eastAsia="Times New Roman" w:hint="default"/>
          <w:b/>
          <w:bCs/>
        </w:rPr>
        <w:t>B</w:t>
      </w:r>
      <w:r>
        <w:rPr>
          <w:rFonts w:ascii="宋体" w:hAnsi="宋体" w:cs="宋体" w:eastAsia="宋体" w:hint="default"/>
          <w:b/>
          <w:bCs/>
        </w:rPr>
        <w:t>、借款费用资本化期间</w:t>
      </w:r>
      <w:r>
        <w:rPr>
          <w:rFonts w:ascii="宋体" w:hAnsi="宋体" w:cs="宋体" w:eastAsia="宋体" w:hint="default"/>
          <w:b/>
          <w:bCs/>
          <w:w w:val="99"/>
        </w:rPr>
        <w:t> </w:t>
      </w:r>
      <w:r>
        <w:rPr>
          <w:spacing w:val="-1"/>
        </w:rPr>
        <w:t>资本化期间，指从借款费用开始资本化时点到停止资本化时点的期间，借款费用暂停资本化的期间不包括</w:t>
      </w:r>
      <w:r>
        <w:rPr>
          <w:spacing w:val="-81"/>
        </w:rPr>
        <w:t> </w:t>
      </w:r>
      <w:r>
        <w:rPr>
          <w:spacing w:val="-81"/>
        </w:rPr>
      </w:r>
      <w:r>
        <w:rPr/>
        <w:t>在内。 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pStyle w:val="BodyText"/>
        <w:spacing w:line="264" w:lineRule="auto" w:before="12"/>
        <w:ind w:right="0"/>
        <w:jc w:val="left"/>
      </w:pPr>
      <w:r>
        <w:rPr>
          <w:rFonts w:ascii="Times New Roman" w:hAnsi="Times New Roman" w:cs="Times New Roman" w:eastAsia="Times New Roman" w:hint="default"/>
          <w:b/>
          <w:bCs/>
        </w:rPr>
        <w:t>C</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w:t>
      </w:r>
      <w:r>
        <w:rPr>
          <w:spacing w:val="-24"/>
        </w:rPr>
        <w:t> </w:t>
      </w:r>
      <w:r>
        <w:rPr>
          <w:spacing w:val="-24"/>
        </w:rPr>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2"/>
        </w:rPr>
        <w:t> </w:t>
      </w:r>
      <w:r>
        <w:rPr>
          <w:spacing w:val="-82"/>
        </w:rPr>
      </w:r>
      <w:r>
        <w:rPr/>
        <w:t>生产活动重新开始后借款费用继续资本化。</w:t>
      </w:r>
    </w:p>
    <w:p>
      <w:pPr>
        <w:pStyle w:val="BodyText"/>
        <w:spacing w:line="271" w:lineRule="auto" w:before="16"/>
        <w:ind w:left="154" w:right="0"/>
        <w:jc w:val="left"/>
      </w:pPr>
      <w:r>
        <w:rPr>
          <w:rFonts w:ascii="Times New Roman" w:hAnsi="Times New Roman" w:cs="Times New Roman" w:eastAsia="Times New Roman" w:hint="default"/>
          <w:b/>
          <w:bCs/>
        </w:rPr>
        <w:t>D</w:t>
      </w:r>
      <w:r>
        <w:rPr>
          <w:rFonts w:ascii="宋体" w:hAnsi="宋体" w:cs="宋体" w:eastAsia="宋体" w:hint="default"/>
          <w:b/>
          <w:bCs/>
        </w:rPr>
        <w:t>、借款费用资本化率、资本化金额的计算方法</w:t>
      </w:r>
      <w:r>
        <w:rPr>
          <w:rFonts w:ascii="宋体" w:hAnsi="宋体" w:cs="宋体" w:eastAsia="宋体" w:hint="default"/>
          <w:b/>
          <w:bCs/>
          <w:w w:val="99"/>
        </w:rPr>
        <w:t> </w:t>
      </w: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r>
        <w:rPr>
          <w:spacing w:val="-81"/>
        </w:rPr>
        <w:t> </w:t>
      </w:r>
      <w:r>
        <w:rPr>
          <w:spacing w:val="-81"/>
        </w:rPr>
      </w:r>
      <w:r>
        <w:rPr>
          <w:spacing w:val="-1"/>
        </w:rPr>
        <w:t>产支出加权平均数乘以所占用一般借款的资本化率，计算确定一般借款应予资本化的借款费用金额。资本</w:t>
      </w:r>
      <w:r>
        <w:rPr>
          <w:spacing w:val="-80"/>
        </w:rPr>
        <w:t> </w:t>
      </w:r>
      <w:r>
        <w:rPr>
          <w:spacing w:val="-80"/>
        </w:rPr>
      </w:r>
      <w:r>
        <w:rPr/>
        <w:t>化率根据一般借款加权平均利率计算确定。</w:t>
      </w:r>
    </w:p>
    <w:p>
      <w:pPr>
        <w:spacing w:line="240" w:lineRule="auto" w:before="10"/>
        <w:rPr>
          <w:rFonts w:ascii="宋体" w:hAnsi="宋体" w:cs="宋体" w:eastAsia="宋体" w:hint="default"/>
          <w:sz w:val="23"/>
          <w:szCs w:val="23"/>
        </w:rPr>
      </w:pPr>
    </w:p>
    <w:p>
      <w:pPr>
        <w:pStyle w:val="Heading4"/>
        <w:spacing w:line="240" w:lineRule="auto"/>
        <w:ind w:left="154" w:right="0"/>
        <w:jc w:val="left"/>
        <w:rPr>
          <w:b w:val="0"/>
          <w:bCs w:val="0"/>
        </w:rPr>
      </w:pPr>
      <w:bookmarkStart w:name="19、无形资产" w:id="160"/>
      <w:bookmarkEnd w:id="160"/>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计价方法、使用寿命、减值测试" w:id="161"/>
      <w:bookmarkEnd w:id="16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154" w:right="0"/>
        <w:jc w:val="left"/>
        <w:rPr>
          <w:b w:val="0"/>
          <w:bCs w:val="0"/>
        </w:rPr>
      </w:pPr>
      <w:r>
        <w:rPr>
          <w:rFonts w:ascii="Times New Roman" w:hAnsi="Times New Roman" w:cs="Times New Roman" w:eastAsia="Times New Roman" w:hint="default"/>
        </w:rPr>
        <w:t>A</w:t>
      </w:r>
      <w:r>
        <w:rPr/>
        <w:t>、无形资产的计价方法</w:t>
      </w:r>
      <w:r>
        <w:rPr>
          <w:b w:val="0"/>
          <w:bCs w:val="0"/>
        </w:rPr>
      </w:r>
    </w:p>
    <w:p>
      <w:pPr>
        <w:pStyle w:val="BodyText"/>
        <w:spacing w:line="268" w:lineRule="auto" w:before="21"/>
        <w:ind w:right="0"/>
        <w:jc w:val="left"/>
      </w:pPr>
      <w:r>
        <w:rPr/>
        <w:t>（</w:t>
      </w:r>
      <w:r>
        <w:rPr>
          <w:rFonts w:ascii="Times New Roman" w:hAnsi="Times New Roman" w:cs="Times New Roman" w:eastAsia="Times New Roman" w:hint="default"/>
        </w:rPr>
        <w:t>1</w:t>
      </w:r>
      <w:r>
        <w:rPr/>
        <w:t>）公司取得无形资产时按成本进行初始计量； </w:t>
      </w: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 </w:t>
      </w:r>
      <w:r>
        <w:rPr>
          <w:spacing w:val="-1"/>
        </w:rPr>
        <w:t>债务重组取得债务人用以抵债的无形资产，以该无形资产的公允价值为基础确定其入账价值，并将重组债</w:t>
      </w:r>
    </w:p>
    <w:p>
      <w:pPr>
        <w:spacing w:after="0" w:line="26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r>
        <w:rPr>
          <w:spacing w:val="-81"/>
        </w:rPr>
        <w:t> </w:t>
      </w:r>
      <w:r>
        <w:rPr>
          <w:spacing w:val="-81"/>
        </w:rPr>
      </w: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w:t>
      </w:r>
    </w:p>
    <w:p>
      <w:pPr>
        <w:pStyle w:val="BodyText"/>
        <w:spacing w:line="256" w:lineRule="auto" w:before="7"/>
        <w:ind w:left="154" w:right="6972"/>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268" w:lineRule="auto" w:before="22"/>
        <w:ind w:right="1093"/>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 </w:t>
      </w:r>
      <w:r>
        <w:rPr>
          <w:rFonts w:ascii="Times New Roman" w:hAnsi="Times New Roman" w:cs="Times New Roman" w:eastAsia="Times New Roman" w:hint="default"/>
          <w:b/>
          <w:bCs/>
        </w:rPr>
        <w:t>B</w:t>
      </w:r>
      <w:r>
        <w:rPr>
          <w:rFonts w:ascii="宋体" w:hAnsi="宋体" w:cs="宋体" w:eastAsia="宋体" w:hint="default"/>
          <w:b/>
          <w:bCs/>
        </w:rPr>
        <w:t>、使用寿命有限的无形资产的使用寿命估计情况：</w:t>
      </w:r>
      <w:r>
        <w:rPr>
          <w:rFonts w:ascii="宋体" w:hAnsi="宋体" w:cs="宋体" w:eastAsia="宋体" w:hint="default"/>
          <w:b/>
          <w:bCs/>
          <w:w w:val="99"/>
        </w:rPr>
        <w:t> </w:t>
      </w:r>
      <w:r>
        <w:rPr/>
        <w:t>使用寿命有限的无形资产，以其成本扣除预计残值后的金额，在预计的使用年限内采用直线法进行摊销， 其摊销期限如下：</w:t>
      </w:r>
    </w:p>
    <w:p>
      <w:pPr>
        <w:pStyle w:val="BodyText"/>
        <w:spacing w:line="240" w:lineRule="auto" w:before="12"/>
        <w:ind w:right="0"/>
        <w:jc w:val="left"/>
      </w:pPr>
      <w:r>
        <w:rPr/>
        <w:t>（</w:t>
      </w:r>
      <w:r>
        <w:rPr>
          <w:rFonts w:ascii="Times New Roman" w:hAnsi="Times New Roman" w:cs="Times New Roman" w:eastAsia="Times New Roman" w:hint="default"/>
        </w:rPr>
        <w:t>1</w:t>
      </w:r>
      <w:r>
        <w:rPr/>
        <w:t>）土地使用权按取得时尚可使用年限摊销；</w:t>
      </w:r>
    </w:p>
    <w:p>
      <w:pPr>
        <w:pStyle w:val="BodyText"/>
        <w:spacing w:line="256" w:lineRule="auto" w:before="21"/>
        <w:ind w:right="6133"/>
        <w:jc w:val="left"/>
      </w:pPr>
      <w:r>
        <w:rPr/>
        <w:t>（</w:t>
      </w:r>
      <w:r>
        <w:rPr>
          <w:rFonts w:ascii="Times New Roman" w:hAnsi="Times New Roman" w:cs="Times New Roman" w:eastAsia="Times New Roman" w:hint="default"/>
        </w:rPr>
        <w:t>2</w:t>
      </w:r>
      <w:r>
        <w:rPr/>
        <w:t>）其他无形资产按预计使用年限摊销。 对于无形资产的使用寿命按照下述程序进行判断：</w:t>
      </w:r>
    </w:p>
    <w:p>
      <w:pPr>
        <w:pStyle w:val="BodyText"/>
        <w:spacing w:line="256" w:lineRule="auto" w:before="22"/>
        <w:ind w:left="154" w:right="1120"/>
        <w:jc w:val="left"/>
      </w:pPr>
      <w:r>
        <w:rPr/>
        <w:t>（</w:t>
      </w:r>
      <w:r>
        <w:rPr>
          <w:rFonts w:ascii="Times New Roman" w:hAnsi="Times New Roman" w:cs="Times New Roman" w:eastAsia="Times New Roman" w:hint="default"/>
        </w:rPr>
        <w:t>1</w:t>
      </w:r>
      <w:r>
        <w:rPr/>
        <w:t>）来源于合同性权利或其他法定权利的无形资产，其使用寿命不应超过合同性权利或其他法定权利的</w:t>
      </w:r>
      <w:r>
        <w:rPr>
          <w:spacing w:val="-35"/>
        </w:rPr>
        <w:t> </w:t>
      </w:r>
      <w:r>
        <w:rPr>
          <w:spacing w:val="-35"/>
        </w:rPr>
      </w:r>
      <w:r>
        <w:rPr/>
        <w:t>期限；</w:t>
      </w:r>
    </w:p>
    <w:p>
      <w:pPr>
        <w:pStyle w:val="BodyText"/>
        <w:spacing w:line="268" w:lineRule="auto" w:before="22"/>
        <w:ind w:right="1024"/>
        <w:jc w:val="left"/>
        <w:rPr>
          <w:rFonts w:ascii="宋体" w:hAnsi="宋体" w:cs="宋体" w:eastAsia="宋体" w:hint="default"/>
        </w:rPr>
      </w:pPr>
      <w:r>
        <w:rPr>
          <w:spacing w:val="-1"/>
        </w:rPr>
        <w:t>（</w:t>
      </w:r>
      <w:r>
        <w:rPr>
          <w:rFonts w:ascii="Times New Roman" w:hAnsi="Times New Roman" w:cs="Times New Roman" w:eastAsia="Times New Roman" w:hint="default"/>
          <w:spacing w:val="-1"/>
        </w:rPr>
        <w:t>2</w:t>
      </w:r>
      <w:r>
        <w:rPr>
          <w:spacing w:val="-1"/>
        </w:rPr>
        <w:t>）合同性权利或其他法定权利在到期时因续约等延续、且有证据表明企业续约不需要付出大额成本的，</w:t>
      </w:r>
      <w:r>
        <w:rPr>
          <w:spacing w:val="-81"/>
        </w:rPr>
        <w:t> </w:t>
      </w:r>
      <w:r>
        <w:rPr>
          <w:spacing w:val="-81"/>
        </w:rPr>
      </w:r>
      <w:r>
        <w:rPr/>
        <w:t>续约期应当计入使用寿命。合同或法律没有规定使用寿命的，本公司综合各方面因素判断，以确定无形资</w:t>
      </w:r>
      <w:r>
        <w:rPr/>
        <w:t> 产能为企业带来经济利益的期限。 每年度终了，对使用寿命有限的无形资产的使用寿命及摊销方法进行复核。 经复核，本年年末无形资产的使用寿命及摊销方法与以前估计未有不同。 </w:t>
      </w:r>
      <w:r>
        <w:rPr>
          <w:rFonts w:ascii="Times New Roman" w:hAnsi="Times New Roman" w:cs="Times New Roman" w:eastAsia="Times New Roman" w:hint="default"/>
          <w:b/>
          <w:bCs/>
        </w:rPr>
        <w:t>C</w:t>
      </w:r>
      <w:r>
        <w:rPr>
          <w:rFonts w:ascii="宋体" w:hAnsi="宋体" w:cs="宋体" w:eastAsia="宋体" w:hint="default"/>
          <w:b/>
          <w:bCs/>
        </w:rPr>
        <w:t>、使用寿命不确定的无形资产的判断依据</w:t>
      </w:r>
      <w:r>
        <w:rPr>
          <w:rFonts w:ascii="宋体" w:hAnsi="宋体" w:cs="宋体" w:eastAsia="宋体" w:hint="default"/>
        </w:rPr>
      </w:r>
    </w:p>
    <w:p>
      <w:pPr>
        <w:pStyle w:val="BodyText"/>
        <w:spacing w:line="273" w:lineRule="auto"/>
        <w:ind w:right="5083"/>
        <w:jc w:val="left"/>
      </w:pPr>
      <w:r>
        <w:rPr/>
        <w:t>每年末，对使用寿命不确定的无形资产的使用寿命进行复核。 经复核，该类无形资产的使用寿命仍为不确定</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2） 无形资产减值准备的计提" w:id="162"/>
      <w:bookmarkEnd w:id="162"/>
      <w:r>
        <w:rPr>
          <w:b w:val="0"/>
          <w:bCs w:val="0"/>
        </w:rPr>
      </w:r>
      <w:r>
        <w:rPr/>
        <w:t>（</w:t>
      </w:r>
      <w:r>
        <w:rPr>
          <w:rFonts w:ascii="Times New Roman" w:hAnsi="Times New Roman" w:cs="Times New Roman" w:eastAsia="Times New Roman" w:hint="default"/>
        </w:rPr>
        <w:t>2</w:t>
      </w:r>
      <w:r>
        <w:rPr/>
        <w:t>）</w:t>
      </w:r>
      <w:r>
        <w:rPr>
          <w:spacing w:val="-3"/>
        </w:rPr>
        <w:t> </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t>对于使用寿命确定的无形资产，如有明显减值迹象的，年末进行减值测试。 对于使用寿命不确定的无形资产，每年末进行减值测试。 </w:t>
      </w:r>
      <w:r>
        <w:rPr>
          <w:spacing w:val="-1"/>
        </w:rPr>
        <w:t>对无形资产进行减值测试，估计其可收回金额。有迹象表明一项无形资产可能发生减值的，公司以单项无</w:t>
      </w:r>
      <w:r>
        <w:rPr>
          <w:spacing w:val="-83"/>
        </w:rPr>
        <w:t> </w:t>
      </w:r>
      <w:r>
        <w:rPr>
          <w:spacing w:val="-83"/>
        </w:rPr>
      </w:r>
      <w:r>
        <w:rPr>
          <w:spacing w:val="-1"/>
        </w:rPr>
        <w:t>形资产为基础估计其可收回金额。公司难以对单项资产的可收回金额进行估计的，以该无形资产所属的资</w:t>
      </w:r>
      <w:r>
        <w:rPr>
          <w:spacing w:val="-81"/>
        </w:rPr>
        <w:t> </w:t>
      </w:r>
      <w:r>
        <w:rPr>
          <w:spacing w:val="-81"/>
        </w:rPr>
      </w:r>
      <w:r>
        <w:rPr/>
        <w:t>产组为基础确定无形资产组的可收回金额。 </w:t>
      </w:r>
      <w:r>
        <w:rPr>
          <w:spacing w:val="3"/>
        </w:rPr>
        <w:t>可收回金额根据无形资产的公允价值减去处置费用后的净额与无形资产预计未来现金流量的现值两者之</w:t>
      </w:r>
      <w:r>
        <w:rPr>
          <w:spacing w:val="-82"/>
        </w:rPr>
        <w:t> </w:t>
      </w:r>
      <w:r>
        <w:rPr>
          <w:spacing w:val="-82"/>
        </w:rPr>
      </w:r>
      <w:r>
        <w:rPr/>
        <w:t>间较高者确定。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 </w:t>
      </w: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line="240" w:lineRule="auto" w:before="8"/>
        <w:rPr>
          <w:rFonts w:ascii="宋体" w:hAnsi="宋体" w:cs="宋体" w:eastAsia="宋体" w:hint="default"/>
          <w:sz w:val="23"/>
          <w:szCs w:val="23"/>
        </w:rPr>
      </w:pPr>
    </w:p>
    <w:p>
      <w:pPr>
        <w:spacing w:line="506" w:lineRule="auto" w:before="0"/>
        <w:ind w:left="153" w:right="4663" w:firstLine="0"/>
        <w:jc w:val="left"/>
        <w:rPr>
          <w:rFonts w:ascii="宋体" w:hAnsi="宋体" w:cs="宋体" w:eastAsia="宋体" w:hint="default"/>
          <w:sz w:val="21"/>
          <w:szCs w:val="21"/>
        </w:rPr>
      </w:pPr>
      <w:bookmarkStart w:name="（3）内部研究开发支出会计政策" w:id="163"/>
      <w:bookmarkEnd w:id="1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公司内部研究开发项目的支出分为研究阶段支出和开发阶段支出。</w:t>
      </w:r>
    </w:p>
    <w:p>
      <w:pPr>
        <w:spacing w:after="0" w:line="506"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2"/>
        </w:rPr>
        <w:t> </w:t>
      </w:r>
      <w:r>
        <w:rPr>
          <w:spacing w:val="-82"/>
        </w:rPr>
      </w:r>
      <w:r>
        <w:rPr/>
        <w:t>具有实质性改进的材料、装置、产品等活动的阶段。</w:t>
      </w:r>
    </w:p>
    <w:p>
      <w:pPr>
        <w:spacing w:line="590" w:lineRule="atLeast" w:before="10"/>
        <w:ind w:left="153" w:right="3823" w:firstLine="0"/>
        <w:jc w:val="left"/>
        <w:rPr>
          <w:rFonts w:ascii="宋体" w:hAnsi="宋体" w:cs="宋体" w:eastAsia="宋体" w:hint="default"/>
          <w:sz w:val="21"/>
          <w:szCs w:val="21"/>
        </w:rPr>
      </w:pPr>
      <w:bookmarkStart w:name="（4） 开发阶段支出符合资本化的具体标准" w:id="164"/>
      <w:bookmarkEnd w:id="1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37"/>
        <w:ind w:right="0"/>
        <w:jc w:val="left"/>
      </w:pPr>
      <w:r>
        <w:rPr/>
        <w:t>（</w:t>
      </w:r>
      <w:r>
        <w:rPr>
          <w:rFonts w:ascii="Times New Roman" w:hAnsi="Times New Roman" w:cs="Times New Roman" w:eastAsia="Times New Roman" w:hint="default"/>
        </w:rPr>
        <w:t>A</w:t>
      </w:r>
      <w:r>
        <w:rPr/>
        <w:t>）完成该无形资产以使其能够使用或出售在技术上具有可行性；</w:t>
      </w:r>
    </w:p>
    <w:p>
      <w:pPr>
        <w:pStyle w:val="BodyText"/>
        <w:spacing w:line="240" w:lineRule="auto" w:before="21"/>
        <w:ind w:right="0"/>
        <w:jc w:val="left"/>
      </w:pPr>
      <w:r>
        <w:rPr/>
        <w:t>（</w:t>
      </w:r>
      <w:r>
        <w:rPr>
          <w:rFonts w:ascii="Times New Roman" w:hAnsi="Times New Roman" w:cs="Times New Roman" w:eastAsia="Times New Roman" w:hint="default"/>
        </w:rPr>
        <w:t>B</w:t>
      </w:r>
      <w:r>
        <w:rPr/>
        <w:t>）具有完成该无形资产并使用或出售的意图；</w:t>
      </w:r>
    </w:p>
    <w:p>
      <w:pPr>
        <w:pStyle w:val="BodyText"/>
        <w:spacing w:line="256" w:lineRule="auto" w:before="21"/>
        <w:ind w:right="0"/>
        <w:jc w:val="left"/>
      </w:pPr>
      <w:r>
        <w:rPr/>
        <w:t>（</w:t>
      </w:r>
      <w:r>
        <w:rPr>
          <w:rFonts w:ascii="Times New Roman" w:hAnsi="Times New Roman" w:cs="Times New Roman" w:eastAsia="Times New Roman" w:hint="default"/>
        </w:rPr>
        <w:t>C</w:t>
      </w:r>
      <w:r>
        <w:rPr/>
        <w:t>）无形资产产生经济利益的方式，包括能够证明运用该无形资产生产的产品存在市场或无形资产自身</w:t>
      </w:r>
      <w:r>
        <w:rPr>
          <w:spacing w:val="-67"/>
        </w:rPr>
        <w:t> </w:t>
      </w:r>
      <w:r>
        <w:rPr>
          <w:spacing w:val="-67"/>
        </w:rPr>
      </w:r>
      <w:r>
        <w:rPr/>
        <w:t>存在市场，无形资产将在内部使用的，能够证明其有用性；</w:t>
      </w:r>
    </w:p>
    <w:p>
      <w:pPr>
        <w:pStyle w:val="BodyText"/>
        <w:spacing w:line="256" w:lineRule="auto" w:before="22"/>
        <w:ind w:right="1120"/>
        <w:jc w:val="left"/>
      </w:pPr>
      <w:r>
        <w:rPr/>
        <w:t>（</w:t>
      </w:r>
      <w:r>
        <w:rPr>
          <w:rFonts w:ascii="Times New Roman" w:hAnsi="Times New Roman" w:cs="Times New Roman" w:eastAsia="Times New Roman" w:hint="default"/>
        </w:rPr>
        <w:t>D</w:t>
      </w:r>
      <w:r>
        <w:rPr/>
        <w:t>）有足够的技术、财务资源和其他资源支持，以完成该无形资产的开发，并有能力使用或出售该无形</w:t>
      </w:r>
      <w:r>
        <w:rPr>
          <w:spacing w:val="-76"/>
        </w:rPr>
        <w:t> </w:t>
      </w:r>
      <w:r>
        <w:rPr>
          <w:spacing w:val="-76"/>
        </w:rPr>
      </w:r>
      <w:r>
        <w:rPr/>
        <w:t>资产；</w:t>
      </w:r>
    </w:p>
    <w:p>
      <w:pPr>
        <w:pStyle w:val="BodyText"/>
        <w:spacing w:line="264" w:lineRule="auto" w:before="22"/>
        <w:ind w:right="1120"/>
        <w:jc w:val="left"/>
      </w:pPr>
      <w:r>
        <w:rPr/>
        <w:t>（</w:t>
      </w:r>
      <w:r>
        <w:rPr>
          <w:rFonts w:ascii="Times New Roman" w:hAnsi="Times New Roman" w:cs="Times New Roman" w:eastAsia="Times New Roman" w:hint="default"/>
        </w:rPr>
        <w:t>E</w:t>
      </w:r>
      <w:r>
        <w:rPr/>
        <w:t>）归属于该无形资产开发阶段的支出能够可靠地计量。 </w:t>
      </w:r>
      <w:r>
        <w:rPr>
          <w:spacing w:val="-1"/>
        </w:rPr>
        <w:t>开发阶段的支出，若不满足上列条件的，于发生时计入当期损益。研究阶段的支出，在发生时计入当期损</w:t>
      </w:r>
      <w:r>
        <w:rPr>
          <w:spacing w:val="-86"/>
        </w:rPr>
        <w:t> </w:t>
      </w:r>
      <w:r>
        <w:rPr>
          <w:spacing w:val="-86"/>
        </w:rPr>
      </w:r>
      <w:r>
        <w:rPr/>
        <w:t>益。</w:t>
      </w:r>
    </w:p>
    <w:p>
      <w:pPr>
        <w:spacing w:line="240" w:lineRule="auto" w:before="3"/>
        <w:rPr>
          <w:rFonts w:ascii="宋体" w:hAnsi="宋体" w:cs="宋体" w:eastAsia="宋体" w:hint="default"/>
          <w:sz w:val="24"/>
          <w:szCs w:val="24"/>
        </w:rPr>
      </w:pPr>
    </w:p>
    <w:p>
      <w:pPr>
        <w:pStyle w:val="Heading4"/>
        <w:spacing w:line="240" w:lineRule="auto"/>
        <w:ind w:left="154" w:right="0"/>
        <w:jc w:val="left"/>
        <w:rPr>
          <w:b w:val="0"/>
          <w:bCs w:val="0"/>
        </w:rPr>
      </w:pPr>
      <w:bookmarkStart w:name="20、长期资产减值" w:id="165"/>
      <w:bookmarkEnd w:id="165"/>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jc w:val="both"/>
      </w:pPr>
      <w:r>
        <w:rPr>
          <w:spacing w:val="-1"/>
        </w:rPr>
        <w:t>长期股权投资、采用成本模式计量的投资性房地产、固定资产、在建工程、无形资产等长期资产，于资产</w:t>
      </w:r>
      <w:r>
        <w:rPr>
          <w:spacing w:val="-83"/>
        </w:rPr>
        <w:t> </w:t>
      </w:r>
      <w:r>
        <w:rPr>
          <w:spacing w:val="-83"/>
        </w:rPr>
      </w:r>
      <w:r>
        <w:rPr>
          <w:spacing w:val="-1"/>
        </w:rPr>
        <w:t>负债表日存在减值迹象的，进行减值测试。减值测试结果表明资产的可收回金额低于其账面价值的，按其</w:t>
      </w:r>
      <w:r>
        <w:rPr>
          <w:spacing w:val="-83"/>
        </w:rPr>
        <w:t> </w:t>
      </w:r>
      <w:r>
        <w:rPr>
          <w:spacing w:val="-83"/>
        </w:rPr>
      </w:r>
      <w:r>
        <w:rPr>
          <w:spacing w:val="-1"/>
        </w:rPr>
        <w:t>差额计提减值准备并计入减值损失。可收回金额为资产的公允价值减去处置费用后的净额与资产预计未来</w:t>
      </w:r>
      <w:r>
        <w:rPr>
          <w:spacing w:val="-81"/>
        </w:rPr>
        <w:t> </w:t>
      </w:r>
      <w:r>
        <w:rPr>
          <w:spacing w:val="-81"/>
        </w:rPr>
      </w:r>
      <w:r>
        <w:rPr>
          <w:spacing w:val="-1"/>
        </w:rPr>
        <w:t>现金流量的现值两者之间的较高者。资产减值准备按单项资产为基础计算并确认，如果难以对单项资产的</w:t>
      </w:r>
      <w:r>
        <w:rPr>
          <w:spacing w:val="-81"/>
        </w:rPr>
        <w:t> </w:t>
      </w:r>
      <w:r>
        <w:rPr>
          <w:spacing w:val="-81"/>
        </w:rPr>
      </w:r>
      <w:r>
        <w:rPr>
          <w:spacing w:val="-1"/>
        </w:rPr>
        <w:t>可收回金额进行估计的，以该资产所属的资产组确定资产组的可收回金额。资产组是能够独立产生现金流</w:t>
      </w:r>
      <w:r>
        <w:rPr>
          <w:spacing w:val="-81"/>
        </w:rPr>
        <w:t> </w:t>
      </w:r>
      <w:r>
        <w:rPr>
          <w:spacing w:val="-81"/>
        </w:rPr>
      </w:r>
      <w:r>
        <w:rPr/>
        <w:t>入的最小资产组合。</w:t>
      </w:r>
    </w:p>
    <w:p>
      <w:pPr>
        <w:pStyle w:val="BodyText"/>
        <w:spacing w:line="273" w:lineRule="auto" w:before="7"/>
        <w:ind w:left="154" w:right="1116"/>
        <w:jc w:val="left"/>
      </w:pPr>
      <w:r>
        <w:rPr/>
        <w:t>商誉至少在每年年度终了进行减值测试。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w:t>
      </w:r>
      <w:r>
        <w:rPr>
          <w:spacing w:val="81"/>
        </w:rPr>
        <w:t> </w:t>
      </w:r>
      <w:r>
        <w:rPr/>
        <w:t>上述资产减值损失一经确认，在</w:t>
      </w:r>
      <w:r>
        <w:rPr/>
        <w:t> 以后会计期间不予转回。</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21、 商誉" w:id="166"/>
      <w:bookmarkEnd w:id="166"/>
      <w:r>
        <w:rPr>
          <w:b w:val="0"/>
          <w:bCs w:val="0"/>
        </w:rPr>
      </w:r>
      <w:r>
        <w:rPr>
          <w:rFonts w:ascii="Times New Roman" w:hAnsi="Times New Roman" w:cs="Times New Roman" w:eastAsia="Times New Roman" w:hint="default"/>
        </w:rPr>
        <w:t>21</w:t>
      </w:r>
      <w:r>
        <w:rPr/>
        <w:t>、</w:t>
      </w:r>
      <w:r>
        <w:rPr>
          <w:spacing w:val="-1"/>
        </w:rPr>
        <w:t> </w:t>
      </w:r>
      <w:r>
        <w:rPr/>
        <w:t>商誉</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0"/>
        <w:jc w:val="left"/>
      </w:pPr>
      <w:r>
        <w:rPr>
          <w:spacing w:val="-1"/>
        </w:rPr>
        <w:t>因非同一控制下企业合并形成的商誉，其初始成本是合并成本大于合并中取得的被购买方可辨认净资产公</w:t>
      </w:r>
      <w:r>
        <w:rPr>
          <w:spacing w:val="-81"/>
        </w:rPr>
        <w:t> </w:t>
      </w:r>
      <w:r>
        <w:rPr>
          <w:spacing w:val="-81"/>
        </w:rPr>
      </w:r>
      <w:r>
        <w:rPr/>
        <w:t>允价值份额的差额。</w:t>
      </w:r>
    </w:p>
    <w:p>
      <w:pPr>
        <w:pStyle w:val="BodyText"/>
        <w:spacing w:line="273" w:lineRule="auto" w:before="7"/>
        <w:ind w:right="4453"/>
        <w:jc w:val="left"/>
      </w:pPr>
      <w:r>
        <w:rPr/>
        <w:t>商誉在其相关资产组或资产组组合处置时予以转出，计入当期损益。 本公司对商誉不摊销，商誉至少在每年年度终了进行减值测试。</w:t>
      </w:r>
    </w:p>
    <w:p>
      <w:pPr>
        <w:spacing w:after="0" w:line="273" w:lineRule="auto"/>
        <w:jc w:val="left"/>
        <w:sectPr>
          <w:footerReference w:type="default" r:id="rId18"/>
          <w:pgSz w:w="11910" w:h="16840"/>
          <w:pgMar w:footer="1488" w:header="747" w:top="1060" w:bottom="1680" w:left="980" w:right="0"/>
          <w:pgNumType w:start="95"/>
        </w:sectPr>
      </w:pPr>
    </w:p>
    <w:p>
      <w:pPr>
        <w:spacing w:line="240" w:lineRule="auto" w:before="9"/>
        <w:rPr>
          <w:rFonts w:ascii="宋体" w:hAnsi="宋体" w:cs="宋体" w:eastAsia="宋体" w:hint="default"/>
          <w:sz w:val="24"/>
          <w:szCs w:val="24"/>
        </w:rPr>
      </w:pPr>
    </w:p>
    <w:p>
      <w:pPr>
        <w:pStyle w:val="BodyText"/>
        <w:spacing w:line="273" w:lineRule="auto" w:before="35"/>
        <w:ind w:right="1116"/>
        <w:jc w:val="left"/>
      </w:pP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r>
        <w:rPr>
          <w:spacing w:val="-81"/>
        </w:rPr>
        <w:t> </w:t>
      </w:r>
      <w:r>
        <w:rPr>
          <w:spacing w:val="-81"/>
        </w:rPr>
      </w: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w:t>
      </w:r>
      <w:r>
        <w:rPr>
          <w:spacing w:val="82"/>
        </w:rPr>
        <w:t> </w:t>
      </w:r>
      <w:r>
        <w:rPr/>
        <w:t>商誉减值损失在发生时计入当期</w:t>
      </w:r>
      <w:r>
        <w:rPr/>
        <w:t> 损益，且在以后会计期间不予转回。</w:t>
      </w:r>
    </w:p>
    <w:p>
      <w:pPr>
        <w:spacing w:line="590" w:lineRule="atLeast" w:before="9"/>
        <w:ind w:left="153" w:right="2563" w:firstLine="0"/>
        <w:jc w:val="left"/>
        <w:rPr>
          <w:rFonts w:ascii="宋体" w:hAnsi="宋体" w:cs="宋体" w:eastAsia="宋体" w:hint="default"/>
          <w:sz w:val="21"/>
          <w:szCs w:val="21"/>
        </w:rPr>
      </w:pPr>
      <w:bookmarkStart w:name="22、长期待摊费用" w:id="167"/>
      <w:bookmarkEnd w:id="167"/>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长期待摊费用为已经发生但应由本年和以后各期负担的分摊期限在一年以上的各项费用。</w:t>
      </w:r>
    </w:p>
    <w:p>
      <w:pPr>
        <w:spacing w:line="256" w:lineRule="auto" w:before="37"/>
        <w:ind w:left="153" w:right="65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A</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开办费在开始生产经营的当月一次计入损益。</w:t>
      </w:r>
    </w:p>
    <w:p>
      <w:pPr>
        <w:pStyle w:val="BodyText"/>
        <w:spacing w:line="273" w:lineRule="auto" w:before="22"/>
        <w:ind w:right="0"/>
        <w:jc w:val="left"/>
      </w:pPr>
      <w:r>
        <w:rPr>
          <w:spacing w:val="-1"/>
        </w:rPr>
        <w:t>其他长期待摊费用在受益期内分期平均摊销，如长期待摊费用项目不能使以后会计期间受益，则将尚未摊</w:t>
      </w:r>
      <w:r>
        <w:rPr>
          <w:spacing w:val="-81"/>
        </w:rPr>
        <w:t> </w:t>
      </w:r>
      <w:r>
        <w:rPr>
          <w:spacing w:val="-81"/>
        </w:rPr>
      </w:r>
      <w:r>
        <w:rPr/>
        <w:t>销的摊余价值全部转入当期损益。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3、职工薪酬" w:id="168"/>
      <w:bookmarkEnd w:id="168"/>
      <w:r>
        <w:rPr>
          <w:b w:val="0"/>
          <w:bCs w:val="0"/>
        </w:rPr>
      </w:r>
      <w:r>
        <w:rPr>
          <w:rFonts w:ascii="Times New Roman" w:hAnsi="Times New Roman" w:cs="Times New Roman" w:eastAsia="Times New Roman" w:hint="default"/>
        </w:rPr>
        <w:t>23</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薪酬的会计处理方法" w:id="169"/>
      <w:bookmarkEnd w:id="16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left="154" w:right="1120"/>
        <w:jc w:val="left"/>
      </w:pPr>
      <w:r>
        <w:rPr>
          <w:spacing w:val="-1"/>
        </w:rPr>
        <w:t>本公司在职工为本公司提供服务的会计期间，将实际发生的短期薪酬确认为负债，并计入当期损益或相关</w:t>
      </w:r>
      <w:r>
        <w:rPr>
          <w:spacing w:val="-81"/>
        </w:rPr>
        <w:t> </w:t>
      </w:r>
      <w:r>
        <w:rPr>
          <w:spacing w:val="-81"/>
        </w:rPr>
      </w:r>
      <w:r>
        <w:rPr/>
        <w:t>资产成本。 </w:t>
      </w:r>
      <w:r>
        <w:rPr>
          <w:spacing w:val="-1"/>
        </w:rPr>
        <w:t>本公司为职工缴纳的社会保险费和住房公积金，以及按规定提取的工会经费和职工教育经费，在职工为本</w:t>
      </w:r>
      <w:r>
        <w:rPr>
          <w:spacing w:val="-81"/>
        </w:rPr>
        <w:t> </w:t>
      </w:r>
      <w:r>
        <w:rPr>
          <w:spacing w:val="-81"/>
        </w:rPr>
      </w:r>
      <w:r>
        <w:rPr/>
        <w:t>公司提供服务的会计期间，根据规定的计提基础和计提比例计算确定相应的职工薪酬金额。 职工福利费为非货币性福利的，如能够可靠计量的，按照公允价值计量。</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2）离职后福利的会计处理方法" w:id="170"/>
      <w:bookmarkEnd w:id="17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66" w:lineRule="auto"/>
        <w:ind w:right="1024"/>
        <w:jc w:val="left"/>
      </w:pPr>
      <w:r>
        <w:rPr/>
        <w:t>（</w:t>
      </w:r>
      <w:r>
        <w:rPr>
          <w:rFonts w:ascii="Times New Roman" w:hAnsi="Times New Roman" w:cs="Times New Roman" w:eastAsia="Times New Roman" w:hint="default"/>
        </w:rPr>
        <w:t>A</w:t>
      </w:r>
      <w:r>
        <w:rPr/>
        <w:t>）设定提存计划 </w:t>
      </w:r>
      <w:r>
        <w:rPr>
          <w:spacing w:val="3"/>
        </w:rPr>
        <w:t>本公司按当地政府的相关规定为职工缴纳基本养老保险和失业保险，在职工为本公司提供服务的会计期</w:t>
      </w:r>
      <w:r>
        <w:rPr>
          <w:spacing w:val="-82"/>
        </w:rPr>
        <w:t> </w:t>
      </w:r>
      <w:r>
        <w:rPr>
          <w:spacing w:val="-82"/>
        </w:rPr>
      </w:r>
      <w:r>
        <w:rPr/>
        <w:t>间，按以当地规定的缴纳基数和比例计算应缴纳金额，确认为负债，并计入当期损益或相关资产成本。 </w:t>
      </w:r>
      <w:r>
        <w:rPr>
          <w:spacing w:val="-3"/>
        </w:rPr>
        <w:t>除基本养老保险外，本公司还依据国家企业年金制度的相关政策建立了企业年金缴费制度（补充养老保险）</w:t>
      </w:r>
    </w:p>
    <w:p>
      <w:pPr>
        <w:pStyle w:val="BodyText"/>
        <w:spacing w:line="256" w:lineRule="auto" w:before="14"/>
        <w:ind w:right="0"/>
        <w:jc w:val="left"/>
      </w:pP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年金计划缴费，相应支出计</w:t>
      </w:r>
      <w:r>
        <w:rPr>
          <w:spacing w:val="-42"/>
        </w:rPr>
        <w:t> </w:t>
      </w:r>
      <w:r>
        <w:rPr>
          <w:spacing w:val="-42"/>
        </w:rPr>
      </w:r>
      <w:r>
        <w:rPr/>
        <w:t>入当期损益或相关资产成本。</w:t>
      </w:r>
    </w:p>
    <w:p>
      <w:pPr>
        <w:pStyle w:val="BodyText"/>
        <w:spacing w:line="271" w:lineRule="auto" w:before="22"/>
        <w:ind w:left="154" w:right="1092"/>
        <w:jc w:val="left"/>
      </w:pPr>
      <w:r>
        <w:rPr/>
        <w:t>（</w:t>
      </w:r>
      <w:r>
        <w:rPr>
          <w:rFonts w:ascii="Times New Roman" w:hAnsi="Times New Roman" w:cs="Times New Roman" w:eastAsia="Times New Roman" w:hint="default"/>
        </w:rPr>
        <w:t>B</w:t>
      </w:r>
      <w:r>
        <w:rPr/>
        <w:t>）设定受益计划 本公司根据预期累计福利单位法确定的公式将设定受益计划产生的福利义务归属于职工提供服务的期间， 并计入当期损益或相关资产成本。 </w:t>
      </w:r>
      <w:r>
        <w:rPr>
          <w:spacing w:val="3"/>
        </w:rPr>
        <w:t>设定受益计划义务现值减去设定受益计划资产公允价值所形成的赤字或盈余确认为一项设定受益计划净</w:t>
      </w:r>
      <w:r>
        <w:rPr>
          <w:spacing w:val="-73"/>
        </w:rPr>
        <w:t> </w:t>
      </w:r>
      <w:r>
        <w:rPr>
          <w:spacing w:val="-73"/>
        </w:rPr>
      </w:r>
      <w:r>
        <w:rPr>
          <w:spacing w:val="-1"/>
        </w:rPr>
        <w:t>负债或净资产。设定受益计划存在盈余的，本公司以设定受益计划的盈余和资产上限两项的孰低者计量设</w:t>
      </w:r>
      <w:r>
        <w:rPr>
          <w:spacing w:val="-81"/>
        </w:rPr>
        <w:t> </w:t>
      </w:r>
      <w:r>
        <w:rPr>
          <w:spacing w:val="-81"/>
        </w:rPr>
      </w:r>
      <w:r>
        <w:rPr/>
        <w:t>定受益计划净资产。 </w:t>
      </w:r>
      <w:r>
        <w:rPr>
          <w:spacing w:val="-1"/>
        </w:rPr>
        <w:t>所有设定受益计划义务，包括预期在职工提供服务的年度报告期间结束后的十二个月内支付的义务，根据</w:t>
      </w:r>
      <w:r>
        <w:rPr>
          <w:spacing w:val="-81"/>
        </w:rPr>
        <w:t> </w:t>
      </w:r>
      <w:r>
        <w:rPr>
          <w:spacing w:val="-81"/>
        </w:rPr>
      </w:r>
      <w:r>
        <w:rPr>
          <w:spacing w:val="3"/>
        </w:rPr>
        <w:t>资产负债表日与设定受益计划义务期限和币种相匹配的国债或活跃市场上的高质量公司债券的市场收益</w:t>
      </w:r>
    </w:p>
    <w:p>
      <w:pPr>
        <w:spacing w:after="0" w:line="271" w:lineRule="auto"/>
        <w:jc w:val="left"/>
        <w:sectPr>
          <w:footerReference w:type="default" r:id="rId19"/>
          <w:pgSz w:w="11910" w:h="16840"/>
          <w:pgMar w:footer="979" w:header="747" w:top="1060" w:bottom="1160" w:left="980" w:right="0"/>
          <w:pgNumType w:start="96"/>
        </w:sectPr>
      </w:pPr>
    </w:p>
    <w:p>
      <w:pPr>
        <w:spacing w:line="240" w:lineRule="auto" w:before="9"/>
        <w:rPr>
          <w:rFonts w:ascii="宋体" w:hAnsi="宋体" w:cs="宋体" w:eastAsia="宋体" w:hint="default"/>
          <w:sz w:val="24"/>
          <w:szCs w:val="24"/>
        </w:rPr>
      </w:pPr>
    </w:p>
    <w:p>
      <w:pPr>
        <w:pStyle w:val="BodyText"/>
        <w:spacing w:line="273" w:lineRule="auto" w:before="35"/>
        <w:ind w:right="1093"/>
        <w:jc w:val="left"/>
      </w:pPr>
      <w:r>
        <w:rPr/>
        <w:t>率予以折现。 设定受益计划产生的服务成本和设定受益计划净负债或净资产的利息净额计入当期损益或相关资产成本； </w:t>
      </w:r>
      <w:r>
        <w:rPr>
          <w:spacing w:val="-1"/>
        </w:rPr>
        <w:t>重新计量设定受益计划净负债或净资产所产生的变动计入其他综合收益，并且在后续会计期间不转回至损</w:t>
      </w:r>
      <w:r>
        <w:rPr>
          <w:spacing w:val="-81"/>
        </w:rPr>
        <w:t> </w:t>
      </w:r>
      <w:r>
        <w:rPr>
          <w:spacing w:val="-81"/>
        </w:rPr>
      </w:r>
      <w:r>
        <w:rPr/>
        <w:t>益。 </w:t>
      </w:r>
      <w:r>
        <w:rPr>
          <w:spacing w:val="-1"/>
        </w:rPr>
        <w:t>在设定受益计划结算时，按在结算日确定的设定受益计划义务现值和结算价格两者的差额，确认结算利得</w:t>
      </w:r>
      <w:r>
        <w:rPr>
          <w:spacing w:val="-81"/>
        </w:rPr>
        <w:t> </w:t>
      </w:r>
      <w:r>
        <w:rPr>
          <w:spacing w:val="-81"/>
        </w:rPr>
      </w:r>
      <w:r>
        <w:rPr/>
        <w:t>或损失。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3）辞退福利的会计处理方法" w:id="171"/>
      <w:bookmarkEnd w:id="17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本公司在不能单方面撤回因解除劳动关系计划或裁减建议所提供的辞退福利时，或确认与涉及支付辞退福</w:t>
      </w:r>
      <w:r>
        <w:rPr>
          <w:spacing w:val="-81"/>
        </w:rPr>
        <w:t> </w:t>
      </w:r>
      <w:r>
        <w:rPr>
          <w:spacing w:val="-81"/>
        </w:rPr>
      </w:r>
      <w:r>
        <w:rPr/>
        <w:t>利的重组相关的成本或费用时（两者孰早），确认辞退福利产生的职工薪酬负债，并计入当期损益。</w:t>
      </w:r>
    </w:p>
    <w:p>
      <w:pPr>
        <w:pStyle w:val="Heading4"/>
        <w:spacing w:line="612" w:lineRule="exact" w:before="64"/>
        <w:ind w:left="154" w:right="8492"/>
        <w:jc w:val="left"/>
        <w:rPr>
          <w:b w:val="0"/>
          <w:bCs w:val="0"/>
        </w:rPr>
      </w:pPr>
      <w:bookmarkStart w:name="24、预计负债" w:id="172"/>
      <w:bookmarkEnd w:id="172"/>
      <w:r>
        <w:rPr>
          <w:b w:val="0"/>
          <w:bCs w:val="0"/>
        </w:rPr>
      </w:r>
      <w:r>
        <w:rPr>
          <w:rFonts w:ascii="Times New Roman" w:hAnsi="Times New Roman" w:cs="Times New Roman" w:eastAsia="Times New Roman" w:hint="default"/>
        </w:rPr>
        <w:t>24</w:t>
      </w:r>
      <w:r>
        <w:rPr/>
        <w:t>、预计负债</w:t>
      </w:r>
      <w:r>
        <w:rPr>
          <w:w w:val="99"/>
        </w:rPr>
        <w:t> </w:t>
      </w:r>
      <w:r>
        <w:rPr>
          <w:rFonts w:ascii="Times New Roman" w:hAnsi="Times New Roman" w:cs="Times New Roman" w:eastAsia="Times New Roman" w:hint="default"/>
        </w:rPr>
        <w:t>A</w:t>
      </w:r>
      <w:r>
        <w:rPr/>
        <w:t>、预计负债的确认标准</w:t>
      </w:r>
      <w:r>
        <w:rPr>
          <w:b w:val="0"/>
          <w:bCs w:val="0"/>
        </w:rPr>
      </w:r>
    </w:p>
    <w:p>
      <w:pPr>
        <w:pStyle w:val="BodyText"/>
        <w:spacing w:line="219" w:lineRule="exact"/>
        <w:ind w:right="0"/>
        <w:jc w:val="left"/>
      </w:pPr>
      <w:r>
        <w:rPr/>
        <w:t>与诉讼、债务担保、亏损合同、重组事项等或有事项相关的义务同时满足下列条件时，本公司确认为预计</w:t>
      </w:r>
    </w:p>
    <w:p>
      <w:pPr>
        <w:pStyle w:val="BodyText"/>
        <w:spacing w:line="240" w:lineRule="auto" w:before="37"/>
        <w:ind w:right="0"/>
        <w:jc w:val="left"/>
      </w:pPr>
      <w:r>
        <w:rPr/>
        <w:t>负债：</w:t>
      </w:r>
    </w:p>
    <w:p>
      <w:pPr>
        <w:pStyle w:val="BodyText"/>
        <w:spacing w:line="240" w:lineRule="auto" w:before="37"/>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21"/>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21"/>
        <w:ind w:right="0"/>
        <w:jc w:val="left"/>
      </w:pPr>
      <w:r>
        <w:rPr/>
        <w:t>（</w:t>
      </w:r>
      <w:r>
        <w:rPr>
          <w:rFonts w:ascii="Times New Roman" w:hAnsi="Times New Roman" w:cs="Times New Roman" w:eastAsia="Times New Roman" w:hint="default"/>
        </w:rPr>
        <w:t>3</w:t>
      </w:r>
      <w:r>
        <w:rPr/>
        <w:t>）该义务的金额能够可靠地计量。</w:t>
      </w:r>
    </w:p>
    <w:p>
      <w:pPr>
        <w:pStyle w:val="BodyText"/>
        <w:spacing w:line="271" w:lineRule="auto" w:before="21"/>
        <w:ind w:right="1120"/>
        <w:jc w:val="left"/>
      </w:pPr>
      <w:r>
        <w:rPr>
          <w:rFonts w:ascii="Times New Roman" w:hAnsi="Times New Roman" w:cs="Times New Roman" w:eastAsia="Times New Roman" w:hint="default"/>
          <w:b/>
          <w:bCs/>
        </w:rPr>
        <w:t>B</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本公司在确定最佳估计数时，综合考虑与或有事项有关的风险、不确定性和货币时间价值等因素。对于货</w:t>
      </w:r>
      <w:r>
        <w:rPr>
          <w:spacing w:val="-83"/>
        </w:rPr>
        <w:t> </w:t>
      </w:r>
      <w:r>
        <w:rPr>
          <w:spacing w:val="-83"/>
        </w:rPr>
      </w:r>
      <w:r>
        <w:rPr/>
        <w:t>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所需支出存在一个连续范围（或区间），且该范围内各种结果发生的可能性相同的，则最佳估计数按照该</w:t>
      </w:r>
      <w:r>
        <w:rPr>
          <w:spacing w:val="-86"/>
        </w:rPr>
        <w:t> </w:t>
      </w:r>
      <w:r>
        <w:rPr>
          <w:spacing w:val="-86"/>
        </w:rPr>
      </w:r>
      <w:r>
        <w:rPr/>
        <w:t>范围的中间值即上下限金额的平均数确定。 </w:t>
      </w:r>
      <w:r>
        <w:rPr>
          <w:spacing w:val="-1"/>
        </w:rPr>
        <w:t>所需支出不存在一个连续范围（或区间），或虽然存在一个连续范围但该范围内各种结果发生的可能性不</w:t>
      </w:r>
      <w:r>
        <w:rPr>
          <w:spacing w:val="-83"/>
        </w:rPr>
        <w:t> </w:t>
      </w:r>
      <w:r>
        <w:rPr>
          <w:spacing w:val="-83"/>
        </w:rPr>
      </w:r>
      <w:r>
        <w:rPr>
          <w:spacing w:val="-1"/>
        </w:rPr>
        <w:t>相同的，如或有事项涉及单个项目的，则最佳估计数按照最可能发生金额确定；如或有事项涉及多个项目</w:t>
      </w:r>
      <w:r>
        <w:rPr>
          <w:spacing w:val="-83"/>
        </w:rPr>
        <w:t> </w:t>
      </w:r>
      <w:r>
        <w:rPr>
          <w:spacing w:val="-83"/>
        </w:rPr>
      </w:r>
      <w:r>
        <w:rPr/>
        <w:t>的，则最佳估计数按各种可能结果及相关概率计算确定。 </w:t>
      </w:r>
      <w:r>
        <w:rPr>
          <w:spacing w:val="-1"/>
        </w:rPr>
        <w:t>本公司清偿预计负债所需支出全部或部分预期由第三方补偿的，补偿金额在基本确定能够收到时，作为资</w:t>
      </w:r>
      <w:r>
        <w:rPr>
          <w:spacing w:val="-81"/>
        </w:rPr>
        <w:t> </w:t>
      </w:r>
      <w:r>
        <w:rPr>
          <w:spacing w:val="-81"/>
        </w:rPr>
      </w:r>
      <w:r>
        <w:rPr/>
        <w:t>产单独确认，确认的补偿金额不超过预计负债的账面价值。</w:t>
      </w:r>
    </w:p>
    <w:p>
      <w:pPr>
        <w:pStyle w:val="Heading4"/>
        <w:spacing w:line="612" w:lineRule="exact" w:before="66"/>
        <w:ind w:left="154" w:right="6805"/>
        <w:jc w:val="left"/>
        <w:rPr>
          <w:b w:val="0"/>
          <w:bCs w:val="0"/>
        </w:rPr>
      </w:pPr>
      <w:bookmarkStart w:name="25、收入" w:id="173"/>
      <w:bookmarkEnd w:id="173"/>
      <w:r>
        <w:rPr>
          <w:b w:val="0"/>
          <w:bCs w:val="0"/>
        </w:rPr>
      </w:r>
      <w:r>
        <w:rPr>
          <w:rFonts w:ascii="Times New Roman" w:hAnsi="Times New Roman" w:cs="Times New Roman" w:eastAsia="Times New Roman" w:hint="default"/>
        </w:rPr>
        <w:t>25</w:t>
      </w:r>
      <w:r>
        <w:rPr/>
        <w:t>、收入</w:t>
      </w:r>
      <w:r>
        <w:rPr>
          <w:w w:val="99"/>
        </w:rPr>
        <w:t> </w:t>
      </w:r>
      <w:r>
        <w:rPr>
          <w:rFonts w:ascii="Times New Roman" w:hAnsi="Times New Roman" w:cs="Times New Roman" w:eastAsia="Times New Roman" w:hint="default"/>
        </w:rPr>
        <w:t>A</w:t>
      </w:r>
      <w:r>
        <w:rPr/>
        <w:t>、销售商品收入确认时间的具体判断标准</w:t>
      </w:r>
      <w:r>
        <w:rPr>
          <w:b w:val="0"/>
          <w:bCs w:val="0"/>
        </w:rPr>
      </w:r>
    </w:p>
    <w:p>
      <w:pPr>
        <w:pStyle w:val="BodyText"/>
        <w:spacing w:line="219" w:lineRule="exact"/>
        <w:ind w:right="0"/>
        <w:jc w:val="left"/>
      </w:pPr>
      <w:r>
        <w:rPr/>
        <w:t>公司已将商品所有权上的主要风险和报酬转移给购买方；公司既没有保留与所有权相联系的继续管理权，</w:t>
      </w:r>
    </w:p>
    <w:p>
      <w:pPr>
        <w:pStyle w:val="BodyText"/>
        <w:spacing w:line="273" w:lineRule="auto" w:before="37"/>
        <w:ind w:right="0"/>
        <w:jc w:val="left"/>
      </w:pPr>
      <w:r>
        <w:rPr>
          <w:spacing w:val="-1"/>
        </w:rPr>
        <w:t>也没有对已售出的商品实施有效控制；收入的金额能够可靠地计量；相关的经济利益很可能流入企业；相</w:t>
      </w:r>
      <w:r>
        <w:rPr>
          <w:spacing w:val="-83"/>
        </w:rPr>
        <w:t> </w:t>
      </w:r>
      <w:r>
        <w:rPr>
          <w:spacing w:val="-83"/>
        </w:rPr>
      </w:r>
      <w:r>
        <w:rPr/>
        <w:t>关的已发生或将发生的成本能够可靠地计量时，确认商品销售收入实现。</w:t>
      </w:r>
    </w:p>
    <w:p>
      <w:pPr>
        <w:pStyle w:val="BodyText"/>
        <w:spacing w:line="256" w:lineRule="auto" w:before="8"/>
        <w:ind w:right="0"/>
        <w:jc w:val="left"/>
      </w:pPr>
      <w:r>
        <w:rPr/>
        <w:t>（</w:t>
      </w:r>
      <w:r>
        <w:rPr>
          <w:rFonts w:ascii="Times New Roman" w:hAnsi="Times New Roman" w:cs="Times New Roman" w:eastAsia="Times New Roman" w:hint="default"/>
        </w:rPr>
        <w:t>1</w:t>
      </w:r>
      <w:r>
        <w:rPr/>
        <w:t>）外销收入确认：出口销售采用离岸价结算，货物经商检、出口报关，公司在海关确认出口并在出口</w:t>
      </w:r>
      <w:r>
        <w:rPr>
          <w:spacing w:val="-35"/>
        </w:rPr>
        <w:t> </w:t>
      </w:r>
      <w:r>
        <w:rPr>
          <w:spacing w:val="-35"/>
        </w:rPr>
      </w:r>
      <w:r>
        <w:rPr/>
        <w:t>报关单上加注出口日期后确认收入。</w:t>
      </w:r>
    </w:p>
    <w:p>
      <w:pPr>
        <w:pStyle w:val="BodyText"/>
        <w:spacing w:line="256" w:lineRule="auto" w:before="22"/>
        <w:ind w:left="154" w:right="1120"/>
        <w:jc w:val="left"/>
      </w:pPr>
      <w:r>
        <w:rPr/>
        <w:t>（</w:t>
      </w:r>
      <w:r>
        <w:rPr>
          <w:rFonts w:ascii="Times New Roman" w:hAnsi="Times New Roman" w:cs="Times New Roman" w:eastAsia="Times New Roman" w:hint="default"/>
        </w:rPr>
        <w:t>2</w:t>
      </w:r>
      <w:r>
        <w:rPr/>
        <w:t>）内销收入确认：在开具发票，并取得客户签字的发货单后确认收入。 </w:t>
      </w:r>
      <w:r>
        <w:rPr>
          <w:rFonts w:ascii="Times New Roman" w:hAnsi="Times New Roman" w:cs="Times New Roman" w:eastAsia="Times New Roman" w:hint="default"/>
          <w:b/>
          <w:bCs/>
        </w:rPr>
        <w:t>B</w:t>
      </w:r>
      <w:r>
        <w:rPr>
          <w:rFonts w:ascii="宋体" w:hAnsi="宋体" w:cs="宋体" w:eastAsia="宋体" w:hint="default"/>
          <w:b/>
          <w:bCs/>
        </w:rPr>
        <w:t>、确认让渡资产使用权收入的依据</w:t>
      </w:r>
      <w:r>
        <w:rPr>
          <w:rFonts w:ascii="宋体" w:hAnsi="宋体" w:cs="宋体" w:eastAsia="宋体" w:hint="default"/>
          <w:b/>
          <w:bCs/>
          <w:w w:val="99"/>
        </w:rPr>
        <w:t> </w:t>
      </w:r>
      <w:r>
        <w:rPr>
          <w:spacing w:val="-1"/>
        </w:rPr>
        <w:t>与交易相关的经济利益很可能流入企业，收入的金额能够可靠地计量时。分别下列情况确定让渡资产使用</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权收入金额</w:t>
      </w:r>
    </w:p>
    <w:p>
      <w:pPr>
        <w:pStyle w:val="BodyText"/>
        <w:spacing w:line="240" w:lineRule="auto" w:before="37"/>
        <w:ind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68" w:lineRule="auto" w:before="21"/>
        <w:ind w:left="154" w:right="1120"/>
        <w:jc w:val="left"/>
      </w:pPr>
      <w:r>
        <w:rPr/>
        <w:t>（</w:t>
      </w:r>
      <w:r>
        <w:rPr>
          <w:rFonts w:ascii="Times New Roman" w:hAnsi="Times New Roman" w:cs="Times New Roman" w:eastAsia="Times New Roman" w:hint="default"/>
        </w:rPr>
        <w:t>2</w:t>
      </w:r>
      <w:r>
        <w:rPr/>
        <w:t>）使用费收入金额，按照有关合同或协议约定的收费时间和方法计算确定。 </w:t>
      </w:r>
      <w:r>
        <w:rPr>
          <w:rFonts w:ascii="Times New Roman" w:hAnsi="Times New Roman" w:cs="Times New Roman" w:eastAsia="Times New Roman" w:hint="default"/>
          <w:b/>
          <w:bCs/>
        </w:rPr>
        <w:t>C</w:t>
      </w:r>
      <w:r>
        <w:rPr>
          <w:rFonts w:ascii="宋体" w:hAnsi="宋体" w:cs="宋体" w:eastAsia="宋体" w:hint="default"/>
          <w:b/>
          <w:bCs/>
        </w:rPr>
        <w:t>、按完工百分比法确认提供劳务的收入和建造合同收入时，确定合同完工进度的依据和方法</w:t>
      </w:r>
      <w:r>
        <w:rPr>
          <w:rFonts w:ascii="宋体" w:hAnsi="宋体" w:cs="宋体" w:eastAsia="宋体" w:hint="default"/>
          <w:b/>
          <w:bCs/>
          <w:w w:val="99"/>
        </w:rPr>
        <w:t> </w:t>
      </w:r>
      <w:r>
        <w:rPr>
          <w:spacing w:val="-1"/>
        </w:rPr>
        <w:t>在资产负债表日提供劳务交易的结果能够可靠估计的，采用完工百分比法确认提供劳务收入。提供劳务交</w:t>
      </w:r>
      <w:r>
        <w:rPr>
          <w:spacing w:val="-81"/>
        </w:rPr>
        <w:t> </w:t>
      </w:r>
      <w:r>
        <w:rPr>
          <w:spacing w:val="-81"/>
        </w:rPr>
      </w:r>
      <w:r>
        <w:rPr/>
        <w:t>易的完工进度，依据已完工作的测量确定。 </w:t>
      </w:r>
      <w:r>
        <w:rPr>
          <w:spacing w:val="3"/>
        </w:rPr>
        <w:t>按照已收或应收的合同或协议价款确定提供劳务收入总额，但已收或应收的合同或协议价款不公允的除</w:t>
      </w:r>
      <w:r>
        <w:rPr>
          <w:spacing w:val="-82"/>
        </w:rPr>
        <w:t> </w:t>
      </w:r>
      <w:r>
        <w:rPr>
          <w:spacing w:val="-82"/>
        </w:rPr>
      </w:r>
      <w:r>
        <w:rPr>
          <w:spacing w:val="-1"/>
        </w:rPr>
        <w:t>外。资产负债表日按照提供劳务收入总额乘以完工进度扣除以前会计期间累计已确认提供劳务收入后的金</w:t>
      </w:r>
      <w:r>
        <w:rPr>
          <w:spacing w:val="-80"/>
        </w:rPr>
        <w:t> </w:t>
      </w:r>
      <w:r>
        <w:rPr>
          <w:spacing w:val="-80"/>
        </w:rPr>
      </w:r>
      <w:r>
        <w:rPr>
          <w:spacing w:val="-1"/>
        </w:rPr>
        <w:t>额，确认当期提供劳务收入；同时，按照提供劳务估计总成本乘以完工进度扣除以前会计期间累计已确认</w:t>
      </w:r>
      <w:r>
        <w:rPr>
          <w:spacing w:val="-83"/>
        </w:rPr>
        <w:t> </w:t>
      </w:r>
      <w:r>
        <w:rPr>
          <w:spacing w:val="-83"/>
        </w:rPr>
      </w:r>
      <w:r>
        <w:rPr/>
        <w:t>劳务成本后的金额，结转当期劳务成本。 在资产负债表日提供劳务交易结果不能够可靠估计的，分别下列情况处理：</w:t>
      </w:r>
    </w:p>
    <w:p>
      <w:pPr>
        <w:pStyle w:val="BodyText"/>
        <w:spacing w:line="256" w:lineRule="auto" w:before="12"/>
        <w:ind w:right="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w:t>
      </w:r>
      <w:r>
        <w:rPr>
          <w:spacing w:val="-35"/>
        </w:rPr>
        <w:t> </w:t>
      </w:r>
      <w:r>
        <w:rPr>
          <w:spacing w:val="-35"/>
        </w:rPr>
      </w:r>
      <w:r>
        <w:rPr/>
        <w:t>相同金额结转劳务成本。</w:t>
      </w:r>
    </w:p>
    <w:p>
      <w:pPr>
        <w:pStyle w:val="BodyText"/>
        <w:spacing w:line="256" w:lineRule="auto" w:before="22"/>
        <w:ind w:left="154" w:right="11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w:t>
      </w:r>
      <w:r>
        <w:rPr>
          <w:spacing w:val="-35"/>
        </w:rPr>
        <w:t> </w:t>
      </w:r>
      <w:r>
        <w:rPr>
          <w:spacing w:val="-35"/>
        </w:rPr>
      </w:r>
      <w:r>
        <w:rPr/>
        <w:t>务收入。</w:t>
      </w:r>
    </w:p>
    <w:p>
      <w:pPr>
        <w:spacing w:line="240" w:lineRule="auto" w:before="10"/>
        <w:rPr>
          <w:rFonts w:ascii="宋体" w:hAnsi="宋体" w:cs="宋体" w:eastAsia="宋体" w:hint="default"/>
          <w:sz w:val="24"/>
          <w:szCs w:val="24"/>
        </w:rPr>
      </w:pPr>
    </w:p>
    <w:p>
      <w:pPr>
        <w:pStyle w:val="Heading4"/>
        <w:spacing w:line="240" w:lineRule="auto"/>
        <w:ind w:left="154" w:right="0"/>
        <w:jc w:val="left"/>
        <w:rPr>
          <w:b w:val="0"/>
          <w:bCs w:val="0"/>
        </w:rPr>
      </w:pPr>
      <w:bookmarkStart w:name="26、政府补助" w:id="174"/>
      <w:bookmarkEnd w:id="174"/>
      <w:r>
        <w:rPr>
          <w:b w:val="0"/>
          <w:bCs w:val="0"/>
        </w:rPr>
      </w: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1722" w:firstLine="0"/>
        <w:jc w:val="left"/>
        <w:rPr>
          <w:rFonts w:ascii="宋体" w:hAnsi="宋体" w:cs="宋体" w:eastAsia="宋体" w:hint="default"/>
          <w:sz w:val="21"/>
          <w:szCs w:val="21"/>
        </w:rPr>
      </w:pPr>
      <w:bookmarkStart w:name="（1）与资产相关的政府补助判断依据及会计处理方法" w:id="175"/>
      <w:bookmarkEnd w:id="1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与资产相关的政府补助，确认为递延收益，按照所建造或购买的资产使用年限分期计入营业外收入</w:t>
      </w:r>
    </w:p>
    <w:p>
      <w:pPr>
        <w:pStyle w:val="Heading4"/>
        <w:spacing w:line="240" w:lineRule="auto" w:before="105"/>
        <w:ind w:right="0"/>
        <w:jc w:val="left"/>
        <w:rPr>
          <w:b w:val="0"/>
          <w:bCs w:val="0"/>
        </w:rPr>
      </w:pPr>
      <w:bookmarkStart w:name="（2）与收益相关的政府补助判断依据及会计处理方法" w:id="176"/>
      <w:bookmarkEnd w:id="17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131"/>
        <w:jc w:val="both"/>
      </w:pPr>
      <w:r>
        <w:rPr>
          <w:spacing w:val="-1"/>
        </w:rPr>
        <w:t>与收益相关的政府补助，用于补偿企业以后期间的相关费用或损失的，取得时确认为递延收益，在确认相</w:t>
      </w:r>
      <w:r>
        <w:rPr>
          <w:spacing w:val="-83"/>
        </w:rPr>
        <w:t> </w:t>
      </w:r>
      <w:r>
        <w:rPr>
          <w:spacing w:val="-83"/>
        </w:rPr>
      </w:r>
      <w:r>
        <w:rPr>
          <w:spacing w:val="-1"/>
        </w:rPr>
        <w:t>关费用的期间计入当期营业外收入；用于补偿企业已发生的相关费用或损失的，取得时直接计入当期营业</w:t>
      </w:r>
      <w:r>
        <w:rPr>
          <w:spacing w:val="-81"/>
        </w:rPr>
        <w:t> </w:t>
      </w:r>
      <w:r>
        <w:rPr>
          <w:spacing w:val="-81"/>
        </w:rPr>
      </w:r>
      <w:r>
        <w:rPr/>
        <w:t>外收入</w:t>
      </w:r>
    </w:p>
    <w:p>
      <w:pPr>
        <w:spacing w:line="240" w:lineRule="auto" w:before="8"/>
        <w:rPr>
          <w:rFonts w:ascii="宋体" w:hAnsi="宋体" w:cs="宋体" w:eastAsia="宋体" w:hint="default"/>
          <w:sz w:val="23"/>
          <w:szCs w:val="23"/>
        </w:rPr>
      </w:pPr>
    </w:p>
    <w:p>
      <w:pPr>
        <w:pStyle w:val="Heading4"/>
        <w:spacing w:line="240" w:lineRule="auto"/>
        <w:ind w:left="154" w:right="0"/>
        <w:jc w:val="left"/>
        <w:rPr>
          <w:b w:val="0"/>
          <w:bCs w:val="0"/>
        </w:rPr>
      </w:pPr>
      <w:bookmarkStart w:name="27、递延所得税资产/递延所得税负债" w:id="177"/>
      <w:bookmarkEnd w:id="177"/>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spacing w:val="-1"/>
        </w:rPr>
        <w:t>税所得额为限。对于能够结转以后年度的可抵扣亏损和税款抵减，以很可能获得用来抵扣可抵扣亏损和税</w:t>
      </w:r>
      <w:r>
        <w:rPr>
          <w:spacing w:val="-80"/>
        </w:rPr>
        <w:t> </w:t>
      </w:r>
      <w:r>
        <w:rPr>
          <w:spacing w:val="-80"/>
        </w:rPr>
      </w:r>
      <w:r>
        <w:rPr/>
        <w:t>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不影响会计利润也不影响应纳税所得额（或可抵扣亏损）的其他交易或事项。 </w:t>
      </w:r>
      <w:r>
        <w:rPr>
          <w:spacing w:val="-1"/>
        </w:rPr>
        <w:t>当拥有以净额结算的法定权利，且意图以净额结算或取得资产、清偿负债同时进行时，当期所得税资产及</w:t>
      </w:r>
      <w:r>
        <w:rPr>
          <w:spacing w:val="-83"/>
        </w:rPr>
        <w:t> </w:t>
      </w:r>
      <w:r>
        <w:rPr>
          <w:spacing w:val="-83"/>
        </w:rPr>
      </w:r>
      <w:r>
        <w:rPr/>
        <w:t>当期所得税负债以抵销后的净额列报。 </w:t>
      </w:r>
      <w:r>
        <w:rPr>
          <w:spacing w:val="-1"/>
        </w:rPr>
        <w:t>当拥有以净额结算当期所得税资产及当期所得税负债的法定权利，且递延所得税资产及递延所得税负债是</w:t>
      </w:r>
      <w:r>
        <w:rPr>
          <w:spacing w:val="-80"/>
        </w:rPr>
        <w:t> </w:t>
      </w:r>
      <w:r>
        <w:rPr>
          <w:spacing w:val="-80"/>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是同时取得资产、清偿负债时，递延所得税资产及递延所得税负债以抵销后的净额列报。</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8、租赁" w:id="178"/>
      <w:bookmarkEnd w:id="178"/>
      <w:r>
        <w:rPr>
          <w:b w:val="0"/>
          <w:bCs w:val="0"/>
        </w:rPr>
      </w:r>
      <w:r>
        <w:rPr>
          <w:rFonts w:ascii="Times New Roman" w:hAnsi="Times New Roman" w:cs="Times New Roman" w:eastAsia="Times New Roman" w:hint="default"/>
        </w:rPr>
        <w:t>28</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经营租赁的会计处理方法" w:id="179"/>
      <w:bookmarkEnd w:id="17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66" w:lineRule="auto"/>
        <w:ind w:left="154" w:right="0"/>
        <w:jc w:val="left"/>
      </w:pPr>
      <w:r>
        <w:rPr/>
        <w:t>（</w:t>
      </w:r>
      <w:r>
        <w:rPr>
          <w:rFonts w:ascii="Times New Roman" w:hAnsi="Times New Roman" w:cs="Times New Roman" w:eastAsia="Times New Roman" w:hint="default"/>
        </w:rPr>
        <w:t>A</w:t>
      </w:r>
      <w:r>
        <w:rPr/>
        <w:t>）公司租入资产所支付的租赁费，在不扣除免租期的整个租赁期内，按直线法进行分摊，计入当期费</w:t>
      </w:r>
      <w:r>
        <w:rPr>
          <w:spacing w:val="-76"/>
        </w:rPr>
        <w:t> </w:t>
      </w:r>
      <w:r>
        <w:rPr>
          <w:spacing w:val="-76"/>
        </w:rPr>
      </w:r>
      <w:r>
        <w:rPr/>
        <w:t>用。公司支付的与租赁交易相关的初始直接费用，计入当期费用。 </w:t>
      </w:r>
      <w:r>
        <w:rPr>
          <w:spacing w:val="-1"/>
        </w:rPr>
        <w:t>资产出租方承担了应由公司承担的与租赁相关的费用时，公司将该部分费用从租金总额中扣除，按扣除后</w:t>
      </w:r>
      <w:r>
        <w:rPr>
          <w:spacing w:val="-81"/>
        </w:rPr>
        <w:t> </w:t>
      </w:r>
      <w:r>
        <w:rPr>
          <w:spacing w:val="-81"/>
        </w:rPr>
      </w:r>
      <w:r>
        <w:rPr/>
        <w:t>的租金费用在租赁期内分摊，计入当期费用。</w:t>
      </w:r>
    </w:p>
    <w:p>
      <w:pPr>
        <w:pStyle w:val="BodyText"/>
        <w:spacing w:line="268" w:lineRule="auto" w:before="14"/>
        <w:ind w:right="1093"/>
        <w:jc w:val="left"/>
      </w:pPr>
      <w:r>
        <w:rPr/>
        <w:t>（</w:t>
      </w:r>
      <w:r>
        <w:rPr>
          <w:rFonts w:ascii="Times New Roman" w:hAnsi="Times New Roman" w:cs="Times New Roman" w:eastAsia="Times New Roman" w:hint="default"/>
        </w:rPr>
        <w:t>B</w:t>
      </w:r>
      <w:r>
        <w:rPr/>
        <w:t>）公司出租资产所收取的租赁费，在不扣除免租期的整个租赁期内，按直线法进行分摊，确认为租赁</w:t>
      </w:r>
      <w:r>
        <w:rPr>
          <w:spacing w:val="-67"/>
        </w:rPr>
        <w:t> </w:t>
      </w:r>
      <w:r>
        <w:rPr>
          <w:spacing w:val="-67"/>
        </w:rPr>
      </w:r>
      <w:r>
        <w:rPr/>
        <w:t>相关收入。公司支付的与租赁交易相关的初始直接费用，计入当期费用；如金额较大的，则予以资本化， 在整个租赁期间内按照与租赁相关收入确认相同的基础分期计入当期收益。 </w:t>
      </w:r>
      <w:r>
        <w:rPr>
          <w:spacing w:val="-1"/>
        </w:rPr>
        <w:t>公司承担了应由承租方承担的与租赁相关的费用时，公司将该部分费用从租金收入总额中扣除，按扣除后</w:t>
      </w:r>
      <w:r>
        <w:rPr>
          <w:spacing w:val="-81"/>
        </w:rPr>
        <w:t> </w:t>
      </w:r>
      <w:r>
        <w:rPr>
          <w:spacing w:val="-81"/>
        </w:rPr>
      </w:r>
      <w:r>
        <w:rPr/>
        <w:t>的租金费用在租赁期内分配。</w:t>
      </w:r>
    </w:p>
    <w:p>
      <w:pPr>
        <w:pStyle w:val="Heading4"/>
        <w:spacing w:line="590" w:lineRule="atLeast" w:before="14"/>
        <w:ind w:right="7381"/>
        <w:jc w:val="left"/>
        <w:rPr>
          <w:b w:val="0"/>
          <w:bCs w:val="0"/>
        </w:rPr>
      </w:pPr>
      <w:bookmarkStart w:name="29、其他重要的会计政策和会计估计" w:id="180"/>
      <w:bookmarkEnd w:id="180"/>
      <w:r>
        <w:rPr>
          <w:b w:val="0"/>
          <w:bCs w:val="0"/>
        </w:rPr>
      </w:r>
      <w:r>
        <w:rPr>
          <w:rFonts w:ascii="Times New Roman" w:hAnsi="Times New Roman" w:cs="Times New Roman" w:eastAsia="Times New Roman" w:hint="default"/>
        </w:rPr>
        <w:t>29</w:t>
      </w:r>
      <w:r>
        <w:rPr/>
        <w:t>、其他重要的会计政策和会计估计</w:t>
      </w:r>
      <w:r>
        <w:rPr>
          <w:w w:val="99"/>
        </w:rPr>
        <w:t> </w:t>
      </w:r>
      <w:r>
        <w:rPr/>
        <w:t>套期会计</w:t>
      </w:r>
      <w:r>
        <w:rPr>
          <w:b w:val="0"/>
          <w:bCs w:val="0"/>
        </w:rPr>
      </w:r>
    </w:p>
    <w:p>
      <w:pPr>
        <w:pStyle w:val="Heading4"/>
        <w:spacing w:line="240" w:lineRule="auto" w:before="37"/>
        <w:ind w:right="0"/>
        <w:jc w:val="left"/>
        <w:rPr>
          <w:b w:val="0"/>
          <w:bCs w:val="0"/>
        </w:rPr>
      </w:pPr>
      <w:r>
        <w:rPr>
          <w:rFonts w:ascii="Times New Roman" w:hAnsi="Times New Roman" w:cs="Times New Roman" w:eastAsia="Times New Roman" w:hint="default"/>
        </w:rPr>
        <w:t>1</w:t>
      </w:r>
      <w:r>
        <w:rPr/>
        <w:t>、套期保值的分类：</w:t>
      </w:r>
      <w:r>
        <w:rPr>
          <w:b w:val="0"/>
          <w:bCs w:val="0"/>
        </w:rPr>
      </w:r>
    </w:p>
    <w:p>
      <w:pPr>
        <w:pStyle w:val="BodyText"/>
        <w:spacing w:line="256" w:lineRule="auto" w:before="21"/>
        <w:ind w:left="154" w:right="0"/>
        <w:jc w:val="left"/>
      </w:pPr>
      <w:r>
        <w:rPr>
          <w:spacing w:val="-2"/>
        </w:rPr>
        <w:t>（</w:t>
      </w:r>
      <w:r>
        <w:rPr>
          <w:rFonts w:ascii="Times New Roman" w:hAnsi="Times New Roman" w:cs="Times New Roman" w:eastAsia="Times New Roman" w:hint="default"/>
          <w:spacing w:val="-2"/>
        </w:rPr>
        <w:t>1</w:t>
      </w:r>
      <w:r>
        <w:rPr>
          <w:spacing w:val="-2"/>
        </w:rPr>
        <w:t>）公允价值套期，是指对已确认资产或负债，尚未确认的确定承诺</w:t>
      </w:r>
      <w:r>
        <w:rPr>
          <w:rFonts w:ascii="Times New Roman" w:hAnsi="Times New Roman" w:cs="Times New Roman" w:eastAsia="Times New Roman" w:hint="default"/>
          <w:spacing w:val="-2"/>
        </w:rPr>
        <w:t>(</w:t>
      </w:r>
      <w:r>
        <w:rPr>
          <w:spacing w:val="-2"/>
        </w:rPr>
        <w:t>除外汇风险外</w:t>
      </w:r>
      <w:r>
        <w:rPr>
          <w:rFonts w:ascii="Times New Roman" w:hAnsi="Times New Roman" w:cs="Times New Roman" w:eastAsia="Times New Roman" w:hint="default"/>
          <w:spacing w:val="-2"/>
        </w:rPr>
        <w:t>)</w:t>
      </w:r>
      <w:r>
        <w:rPr>
          <w:spacing w:val="-2"/>
        </w:rPr>
        <w:t>的公允价值变动风险</w:t>
      </w:r>
      <w:r>
        <w:rPr>
          <w:spacing w:val="-71"/>
        </w:rPr>
        <w:t> </w:t>
      </w:r>
      <w:r>
        <w:rPr/>
        <w:t>进行的套期。</w:t>
      </w:r>
    </w:p>
    <w:p>
      <w:pPr>
        <w:pStyle w:val="BodyText"/>
        <w:spacing w:line="256" w:lineRule="auto" w:before="22"/>
        <w:ind w:left="154" w:right="0"/>
        <w:jc w:val="left"/>
      </w:pPr>
      <w:r>
        <w:rPr/>
        <w:t>（</w:t>
      </w:r>
      <w:r>
        <w:rPr>
          <w:rFonts w:ascii="Times New Roman" w:hAnsi="Times New Roman" w:cs="Times New Roman" w:eastAsia="Times New Roman" w:hint="default"/>
        </w:rPr>
        <w:t>2</w:t>
      </w:r>
      <w:r>
        <w:rPr/>
        <w:t>）现金流量套期，是指对现金流量变动风险进行的套期，此现金流量变动源于与已确认资产或负债、</w:t>
      </w:r>
      <w:r>
        <w:rPr>
          <w:spacing w:val="-35"/>
        </w:rPr>
        <w:t> </w:t>
      </w:r>
      <w:r>
        <w:rPr>
          <w:spacing w:val="-35"/>
        </w:rPr>
      </w:r>
      <w:r>
        <w:rPr/>
        <w:t>很可能发生的预期交易有关的某类特定风险，或一项未确认的确定承诺包含的外汇风险。</w:t>
      </w:r>
    </w:p>
    <w:p>
      <w:pPr>
        <w:pStyle w:val="BodyText"/>
        <w:spacing w:line="256" w:lineRule="auto" w:before="23"/>
        <w:ind w:left="154" w:right="0"/>
        <w:jc w:val="left"/>
      </w:pPr>
      <w:r>
        <w:rPr/>
        <w:t>（</w:t>
      </w:r>
      <w:r>
        <w:rPr>
          <w:rFonts w:ascii="Times New Roman" w:hAnsi="Times New Roman" w:cs="Times New Roman" w:eastAsia="Times New Roman" w:hint="default"/>
        </w:rPr>
        <w:t>3</w:t>
      </w:r>
      <w:r>
        <w:rPr/>
        <w:t>）境外经营净投资套期，是指对境外经营净投资外汇风险进行的套期。境外经营净投资，是指企业在</w:t>
      </w:r>
      <w:r>
        <w:rPr>
          <w:spacing w:val="-35"/>
        </w:rPr>
        <w:t> </w:t>
      </w:r>
      <w:r>
        <w:rPr>
          <w:spacing w:val="-35"/>
        </w:rPr>
      </w:r>
      <w:r>
        <w:rPr/>
        <w:t>境外经营净资产中的权益份额。</w:t>
      </w:r>
    </w:p>
    <w:p>
      <w:pPr>
        <w:pStyle w:val="BodyText"/>
        <w:spacing w:line="271" w:lineRule="auto" w:before="22"/>
        <w:ind w:left="154" w:right="0"/>
        <w:jc w:val="left"/>
      </w:pPr>
      <w:r>
        <w:rPr>
          <w:rFonts w:ascii="Times New Roman" w:hAnsi="Times New Roman" w:cs="Times New Roman" w:eastAsia="Times New Roman" w:hint="default"/>
          <w:b/>
          <w:bCs/>
        </w:rPr>
        <w:t>2</w:t>
      </w:r>
      <w:r>
        <w:rPr>
          <w:rFonts w:ascii="宋体" w:hAnsi="宋体" w:cs="宋体" w:eastAsia="宋体" w:hint="default"/>
          <w:b/>
          <w:bCs/>
        </w:rPr>
        <w:t>、套期关系的指定及套期有效性的认定：</w:t>
      </w:r>
      <w:r>
        <w:rPr>
          <w:rFonts w:ascii="宋体" w:hAnsi="宋体" w:cs="宋体" w:eastAsia="宋体" w:hint="default"/>
          <w:b/>
          <w:bCs/>
          <w:w w:val="99"/>
        </w:rPr>
        <w:t> </w:t>
      </w:r>
      <w:r>
        <w:rPr>
          <w:spacing w:val="-1"/>
        </w:rPr>
        <w:t>在套期关系开始时，本公司对套期关系有正式指定，并准备了关于套期关系、风险管理目标和套期策略的</w:t>
      </w:r>
      <w:r>
        <w:rPr>
          <w:spacing w:val="-83"/>
        </w:rPr>
        <w:t> </w:t>
      </w:r>
      <w:r>
        <w:rPr>
          <w:spacing w:val="-83"/>
        </w:rPr>
      </w:r>
      <w:r>
        <w:rPr>
          <w:spacing w:val="-1"/>
        </w:rPr>
        <w:t>正式书面文件。该文件载明了套期工具、被套期项目或交易，被套期风险的性质，以及本公司对套期工具</w:t>
      </w:r>
      <w:r>
        <w:rPr>
          <w:spacing w:val="-86"/>
        </w:rPr>
        <w:t> </w:t>
      </w:r>
      <w:r>
        <w:rPr>
          <w:spacing w:val="-86"/>
        </w:rPr>
      </w:r>
      <w:r>
        <w:rPr/>
        <w:t>有效性评价方法。 </w:t>
      </w:r>
      <w:r>
        <w:rPr>
          <w:spacing w:val="-1"/>
        </w:rPr>
        <w:t>套期有效性，是指套期工具的公允价值或现金流量变动能够抵销被套期风险引起的被套期项目公允价值或</w:t>
      </w:r>
      <w:r>
        <w:rPr>
          <w:spacing w:val="-81"/>
        </w:rPr>
        <w:t> </w:t>
      </w:r>
      <w:r>
        <w:rPr>
          <w:spacing w:val="-81"/>
        </w:rPr>
      </w:r>
      <w:r>
        <w:rPr>
          <w:spacing w:val="-1"/>
        </w:rPr>
        <w:t>现金流量变动的程度。本公司持续地对套期有效性进行评价，判断该套期在套期关系被指定的会计期间内</w:t>
      </w:r>
      <w:r>
        <w:rPr>
          <w:spacing w:val="-81"/>
        </w:rPr>
        <w:t> </w:t>
      </w:r>
      <w:r>
        <w:rPr>
          <w:spacing w:val="-81"/>
        </w:rPr>
      </w:r>
      <w:r>
        <w:rPr/>
        <w:t>是否高度有效。套期同时满足下列条件时，本公司认定其为高度有效：</w:t>
      </w:r>
    </w:p>
    <w:p>
      <w:pPr>
        <w:pStyle w:val="BodyText"/>
        <w:spacing w:line="256" w:lineRule="auto" w:before="10"/>
        <w:ind w:left="154" w:right="0"/>
        <w:jc w:val="left"/>
      </w:pPr>
      <w:r>
        <w:rPr/>
        <w:t>（</w:t>
      </w:r>
      <w:r>
        <w:rPr>
          <w:rFonts w:ascii="Times New Roman" w:hAnsi="Times New Roman" w:cs="Times New Roman" w:eastAsia="Times New Roman" w:hint="default"/>
        </w:rPr>
        <w:t>1</w:t>
      </w:r>
      <w:r>
        <w:rPr/>
        <w:t>）在套期开始及以后期间，该套期预期会高度有效地抵销套期指定期间被套期风险引起的公允价值或</w:t>
      </w:r>
      <w:r>
        <w:rPr>
          <w:spacing w:val="-35"/>
        </w:rPr>
        <w:t> </w:t>
      </w:r>
      <w:r>
        <w:rPr>
          <w:spacing w:val="-35"/>
        </w:rPr>
      </w:r>
      <w:r>
        <w:rPr/>
        <w:t>现金流量变动；</w:t>
      </w:r>
    </w:p>
    <w:p>
      <w:pPr>
        <w:pStyle w:val="BodyText"/>
        <w:spacing w:line="240" w:lineRule="auto" w:before="22"/>
        <w:ind w:left="154" w:right="0"/>
        <w:jc w:val="left"/>
      </w:pPr>
      <w:r>
        <w:rPr/>
        <w:t>（</w:t>
      </w: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pStyle w:val="Heading4"/>
        <w:spacing w:line="240" w:lineRule="auto" w:before="21"/>
        <w:ind w:right="0"/>
        <w:jc w:val="left"/>
        <w:rPr>
          <w:b w:val="0"/>
          <w:bCs w:val="0"/>
        </w:rPr>
      </w:pPr>
      <w:r>
        <w:rPr>
          <w:rFonts w:ascii="Times New Roman" w:hAnsi="Times New Roman" w:cs="Times New Roman" w:eastAsia="Times New Roman" w:hint="default"/>
        </w:rPr>
        <w:t>3</w:t>
      </w:r>
      <w:r>
        <w:rPr/>
        <w:t>、套期会计处理方法：</w:t>
      </w:r>
      <w:r>
        <w:rPr>
          <w:b w:val="0"/>
          <w:bCs w:val="0"/>
        </w:rPr>
      </w:r>
    </w:p>
    <w:p>
      <w:pPr>
        <w:pStyle w:val="BodyText"/>
        <w:spacing w:line="271" w:lineRule="auto" w:before="21"/>
        <w:ind w:right="0"/>
        <w:jc w:val="left"/>
      </w:pPr>
      <w:r>
        <w:rPr/>
        <w:t>（</w:t>
      </w:r>
      <w:r>
        <w:rPr>
          <w:rFonts w:ascii="Times New Roman" w:hAnsi="Times New Roman" w:cs="Times New Roman" w:eastAsia="Times New Roman" w:hint="default"/>
        </w:rPr>
        <w:t>1</w:t>
      </w:r>
      <w:r>
        <w:rPr/>
        <w:t>）公允价值套期 </w:t>
      </w:r>
      <w:r>
        <w:rPr>
          <w:spacing w:val="-1"/>
        </w:rPr>
        <w:t>套期衍生工具的公允价值变动计入当期损益。被套期项目的公允价值因套期风险而形成的变动，计入当期</w:t>
      </w:r>
      <w:r>
        <w:rPr>
          <w:spacing w:val="-81"/>
        </w:rPr>
        <w:t> </w:t>
      </w:r>
      <w:r>
        <w:rPr>
          <w:spacing w:val="-81"/>
        </w:rPr>
      </w:r>
      <w:r>
        <w:rPr/>
        <w:t>损益，同时调整被套期项目的账面价值。 </w:t>
      </w:r>
      <w:r>
        <w:rPr>
          <w:spacing w:val="-1"/>
        </w:rPr>
        <w:t>就与按摊余成本计量的金融工具有关的公允价值套期而言，对被套期项目账面价值所作的调整，在调整日</w:t>
      </w:r>
      <w:r>
        <w:rPr>
          <w:spacing w:val="-81"/>
        </w:rPr>
        <w:t> </w:t>
      </w:r>
      <w:r>
        <w:rPr>
          <w:spacing w:val="-81"/>
        </w:rPr>
      </w:r>
      <w:r>
        <w:rPr>
          <w:spacing w:val="-1"/>
        </w:rPr>
        <w:t>至到期日之间的剩余期间内进行摊销，计入当期损益。按照实际利率法的摊销可于账面价值调整后随即开</w:t>
      </w:r>
      <w:r>
        <w:rPr>
          <w:spacing w:val="-81"/>
        </w:rPr>
        <w:t> </w:t>
      </w:r>
      <w:r>
        <w:rPr>
          <w:spacing w:val="-81"/>
        </w:rPr>
      </w:r>
      <w:r>
        <w:rPr/>
        <w:t>始，并不得晚于被套期项目终止针对套期风险产生的公允价值变动而进行的调整。 如果被套期项目终止确认，则将未摊销的公允价值确认为当期损益。 </w:t>
      </w:r>
      <w:r>
        <w:rPr>
          <w:spacing w:val="-1"/>
        </w:rPr>
        <w:t>被套期项目为尚未确认的确定承诺的，该确定承诺的公允价值因被套期风险引起的累计公允价值变动确认</w:t>
      </w:r>
      <w:r>
        <w:rPr>
          <w:spacing w:val="-81"/>
        </w:rPr>
        <w:t> </w:t>
      </w:r>
      <w:r>
        <w:rPr>
          <w:spacing w:val="-81"/>
        </w:rPr>
      </w:r>
      <w:r>
        <w:rPr/>
        <w:t>为一项资产或负债，相关的利得或损失计入当期损益。套期工具的公允价值变动亦计入当期损益。</w:t>
      </w:r>
    </w:p>
    <w:p>
      <w:pPr>
        <w:spacing w:after="0" w:line="27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8" w:lineRule="auto" w:before="35"/>
        <w:ind w:right="1120"/>
        <w:jc w:val="left"/>
      </w:pPr>
      <w:r>
        <w:rPr/>
        <w:t>（</w:t>
      </w:r>
      <w:r>
        <w:rPr>
          <w:rFonts w:ascii="Times New Roman" w:hAnsi="Times New Roman" w:cs="Times New Roman" w:eastAsia="Times New Roman" w:hint="default"/>
        </w:rPr>
        <w:t>2</w:t>
      </w:r>
      <w:r>
        <w:rPr/>
        <w:t>）现金流量套期 </w:t>
      </w:r>
      <w:r>
        <w:rPr>
          <w:spacing w:val="-1"/>
        </w:rPr>
        <w:t>套期工具利得或损失中属于有效套期的部分，直接确认为其他综合收益，属于无效套期的部分，计入当期</w:t>
      </w:r>
      <w:r>
        <w:rPr>
          <w:spacing w:val="-83"/>
        </w:rPr>
        <w:t> </w:t>
      </w:r>
      <w:r>
        <w:rPr>
          <w:spacing w:val="-83"/>
        </w:rPr>
      </w:r>
      <w:r>
        <w:rPr/>
        <w:t>损益。 </w:t>
      </w:r>
      <w:r>
        <w:rPr>
          <w:spacing w:val="-1"/>
        </w:rPr>
        <w:t>如果被套期交易影响当期损益的，如当被套期财务收入或财务费用被确认或预期销售发生时，则将其他综</w:t>
      </w:r>
      <w:r>
        <w:rPr>
          <w:spacing w:val="-81"/>
        </w:rPr>
        <w:t> </w:t>
      </w:r>
      <w:r>
        <w:rPr>
          <w:spacing w:val="-81"/>
        </w:rPr>
      </w:r>
      <w:r>
        <w:rPr>
          <w:spacing w:val="-1"/>
        </w:rPr>
        <w:t>合收益中确认的金额转入当期损益。如果被套期项目是一项非金融资产或非金融负债的成本，则原在其他</w:t>
      </w:r>
      <w:r>
        <w:rPr>
          <w:spacing w:val="-81"/>
        </w:rPr>
        <w:t> </w:t>
      </w:r>
      <w:r>
        <w:rPr>
          <w:spacing w:val="-81"/>
        </w:rPr>
      </w:r>
      <w:r>
        <w:rPr>
          <w:spacing w:val="-1"/>
        </w:rPr>
        <w:t>综合收益中确认的金额转出，计入该非金融资产或非金融负债的初始确认金额（或则原在其他综合收益中</w:t>
      </w:r>
      <w:r>
        <w:rPr>
          <w:spacing w:val="-81"/>
        </w:rPr>
        <w:t> </w:t>
      </w:r>
      <w:r>
        <w:rPr>
          <w:spacing w:val="-81"/>
        </w:rPr>
      </w:r>
      <w:r>
        <w:rPr/>
        <w:t>确认的，在该非金融资产或非金融负债影响损益的相同期间转出，计入当期损益）。 </w:t>
      </w:r>
      <w:r>
        <w:rPr>
          <w:spacing w:val="-1"/>
        </w:rPr>
        <w:t>如果预期交易或确定承诺预计不会发生，则以前计入股东权益中的套期工具累计利得或损失转出，计入当</w:t>
      </w:r>
      <w:r>
        <w:rPr>
          <w:spacing w:val="-81"/>
        </w:rPr>
        <w:t> </w:t>
      </w:r>
      <w:r>
        <w:rPr>
          <w:spacing w:val="-81"/>
        </w:rPr>
      </w:r>
      <w:r>
        <w:rPr/>
        <w:t>期损益。如果套期工具已到期、被出售、合同终止或已行使</w:t>
      </w:r>
      <w:r>
        <w:rPr>
          <w:rFonts w:ascii="Times New Roman" w:hAnsi="Times New Roman" w:cs="Times New Roman" w:eastAsia="Times New Roman" w:hint="default"/>
        </w:rPr>
        <w:t>(</w:t>
      </w:r>
      <w:r>
        <w:rPr/>
        <w:t>但并未被替换或展期</w:t>
      </w:r>
      <w:r>
        <w:rPr>
          <w:rFonts w:ascii="Times New Roman" w:hAnsi="Times New Roman" w:cs="Times New Roman" w:eastAsia="Times New Roman" w:hint="default"/>
        </w:rPr>
        <w:t>)</w:t>
      </w:r>
      <w:r>
        <w:rPr/>
        <w:t>，或者撤销了对套期关</w:t>
      </w:r>
      <w:r>
        <w:rPr>
          <w:spacing w:val="-62"/>
        </w:rPr>
        <w:t> </w:t>
      </w:r>
      <w:r>
        <w:rPr>
          <w:spacing w:val="-62"/>
        </w:rPr>
      </w:r>
      <w:r>
        <w:rPr/>
        <w:t>系的指定，则以前计入其他综合收益的金额不转出，直至预期交易或确定承诺影响当期损益。</w:t>
      </w:r>
    </w:p>
    <w:p>
      <w:pPr>
        <w:pStyle w:val="BodyText"/>
        <w:spacing w:line="266" w:lineRule="auto" w:before="12"/>
        <w:ind w:right="1093"/>
        <w:jc w:val="left"/>
      </w:pPr>
      <w:r>
        <w:rPr/>
        <w:t>（</w:t>
      </w:r>
      <w:r>
        <w:rPr>
          <w:rFonts w:ascii="Times New Roman" w:hAnsi="Times New Roman" w:cs="Times New Roman" w:eastAsia="Times New Roman" w:hint="default"/>
        </w:rPr>
        <w:t>3</w:t>
      </w:r>
      <w:r>
        <w:rPr/>
        <w:t>）境外经营净投资套期 对境外经营净投资的套期，包括作为净投资的一部分的货币性项目的套期，其处理与现金流量套期类似。 </w:t>
      </w:r>
      <w:r>
        <w:rPr>
          <w:spacing w:val="3"/>
        </w:rPr>
        <w:t>套期工具的利得或损失中被确定为有效套期的部分计入其他综合收益，而无效套期的部分确认为当期损</w:t>
      </w:r>
      <w:r>
        <w:rPr>
          <w:spacing w:val="-82"/>
        </w:rPr>
        <w:t> </w:t>
      </w:r>
      <w:r>
        <w:rPr>
          <w:spacing w:val="-82"/>
        </w:rPr>
      </w:r>
      <w:r>
        <w:rPr/>
        <w:t>益。处置境外经营时，任何计入股东权益的累计利得或损失转出，计入当期损益。</w:t>
      </w:r>
    </w:p>
    <w:p>
      <w:pPr>
        <w:spacing w:line="240" w:lineRule="auto" w:before="1"/>
        <w:rPr>
          <w:rFonts w:ascii="宋体" w:hAnsi="宋体" w:cs="宋体" w:eastAsia="宋体" w:hint="default"/>
          <w:sz w:val="24"/>
          <w:szCs w:val="24"/>
        </w:rPr>
      </w:pPr>
    </w:p>
    <w:p>
      <w:pPr>
        <w:pStyle w:val="Heading4"/>
        <w:spacing w:line="240" w:lineRule="auto"/>
        <w:ind w:right="0"/>
        <w:jc w:val="left"/>
        <w:rPr>
          <w:b w:val="0"/>
          <w:bCs w:val="0"/>
        </w:rPr>
      </w:pPr>
      <w:bookmarkStart w:name="30、重要会计政策和会计估计变更" w:id="181"/>
      <w:bookmarkEnd w:id="181"/>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182"/>
      <w:bookmarkEnd w:id="18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4"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日起执行财政</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部于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年修订及新颁布的《企业会计</w:t>
            </w:r>
          </w:p>
          <w:p>
            <w:pPr>
              <w:pStyle w:val="TableParagraph"/>
              <w:spacing w:line="314"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准则第 </w:t>
            </w:r>
            <w:r>
              <w:rPr>
                <w:rFonts w:ascii="Times New Roman" w:hAnsi="Times New Roman" w:cs="Times New Roman" w:eastAsia="Times New Roman" w:hint="default"/>
                <w:sz w:val="18"/>
                <w:szCs w:val="18"/>
              </w:rPr>
              <w:t>2 </w:t>
            </w:r>
            <w:r>
              <w:rPr>
                <w:rFonts w:ascii="宋体" w:hAnsi="宋体" w:cs="宋体" w:eastAsia="宋体" w:hint="default"/>
                <w:spacing w:val="-11"/>
                <w:sz w:val="18"/>
                <w:szCs w:val="18"/>
              </w:rPr>
              <w:t>号</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长期股权投资》（修订）等</w:t>
            </w:r>
            <w:r>
              <w:rPr>
                <w:rFonts w:ascii="宋体" w:hAnsi="宋体" w:cs="宋体" w:eastAsia="宋体" w:hint="default"/>
                <w:sz w:val="18"/>
                <w:szCs w:val="18"/>
              </w:rPr>
              <w:t> 七项准则，本公司执行上述企业会计准 则的主要影响如下：原合并报表中外币 折算汇兑差额科目合并在其他综合收益 科目列示。</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5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 董事会第二十一次会议审议通过了《关 </w:t>
            </w:r>
            <w:r>
              <w:rPr>
                <w:rFonts w:ascii="宋体" w:hAnsi="宋体" w:cs="宋体" w:eastAsia="宋体" w:hint="default"/>
                <w:spacing w:val="-8"/>
                <w:sz w:val="18"/>
                <w:szCs w:val="18"/>
              </w:rPr>
              <w:t>于会计政策变更的议案》。</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5"/>
        <w:ind w:left="154" w:right="0"/>
        <w:jc w:val="left"/>
        <w:rPr>
          <w:b w:val="0"/>
          <w:bCs w:val="0"/>
        </w:rPr>
      </w:pPr>
      <w:bookmarkStart w:name="（2）重要会计估计变更" w:id="183"/>
      <w:bookmarkEnd w:id="18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209.662994pt;margin-top:112.23172pt;width:247.2pt;height:55.05pt;mso-position-horizontal-relative:page;mso-position-vertical-relative:paragraph;z-index:-745744" type="#_x0000_t202" filled="false" stroked="false">
            <v:textbox inset="0,0,0,0">
              <w:txbxContent>
                <w:p>
                  <w:pPr>
                    <w:spacing w:line="20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《关于会计估计变更的议案》</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74"/>
        <w:gridCol w:w="2664"/>
        <w:gridCol w:w="2670"/>
        <w:gridCol w:w="1326"/>
      </w:tblGrid>
      <w:tr>
        <w:trPr>
          <w:trHeight w:val="402" w:hRule="exact"/>
        </w:trPr>
        <w:tc>
          <w:tcPr>
            <w:tcW w:w="2674" w:type="dxa"/>
            <w:tcBorders>
              <w:top w:val="single" w:sz="4" w:space="0" w:color="000000"/>
              <w:left w:val="single" w:sz="4" w:space="0" w:color="000000"/>
              <w:bottom w:val="single" w:sz="7"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603" w:hRule="exact"/>
        </w:trPr>
        <w:tc>
          <w:tcPr>
            <w:tcW w:w="267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9"/>
              <w:ind w:left="22" w:right="22"/>
              <w:jc w:val="left"/>
              <w:rPr>
                <w:rFonts w:ascii="宋体" w:hAnsi="宋体" w:cs="宋体" w:eastAsia="宋体" w:hint="default"/>
                <w:sz w:val="18"/>
                <w:szCs w:val="18"/>
              </w:rPr>
            </w:pPr>
            <w:r>
              <w:rPr>
                <w:rFonts w:ascii="宋体" w:hAnsi="宋体" w:cs="宋体" w:eastAsia="宋体" w:hint="default"/>
                <w:sz w:val="18"/>
                <w:szCs w:val="18"/>
              </w:rPr>
              <w:t>根据《企业会计准则第 </w:t>
            </w:r>
            <w:r>
              <w:rPr>
                <w:rFonts w:ascii="Times New Roman" w:hAnsi="Times New Roman" w:cs="Times New Roman" w:eastAsia="Times New Roman" w:hint="default"/>
                <w:sz w:val="18"/>
                <w:szCs w:val="18"/>
              </w:rPr>
              <w:t>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固 </w:t>
            </w:r>
            <w:r>
              <w:rPr>
                <w:rFonts w:ascii="宋体" w:hAnsi="宋体" w:cs="宋体" w:eastAsia="宋体" w:hint="default"/>
                <w:spacing w:val="-6"/>
                <w:sz w:val="18"/>
                <w:szCs w:val="18"/>
              </w:rPr>
              <w:t>定资产》的相关规定，公司对固定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资产的使用寿命、预计净残值和折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旧方法进行了复核，为了能够使公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司会计估计更符合固定资产的实 </w:t>
            </w:r>
            <w:r>
              <w:rPr>
                <w:rFonts w:ascii="宋体" w:hAnsi="宋体" w:cs="宋体" w:eastAsia="宋体" w:hint="default"/>
                <w:spacing w:val="-6"/>
                <w:sz w:val="18"/>
                <w:szCs w:val="18"/>
              </w:rPr>
              <w:t>际情况，更加恰当地反映公司的财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务状况和经营成果，公司对固定资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产折旧年限进行变更。</w:t>
            </w:r>
          </w:p>
        </w:tc>
        <w:tc>
          <w:tcPr>
            <w:tcW w:w="26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32"/>
              <w:ind w:left="22" w:right="109"/>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 第二届董事会第十次会议审议通 过了</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1100" w:lineRule="exact"/>
              <w:ind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133pt;height:55.05pt;mso-position-horizontal-relative:char;mso-position-vertical-relative:line" coordorigin="0,0" coordsize="2660,1101">
                  <v:group style="position:absolute;left:0;top:0;width:2660;height:1101" coordorigin="0,0" coordsize="2660,1101">
                    <v:shape style="position:absolute;left:0;top:0;width:2660;height:1101" coordorigin="0,0" coordsize="2660,1101" path="m0,1100l2660,1100,2660,0,0,0,0,1100xe" filled="true" fillcolor="#ffffff" stroked="false">
                      <v:path arrowok="t"/>
                      <v:fill type="solid"/>
                    </v:shape>
                  </v:group>
                </v:group>
              </w:pict>
            </w:r>
            <w:r>
              <w:rPr>
                <w:rFonts w:ascii="宋体" w:hAnsi="宋体" w:cs="宋体" w:eastAsia="宋体" w:hint="default"/>
                <w:position w:val="-21"/>
                <w:sz w:val="20"/>
                <w:szCs w:val="20"/>
              </w:rPr>
            </w:r>
          </w:p>
        </w:tc>
        <w:tc>
          <w:tcPr>
            <w:tcW w:w="1326"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footerReference w:type="default" r:id="rId20"/>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40"/>
        <w:gridCol w:w="1265"/>
        <w:gridCol w:w="1108"/>
        <w:gridCol w:w="1225"/>
        <w:gridCol w:w="1106"/>
        <w:gridCol w:w="1563"/>
        <w:gridCol w:w="1326"/>
      </w:tblGrid>
      <w:tr>
        <w:trPr>
          <w:trHeight w:val="347" w:hRule="exact"/>
        </w:trPr>
        <w:tc>
          <w:tcPr>
            <w:tcW w:w="1740"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5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变更前</w:t>
            </w:r>
          </w:p>
        </w:tc>
        <w:tc>
          <w:tcPr>
            <w:tcW w:w="39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变更后</w:t>
            </w:r>
          </w:p>
        </w:tc>
      </w:tr>
      <w:tr>
        <w:trPr>
          <w:trHeight w:val="347" w:hRule="exact"/>
        </w:trPr>
        <w:tc>
          <w:tcPr>
            <w:tcW w:w="1740" w:type="dxa"/>
            <w:vMerge/>
            <w:tcBorders>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
              <w:jc w:val="right"/>
              <w:rPr>
                <w:rFonts w:ascii="宋体" w:hAnsi="宋体" w:cs="宋体" w:eastAsia="宋体" w:hint="default"/>
                <w:sz w:val="18"/>
                <w:szCs w:val="18"/>
              </w:rPr>
            </w:pPr>
            <w:r>
              <w:rPr>
                <w:rFonts w:ascii="宋体" w:hAnsi="宋体" w:cs="宋体" w:eastAsia="宋体" w:hint="default"/>
                <w:sz w:val="18"/>
                <w:szCs w:val="18"/>
              </w:rPr>
              <w:t>折旧年限（年）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3"/>
              <w:jc w:val="righ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折旧年</w:t>
            </w:r>
            <w:r>
              <w:rPr>
                <w:rFonts w:ascii="宋体" w:hAnsi="宋体" w:cs="宋体" w:eastAsia="宋体" w:hint="default"/>
                <w:spacing w:val="-83"/>
                <w:sz w:val="18"/>
                <w:szCs w:val="18"/>
              </w:rPr>
              <w:t>限</w:t>
            </w:r>
            <w:r>
              <w:rPr>
                <w:rFonts w:ascii="宋体" w:hAnsi="宋体" w:cs="宋体" w:eastAsia="宋体" w:hint="default"/>
                <w:sz w:val="18"/>
                <w:szCs w:val="18"/>
              </w:rPr>
              <w:t>（年</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5"/>
                <w:sz w:val="18"/>
                <w:szCs w:val="18"/>
              </w:rPr>
              <w:t> </w:t>
            </w: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2"/>
              <w:jc w:val="righ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4.75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20-45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2.11-4.75</w:t>
            </w:r>
          </w:p>
        </w:tc>
      </w:tr>
      <w:tr>
        <w:trPr>
          <w:trHeight w:val="34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8-12</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7.92-11.88</w:t>
            </w:r>
          </w:p>
        </w:tc>
      </w:tr>
      <w:tr>
        <w:trPr>
          <w:trHeight w:val="34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19</w:t>
            </w:r>
          </w:p>
        </w:tc>
      </w:tr>
      <w:tr>
        <w:trPr>
          <w:trHeight w:val="347"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5</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六、税项" w:id="184"/>
      <w:bookmarkEnd w:id="18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主要税种及税率" w:id="185"/>
      <w:bookmarkEnd w:id="18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90"/>
        <w:gridCol w:w="3178"/>
        <w:gridCol w:w="317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2"/>
              <w:jc w:val="center"/>
              <w:rPr>
                <w:rFonts w:ascii="宋体" w:hAnsi="宋体" w:cs="宋体" w:eastAsia="宋体" w:hint="default"/>
                <w:sz w:val="18"/>
                <w:szCs w:val="18"/>
              </w:rPr>
            </w:pPr>
            <w:r>
              <w:rPr>
                <w:rFonts w:ascii="宋体" w:hAnsi="宋体" w:cs="宋体" w:eastAsia="宋体" w:hint="default"/>
                <w:sz w:val="18"/>
                <w:szCs w:val="18"/>
              </w:rPr>
              <w:t>税种</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1" w:hRule="exact"/>
        </w:trPr>
        <w:tc>
          <w:tcPr>
            <w:tcW w:w="3190" w:type="dxa"/>
            <w:tcBorders>
              <w:top w:val="single" w:sz="4" w:space="0" w:color="000000"/>
              <w:left w:val="single" w:sz="4" w:space="0" w:color="000000"/>
              <w:bottom w:val="nil" w:sz="6" w:space="0" w:color="auto"/>
              <w:right w:val="single" w:sz="13" w:space="0" w:color="CCE8CF"/>
            </w:tcBorders>
            <w:shd w:val="clear" w:color="auto" w:fill="D2D2D2"/>
          </w:tcPr>
          <w:p>
            <w:pPr/>
          </w:p>
        </w:tc>
        <w:tc>
          <w:tcPr>
            <w:tcW w:w="3178" w:type="dxa"/>
            <w:vMerge w:val="restart"/>
            <w:tcBorders>
              <w:top w:val="single" w:sz="4" w:space="0" w:color="000000"/>
              <w:left w:val="single" w:sz="9" w:space="0" w:color="D2D2D2"/>
              <w:right w:val="single" w:sz="4" w:space="0" w:color="000000"/>
            </w:tcBorders>
            <w:shd w:val="clear" w:color="auto" w:fill="CCE8CF"/>
          </w:tcPr>
          <w:p>
            <w:pPr>
              <w:pStyle w:val="TableParagraph"/>
              <w:spacing w:line="312" w:lineRule="auto" w:before="52"/>
              <w:ind w:left="4" w:right="21"/>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交增值税；公司一般货物出口业务执行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政策，按照出口环节退还采 购环节的增值税政策；出口退税率为 </w:t>
            </w:r>
            <w:r>
              <w:rPr>
                <w:rFonts w:ascii="Times New Roman" w:hAnsi="Times New Roman" w:cs="Times New Roman" w:eastAsia="Times New Roman" w:hint="default"/>
                <w:sz w:val="18"/>
                <w:szCs w:val="18"/>
              </w:rPr>
              <w:t>13%</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3179"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3190"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78" w:type="dxa"/>
            <w:vMerge/>
            <w:tcBorders>
              <w:left w:val="single" w:sz="9" w:space="0" w:color="D2D2D2"/>
              <w:right w:val="single" w:sz="4" w:space="0" w:color="000000"/>
            </w:tcBorders>
            <w:shd w:val="clear" w:color="auto" w:fill="CCE8CF"/>
          </w:tcPr>
          <w:p>
            <w:pPr/>
          </w:p>
        </w:tc>
        <w:tc>
          <w:tcPr>
            <w:tcW w:w="317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941" w:hRule="exact"/>
        </w:trPr>
        <w:tc>
          <w:tcPr>
            <w:tcW w:w="3190" w:type="dxa"/>
            <w:tcBorders>
              <w:top w:val="nil" w:sz="6" w:space="0" w:color="auto"/>
              <w:left w:val="single" w:sz="4" w:space="0" w:color="000000"/>
              <w:bottom w:val="single" w:sz="4" w:space="0" w:color="000000"/>
              <w:right w:val="single" w:sz="13" w:space="0" w:color="CCE8CF"/>
            </w:tcBorders>
            <w:shd w:val="clear" w:color="auto" w:fill="D2D2D2"/>
          </w:tcPr>
          <w:p>
            <w:pPr/>
          </w:p>
        </w:tc>
        <w:tc>
          <w:tcPr>
            <w:tcW w:w="3178" w:type="dxa"/>
            <w:vMerge/>
            <w:tcBorders>
              <w:left w:val="single" w:sz="9" w:space="0" w:color="D2D2D2"/>
              <w:bottom w:val="single" w:sz="4" w:space="0" w:color="000000"/>
              <w:right w:val="single" w:sz="4" w:space="0" w:color="000000"/>
            </w:tcBorders>
            <w:shd w:val="clear" w:color="auto" w:fill="CCE8CF"/>
          </w:tcPr>
          <w:p>
            <w:pPr/>
          </w:p>
        </w:tc>
        <w:tc>
          <w:tcPr>
            <w:tcW w:w="3179"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61" w:hRule="exact"/>
        </w:trPr>
        <w:tc>
          <w:tcPr>
            <w:tcW w:w="3190" w:type="dxa"/>
            <w:tcBorders>
              <w:top w:val="single" w:sz="4" w:space="0" w:color="000000"/>
              <w:left w:val="single" w:sz="4" w:space="0" w:color="000000"/>
              <w:bottom w:val="nil" w:sz="6" w:space="0" w:color="auto"/>
              <w:right w:val="single" w:sz="13" w:space="0" w:color="CCE8CF"/>
            </w:tcBorders>
            <w:shd w:val="clear" w:color="auto" w:fill="D2D2D2"/>
          </w:tcPr>
          <w:p>
            <w:pPr/>
          </w:p>
        </w:tc>
        <w:tc>
          <w:tcPr>
            <w:tcW w:w="3178"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2"/>
              <w:ind w:left="4" w:right="96"/>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79"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3190"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78" w:type="dxa"/>
            <w:vMerge/>
            <w:tcBorders>
              <w:left w:val="single" w:sz="9" w:space="0" w:color="D2D2D2"/>
              <w:right w:val="single" w:sz="4" w:space="0" w:color="000000"/>
            </w:tcBorders>
            <w:shd w:val="clear" w:color="auto" w:fill="CCE8CF"/>
          </w:tcPr>
          <w:p>
            <w:pPr/>
          </w:p>
        </w:tc>
        <w:tc>
          <w:tcPr>
            <w:tcW w:w="317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90" w:type="dxa"/>
            <w:tcBorders>
              <w:top w:val="nil" w:sz="6" w:space="0" w:color="auto"/>
              <w:left w:val="single" w:sz="4" w:space="0" w:color="000000"/>
              <w:bottom w:val="single" w:sz="4" w:space="0" w:color="000000"/>
              <w:right w:val="single" w:sz="13" w:space="0" w:color="CCE8CF"/>
            </w:tcBorders>
            <w:shd w:val="clear" w:color="auto" w:fill="D2D2D2"/>
          </w:tcPr>
          <w:p>
            <w:pPr/>
          </w:p>
        </w:tc>
        <w:tc>
          <w:tcPr>
            <w:tcW w:w="3178" w:type="dxa"/>
            <w:vMerge/>
            <w:tcBorders>
              <w:left w:val="single" w:sz="9" w:space="0" w:color="D2D2D2"/>
              <w:bottom w:val="single" w:sz="4" w:space="0" w:color="000000"/>
              <w:right w:val="single" w:sz="4" w:space="0" w:color="000000"/>
            </w:tcBorders>
            <w:shd w:val="clear" w:color="auto" w:fill="CCE8CF"/>
          </w:tcPr>
          <w:p>
            <w:pPr/>
          </w:p>
        </w:tc>
        <w:tc>
          <w:tcPr>
            <w:tcW w:w="3179"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402" w:hRule="exact"/>
        </w:trPr>
        <w:tc>
          <w:tcPr>
            <w:tcW w:w="3190"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7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7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11" w:right="96"/>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79"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78" w:type="dxa"/>
            <w:vMerge/>
            <w:tcBorders>
              <w:left w:val="single" w:sz="4" w:space="0" w:color="000000"/>
              <w:right w:val="single" w:sz="4" w:space="0" w:color="000000"/>
            </w:tcBorders>
            <w:shd w:val="clear" w:color="auto" w:fill="CCE8CF"/>
          </w:tcPr>
          <w:p>
            <w:pPr/>
          </w:p>
        </w:tc>
        <w:tc>
          <w:tcPr>
            <w:tcW w:w="317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78" w:type="dxa"/>
            <w:vMerge/>
            <w:tcBorders>
              <w:left w:val="single" w:sz="4" w:space="0" w:color="000000"/>
              <w:bottom w:val="single" w:sz="4" w:space="0" w:color="000000"/>
              <w:right w:val="single" w:sz="4" w:space="0" w:color="000000"/>
            </w:tcBorders>
            <w:shd w:val="clear" w:color="auto" w:fill="CCE8CF"/>
          </w:tcPr>
          <w:p>
            <w:pPr/>
          </w:p>
        </w:tc>
        <w:tc>
          <w:tcPr>
            <w:tcW w:w="3179"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按税法规定计算的营业收入</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w:t>
            </w:r>
            <w:r>
              <w:rPr>
                <w:rFonts w:ascii="宋体" w:hAnsi="宋体" w:cs="宋体" w:eastAsia="宋体" w:hint="default"/>
                <w:sz w:val="18"/>
                <w:szCs w:val="18"/>
              </w:rPr>
              <w:t>、</w:t>
            </w:r>
            <w:r>
              <w:rPr>
                <w:rFonts w:ascii="Times New Roman" w:hAnsi="Times New Roman" w:cs="Times New Roman" w:eastAsia="Times New Roman" w:hint="default"/>
                <w:sz w:val="18"/>
                <w:szCs w:val="18"/>
              </w:rPr>
              <w:t>0.09%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合并财务报表项目注释" w:id="186"/>
      <w:bookmarkEnd w:id="186"/>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187"/>
      <w:bookmarkEnd w:id="187"/>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115,690.17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77,344.89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88,714,393.78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241,477,556.76</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1,112,239.45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285,008.31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89,942,323.40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241,839,909.96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3,706,914.68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4,166,303.57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312" w:lineRule="exact" w:before="97"/>
        <w:ind w:left="862" w:right="0"/>
        <w:jc w:val="left"/>
      </w:pPr>
      <w:r>
        <w:rPr/>
        <w:t>其中因抵押、质押或冻结等对使用有限制，以及放在境外且资金汇回受到限制的货币</w:t>
      </w:r>
      <w:r>
        <w:rPr>
          <w:spacing w:val="-107"/>
        </w:rPr>
        <w:t> </w:t>
      </w:r>
      <w:r>
        <w:rPr>
          <w:spacing w:val="-107"/>
        </w:rPr>
      </w:r>
      <w:r>
        <w:rPr/>
        <w:t>资金明细如下：</w:t>
      </w:r>
    </w:p>
    <w:tbl>
      <w:tblPr>
        <w:tblW w:w="0" w:type="auto"/>
        <w:jc w:val="left"/>
        <w:tblInd w:w="717" w:type="dxa"/>
        <w:tblLayout w:type="fixed"/>
        <w:tblCellMar>
          <w:top w:w="0" w:type="dxa"/>
          <w:left w:w="0" w:type="dxa"/>
          <w:bottom w:w="0" w:type="dxa"/>
          <w:right w:w="0" w:type="dxa"/>
        </w:tblCellMar>
        <w:tblLook w:val="01E0"/>
      </w:tblPr>
      <w:tblGrid>
        <w:gridCol w:w="3542"/>
        <w:gridCol w:w="2126"/>
        <w:gridCol w:w="2127"/>
      </w:tblGrid>
      <w:tr>
        <w:trPr>
          <w:trHeight w:val="355" w:hRule="exact"/>
        </w:trPr>
        <w:tc>
          <w:tcPr>
            <w:tcW w:w="35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509"/>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9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695"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2" w:hRule="exact"/>
        </w:trPr>
        <w:tc>
          <w:tcPr>
            <w:tcW w:w="3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1,112,239.45</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285,008.31</w:t>
            </w:r>
          </w:p>
        </w:tc>
      </w:tr>
      <w:tr>
        <w:trPr>
          <w:trHeight w:val="353" w:hRule="exact"/>
        </w:trPr>
        <w:tc>
          <w:tcPr>
            <w:tcW w:w="35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492"/>
              <w:jc w:val="right"/>
              <w:rPr>
                <w:rFonts w:ascii="宋体" w:hAnsi="宋体" w:cs="宋体" w:eastAsia="宋体" w:hint="default"/>
                <w:sz w:val="18"/>
                <w:szCs w:val="18"/>
              </w:rPr>
            </w:pPr>
            <w:r>
              <w:rPr>
                <w:rFonts w:ascii="宋体" w:hAnsi="宋体" w:cs="宋体" w:eastAsia="宋体" w:hint="default"/>
                <w:sz w:val="18"/>
                <w:szCs w:val="18"/>
              </w:rPr>
              <w:t>合  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1,112,239.45</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285,008.31</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5"/>
        <w:ind w:left="154" w:right="0"/>
        <w:jc w:val="left"/>
        <w:rPr>
          <w:b w:val="0"/>
          <w:bCs w:val="0"/>
        </w:rPr>
      </w:pPr>
      <w:bookmarkStart w:name="2、以公允价值计量且其变动计入当期损益的金融资产" w:id="188"/>
      <w:bookmarkEnd w:id="18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应收票据" w:id="189"/>
      <w:bookmarkEnd w:id="189"/>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票据分类列示" w:id="190"/>
      <w:bookmarkEnd w:id="19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应收账款" w:id="191"/>
      <w:bookmarkEnd w:id="191"/>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账款分类披露" w:id="192"/>
      <w:bookmarkEnd w:id="19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133,210,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5" w:right="0"/>
              <w:jc w:val="left"/>
              <w:rPr>
                <w:rFonts w:ascii="Times New Roman" w:hAnsi="Times New Roman" w:cs="Times New Roman" w:eastAsia="Times New Roman" w:hint="default"/>
                <w:sz w:val="18"/>
                <w:szCs w:val="18"/>
              </w:rPr>
            </w:pPr>
            <w:r>
              <w:rPr>
                <w:rFonts w:ascii="Times New Roman"/>
                <w:sz w:val="18"/>
              </w:rPr>
              <w:t>2,664,21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3" w:right="0"/>
              <w:jc w:val="left"/>
              <w:rPr>
                <w:rFonts w:ascii="Times New Roman" w:hAnsi="Times New Roman" w:cs="Times New Roman" w:eastAsia="Times New Roman" w:hint="default"/>
                <w:sz w:val="18"/>
                <w:szCs w:val="18"/>
              </w:rPr>
            </w:pPr>
            <w:r>
              <w:rPr>
                <w:rFonts w:ascii="Times New Roman"/>
                <w:sz w:val="18"/>
              </w:rPr>
              <w:t>2.00%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130,546,3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1" w:right="0"/>
              <w:jc w:val="left"/>
              <w:rPr>
                <w:rFonts w:ascii="Times New Roman" w:hAnsi="Times New Roman" w:cs="Times New Roman" w:eastAsia="Times New Roman" w:hint="default"/>
                <w:sz w:val="18"/>
                <w:szCs w:val="18"/>
              </w:rPr>
            </w:pPr>
            <w:r>
              <w:rPr>
                <w:rFonts w:ascii="Times New Roman"/>
                <w:sz w:val="18"/>
              </w:rPr>
              <w:t>80,261,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0" w:right="0"/>
              <w:jc w:val="left"/>
              <w:rPr>
                <w:rFonts w:ascii="Times New Roman" w:hAnsi="Times New Roman" w:cs="Times New Roman" w:eastAsia="Times New Roman" w:hint="default"/>
                <w:sz w:val="18"/>
                <w:szCs w:val="18"/>
              </w:rPr>
            </w:pPr>
            <w:r>
              <w:rPr>
                <w:rFonts w:ascii="Times New Roman"/>
                <w:sz w:val="18"/>
              </w:rPr>
              <w:t>1,613,969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2.01%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78,647,043.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566.27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1.33</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54.94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013.56</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133,210,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566.27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2,664,21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130,546,3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80,261,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013.56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1,613,969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78,647,043.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133,210,566.27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2,664,211.33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133,210,566.27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2,664,211.33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133,210,566.27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2,664,211.33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本期实际核销的应收账款情况" w:id="193"/>
      <w:bookmarkEnd w:id="193"/>
      <w:r>
        <w:rPr>
          <w:b w:val="0"/>
          <w:bCs w:val="0"/>
        </w:rPr>
      </w:r>
      <w:r>
        <w:rPr/>
        <w:t>（</w:t>
      </w:r>
      <w:r>
        <w:rPr>
          <w:rFonts w:ascii="Times New Roman" w:hAnsi="Times New Roman" w:cs="Times New Roman" w:eastAsia="Times New Roman" w:hint="default"/>
        </w:rPr>
        <w:t>2</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47,894.41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按欠款方归集的期末余额前五吊的应收账款情况" w:id="194"/>
      <w:bookmarkEnd w:id="19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49" w:type="dxa"/>
        <w:tblLayout w:type="fixed"/>
        <w:tblCellMar>
          <w:top w:w="0" w:type="dxa"/>
          <w:left w:w="0" w:type="dxa"/>
          <w:bottom w:w="0" w:type="dxa"/>
          <w:right w:w="0" w:type="dxa"/>
        </w:tblCellMar>
        <w:tblLook w:val="01E0"/>
      </w:tblPr>
      <w:tblGrid>
        <w:gridCol w:w="3084"/>
        <w:gridCol w:w="1418"/>
        <w:gridCol w:w="1590"/>
        <w:gridCol w:w="1678"/>
      </w:tblGrid>
      <w:tr>
        <w:trPr>
          <w:trHeight w:val="355" w:hRule="exact"/>
        </w:trPr>
        <w:tc>
          <w:tcPr>
            <w:tcW w:w="3084"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68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65" w:hRule="exact"/>
        </w:trPr>
        <w:tc>
          <w:tcPr>
            <w:tcW w:w="3084" w:type="dxa"/>
            <w:vMerge/>
            <w:tcBorders>
              <w:left w:val="single" w:sz="6" w:space="0" w:color="000000"/>
              <w:bottom w:val="single" w:sz="12" w:space="0" w:color="000000"/>
              <w:right w:val="single" w:sz="6" w:space="0" w:color="000000"/>
            </w:tcBorders>
          </w:tcPr>
          <w:p>
            <w:pP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10"/>
              <w:ind w:left="382" w:right="66"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3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5" w:right="0"/>
              <w:jc w:val="left"/>
              <w:rPr>
                <w:rFonts w:ascii="Times New Roman" w:hAnsi="Times New Roman" w:cs="Times New Roman" w:eastAsia="Times New Roman" w:hint="default"/>
                <w:sz w:val="18"/>
                <w:szCs w:val="18"/>
              </w:rPr>
            </w:pPr>
            <w:r>
              <w:rPr>
                <w:rFonts w:ascii="Times New Roman"/>
                <w:sz w:val="18"/>
              </w:rPr>
              <w:t>24,027,696.46</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18.04</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480,553.93</w:t>
            </w:r>
          </w:p>
        </w:tc>
      </w:tr>
      <w:tr>
        <w:trPr>
          <w:trHeight w:val="352" w:hRule="exact"/>
        </w:trPr>
        <w:tc>
          <w:tcPr>
            <w:tcW w:w="3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汕头市迪华贸易有限公司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5" w:right="0"/>
              <w:jc w:val="left"/>
              <w:rPr>
                <w:rFonts w:ascii="Times New Roman" w:hAnsi="Times New Roman" w:cs="Times New Roman" w:eastAsia="Times New Roman" w:hint="default"/>
                <w:sz w:val="18"/>
                <w:szCs w:val="18"/>
              </w:rPr>
            </w:pPr>
            <w:r>
              <w:rPr>
                <w:rFonts w:ascii="Times New Roman"/>
                <w:sz w:val="18"/>
              </w:rPr>
              <w:t>18,365,936.94</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13.79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367,318.74</w:t>
            </w:r>
          </w:p>
        </w:tc>
      </w:tr>
      <w:tr>
        <w:trPr>
          <w:trHeight w:val="353" w:hRule="exact"/>
        </w:trPr>
        <w:tc>
          <w:tcPr>
            <w:tcW w:w="3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汕头市怡盛贸易有限公司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365" w:right="0"/>
              <w:jc w:val="left"/>
              <w:rPr>
                <w:rFonts w:ascii="Times New Roman" w:hAnsi="Times New Roman" w:cs="Times New Roman" w:eastAsia="Times New Roman" w:hint="default"/>
                <w:sz w:val="18"/>
                <w:szCs w:val="18"/>
              </w:rPr>
            </w:pPr>
            <w:r>
              <w:rPr>
                <w:rFonts w:ascii="Times New Roman"/>
                <w:sz w:val="18"/>
              </w:rPr>
              <w:t>15,384,410.33</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11.55</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307,688.21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749" w:type="dxa"/>
        <w:tblLayout w:type="fixed"/>
        <w:tblCellMar>
          <w:top w:w="0" w:type="dxa"/>
          <w:left w:w="0" w:type="dxa"/>
          <w:bottom w:w="0" w:type="dxa"/>
          <w:right w:w="0" w:type="dxa"/>
        </w:tblCellMar>
        <w:tblLook w:val="01E0"/>
      </w:tblPr>
      <w:tblGrid>
        <w:gridCol w:w="3084"/>
        <w:gridCol w:w="1418"/>
        <w:gridCol w:w="1590"/>
        <w:gridCol w:w="1678"/>
      </w:tblGrid>
      <w:tr>
        <w:trPr>
          <w:trHeight w:val="355" w:hRule="exact"/>
        </w:trPr>
        <w:tc>
          <w:tcPr>
            <w:tcW w:w="30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香港添丰行</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12,001,962.82</w:t>
            </w:r>
          </w:p>
        </w:tc>
        <w:tc>
          <w:tcPr>
            <w:tcW w:w="15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9.01</w:t>
            </w:r>
          </w:p>
        </w:tc>
        <w:tc>
          <w:tcPr>
            <w:tcW w:w="167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240,039.26</w:t>
            </w:r>
          </w:p>
        </w:tc>
      </w:tr>
      <w:tr>
        <w:trPr>
          <w:trHeight w:val="353" w:hRule="exact"/>
        </w:trPr>
        <w:tc>
          <w:tcPr>
            <w:tcW w:w="3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汕头市金柏顺贸易有限公司</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7,906,116.45</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5.94</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158,122.33</w:t>
            </w:r>
          </w:p>
        </w:tc>
      </w:tr>
      <w:tr>
        <w:trPr>
          <w:trHeight w:val="352" w:hRule="exact"/>
        </w:trPr>
        <w:tc>
          <w:tcPr>
            <w:tcW w:w="30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77,686,123.00</w:t>
            </w:r>
          </w:p>
        </w:tc>
        <w:tc>
          <w:tcPr>
            <w:tcW w:w="15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58.33</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1,553,722.47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5"/>
        <w:ind w:left="154" w:right="0"/>
        <w:jc w:val="left"/>
        <w:rPr>
          <w:b w:val="0"/>
          <w:bCs w:val="0"/>
        </w:rPr>
      </w:pPr>
      <w:bookmarkStart w:name="5、预付款项" w:id="195"/>
      <w:bookmarkEnd w:id="195"/>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预付款项按账龄列示" w:id="196"/>
      <w:bookmarkEnd w:id="196"/>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16,086,673.26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12,067,199.40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16,106,673.26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12,067,199.40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9"/>
        <w:rPr>
          <w:rFonts w:ascii="宋体" w:hAnsi="宋体" w:cs="宋体" w:eastAsia="宋体" w:hint="default"/>
          <w:sz w:val="25"/>
          <w:szCs w:val="25"/>
        </w:rPr>
      </w:pPr>
    </w:p>
    <w:p>
      <w:pPr>
        <w:pStyle w:val="Heading4"/>
        <w:spacing w:line="240" w:lineRule="auto"/>
        <w:ind w:left="154" w:right="0"/>
        <w:jc w:val="left"/>
        <w:rPr>
          <w:b w:val="0"/>
          <w:bCs w:val="0"/>
        </w:rPr>
      </w:pPr>
      <w:bookmarkStart w:name="（2）按预付对象归集的期末余额前五吊的预付款情况" w:id="197"/>
      <w:bookmarkEnd w:id="19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6、应收利息" w:id="198"/>
      <w:bookmarkEnd w:id="198"/>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收利息分类" w:id="199"/>
      <w:bookmarkEnd w:id="199"/>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1,137,644.44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1,137,644.44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其他应收款" w:id="200"/>
      <w:bookmarkEnd w:id="200"/>
      <w:r>
        <w:rPr>
          <w:b w:val="0"/>
          <w:bCs w:val="0"/>
        </w:rPr>
      </w: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其他应收款分类披露" w:id="201"/>
      <w:bookmarkEnd w:id="20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74"/>
        <w:gridCol w:w="739"/>
        <w:gridCol w:w="812"/>
        <w:gridCol w:w="643"/>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5,567,82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6,406.84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53" w:right="0"/>
              <w:jc w:val="left"/>
              <w:rPr>
                <w:rFonts w:ascii="Times New Roman" w:hAnsi="Times New Roman" w:cs="Times New Roman" w:eastAsia="Times New Roman" w:hint="default"/>
                <w:sz w:val="18"/>
                <w:szCs w:val="18"/>
              </w:rPr>
            </w:pPr>
            <w:r>
              <w:rPr>
                <w:rFonts w:ascii="Times New Roman"/>
                <w:sz w:val="18"/>
              </w:rPr>
              <w:t>0.12%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5,561,417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8" w:right="0"/>
              <w:jc w:val="left"/>
              <w:rPr>
                <w:rFonts w:ascii="Times New Roman" w:hAnsi="Times New Roman" w:cs="Times New Roman" w:eastAsia="Times New Roman" w:hint="default"/>
                <w:sz w:val="18"/>
                <w:szCs w:val="18"/>
              </w:rPr>
            </w:pPr>
            <w:r>
              <w:rPr>
                <w:rFonts w:ascii="Times New Roman"/>
                <w:sz w:val="18"/>
              </w:rPr>
              <w:t>8,665,8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3,611.20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8,662,223.1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5" w:right="0"/>
              <w:jc w:val="left"/>
              <w:rPr>
                <w:rFonts w:ascii="Times New Roman" w:hAnsi="Times New Roman" w:cs="Times New Roman" w:eastAsia="Times New Roman" w:hint="default"/>
                <w:sz w:val="18"/>
                <w:szCs w:val="18"/>
              </w:rPr>
            </w:pPr>
            <w:r>
              <w:rPr>
                <w:rFonts w:ascii="Times New Roman"/>
                <w:sz w:val="18"/>
              </w:rPr>
              <w:t>4.44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5" w:right="0"/>
              <w:jc w:val="left"/>
              <w:rPr>
                <w:rFonts w:ascii="Times New Roman" w:hAnsi="Times New Roman" w:cs="Times New Roman" w:eastAsia="Times New Roman" w:hint="default"/>
                <w:sz w:val="18"/>
                <w:szCs w:val="18"/>
              </w:rPr>
            </w:pPr>
            <w:r>
              <w:rPr>
                <w:rFonts w:ascii="Times New Roman"/>
                <w:sz w:val="18"/>
              </w:rPr>
              <w:t>34.32</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5,567,82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5,561,417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8,665,8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34.32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3,611.20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8,662,223.1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320,341.63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320,341.63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320,341.63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line="357" w:lineRule="auto" w:before="51"/>
        <w:ind w:left="154" w:right="877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确定该组合依据的说明： 详见附注五、</w:t>
      </w:r>
      <w:r>
        <w:rPr>
          <w:rFonts w:ascii="Times New Roman" w:hAnsi="Times New Roman" w:cs="Times New Roman" w:eastAsia="Times New Roman" w:hint="default"/>
          <w:sz w:val="18"/>
          <w:szCs w:val="18"/>
        </w:rPr>
        <w:t>11</w:t>
      </w:r>
    </w:p>
    <w:p>
      <w:pPr>
        <w:spacing w:before="6"/>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717" w:type="dxa"/>
        <w:tblLayout w:type="fixed"/>
        <w:tblCellMar>
          <w:top w:w="0" w:type="dxa"/>
          <w:left w:w="0" w:type="dxa"/>
          <w:bottom w:w="0" w:type="dxa"/>
          <w:right w:w="0" w:type="dxa"/>
        </w:tblCellMar>
        <w:tblLook w:val="01E0"/>
      </w:tblPr>
      <w:tblGrid>
        <w:gridCol w:w="2356"/>
        <w:gridCol w:w="2073"/>
        <w:gridCol w:w="1624"/>
        <w:gridCol w:w="1694"/>
      </w:tblGrid>
      <w:tr>
        <w:trPr>
          <w:trHeight w:val="355" w:hRule="exact"/>
        </w:trPr>
        <w:tc>
          <w:tcPr>
            <w:tcW w:w="2356"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39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2" w:hRule="exact"/>
        </w:trPr>
        <w:tc>
          <w:tcPr>
            <w:tcW w:w="2356" w:type="dxa"/>
            <w:vMerge/>
            <w:tcBorders>
              <w:left w:val="single" w:sz="6" w:space="0" w:color="000000"/>
              <w:bottom w:val="single" w:sz="12" w:space="0" w:color="000000"/>
              <w:right w:val="single" w:sz="6" w:space="0" w:color="000000"/>
            </w:tcBorders>
          </w:tcPr>
          <w:p>
            <w:pPr/>
          </w:p>
        </w:tc>
        <w:tc>
          <w:tcPr>
            <w:tcW w:w="2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7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2" w:hRule="exact"/>
        </w:trPr>
        <w:tc>
          <w:tcPr>
            <w:tcW w:w="2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待认证税金</w:t>
            </w:r>
          </w:p>
        </w:tc>
        <w:tc>
          <w:tcPr>
            <w:tcW w:w="2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2,784,030.04</w:t>
            </w:r>
          </w:p>
        </w:tc>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2,463,452.77</w:t>
            </w:r>
          </w:p>
        </w:tc>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2" w:hRule="exact"/>
        </w:trPr>
        <w:tc>
          <w:tcPr>
            <w:tcW w:w="23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5,247,482.81</w:t>
            </w:r>
          </w:p>
        </w:tc>
        <w:tc>
          <w:tcPr>
            <w:tcW w:w="16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54" w:right="0"/>
        <w:jc w:val="left"/>
        <w:rPr>
          <w:b w:val="0"/>
          <w:bCs w:val="0"/>
        </w:rPr>
      </w:pPr>
      <w:bookmarkStart w:name="（2）按欠款方归集的期末余额前五吊的其他应收款情况" w:id="202"/>
      <w:bookmarkEnd w:id="202"/>
      <w:r>
        <w:rPr>
          <w:b w:val="0"/>
          <w:bCs w:val="0"/>
        </w:rPr>
      </w:r>
      <w:r>
        <w:rPr/>
        <w:t>（</w:t>
      </w:r>
      <w:r>
        <w:rPr>
          <w:rFonts w:ascii="Times New Roman" w:hAnsi="Times New Roman" w:cs="Times New Roman" w:eastAsia="Times New Roman" w:hint="default"/>
        </w:rPr>
        <w:t>2</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7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2,784,030.04</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2,463,452.77</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支付宝（中国）网络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网络销售保证金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155,332.36</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3,106.65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广州睛之选展览有</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孙桂琴</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红树西岸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个月押 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5,529,815.17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5,646.65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存货" w:id="203"/>
      <w:bookmarkEnd w:id="203"/>
      <w:r>
        <w:rPr>
          <w:b w:val="0"/>
          <w:bCs w:val="0"/>
        </w:rPr>
      </w:r>
      <w:r>
        <w:rPr>
          <w:rFonts w:ascii="Times New Roman" w:hAnsi="Times New Roman" w:cs="Times New Roman" w:eastAsia="Times New Roman" w:hint="default"/>
        </w:rPr>
        <w:t>8</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存货分类" w:id="204"/>
      <w:bookmarkEnd w:id="20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8,870,143.15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8,870,143.15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21,027,254.06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21,027,254.06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19,139,232.32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19,139,232.32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26,905,966.25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26,905,966.25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53,419,058.21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53,419,058.21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46,754,737.40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46,754,737.40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156,227.09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156,227.09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921,306.08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921,306.08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410,174.09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410,174.09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1,264,428.99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1,264,428.99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494,695.88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494,695.88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82,489,530.74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82,489,530.74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96,873,692.78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96,873,692.78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9、其他流动资产" w:id="205"/>
      <w:bookmarkEnd w:id="205"/>
      <w:r>
        <w:rPr>
          <w:b w:val="0"/>
          <w:bCs w:val="0"/>
        </w:rPr>
      </w: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2,311,573.18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5,475,975.27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2,311,573.18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5,475,975.27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长期股权投资" w:id="206"/>
      <w:bookmarkEnd w:id="206"/>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8" w:space="0" w:color="CCE8CF"/>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广东粤科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124,000,0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4,428,471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128,428,4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融资租赁 有限公司</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0"/>
        <w:jc w:val="left"/>
      </w:pPr>
      <w:r>
        <w:rPr>
          <w:spacing w:val="-1"/>
        </w:rPr>
        <w:t>广东粤科融资租赁有限公司（以下简称</w:t>
      </w:r>
      <w:r>
        <w:rPr>
          <w:rFonts w:ascii="Times New Roman" w:hAnsi="Times New Roman" w:cs="Times New Roman" w:eastAsia="Times New Roman" w:hint="default"/>
          <w:spacing w:val="-1"/>
        </w:rPr>
        <w:t>“</w:t>
      </w:r>
      <w:r>
        <w:rPr>
          <w:spacing w:val="-1"/>
        </w:rPr>
        <w:t>粤科租赁）成立于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17</w:t>
      </w:r>
      <w:r>
        <w:rPr>
          <w:spacing w:val="-1"/>
        </w:rPr>
        <w:t>日，注册资本为人民币</w:t>
      </w:r>
      <w:r>
        <w:rPr>
          <w:rFonts w:ascii="Times New Roman" w:hAnsi="Times New Roman" w:cs="Times New Roman" w:eastAsia="Times New Roman" w:hint="default"/>
          <w:spacing w:val="-1"/>
        </w:rPr>
        <w:t>62,000.00</w:t>
      </w:r>
      <w:r>
        <w:rPr>
          <w:spacing w:val="-1"/>
        </w:rPr>
        <w:t>万</w:t>
      </w:r>
      <w:r>
        <w:rPr>
          <w:spacing w:val="-64"/>
        </w:rPr>
        <w:t> </w:t>
      </w:r>
      <w:r>
        <w:rPr/>
        <w:t>元，本公司出资人民币</w:t>
      </w:r>
      <w:r>
        <w:rPr>
          <w:rFonts w:ascii="Times New Roman" w:hAnsi="Times New Roman" w:cs="Times New Roman" w:eastAsia="Times New Roman" w:hint="default"/>
        </w:rPr>
        <w:t>12,400.00</w:t>
      </w:r>
      <w:r>
        <w:rPr/>
        <w:t>万元，占注册资本的</w:t>
      </w:r>
      <w:r>
        <w:rPr>
          <w:rFonts w:ascii="Times New Roman" w:hAnsi="Times New Roman" w:cs="Times New Roman" w:eastAsia="Times New Roman" w:hint="default"/>
        </w:rPr>
        <w:t>20.00%</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11、固定资产" w:id="207"/>
      <w:bookmarkEnd w:id="207"/>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08"/>
      <w:bookmarkEnd w:id="20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166,134,336.60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46,460,504.53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2,714,918.63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17,054,939.40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232,364,699.16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263,678,446.08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769,521.60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1,282,979.36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266,068,947.04</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769,521.60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1,282,979.36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338,000.00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2,390,500.96</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263,678,446.08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263,678,446.08</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362,578.00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362,578.00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362,578.00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362,578.00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429,812,782.68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47,230,026.13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3,997,897.99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17,030,361.40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498,071,068.20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32,193,527.72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18,848,989.87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1,640,125.78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7,147,653.45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59,830,296.82</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11,711,815.86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4,086,728.74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433,005.41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2,739,400.20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18,970,950.21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11,711,815.86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4,086,728.74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433,005.41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2,739,400.20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18,970,950.21</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344,449.10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344,449.10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344,449.10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344,449.10</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43,905,343.58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22,935,718.61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2,073,131.19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9,542,604.55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78,456,797.93</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385,907,439.10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24,294,307.52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1,924,766.80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7,487,756.85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419,614,270.27</w:t>
            </w:r>
          </w:p>
        </w:tc>
      </w:tr>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133,940,808.88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27,611,514.66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1,074,792.85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9,907,285.95</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172,534,402.34</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办妥产权证书的固定资产情况" w:id="209"/>
      <w:bookmarkEnd w:id="209"/>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电子电动玩具生产基地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239,168,407.23</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月转固，正在办理中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五金车间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18,333,159.37</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月转固，正在办理中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在建工程" w:id="210"/>
      <w:bookmarkEnd w:id="210"/>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在建工程情况" w:id="211"/>
      <w:bookmarkEnd w:id="211"/>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电子电动塑料玩 具生产基地项目</w:t>
            </w:r>
          </w:p>
        </w:tc>
        <w:tc>
          <w:tcPr>
            <w:tcW w:w="1379"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189,773,512.87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189,773,512.87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五金生产车间</w:t>
            </w:r>
          </w:p>
        </w:tc>
        <w:tc>
          <w:tcPr>
            <w:tcW w:w="1379"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13,639,927.15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13,639,927.15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区电梯</w:t>
            </w:r>
          </w:p>
        </w:tc>
        <w:tc>
          <w:tcPr>
            <w:tcW w:w="1379"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262,222.24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262,222.24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行政宿舍楼</w:t>
            </w:r>
          </w:p>
        </w:tc>
        <w:tc>
          <w:tcPr>
            <w:tcW w:w="1379"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4,557,816.00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4,557,816.00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208,233,478.26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208,233,478.26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重要在建工程项目本期变动情况" w:id="212"/>
      <w:bookmarkEnd w:id="212"/>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5" w:hRule="exact"/>
        </w:trPr>
        <w:tc>
          <w:tcPr>
            <w:tcW w:w="7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159"/>
              <w:jc w:val="both"/>
              <w:rPr>
                <w:rFonts w:ascii="宋体" w:hAnsi="宋体" w:cs="宋体" w:eastAsia="宋体" w:hint="default"/>
                <w:sz w:val="18"/>
                <w:szCs w:val="18"/>
              </w:rPr>
            </w:pPr>
            <w:r>
              <w:rPr>
                <w:rFonts w:ascii="宋体" w:hAnsi="宋体" w:cs="宋体" w:eastAsia="宋体" w:hint="default"/>
                <w:sz w:val="18"/>
                <w:szCs w:val="18"/>
              </w:rPr>
              <w:t>电子电 动塑料 玩具生 产基地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179,316,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189,773,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512.87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49,394,8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94.36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239,168,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407.23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133.38%</w:t>
            </w:r>
          </w:p>
        </w:tc>
        <w:tc>
          <w:tcPr>
            <w:tcW w:w="7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五金生 产车间</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14,172,9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13,639,9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27.15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4,693,23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18,333,1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59.37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129.35%</w:t>
            </w:r>
          </w:p>
        </w:tc>
        <w:tc>
          <w:tcPr>
            <w:tcW w:w="7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行政宿 舍楼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5,894,39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4,557,81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1,619,06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6,176,87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9.48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104.79%</w:t>
            </w:r>
          </w:p>
        </w:tc>
        <w:tc>
          <w:tcPr>
            <w:tcW w:w="7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199,383,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489.60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207,971,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256.02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55,707,1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263,678,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446.08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3、无形资产" w:id="213"/>
      <w:bookmarkEnd w:id="213"/>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无形资产情况" w:id="214"/>
      <w:bookmarkEnd w:id="21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106,651,801.95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748,685.65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107,400,487.60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4,340,178.00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665,641.03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5,005,819.03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4,340,178.00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665,641.03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5,005,819.03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110,991,979.95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1,414,326.68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112,406,306.63</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6,325,735.76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192,261.62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6,517,997.38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2,498,029.25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117,629.43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2,615,658.68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2,498,029.25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117,629.43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2,615,658.68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8,823,765.01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309,891.05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9,133,656.06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102,168,214.94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1,104,435.63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103,272,650.57</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100,326,066.19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556,424.03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100,882,490.22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土地使用权情况" w:id="215"/>
      <w:bookmarkEnd w:id="21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童乐乐生产基地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50,152,385.55</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正在办理当中</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商誉" w:id="216"/>
      <w:bookmarkEnd w:id="216"/>
      <w:r>
        <w:rPr>
          <w:b w:val="0"/>
          <w:bCs w:val="0"/>
        </w:rPr>
      </w:r>
      <w:r>
        <w:rPr>
          <w:rFonts w:ascii="Times New Roman" w:hAnsi="Times New Roman" w:cs="Times New Roman" w:eastAsia="Times New Roman" w:hint="default"/>
        </w:rPr>
        <w:t>14</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商誉账面原值" w:id="217"/>
      <w:bookmarkEnd w:id="21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1,038,345.12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1,038,345.12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1,038,345.12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5、递延所得税资产/递延所得税负债" w:id="218"/>
      <w:bookmarkEnd w:id="218"/>
      <w:r>
        <w:rPr>
          <w:b w:val="0"/>
          <w:bCs w:val="0"/>
        </w:rPr>
      </w: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19"/>
      <w:bookmarkEnd w:id="21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13" w:space="0" w:color="FFFFFF"/>
            </w:tcBorders>
            <w:shd w:val="clear" w:color="auto" w:fill="D2D2D2"/>
          </w:tcPr>
          <w:p>
            <w:pPr/>
          </w:p>
        </w:tc>
        <w:tc>
          <w:tcPr>
            <w:tcW w:w="3842" w:type="dxa"/>
            <w:gridSpan w:val="2"/>
            <w:vMerge w:val="restart"/>
            <w:tcBorders>
              <w:top w:val="single" w:sz="4" w:space="0" w:color="000000"/>
              <w:left w:val="single" w:sz="13" w:space="0" w:color="FFFFFF"/>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13" w:space="0" w:color="FFFFFF"/>
            </w:tcBorders>
            <w:shd w:val="clear" w:color="auto" w:fill="D2D2D2"/>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13" w:space="0" w:color="FFFFFF"/>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13" w:space="0" w:color="FFFFFF"/>
            </w:tcBorders>
            <w:shd w:val="clear" w:color="auto" w:fill="D2D2D2"/>
          </w:tcPr>
          <w:p>
            <w:pPr/>
          </w:p>
        </w:tc>
        <w:tc>
          <w:tcPr>
            <w:tcW w:w="1928" w:type="dxa"/>
            <w:vMerge w:val="restart"/>
            <w:tcBorders>
              <w:top w:val="single" w:sz="4" w:space="0" w:color="000000"/>
              <w:left w:val="single" w:sz="13" w:space="0" w:color="FFFFFF"/>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13" w:space="0" w:color="FFFFFF"/>
            </w:tcBorders>
            <w:shd w:val="clear" w:color="auto" w:fill="D2D2D2"/>
          </w:tcPr>
          <w:p>
            <w:pPr/>
          </w:p>
        </w:tc>
        <w:tc>
          <w:tcPr>
            <w:tcW w:w="1928" w:type="dxa"/>
            <w:vMerge/>
            <w:tcBorders>
              <w:left w:val="single" w:sz="13" w:space="0" w:color="FFFFFF"/>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2,670,618.17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667,654.54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1,617,581.17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242,637.18</w:t>
            </w:r>
          </w:p>
        </w:tc>
      </w:tr>
      <w:tr>
        <w:trPr>
          <w:trHeight w:val="402" w:hRule="exact"/>
        </w:trPr>
        <w:tc>
          <w:tcPr>
            <w:tcW w:w="1901" w:type="dxa"/>
            <w:tcBorders>
              <w:top w:val="single" w:sz="4" w:space="0" w:color="000000"/>
              <w:left w:val="single" w:sz="4" w:space="0" w:color="000000"/>
              <w:bottom w:val="single" w:sz="4" w:space="0" w:color="000000"/>
              <w:right w:val="single" w:sz="13" w:space="0" w:color="FFFFFF"/>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509,413.46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2,174,256.30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326,138.45</w:t>
            </w:r>
          </w:p>
        </w:tc>
      </w:tr>
      <w:tr>
        <w:trPr>
          <w:trHeight w:val="714" w:hRule="exact"/>
        </w:trPr>
        <w:tc>
          <w:tcPr>
            <w:tcW w:w="1901" w:type="dxa"/>
            <w:tcBorders>
              <w:top w:val="single" w:sz="4" w:space="0" w:color="000000"/>
              <w:left w:val="single" w:sz="4" w:space="0" w:color="000000"/>
              <w:bottom w:val="single" w:sz="4" w:space="0" w:color="000000"/>
              <w:right w:val="single" w:sz="13" w:space="0" w:color="FFFFFF"/>
            </w:tcBorders>
            <w:shd w:val="clear" w:color="auto" w:fill="CCE8CF"/>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728,166.40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182,041.60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5,436,438.39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1,359,109.60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3,791,837.47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568,775.63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未经抵销的递延所得税负债" w:id="220"/>
      <w:bookmarkEnd w:id="22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16,830.00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16,830.00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以抵销后净额列示的递延所得税资产或负债" w:id="221"/>
      <w:bookmarkEnd w:id="22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1,359,109.60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568,775.63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16,830.00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未确认递延所得税资产明细" w:id="222"/>
      <w:bookmarkEnd w:id="22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15,030,159.76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9,209,963.96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15,030,159.76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9,209,963.96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54" w:right="0"/>
        <w:jc w:val="left"/>
        <w:rPr>
          <w:b w:val="0"/>
          <w:bCs w:val="0"/>
        </w:rPr>
      </w:pPr>
      <w:bookmarkStart w:name="（5）未确认递延所得税资产的可抵扣亏损将于以下年度到期" w:id="223"/>
      <w:bookmarkEnd w:id="22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4,719,346.06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4,719,346.06</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4,490,617.90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4,490,617.90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5,820,195.80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15,030,159.76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9,209,963.96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6、其他非流动资产" w:id="224"/>
      <w:bookmarkEnd w:id="224"/>
      <w:r>
        <w:rPr>
          <w:b w:val="0"/>
          <w:bCs w:val="0"/>
        </w:rPr>
      </w:r>
      <w:r>
        <w:rPr>
          <w:rFonts w:ascii="Times New Roman" w:hAnsi="Times New Roman" w:cs="Times New Roman" w:eastAsia="Times New Roman" w:hint="default"/>
        </w:rPr>
        <w:t>16</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6,742,765.32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7,500,865.06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6,742,765.32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7,500,865.06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短期借款" w:id="225"/>
      <w:bookmarkEnd w:id="225"/>
      <w:r>
        <w:rPr>
          <w:b w:val="0"/>
          <w:bCs w:val="0"/>
        </w:rPr>
      </w:r>
      <w:r>
        <w:rPr>
          <w:rFonts w:ascii="Times New Roman" w:hAnsi="Times New Roman" w:cs="Times New Roman" w:eastAsia="Times New Roman" w:hint="default"/>
        </w:rPr>
        <w:t>17</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借款分类" w:id="226"/>
      <w:bookmarkEnd w:id="22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18、以公允价值计量且其变动计入当期损益的金融负债" w:id="227"/>
      <w:bookmarkEnd w:id="227"/>
      <w:r>
        <w:rPr>
          <w:b w:val="0"/>
          <w:bCs w:val="0"/>
        </w:rPr>
      </w:r>
      <w:r>
        <w:rPr>
          <w:rFonts w:ascii="Times New Roman" w:hAnsi="Times New Roman" w:cs="Times New Roman" w:eastAsia="Times New Roman" w:hint="default"/>
        </w:rPr>
        <w:t>18</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728,166.40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728,166.40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9、应付账款" w:id="228"/>
      <w:bookmarkEnd w:id="228"/>
      <w:r>
        <w:rPr>
          <w:b w:val="0"/>
          <w:bCs w:val="0"/>
        </w:rPr>
      </w: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229"/>
      <w:bookmarkEnd w:id="22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20,459,193.74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12,890,063.47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5,125,358.00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5,125,100.00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3,859,302.00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3,859,302.00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29,443,595.74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21,874,723.47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应付账款" w:id="230"/>
      <w:bookmarkEnd w:id="2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童乐乐收购款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5,125,100.00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童乐乐土地使用证正在办理，尚未结算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童乐乐土地的粮食补贴款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3,859,302.00</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分期偿还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8,984,402.00</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0、预收款项" w:id="231"/>
      <w:bookmarkEnd w:id="231"/>
      <w:r>
        <w:rPr>
          <w:b w:val="0"/>
          <w:bCs w:val="0"/>
        </w:rPr>
      </w: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232"/>
      <w:bookmarkEnd w:id="23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1,835,523.12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4,544,419.03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1,835,523.12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4,544,419.03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预收款项" w:id="233"/>
      <w:bookmarkEnd w:id="23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建造合同形成的已结算未完工项目情况" w:id="234"/>
      <w:bookmarkEnd w:id="23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1、应付职工薪酬" w:id="235"/>
      <w:bookmarkEnd w:id="235"/>
      <w:r>
        <w:rPr>
          <w:b w:val="0"/>
          <w:bCs w:val="0"/>
        </w:rPr>
      </w: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236"/>
      <w:bookmarkEnd w:id="23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2,883,181.00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43,255,528.60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43,513,960.45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2,624,749.15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1,888,919.99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1,884,698.83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4,221.16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2,883,181.00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45,144,448.59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45,398,659.28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2,628,970.31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短期薪酬列示" w:id="237"/>
      <w:bookmarkEnd w:id="23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40,318,331.12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40,583,185.12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2,618,327.00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2,495,452.20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2,495,452.20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303,029.48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300,812.33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2,217.15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71,158.00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66,953.00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4,205.00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67,557.80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67,557.80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2,883,181.00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43,255,528.60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43,513,960.45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2,624,749.15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设定提存计划列示" w:id="238"/>
      <w:bookmarkEnd w:id="23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1,723,045.08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1,719,203.60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3,841.48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165,874.91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165,495.23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1,888,919.99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1,884,698.83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4,221.16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2、应交税费" w:id="239"/>
      <w:bookmarkEnd w:id="239"/>
      <w:r>
        <w:rPr>
          <w:b w:val="0"/>
          <w:bCs w:val="0"/>
        </w:rPr>
      </w: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1,206,221.96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178,488.88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23,318.67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14,923.06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1,278,258.32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1,278,339.09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70,609.74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70,609.74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549,264.98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549,322.68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244,400.00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15,580.27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26,334.31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3,459,653.94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2,434,417.76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其他应付款" w:id="240"/>
      <w:bookmarkEnd w:id="240"/>
      <w:r>
        <w:rPr>
          <w:b w:val="0"/>
          <w:bCs w:val="0"/>
        </w:rPr>
      </w:r>
      <w:r>
        <w:rPr>
          <w:rFonts w:ascii="Times New Roman" w:hAnsi="Times New Roman" w:cs="Times New Roman" w:eastAsia="Times New Roman" w:hint="default"/>
        </w:rPr>
        <w:t>23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241"/>
      <w:bookmarkEnd w:id="241"/>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代扣代缴个税税费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27,890.48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75,130.48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36,000.64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4、递延收益" w:id="242"/>
      <w:bookmarkEnd w:id="242"/>
      <w:r>
        <w:rPr>
          <w:b w:val="0"/>
          <w:bCs w:val="0"/>
        </w:rPr>
      </w:r>
      <w:r>
        <w:rPr>
          <w:rFonts w:ascii="Times New Roman" w:hAnsi="Times New Roman" w:cs="Times New Roman" w:eastAsia="Times New Roman" w:hint="default"/>
        </w:rPr>
        <w:t>24</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2,174,256.30</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136,602.48</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2,037,653.82</w:t>
            </w:r>
          </w:p>
        </w:tc>
        <w:tc>
          <w:tcPr>
            <w:tcW w:w="1594"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玩具产业升级技术 改造</w:t>
            </w:r>
          </w:p>
        </w:tc>
      </w:tr>
      <w:tr>
        <w:trPr>
          <w:trHeight w:val="39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CE8CF"/>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2,174,256.30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136,602.48</w:t>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2,037,653.82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71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玩具产业升级技 术改造</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2,174,256.30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136,602.48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2,174,256.30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136,602.48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2,037,653.82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5、股本" w:id="243"/>
      <w:bookmarkEnd w:id="243"/>
      <w:r>
        <w:rPr>
          <w:b w:val="0"/>
          <w:bCs w:val="0"/>
        </w:rPr>
      </w:r>
      <w:r>
        <w:rPr>
          <w:rFonts w:ascii="Times New Roman" w:hAnsi="Times New Roman" w:cs="Times New Roman" w:eastAsia="Times New Roman" w:hint="default"/>
        </w:rPr>
        <w:t>25</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267,600,000.00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267,600,000.00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资本公积" w:id="244"/>
      <w:bookmarkEnd w:id="244"/>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474,837,414.13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474,837,414.13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474,837,414.13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474,837,414.13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7、其他综合收益" w:id="245"/>
      <w:bookmarkEnd w:id="245"/>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8"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-116,393.81</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8,507.43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-107,886.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7"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-116,393.81</w:t>
            </w:r>
          </w:p>
        </w:tc>
        <w:tc>
          <w:tcPr>
            <w:tcW w:w="935" w:type="dxa"/>
            <w:vMerge w:val="restart"/>
            <w:tcBorders>
              <w:top w:val="single" w:sz="4" w:space="0" w:color="000000"/>
              <w:left w:val="single" w:sz="4" w:space="0" w:color="000000"/>
              <w:right w:val="single" w:sz="4" w:space="0" w:color="000000"/>
            </w:tcBorders>
          </w:tcPr>
          <w:p>
            <w:pP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8,507.43</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-107,886.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-116,393.81</w:t>
            </w:r>
          </w:p>
        </w:tc>
        <w:tc>
          <w:tcPr>
            <w:tcW w:w="935" w:type="dxa"/>
            <w:vMerge w:val="restart"/>
            <w:tcBorders>
              <w:top w:val="single" w:sz="4" w:space="0" w:color="000000"/>
              <w:left w:val="single" w:sz="4" w:space="0" w:color="000000"/>
              <w:right w:val="single" w:sz="4" w:space="0" w:color="000000"/>
            </w:tcBorders>
          </w:tcPr>
          <w:p>
            <w:pP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8,507.43</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6"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-107,886.</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8、盈余公积" w:id="246"/>
      <w:bookmarkEnd w:id="246"/>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22,436,181.65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2,068,606.27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24,504,787.92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22,436,181.65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2,068,606.27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24,504,787.92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9、未分配利润" w:id="247"/>
      <w:bookmarkEnd w:id="247"/>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136,953,215.02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122,197,376.56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136,953,215.02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122,197,376.56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14,865,866.87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24,470,802.60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2,068,606.27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3,024,964.14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136,370,475.62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136,953,215.02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0、营业收入和营业成本" w:id="248"/>
      <w:bookmarkEnd w:id="248"/>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404,163,124.81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319,771,959.92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500,847,942.70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388,919,652.80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29,300.00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404,163,124.81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319,771,959.92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500,877,242.70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388,919,652.80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1、营业税金及附加" w:id="249"/>
      <w:bookmarkEnd w:id="249"/>
      <w:r>
        <w:rPr>
          <w:b w:val="0"/>
          <w:bCs w:val="0"/>
        </w:rPr>
      </w:r>
      <w:r>
        <w:rPr>
          <w:rFonts w:ascii="Times New Roman" w:hAnsi="Times New Roman" w:cs="Times New Roman" w:eastAsia="Times New Roman" w:hint="default"/>
        </w:rPr>
        <w:t>31</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1,306,283.21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2,405,189.98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559,835.66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1,030,795.71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373,223.78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687,197.13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375,786.33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651,428.65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2,615,128.98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4,776,151.47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2、销售费用" w:id="250"/>
      <w:bookmarkEnd w:id="250"/>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209,175.41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355,977.20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3,174,015.12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5,459,616.86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1,017,100.46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1,113,550.08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参展费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1,258,102.00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1,496,007.93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1,055,747.17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3,427,498.89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93,418.80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145,727.34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3,712,731.00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6,025,820.00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644,949.40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940,825.54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3,701,236.67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3,497,230.38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14,866,476.03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22,462,254.22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管理费用" w:id="251"/>
      <w:bookmarkEnd w:id="251"/>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1,243,856.38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768,765.30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2,842,582.20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4,090,591.65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2,192,126.71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2,122,964.43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7,499,585.39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9,707,956.00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税金及保险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2,417,631.82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2,351,097.90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1,189,367.62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1,407,231.79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7,878,072.15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7,739,422.05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2,615,658.68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2,286,234.08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14,588,199.43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20,214,873.77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职工教育经费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55,883.10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1,011,398.36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940,290.85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5,869,485.85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4,998,025.89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重组中介费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2,240,751.62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51,656,274.01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56,683,336.81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财务费用" w:id="252"/>
      <w:bookmarkEnd w:id="252"/>
      <w:r>
        <w:rPr>
          <w:b w:val="0"/>
          <w:bCs w:val="0"/>
        </w:rPr>
      </w:r>
      <w:r>
        <w:rPr>
          <w:rFonts w:ascii="Times New Roman" w:hAnsi="Times New Roman" w:cs="Times New Roman" w:eastAsia="Times New Roman" w:hint="default"/>
        </w:rPr>
        <w:t>34</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2,680,123.54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1,646,499.99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1,375,672.00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5,084,541.30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-171,855.47</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4,153,532.51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67,513.58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74,488.59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1,200,109.65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789,979.79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资产减值损失" w:id="253"/>
      <w:bookmarkEnd w:id="253"/>
      <w:r>
        <w:rPr>
          <w:b w:val="0"/>
          <w:bCs w:val="0"/>
        </w:rPr>
      </w:r>
      <w:r>
        <w:rPr>
          <w:rFonts w:ascii="Times New Roman" w:hAnsi="Times New Roman" w:cs="Times New Roman" w:eastAsia="Times New Roman" w:hint="default"/>
        </w:rPr>
        <w:t>35</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168,565.81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1,100,931.41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168,565.81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6、公允价值变动收益" w:id="254"/>
      <w:bookmarkEnd w:id="254"/>
      <w:r>
        <w:rPr>
          <w:b w:val="0"/>
          <w:bCs w:val="0"/>
        </w:rPr>
      </w:r>
      <w:r>
        <w:rPr>
          <w:rFonts w:ascii="Times New Roman" w:hAnsi="Times New Roman" w:cs="Times New Roman" w:eastAsia="Times New Roman" w:hint="default"/>
        </w:rPr>
        <w:t>36</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-840,366.40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-840,366.40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-840,366.40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7、投资收益" w:id="255"/>
      <w:bookmarkEnd w:id="255"/>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662,364.38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60,115.07</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远期外汇结汇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-163,154.40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联营或合营公司分配来的利润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4,428,471.10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4,927,681.08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60,115.07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8、营业外收入" w:id="256"/>
      <w:bookmarkEnd w:id="256"/>
      <w:r>
        <w:rPr>
          <w:b w:val="0"/>
          <w:bCs w:val="0"/>
        </w:rPr>
      </w:r>
      <w:r>
        <w:rPr>
          <w:rFonts w:ascii="Times New Roman" w:hAnsi="Times New Roman" w:cs="Times New Roman" w:eastAsia="Times New Roman" w:hint="default"/>
        </w:rPr>
        <w:t>38</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720,857.48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1,035,043.48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720,857.48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289.34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289.34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721,146.82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1,035,043.48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721,146.82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玩具产业升级技术改造资金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136,602.48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136,602.48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年度省部产学研结合引 导项目资金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两新产品专项资金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省级工业设计发展专项资金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5.2012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年广东省国际市场开拓 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48,641.00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6.2012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年澄海区中小企业国际 市场开拓资金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德国纽伦堡国际玩具博 览会定额补贴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经济建设及精神文明财政奖 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外向型民营企业发展资金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专利资助款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年区优秀专利补助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科技局项目经费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毕业见习补贴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10,170.00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工作室补助人社局补贴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国际市场开拓资金补贴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中小企业国际市场开拓资 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61,185.00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720,857.48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1,035,043.48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营业外支出" w:id="257"/>
      <w:bookmarkEnd w:id="257"/>
      <w:r>
        <w:rPr>
          <w:b w:val="0"/>
          <w:bCs w:val="0"/>
        </w:rPr>
      </w:r>
      <w:r>
        <w:rPr>
          <w:rFonts w:ascii="Times New Roman" w:hAnsi="Times New Roman" w:cs="Times New Roman" w:eastAsia="Times New Roman" w:hint="default"/>
        </w:rPr>
        <w:t>39</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9,301.97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9,301.97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772.00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120,073.97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所得税费用" w:id="258"/>
      <w:bookmarkEnd w:id="258"/>
      <w:r>
        <w:rPr>
          <w:b w:val="0"/>
          <w:bCs w:val="0"/>
        </w:rPr>
      </w:r>
      <w:r>
        <w:rPr>
          <w:rFonts w:ascii="Times New Roman" w:hAnsi="Times New Roman" w:cs="Times New Roman" w:eastAsia="Times New Roman" w:hint="default"/>
        </w:rPr>
        <w:t>40</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259"/>
      <w:bookmarkEnd w:id="259"/>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3,581,929.44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3,652,289.15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-807,163.97</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12,035.49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2,774,765.47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3,664,324.64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会计利润与所得税费用调整过程" w:id="260"/>
      <w:bookmarkEnd w:id="260"/>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17,640,632.34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4,410,158.09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13,050.44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-459,118.58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1,455,048.95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-1,747,347.25</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调整对联营企业投资收益的影响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-1,107,117.78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扣除公允价值变动损益的影响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210,091.60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-807,163.97</w:t>
            </w:r>
            <w:r>
              <w:rPr>
                <w:rFonts w:ascii="Times New Roman"/>
                <w:sz w:val="18"/>
              </w:rPr>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2,774,765.47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1、其他综合收益" w:id="261"/>
      <w:bookmarkEnd w:id="261"/>
      <w:r>
        <w:rPr>
          <w:b w:val="0"/>
          <w:bCs w:val="0"/>
        </w:rPr>
      </w:r>
      <w:r>
        <w:rPr>
          <w:rFonts w:ascii="Times New Roman" w:hAnsi="Times New Roman" w:cs="Times New Roman" w:eastAsia="Times New Roman" w:hint="default"/>
        </w:rPr>
        <w:t>41</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2、现金流量表项目" w:id="262"/>
      <w:bookmarkEnd w:id="262"/>
      <w:r>
        <w:rPr>
          <w:b w:val="0"/>
          <w:bCs w:val="0"/>
        </w:rPr>
      </w:r>
      <w:r>
        <w:rPr>
          <w:rFonts w:ascii="Times New Roman" w:hAnsi="Times New Roman" w:cs="Times New Roman" w:eastAsia="Times New Roman" w:hint="default"/>
        </w:rPr>
        <w:t>42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63"/>
      <w:bookmarkEnd w:id="263"/>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1,038,575.41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718,960.59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2,513,306.44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5,205,414.37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584,255.00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898,441.00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4,136,136.85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6,822,815.96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264"/>
      <w:bookmarkEnd w:id="264"/>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10,567,271.70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9,322,800.52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7,753,189.72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10,766,756.00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1,745,390.04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73,678.30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75,113.52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20,249,529.76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20,290,670.04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收到的其他与投资活动有关的现金" w:id="265"/>
      <w:bookmarkEnd w:id="265"/>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1,584,095.00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支付的其他与投资活动有关的现金" w:id="266"/>
      <w:bookmarkEnd w:id="266"/>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1,919,095.00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285,008.31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支付投资并购费用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2,375,217.98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4,294,312.98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285,008.31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267"/>
      <w:bookmarkEnd w:id="267"/>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6）支付的其他与筹资活动有关的现金" w:id="268"/>
      <w:bookmarkEnd w:id="268"/>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登记费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138,620.59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138,620.59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3、现金流量表补充资料" w:id="269"/>
      <w:bookmarkEnd w:id="269"/>
      <w:r>
        <w:rPr>
          <w:b w:val="0"/>
          <w:bCs w:val="0"/>
        </w:rPr>
      </w:r>
      <w:r>
        <w:rPr>
          <w:rFonts w:ascii="Times New Roman" w:hAnsi="Times New Roman" w:cs="Times New Roman" w:eastAsia="Times New Roman" w:hint="default"/>
        </w:rPr>
        <w:t>43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270"/>
      <w:bookmarkEnd w:id="270"/>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73"/>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78" w:right="0"/>
              <w:jc w:val="left"/>
              <w:rPr>
                <w:rFonts w:ascii="Times New Roman" w:hAnsi="Times New Roman" w:cs="Times New Roman" w:eastAsia="Times New Roman" w:hint="default"/>
                <w:sz w:val="18"/>
                <w:szCs w:val="18"/>
              </w:rPr>
            </w:pPr>
            <w:r>
              <w:rPr>
                <w:rFonts w:ascii="Times New Roman"/>
                <w:sz w:val="18"/>
              </w:rPr>
              <w:t>14,865,866.87</w:t>
            </w:r>
          </w:p>
        </w:tc>
        <w:tc>
          <w:tcPr>
            <w:tcW w:w="3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24,470,802.60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243.829987pt;width:151.25pt;height:40.9pt;mso-position-horizontal-relative:page;mso-position-vertical-relative:page;z-index:-745720" coordorigin="4467,4877" coordsize="3025,818">
            <v:group style="position:absolute;left:4478;top:4888;width:2;height:393" coordorigin="4478,4888" coordsize="2,393">
              <v:shape style="position:absolute;left:4478;top:4888;width:2;height:393" coordorigin="4478,4888" coordsize="0,393" path="m4478,4888l4478,5280e" filled="false" stroked="true" strokeweight="1.140pt" strokecolor="#ffffff">
                <v:path arrowok="t"/>
              </v:shape>
            </v:group>
            <v:group style="position:absolute;left:4490;top:4888;width:3002;height:393" coordorigin="4490,4888" coordsize="3002,393">
              <v:shape style="position:absolute;left:4490;top:4888;width:3002;height:393" coordorigin="4490,4888" coordsize="3002,393" path="m4490,5280l7491,5280,7491,4888,4490,4888,4490,5280xe" filled="true" fillcolor="#ffffff" stroked="false">
                <v:path arrowok="t"/>
                <v:fill type="solid"/>
              </v:shape>
            </v:group>
            <v:group style="position:absolute;left:4478;top:5290;width:2;height:393" coordorigin="4478,5290" coordsize="2,393">
              <v:shape style="position:absolute;left:4478;top:5290;width:2;height:393" coordorigin="4478,5290" coordsize="0,393" path="m4478,5290l4478,5682e" filled="false" stroked="true" strokeweight="1.140pt" strokecolor="#ffffff">
                <v:path arrowok="t"/>
              </v:shape>
            </v:group>
            <v:group style="position:absolute;left:4490;top:5290;width:3002;height:393" coordorigin="4490,5290" coordsize="3002,393">
              <v:shape style="position:absolute;left:4490;top:5290;width:3002;height:393" coordorigin="4490,5290" coordsize="3002,393" path="m4490,5682l7491,5682,7491,5290,4490,5290,4490,5682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1,100,931.41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168,565.81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18,957,510.54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15,147,492.92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2,615,658.68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2,286,234.08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9,301.97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22,910.10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2,680,123.54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1,646,499.99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-4,927,681.08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-60,115.07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-790,333.97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-4,794.51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-16,830.00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16,830.00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14,384,162.04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22,331,539.38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5" w:right="0"/>
              <w:jc w:val="left"/>
              <w:rPr>
                <w:rFonts w:ascii="Times New Roman" w:hAnsi="Times New Roman" w:cs="Times New Roman" w:eastAsia="Times New Roman" w:hint="default"/>
                <w:sz w:val="18"/>
                <w:szCs w:val="18"/>
              </w:rPr>
            </w:pPr>
            <w:r>
              <w:rPr>
                <w:rFonts w:ascii="Times New Roman"/>
                <w:sz w:val="18"/>
              </w:rPr>
              <w:t>-53,838,911.10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-894,518.40</w:t>
            </w:r>
            <w:r>
              <w:rPr>
                <w:rFonts w:ascii="Times New Roman"/>
                <w:sz w:val="18"/>
              </w:rPr>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-1,000,892.25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6,984,846.46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-136,602.48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-136,602.48</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-6,097,695.83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71,867,490.88</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88,830,083.95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241,554,901.65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241,554,901.65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319,563,040.39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-152,724,817.70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-78,008,138.74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现金和现金等价物的构成" w:id="271"/>
      <w:bookmarkEnd w:id="271"/>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88,830,083.95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241,554,901.65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77,344.89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88,714,393.78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241,477,556.76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88,830,083.95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241,554,901.65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4、所有权或使用权受到限制的资产" w:id="272"/>
      <w:bookmarkEnd w:id="272"/>
      <w:r>
        <w:rPr>
          <w:b w:val="0"/>
          <w:bCs w:val="0"/>
        </w:rPr>
      </w:r>
      <w:r>
        <w:rPr>
          <w:rFonts w:ascii="Times New Roman" w:hAnsi="Times New Roman" w:cs="Times New Roman" w:eastAsia="Times New Roman" w:hint="default"/>
        </w:rPr>
        <w:t>44</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80"/>
        <w:gridCol w:w="3161"/>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1,112,239.45</w:t>
            </w:r>
          </w:p>
        </w:tc>
        <w:tc>
          <w:tcPr>
            <w:tcW w:w="31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285,008.31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1,112,239.45</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5、外币货币性项目" w:id="273"/>
      <w:bookmarkEnd w:id="273"/>
      <w:r>
        <w:rPr>
          <w:b w:val="0"/>
          <w:bCs w:val="0"/>
        </w:rPr>
      </w:r>
      <w:r>
        <w:rPr>
          <w:rFonts w:ascii="Times New Roman" w:hAnsi="Times New Roman" w:cs="Times New Roman" w:eastAsia="Times New Roman" w:hint="default"/>
        </w:rPr>
        <w:t>45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274"/>
      <w:bookmarkEnd w:id="274"/>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0"/>
        <w:gridCol w:w="2390"/>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1,470,852.18</w:t>
            </w:r>
          </w:p>
        </w:tc>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9,000,144.51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56.67</w:t>
            </w:r>
          </w:p>
        </w:tc>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422.51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673.15</w:t>
            </w:r>
          </w:p>
        </w:tc>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531.03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4,820,389.02</w:t>
            </w:r>
          </w:p>
        </w:tc>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29,495,960.41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left="154" w:right="0"/>
        <w:jc w:val="left"/>
        <w:rPr>
          <w:b w:val="0"/>
          <w:bCs w:val="0"/>
        </w:rPr>
      </w:pPr>
      <w:bookmarkStart w:name="（2）境外经营实体说明，包括对于重要的境外经营实体，应披露其境外主要经营地、记账" w:id="275"/>
      <w:bookmarkEnd w:id="275"/>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spacing w:line="477" w:lineRule="auto" w:before="0"/>
        <w:ind w:left="153" w:right="6433" w:firstLine="0"/>
        <w:jc w:val="left"/>
        <w:rPr>
          <w:rFonts w:ascii="宋体" w:hAnsi="宋体" w:cs="宋体" w:eastAsia="宋体" w:hint="default"/>
          <w:sz w:val="21"/>
          <w:szCs w:val="21"/>
        </w:rPr>
      </w:pPr>
      <w:bookmarkStart w:name="八、合并范围的变更" w:id="276"/>
      <w:bookmarkEnd w:id="276"/>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九、在其他主体中的权益" w:id="277"/>
      <w:bookmarkEnd w:id="277"/>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278"/>
      <w:bookmarkEnd w:id="278"/>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92"/>
        <w:ind w:right="0"/>
        <w:jc w:val="left"/>
        <w:rPr>
          <w:b w:val="0"/>
          <w:bCs w:val="0"/>
        </w:rPr>
      </w:pPr>
      <w:bookmarkStart w:name="（1）企业集团的构成" w:id="279"/>
      <w:bookmarkEnd w:id="27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7"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一般贸易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9" w:space="0" w:color="CCE8CF"/>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商品流通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9" w:space="0" w:color="CCE8CF"/>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360" w:lineRule="auto" w:before="51"/>
        <w:ind w:left="15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57" w:lineRule="auto" w:before="44"/>
        <w:ind w:left="153" w:right="7333"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在合营安排或联营企业中的权益" w:id="280"/>
      <w:bookmarkEnd w:id="280"/>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281"/>
      <w:bookmarkEnd w:id="28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粤科租赁</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9" w:space="0" w:color="CCE8CF"/>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4"/>
        <w:spacing w:line="240" w:lineRule="auto"/>
        <w:ind w:left="154" w:right="0"/>
        <w:jc w:val="left"/>
        <w:rPr>
          <w:b w:val="0"/>
          <w:bCs w:val="0"/>
        </w:rPr>
      </w:pPr>
      <w:bookmarkStart w:name="（2）重要联营企业的主要财务信息" w:id="282"/>
      <w:bookmarkEnd w:id="282"/>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2552"/>
        <w:gridCol w:w="2744"/>
      </w:tblGrid>
      <w:tr>
        <w:trPr>
          <w:trHeight w:val="342" w:hRule="exact"/>
        </w:trPr>
        <w:tc>
          <w:tcPr>
            <w:tcW w:w="3687"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62" w:right="0"/>
              <w:jc w:val="left"/>
              <w:rPr>
                <w:rFonts w:ascii="宋体" w:hAnsi="宋体" w:cs="宋体" w:eastAsia="宋体" w:hint="default"/>
                <w:sz w:val="18"/>
                <w:szCs w:val="18"/>
              </w:rPr>
            </w:pPr>
            <w:r>
              <w:rPr>
                <w:rFonts w:ascii="宋体" w:hAnsi="宋体" w:cs="宋体" w:eastAsia="宋体" w:hint="default"/>
                <w:sz w:val="18"/>
                <w:szCs w:val="18"/>
              </w:rPr>
              <w:t>广东粤科融资租赁有限公司</w:t>
            </w:r>
          </w:p>
        </w:tc>
      </w:tr>
      <w:tr>
        <w:trPr>
          <w:trHeight w:val="342" w:hRule="exact"/>
        </w:trPr>
        <w:tc>
          <w:tcPr>
            <w:tcW w:w="3687" w:type="dxa"/>
            <w:vMerge/>
            <w:tcBorders>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9"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本年发生额</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5"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上年发生额</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319,727,927.82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149,362,084.63</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576,587,830.65</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896,315,758.47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51,256,736.30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202,916,666.67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254,173,402.97</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642,142,355.50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存在公开报价的合营企业权益投资的公允价值</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24,872,322.63</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-1,900,484.71</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7,380,785.16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22,142,355.50</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87"/>
        <w:gridCol w:w="2552"/>
        <w:gridCol w:w="2744"/>
      </w:tblGrid>
      <w:tr>
        <w:trPr>
          <w:trHeight w:val="342"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本年度收到的来自合营企业的股利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283"/>
      <w:bookmarkEnd w:id="283"/>
      <w:r>
        <w:rPr>
          <w:b w:val="0"/>
          <w:bCs w:val="0"/>
        </w:rPr>
      </w:r>
      <w:r>
        <w:rPr/>
        <w:t>十、与金融工具相关的风险</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093"/>
        <w:jc w:val="left"/>
      </w:pPr>
      <w:r>
        <w:rPr>
          <w:spacing w:val="-1"/>
        </w:rPr>
        <w:t>本公司在经营过程中面临各种金融风险：信用风险、市场风险和流动性风险。公司董事会全面负责风险管</w:t>
      </w:r>
      <w:r>
        <w:rPr>
          <w:spacing w:val="-83"/>
        </w:rPr>
        <w:t> </w:t>
      </w:r>
      <w:r>
        <w:rPr>
          <w:spacing w:val="-83"/>
        </w:rPr>
      </w:r>
      <w:r>
        <w:rPr>
          <w:spacing w:val="-1"/>
        </w:rPr>
        <w:t>理目标和政策的确定，并对风险管理目标和政策承担最终责任，但是董事会已授权本公司财务部门设计和</w:t>
      </w:r>
      <w:r>
        <w:rPr>
          <w:spacing w:val="-81"/>
        </w:rPr>
        <w:t> </w:t>
      </w:r>
      <w:r>
        <w:rPr>
          <w:spacing w:val="-81"/>
        </w:rPr>
      </w:r>
      <w:r>
        <w:rPr>
          <w:spacing w:val="-1"/>
        </w:rPr>
        <w:t>实施能确保风险管理目标和政策得以有效执行的程序。董事会通过财务经理递交的月度报告来审查已执行</w:t>
      </w:r>
      <w:r>
        <w:rPr>
          <w:spacing w:val="-80"/>
        </w:rPr>
        <w:t> </w:t>
      </w:r>
      <w:r>
        <w:rPr>
          <w:spacing w:val="-80"/>
        </w:rPr>
      </w:r>
      <w:r>
        <w:rPr/>
        <w:t>程序的有效性以及风险管理目标和政策的合理性。本公司的内部审计师也会审计风险管理的政策和程序， 并且将有关发现汇报给审计委员会。 </w:t>
      </w:r>
      <w:r>
        <w:rPr>
          <w:spacing w:val="-1"/>
        </w:rPr>
        <w:t>本公司风险管理的总体目标是在不过度影响公司竞争力和应变力的情况下，制定尽可能降低风险的风险管</w:t>
      </w:r>
      <w:r>
        <w:rPr>
          <w:spacing w:val="-81"/>
        </w:rPr>
        <w:t> </w:t>
      </w:r>
      <w:r>
        <w:rPr>
          <w:spacing w:val="-81"/>
        </w:rPr>
      </w:r>
      <w:r>
        <w:rPr/>
        <w:t>理政策。</w:t>
      </w:r>
    </w:p>
    <w:p>
      <w:pPr>
        <w:pStyle w:val="BodyText"/>
        <w:spacing w:line="268" w:lineRule="auto" w:before="17"/>
        <w:ind w:right="1117"/>
        <w:jc w:val="left"/>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一</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信用风险</w:t>
      </w:r>
      <w:r>
        <w:rPr>
          <w:rFonts w:ascii="宋体" w:hAnsi="宋体" w:cs="宋体" w:eastAsia="宋体" w:hint="default"/>
          <w:b/>
          <w:bCs/>
          <w:w w:val="99"/>
          <w:sz w:val="20"/>
          <w:szCs w:val="20"/>
        </w:rPr>
        <w:t> </w:t>
      </w:r>
      <w:r>
        <w:rPr>
          <w:spacing w:val="-1"/>
        </w:rPr>
        <w:t>信用风险是指金融工具的一方不履行义务，造成另一方发生财务损失的风险。本公司主要面临赊销导致的</w:t>
      </w:r>
      <w:r>
        <w:rPr>
          <w:spacing w:val="-81"/>
        </w:rPr>
        <w:t> </w:t>
      </w:r>
      <w:r>
        <w:rPr>
          <w:spacing w:val="-81"/>
        </w:rPr>
      </w:r>
      <w:r>
        <w:rPr>
          <w:spacing w:val="-1"/>
        </w:rPr>
        <w:t>客户信用风险。在签订新合同之前，本公司会对新客户的信用风险进行评估，包括外部信用评级和在某些</w:t>
      </w:r>
      <w:r>
        <w:rPr>
          <w:spacing w:val="-83"/>
        </w:rPr>
        <w:t> </w:t>
      </w:r>
      <w:r>
        <w:rPr>
          <w:spacing w:val="-83"/>
        </w:rPr>
      </w:r>
      <w:r>
        <w:rPr>
          <w:spacing w:val="-1"/>
        </w:rPr>
        <w:t>情况下的银行资信证明（当此信息可获取时）。公司对每一客户均设置了赊销限额，该限额为无需获得额</w:t>
      </w:r>
      <w:r>
        <w:rPr>
          <w:spacing w:val="-85"/>
        </w:rPr>
        <w:t> </w:t>
      </w:r>
      <w:r>
        <w:rPr>
          <w:spacing w:val="-85"/>
        </w:rPr>
      </w:r>
      <w:r>
        <w:rPr/>
        <w:t>外批准的最大额度。 </w:t>
      </w:r>
      <w:r>
        <w:rPr>
          <w:spacing w:val="3"/>
        </w:rPr>
        <w:t>公司通过对已有客户信用评级的季度监控以及应收账款账龄分析的月度审核来确保公司的整体信用风险</w:t>
      </w:r>
      <w:r>
        <w:rPr>
          <w:spacing w:val="-82"/>
        </w:rPr>
        <w:t> </w:t>
      </w:r>
      <w:r>
        <w:rPr>
          <w:spacing w:val="-82"/>
        </w:rPr>
      </w:r>
      <w:r>
        <w:rPr/>
        <w:t>在可控的范围内。在监控客户的信用风险时，按照客户的信用特征对其分组。被评为</w:t>
      </w:r>
      <w:r>
        <w:rPr>
          <w:rFonts w:ascii="Times New Roman" w:hAnsi="Times New Roman" w:cs="Times New Roman" w:eastAsia="Times New Roman" w:hint="default"/>
        </w:rPr>
        <w:t>“</w:t>
      </w:r>
      <w:r>
        <w:rPr/>
        <w:t>高风险</w:t>
      </w:r>
      <w:r>
        <w:rPr>
          <w:rFonts w:ascii="Times New Roman" w:hAnsi="Times New Roman" w:cs="Times New Roman" w:eastAsia="Times New Roman" w:hint="default"/>
        </w:rPr>
        <w:t>”</w:t>
      </w:r>
      <w:r>
        <w:rPr/>
        <w:t>级别的客户 </w:t>
      </w:r>
      <w:r>
        <w:rPr>
          <w:spacing w:val="-1"/>
        </w:rPr>
        <w:t>会放在受限制客户名单里，并且只有在额外批准的前提下，公司才可在未来期间内对其赊销，否则必须要</w:t>
      </w:r>
      <w:r>
        <w:rPr>
          <w:spacing w:val="-83"/>
        </w:rPr>
        <w:t> </w:t>
      </w:r>
      <w:r>
        <w:rPr>
          <w:spacing w:val="-83"/>
        </w:rPr>
      </w:r>
      <w:r>
        <w:rPr/>
        <w:t>求其提前支付相应款项。</w:t>
      </w:r>
    </w:p>
    <w:p>
      <w:pPr>
        <w:pStyle w:val="BodyText"/>
        <w:spacing w:line="264" w:lineRule="auto" w:before="21"/>
        <w:ind w:left="154" w:right="1118"/>
        <w:jc w:val="left"/>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二</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pacing w:val="35"/>
          <w:sz w:val="20"/>
          <w:szCs w:val="20"/>
        </w:rPr>
        <w:t> </w:t>
      </w:r>
      <w:r>
        <w:rPr>
          <w:rFonts w:ascii="宋体" w:hAnsi="宋体" w:cs="宋体" w:eastAsia="宋体" w:hint="default"/>
          <w:b/>
          <w:bCs/>
          <w:sz w:val="20"/>
          <w:szCs w:val="20"/>
        </w:rPr>
        <w:t>市场风险</w:t>
      </w:r>
      <w:r>
        <w:rPr>
          <w:rFonts w:ascii="宋体" w:hAnsi="宋体" w:cs="宋体" w:eastAsia="宋体" w:hint="default"/>
          <w:b/>
          <w:bCs/>
          <w:w w:val="99"/>
          <w:sz w:val="20"/>
          <w:szCs w:val="20"/>
        </w:rPr>
        <w:t> </w:t>
      </w:r>
      <w:r>
        <w:rPr>
          <w:spacing w:val="-1"/>
        </w:rPr>
        <w:t>金融工具的市场风险，是指金融工具的公允价值或未来现金流量因市场价格变动而发生波动的风险，包括</w:t>
      </w:r>
      <w:r>
        <w:rPr>
          <w:spacing w:val="-81"/>
        </w:rPr>
        <w:t> </w:t>
      </w:r>
      <w:r>
        <w:rPr>
          <w:spacing w:val="-81"/>
        </w:rPr>
      </w:r>
      <w:r>
        <w:rPr/>
        <w:t>外汇风险、利率风险和其他价格风险。（</w:t>
      </w:r>
      <w:r>
        <w:rPr>
          <w:rFonts w:ascii="Times New Roman" w:hAnsi="Times New Roman" w:cs="Times New Roman" w:eastAsia="Times New Roman" w:hint="default"/>
        </w:rPr>
        <w:t>1</w:t>
      </w:r>
      <w:r>
        <w:rPr/>
        <w:t>）利率风险 </w:t>
      </w:r>
      <w:r>
        <w:rPr>
          <w:spacing w:val="-1"/>
        </w:rPr>
        <w:t>利率风险，是指金融工具的公允价值或未来现金流量因市场利率变动而发生波动的风险。本公司面临的利</w:t>
      </w:r>
      <w:r>
        <w:rPr>
          <w:spacing w:val="-81"/>
        </w:rPr>
        <w:t> </w:t>
      </w:r>
      <w:r>
        <w:rPr>
          <w:spacing w:val="-81"/>
        </w:rPr>
      </w:r>
      <w:r>
        <w:rPr>
          <w:spacing w:val="-2"/>
        </w:rPr>
        <w:t>率风险主要来源于银行长期借款以及应付债券。公司目前的政策是固定利率借款占外部借款的</w:t>
      </w:r>
      <w:r>
        <w:rPr>
          <w:rFonts w:ascii="Times New Roman" w:hAnsi="Times New Roman" w:cs="Times New Roman" w:eastAsia="Times New Roman" w:hint="default"/>
          <w:spacing w:val="-2"/>
        </w:rPr>
        <w:t>100%</w:t>
      </w:r>
      <w:r>
        <w:rPr>
          <w:spacing w:val="-2"/>
        </w:rPr>
        <w:t>。本公</w:t>
      </w:r>
      <w:r>
        <w:rPr>
          <w:spacing w:val="-101"/>
        </w:rPr>
        <w:t> </w:t>
      </w:r>
      <w:r>
        <w:rPr>
          <w:spacing w:val="-101"/>
        </w:rPr>
      </w:r>
      <w:r>
        <w:rPr/>
        <w:t>司利率风险是可控的。</w:t>
      </w:r>
    </w:p>
    <w:p>
      <w:pPr>
        <w:pStyle w:val="BodyText"/>
        <w:spacing w:line="266" w:lineRule="auto" w:before="16"/>
        <w:ind w:left="154" w:right="0"/>
        <w:jc w:val="left"/>
      </w:pPr>
      <w:r>
        <w:rPr/>
        <w:t>（</w:t>
      </w:r>
      <w:r>
        <w:rPr>
          <w:rFonts w:ascii="Times New Roman" w:hAnsi="Times New Roman" w:cs="Times New Roman" w:eastAsia="Times New Roman" w:hint="default"/>
        </w:rPr>
        <w:t>2</w:t>
      </w:r>
      <w:r>
        <w:rPr/>
        <w:t>）外汇风险 </w:t>
      </w:r>
      <w:r>
        <w:rPr>
          <w:spacing w:val="-1"/>
        </w:rPr>
        <w:t>外汇风险，是指金融工具的公允价值或未来现金流量因外汇汇率变动而发生波动的风险。本公司尽可能将</w:t>
      </w:r>
      <w:r>
        <w:rPr>
          <w:spacing w:val="-81"/>
        </w:rPr>
        <w:t> </w:t>
      </w:r>
      <w:r>
        <w:rPr>
          <w:spacing w:val="-81"/>
        </w:rPr>
      </w:r>
      <w:r>
        <w:rPr>
          <w:spacing w:val="-1"/>
        </w:rPr>
        <w:t>外币收入与外币支出相匹配以降低外汇风险。此外，公司还可能签署远期外汇合约或货币互换合约以达到</w:t>
      </w:r>
      <w:r>
        <w:rPr>
          <w:spacing w:val="-81"/>
        </w:rPr>
        <w:t> </w:t>
      </w:r>
      <w:r>
        <w:rPr>
          <w:spacing w:val="-81"/>
        </w:rPr>
      </w:r>
      <w:r>
        <w:rPr/>
        <w:t>规避外汇风险的目的。于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日，本公司签署任何远期外汇合约尚有</w:t>
      </w:r>
      <w:r>
        <w:rPr>
          <w:rFonts w:ascii="Times New Roman" w:hAnsi="Times New Roman" w:cs="Times New Roman" w:eastAsia="Times New Roman" w:hint="default"/>
        </w:rPr>
        <w:t>5,988,000.00</w:t>
      </w:r>
      <w:r>
        <w:rPr/>
        <w:t>美元。</w:t>
      </w:r>
    </w:p>
    <w:p>
      <w:pPr>
        <w:spacing w:line="240" w:lineRule="auto" w:before="7"/>
        <w:rPr>
          <w:rFonts w:ascii="宋体" w:hAnsi="宋体" w:cs="宋体" w:eastAsia="宋体" w:hint="default"/>
          <w:sz w:val="23"/>
          <w:szCs w:val="23"/>
        </w:rPr>
      </w:pPr>
    </w:p>
    <w:p>
      <w:pPr>
        <w:pStyle w:val="BodyText"/>
        <w:spacing w:line="273" w:lineRule="auto"/>
        <w:ind w:left="871" w:right="1120"/>
        <w:jc w:val="left"/>
      </w:pPr>
      <w:r>
        <w:rPr/>
        <w:t>本公司面临的外汇风险主要来源于以美元计价的金融负债，外币金融负债折算成人民币的金额列</w:t>
      </w:r>
      <w:r>
        <w:rPr>
          <w:spacing w:val="-23"/>
        </w:rPr>
        <w:t> </w:t>
      </w:r>
      <w:r>
        <w:rPr>
          <w:spacing w:val="-23"/>
        </w:rPr>
      </w:r>
      <w:r>
        <w:rPr/>
        <w:t>示如下：</w:t>
      </w:r>
    </w:p>
    <w:tbl>
      <w:tblPr>
        <w:tblW w:w="0" w:type="auto"/>
        <w:jc w:val="left"/>
        <w:tblInd w:w="819" w:type="dxa"/>
        <w:tblLayout w:type="fixed"/>
        <w:tblCellMar>
          <w:top w:w="0" w:type="dxa"/>
          <w:left w:w="0" w:type="dxa"/>
          <w:bottom w:w="0" w:type="dxa"/>
          <w:right w:w="0" w:type="dxa"/>
        </w:tblCellMar>
        <w:tblLook w:val="01E0"/>
      </w:tblPr>
      <w:tblGrid>
        <w:gridCol w:w="1883"/>
        <w:gridCol w:w="1844"/>
        <w:gridCol w:w="1416"/>
        <w:gridCol w:w="1466"/>
        <w:gridCol w:w="1174"/>
        <w:gridCol w:w="102"/>
      </w:tblGrid>
      <w:tr>
        <w:trPr>
          <w:trHeight w:val="342" w:hRule="exact"/>
        </w:trPr>
        <w:tc>
          <w:tcPr>
            <w:tcW w:w="1883"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7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883"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2" w:type="dxa"/>
            <w:tcBorders>
              <w:top w:val="single" w:sz="4" w:space="0" w:color="000000"/>
              <w:left w:val="single" w:sz="4" w:space="0" w:color="000000"/>
              <w:bottom w:val="nil" w:sz="6" w:space="0" w:color="auto"/>
              <w:right w:val="nil" w:sz="6" w:space="0" w:color="auto"/>
            </w:tcBorders>
          </w:tcPr>
          <w:p>
            <w:pPr/>
          </w:p>
        </w:tc>
      </w:tr>
      <w:tr>
        <w:trPr>
          <w:trHeight w:val="342"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远期外汇合约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37,552,086.40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37,552,086.40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02" w:type="dxa"/>
            <w:tcBorders>
              <w:top w:val="nil" w:sz="6" w:space="0" w:color="auto"/>
              <w:left w:val="single" w:sz="4" w:space="0" w:color="000000"/>
              <w:bottom w:val="nil" w:sz="6" w:space="0" w:color="auto"/>
              <w:right w:val="nil" w:sz="6" w:space="0" w:color="auto"/>
            </w:tcBorders>
          </w:tcPr>
          <w:p>
            <w:pPr/>
          </w:p>
        </w:tc>
      </w:tr>
      <w:tr>
        <w:trPr>
          <w:trHeight w:val="342" w:hRule="exact"/>
        </w:trPr>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37,552,086.40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37,552,086.40</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02" w:type="dxa"/>
            <w:tcBorders>
              <w:top w:val="nil" w:sz="6" w:space="0" w:color="auto"/>
              <w:left w:val="single" w:sz="4" w:space="0" w:color="000000"/>
              <w:bottom w:val="nil" w:sz="6" w:space="0" w:color="auto"/>
              <w:right w:val="nil" w:sz="6" w:space="0" w:color="auto"/>
            </w:tcBorders>
          </w:tcPr>
          <w:p>
            <w:pPr/>
          </w:p>
        </w:tc>
      </w:tr>
    </w:tbl>
    <w:p>
      <w:pPr>
        <w:spacing w:line="240" w:lineRule="auto" w:before="10"/>
        <w:rPr>
          <w:rFonts w:ascii="宋体" w:hAnsi="宋体" w:cs="宋体" w:eastAsia="宋体" w:hint="default"/>
          <w:sz w:val="21"/>
          <w:szCs w:val="21"/>
        </w:rPr>
      </w:pPr>
    </w:p>
    <w:p>
      <w:pPr>
        <w:pStyle w:val="BodyText"/>
        <w:spacing w:line="256" w:lineRule="auto" w:before="35"/>
        <w:ind w:right="1125"/>
        <w:jc w:val="left"/>
      </w:pPr>
      <w:r>
        <w:rPr>
          <w:spacing w:val="-2"/>
        </w:rPr>
        <w:t>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日，在所有其他变量保持不变的情况下，如果人民币对美元升值或贬值</w:t>
      </w:r>
      <w:r>
        <w:rPr>
          <w:rFonts w:ascii="Times New Roman" w:hAnsi="Times New Roman" w:cs="Times New Roman" w:eastAsia="Times New Roman" w:hint="default"/>
          <w:spacing w:val="-2"/>
        </w:rPr>
        <w:t>2%</w:t>
      </w:r>
      <w:r>
        <w:rPr>
          <w:spacing w:val="-2"/>
        </w:rPr>
        <w:t>，则公司将增加</w:t>
      </w:r>
      <w:r>
        <w:rPr>
          <w:spacing w:val="-102"/>
        </w:rPr>
        <w:t> </w:t>
      </w:r>
      <w:r>
        <w:rPr>
          <w:spacing w:val="-102"/>
        </w:rPr>
      </w:r>
      <w:r>
        <w:rPr/>
        <w:t>或减少净利润</w:t>
      </w:r>
      <w:r>
        <w:rPr>
          <w:rFonts w:ascii="Times New Roman" w:hAnsi="Times New Roman" w:cs="Times New Roman" w:eastAsia="Times New Roman" w:hint="default"/>
        </w:rPr>
        <w:t>751,041.73</w:t>
      </w:r>
      <w:r>
        <w:rPr/>
        <w:t>元。管理层认为</w:t>
      </w:r>
      <w:r>
        <w:rPr>
          <w:rFonts w:ascii="Times New Roman" w:hAnsi="Times New Roman" w:cs="Times New Roman" w:eastAsia="Times New Roman" w:hint="default"/>
        </w:rPr>
        <w:t>2%</w:t>
      </w:r>
      <w:r>
        <w:rPr/>
        <w:t>合理反映了下一年度人民币对美元可能发生变动的合理范围。</w:t>
      </w:r>
    </w:p>
    <w:p>
      <w:pPr>
        <w:pStyle w:val="BodyText"/>
        <w:spacing w:line="256" w:lineRule="auto" w:before="5"/>
        <w:ind w:left="154" w:right="1512"/>
        <w:jc w:val="left"/>
      </w:pPr>
      <w:r>
        <w:rPr/>
        <w:t>（</w:t>
      </w:r>
      <w:r>
        <w:rPr>
          <w:rFonts w:ascii="Times New Roman" w:hAnsi="Times New Roman" w:cs="Times New Roman" w:eastAsia="Times New Roman" w:hint="default"/>
        </w:rPr>
        <w:t>3</w:t>
      </w:r>
      <w:r>
        <w:rPr/>
        <w:t>）其他价格风险 本公司持有其他上市公司的权益投资，管理层认为这些投资活动面临的市场价格风险是可以接受的。</w:t>
      </w:r>
    </w:p>
    <w:p>
      <w:pPr>
        <w:spacing w:after="0" w:line="25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35"/>
        <w:ind w:left="871" w:right="0"/>
        <w:jc w:val="left"/>
      </w:pPr>
      <w:r>
        <w:rPr/>
        <w:t>本公司持有的权益投资列示如下：</w:t>
      </w:r>
    </w:p>
    <w:p>
      <w:pPr>
        <w:spacing w:line="240" w:lineRule="auto" w:before="13"/>
        <w:rPr>
          <w:rFonts w:ascii="宋体" w:hAnsi="宋体" w:cs="宋体" w:eastAsia="宋体"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4871"/>
        <w:gridCol w:w="1466"/>
        <w:gridCol w:w="1464"/>
      </w:tblGrid>
      <w:tr>
        <w:trPr>
          <w:trHeight w:val="342" w:hRule="exact"/>
        </w:trPr>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7"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112,200.00</w:t>
            </w:r>
          </w:p>
        </w:tc>
      </w:tr>
      <w:tr>
        <w:trPr>
          <w:trHeight w:val="342" w:hRule="exact"/>
        </w:trPr>
        <w:tc>
          <w:tcPr>
            <w:tcW w:w="4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112,200.00</w:t>
            </w:r>
          </w:p>
        </w:tc>
      </w:tr>
    </w:tbl>
    <w:p>
      <w:pPr>
        <w:spacing w:line="240" w:lineRule="auto" w:before="6"/>
        <w:rPr>
          <w:rFonts w:ascii="宋体" w:hAnsi="宋体" w:cs="宋体" w:eastAsia="宋体" w:hint="default"/>
          <w:sz w:val="20"/>
          <w:szCs w:val="20"/>
        </w:rPr>
      </w:pPr>
    </w:p>
    <w:p>
      <w:pPr>
        <w:pStyle w:val="BodyText"/>
        <w:spacing w:line="266" w:lineRule="auto" w:before="38"/>
        <w:ind w:right="0"/>
        <w:jc w:val="left"/>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三</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b/>
          <w:bCs/>
          <w:spacing w:val="35"/>
          <w:sz w:val="20"/>
          <w:szCs w:val="20"/>
        </w:rPr>
        <w:t> </w:t>
      </w:r>
      <w:r>
        <w:rPr>
          <w:rFonts w:ascii="宋体" w:hAnsi="宋体" w:cs="宋体" w:eastAsia="宋体" w:hint="default"/>
          <w:b/>
          <w:bCs/>
          <w:sz w:val="20"/>
          <w:szCs w:val="20"/>
        </w:rPr>
        <w:t>流动性风险</w:t>
      </w:r>
      <w:r>
        <w:rPr>
          <w:rFonts w:ascii="宋体" w:hAnsi="宋体" w:cs="宋体" w:eastAsia="宋体" w:hint="default"/>
          <w:b/>
          <w:bCs/>
          <w:w w:val="99"/>
          <w:sz w:val="20"/>
          <w:szCs w:val="20"/>
        </w:rPr>
        <w:t> </w:t>
      </w:r>
      <w:r>
        <w:rPr>
          <w:spacing w:val="-1"/>
        </w:rPr>
        <w:t>流动风险，是指企业在履行以交付现金或其他金融资产的方式结算的义务时发生资金短缺的风险。本公司</w:t>
      </w:r>
      <w:r>
        <w:rPr>
          <w:spacing w:val="-81"/>
        </w:rPr>
        <w:t> </w:t>
      </w:r>
      <w:r>
        <w:rPr>
          <w:spacing w:val="-81"/>
        </w:rPr>
      </w:r>
      <w:r>
        <w:rPr>
          <w:spacing w:val="-1"/>
        </w:rPr>
        <w:t>的政策是确保拥有充足的现金以偿还到期债务。流动性风险由本公司的财务部门集中控制。财务部门通过</w:t>
      </w:r>
      <w:r>
        <w:rPr>
          <w:spacing w:val="-80"/>
        </w:rPr>
        <w:t> </w:t>
      </w:r>
      <w:r>
        <w:rPr>
          <w:spacing w:val="-80"/>
        </w:rPr>
      </w:r>
      <w:r>
        <w:rPr>
          <w:spacing w:val="-1"/>
        </w:rPr>
        <w:t>监控现金余额、可随时变现的有价证券以及对未来</w:t>
      </w:r>
      <w:r>
        <w:rPr>
          <w:rFonts w:ascii="Times New Roman" w:hAnsi="Times New Roman" w:cs="Times New Roman" w:eastAsia="Times New Roman" w:hint="default"/>
          <w:spacing w:val="-1"/>
        </w:rPr>
        <w:t>12</w:t>
      </w:r>
      <w:r>
        <w:rPr>
          <w:spacing w:val="-1"/>
        </w:rPr>
        <w:t>个月现金流量的滚动预测，确保公司在所有合理预测</w:t>
      </w:r>
      <w:r>
        <w:rPr>
          <w:spacing w:val="-82"/>
        </w:rPr>
        <w:t> </w:t>
      </w:r>
      <w:r>
        <w:rPr>
          <w:spacing w:val="-82"/>
        </w:rPr>
      </w:r>
      <w:r>
        <w:rPr/>
        <w:t>的情况下拥有充足的资金偿还债务。</w:t>
      </w:r>
    </w:p>
    <w:p>
      <w:pPr>
        <w:spacing w:line="240" w:lineRule="auto" w:before="12"/>
        <w:rPr>
          <w:rFonts w:ascii="宋体" w:hAnsi="宋体" w:cs="宋体" w:eastAsia="宋体" w:hint="default"/>
          <w:sz w:val="24"/>
          <w:szCs w:val="24"/>
        </w:rPr>
      </w:pPr>
    </w:p>
    <w:p>
      <w:pPr>
        <w:pStyle w:val="Heading4"/>
        <w:spacing w:line="240" w:lineRule="auto"/>
        <w:ind w:left="874" w:right="0"/>
        <w:jc w:val="left"/>
        <w:rPr>
          <w:b w:val="0"/>
          <w:bCs w:val="0"/>
        </w:rPr>
      </w:pPr>
      <w:r>
        <w:rPr/>
        <w:t>本公司各项金融负债以未折现的合同现金流量按到期日列示如下：</w:t>
      </w:r>
      <w:r>
        <w:rPr>
          <w:b w:val="0"/>
          <w:bCs w:val="0"/>
        </w:rPr>
      </w:r>
    </w:p>
    <w:p>
      <w:pPr>
        <w:spacing w:line="240" w:lineRule="auto" w:before="13"/>
        <w:rPr>
          <w:rFonts w:ascii="宋体" w:hAnsi="宋体" w:cs="宋体" w:eastAsia="宋体" w:hint="default"/>
          <w:b/>
          <w:bCs/>
          <w:sz w:val="3"/>
          <w:szCs w:val="3"/>
        </w:rPr>
      </w:pPr>
    </w:p>
    <w:tbl>
      <w:tblPr>
        <w:tblW w:w="0" w:type="auto"/>
        <w:jc w:val="left"/>
        <w:tblInd w:w="819" w:type="dxa"/>
        <w:tblLayout w:type="fixed"/>
        <w:tblCellMar>
          <w:top w:w="0" w:type="dxa"/>
          <w:left w:w="0" w:type="dxa"/>
          <w:bottom w:w="0" w:type="dxa"/>
          <w:right w:w="0" w:type="dxa"/>
        </w:tblCellMar>
        <w:tblLook w:val="01E0"/>
      </w:tblPr>
      <w:tblGrid>
        <w:gridCol w:w="1194"/>
        <w:gridCol w:w="1338"/>
        <w:gridCol w:w="1556"/>
        <w:gridCol w:w="1244"/>
        <w:gridCol w:w="776"/>
        <w:gridCol w:w="1245"/>
        <w:gridCol w:w="1334"/>
      </w:tblGrid>
      <w:tr>
        <w:trPr>
          <w:trHeight w:val="342" w:hRule="exact"/>
        </w:trPr>
        <w:tc>
          <w:tcPr>
            <w:tcW w:w="1194" w:type="dxa"/>
            <w:vMerge w:val="restart"/>
            <w:tcBorders>
              <w:top w:val="single" w:sz="4" w:space="0" w:color="000000"/>
              <w:left w:val="single" w:sz="4" w:space="0" w:color="000000"/>
              <w:right w:val="single" w:sz="4"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49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1194" w:type="dxa"/>
            <w:vMerge/>
            <w:tcBorders>
              <w:left w:val="single" w:sz="4" w:space="0" w:color="000000"/>
              <w:bottom w:val="single" w:sz="4" w:space="0" w:color="000000"/>
              <w:right w:val="single" w:sz="4" w:space="0" w:color="000000"/>
            </w:tcBorders>
          </w:tcPr>
          <w:p>
            <w:pP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个月内</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个月</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12,594,689.46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12,989,604.28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5,125,100.00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3,859,302.00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29,443,595.74</w:t>
            </w:r>
          </w:p>
        </w:tc>
      </w:tr>
      <w:tr>
        <w:trPr>
          <w:trHeight w:val="342"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75,130.48</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75,130.48</w:t>
            </w:r>
          </w:p>
        </w:tc>
      </w:tr>
      <w:tr>
        <w:trPr>
          <w:trHeight w:val="343"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12,669,819.94</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12,989,604.28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5,125,100.00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3,859,302.00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29,518,726.22</w:t>
            </w:r>
          </w:p>
        </w:tc>
      </w:tr>
    </w:tbl>
    <w:p>
      <w:pPr>
        <w:spacing w:line="240" w:lineRule="auto" w:before="11"/>
        <w:rPr>
          <w:rFonts w:ascii="宋体" w:hAnsi="宋体" w:cs="宋体" w:eastAsia="宋体" w:hint="default"/>
          <w:b/>
          <w:bCs/>
          <w:sz w:val="23"/>
          <w:szCs w:val="23"/>
        </w:rPr>
      </w:pPr>
    </w:p>
    <w:tbl>
      <w:tblPr>
        <w:tblW w:w="0" w:type="auto"/>
        <w:jc w:val="left"/>
        <w:tblInd w:w="819" w:type="dxa"/>
        <w:tblLayout w:type="fixed"/>
        <w:tblCellMar>
          <w:top w:w="0" w:type="dxa"/>
          <w:left w:w="0" w:type="dxa"/>
          <w:bottom w:w="0" w:type="dxa"/>
          <w:right w:w="0" w:type="dxa"/>
        </w:tblCellMar>
        <w:tblLook w:val="01E0"/>
      </w:tblPr>
      <w:tblGrid>
        <w:gridCol w:w="1174"/>
        <w:gridCol w:w="1276"/>
        <w:gridCol w:w="1277"/>
        <w:gridCol w:w="991"/>
        <w:gridCol w:w="1277"/>
        <w:gridCol w:w="1275"/>
        <w:gridCol w:w="1418"/>
      </w:tblGrid>
      <w:tr>
        <w:trPr>
          <w:trHeight w:val="342" w:hRule="exact"/>
        </w:trPr>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20"/>
              <w:ind w:left="33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5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117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个月内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个月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8,215,421.47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5,125,358.00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3,859,302.00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3,859,302.00</w:t>
            </w:r>
          </w:p>
        </w:tc>
      </w:tr>
      <w:tr>
        <w:trPr>
          <w:trHeight w:val="3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36,000.64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0"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8,251,422.11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5,125,358.00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3,859,302.00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3,859,302.00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十一、公允价值的披露" w:id="284"/>
      <w:bookmarkEnd w:id="28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285"/>
      <w:bookmarkEnd w:id="28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728,166.40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728,166.40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728,166.40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728,166.40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728,166.40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728,166.40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65"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非持续以公允价值计量</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728,166.40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728,166.40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36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的负债总额</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11" w:lineRule="auto" w:before="35"/>
        <w:ind w:left="154" w:right="3192" w:firstLine="0"/>
        <w:jc w:val="left"/>
        <w:rPr>
          <w:rFonts w:ascii="宋体" w:hAnsi="宋体" w:cs="宋体" w:eastAsia="宋体" w:hint="default"/>
          <w:sz w:val="24"/>
          <w:szCs w:val="24"/>
        </w:rPr>
      </w:pPr>
      <w:bookmarkStart w:name="2、持续和非持续第一层次公允价值计量项目市价的确定依据" w:id="286"/>
      <w:bookmarkEnd w:id="28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衍生金融负债的市场价格确定依据为到期日公开市场美元汇率与约定汇率的差额。 </w:t>
      </w:r>
      <w:bookmarkStart w:name="十二、关联方及关联交易" w:id="287"/>
      <w:bookmarkEnd w:id="287"/>
      <w:r>
        <w:rPr>
          <w:rFonts w:ascii="宋体" w:hAnsi="宋体" w:cs="宋体" w:eastAsia="宋体" w:hint="default"/>
          <w:sz w:val="21"/>
          <w:szCs w:val="21"/>
        </w:rPr>
      </w:r>
      <w:r>
        <w:rPr>
          <w:rFonts w:ascii="宋体" w:hAnsi="宋体" w:cs="宋体" w:eastAsia="宋体" w:hint="default"/>
          <w:b/>
          <w:bCs/>
          <w:sz w:val="24"/>
          <w:szCs w:val="24"/>
        </w:rPr>
        <w:t>十二、关联方及关联交易</w:t>
      </w:r>
      <w:r>
        <w:rPr>
          <w:rFonts w:ascii="宋体" w:hAnsi="宋体" w:cs="宋体" w:eastAsia="宋体" w:hint="default"/>
          <w:sz w:val="24"/>
          <w:szCs w:val="24"/>
        </w:rPr>
      </w:r>
    </w:p>
    <w:p>
      <w:pPr>
        <w:pStyle w:val="Heading4"/>
        <w:spacing w:line="240" w:lineRule="auto" w:before="51"/>
        <w:ind w:left="154" w:right="0"/>
        <w:jc w:val="left"/>
        <w:rPr>
          <w:b w:val="0"/>
          <w:bCs w:val="0"/>
        </w:rPr>
      </w:pPr>
      <w:bookmarkStart w:name="1、本企业的母公司情况" w:id="288"/>
      <w:bookmarkEnd w:id="288"/>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59.79%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59.79%</w:t>
            </w:r>
          </w:p>
        </w:tc>
      </w:tr>
    </w:tbl>
    <w:p>
      <w:pPr>
        <w:spacing w:line="360" w:lineRule="auto" w:before="51"/>
        <w:ind w:left="153" w:right="8413"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本企业的子公司情况" w:id="289"/>
      <w:bookmarkEnd w:id="289"/>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290"/>
      <w:bookmarkEnd w:id="290"/>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2293"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291"/>
      <w:bookmarkEnd w:id="29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林伟章</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 、实际控制人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黄仕群</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董事、总经理、实际控制人</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292"/>
      <w:bookmarkEnd w:id="29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关联担保情况" w:id="293"/>
      <w:bookmarkEnd w:id="293"/>
      <w:r>
        <w:rPr>
          <w:b w:val="0"/>
          <w:bCs w:val="0"/>
        </w:rPr>
      </w:r>
      <w:r>
        <w:rPr/>
        <w:t>（</w:t>
      </w:r>
      <w:r>
        <w:rPr>
          <w:rFonts w:ascii="Times New Roman" w:hAnsi="Times New Roman" w:cs="Times New Roman" w:eastAsia="Times New Roman" w:hint="default"/>
        </w:rPr>
        <w:t>1</w:t>
      </w:r>
      <w:r>
        <w:rPr/>
        <w:t>）关联担保情况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群兴投资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群兴投资、林伟章、黄 仕群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89"/>
        <w:ind w:left="154"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日，群兴投资为本公司取得交通银行汕头澄海支行</w:t>
      </w:r>
      <w:r>
        <w:rPr>
          <w:rFonts w:ascii="Times New Roman" w:hAnsi="Times New Roman" w:cs="Times New Roman" w:eastAsia="Times New Roman" w:hint="default"/>
        </w:rPr>
        <w:t>10,000</w:t>
      </w:r>
      <w:r>
        <w:rPr/>
        <w:t>万元的综合授信提供保证担保。截止</w:t>
      </w:r>
    </w:p>
    <w:p>
      <w:pPr>
        <w:pStyle w:val="BodyText"/>
        <w:spacing w:line="240" w:lineRule="auto" w:before="21"/>
        <w:ind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日，该担保借款余额</w:t>
      </w:r>
      <w:r>
        <w:rPr>
          <w:rFonts w:ascii="Times New Roman" w:hAnsi="Times New Roman" w:cs="Times New Roman" w:eastAsia="Times New Roman" w:hint="default"/>
        </w:rPr>
        <w:t>2400</w:t>
      </w:r>
      <w:r>
        <w:rPr/>
        <w:t>万元。</w:t>
      </w:r>
    </w:p>
    <w:p>
      <w:pPr>
        <w:pStyle w:val="BodyText"/>
        <w:spacing w:line="256" w:lineRule="auto" w:before="21"/>
        <w:ind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日，群兴投资、林伟章、黄仕群为本公司取得建设银行汕头澄海支行</w:t>
      </w:r>
      <w:r>
        <w:rPr>
          <w:rFonts w:ascii="Times New Roman" w:hAnsi="Times New Roman" w:cs="Times New Roman" w:eastAsia="Times New Roman" w:hint="default"/>
          <w:spacing w:val="-2"/>
        </w:rPr>
        <w:t>3,500</w:t>
      </w:r>
      <w:r>
        <w:rPr>
          <w:spacing w:val="-2"/>
        </w:rPr>
        <w:t>万元的综合授信提</w:t>
      </w:r>
      <w:r>
        <w:rPr>
          <w:spacing w:val="-82"/>
        </w:rPr>
        <w:t> </w:t>
      </w:r>
      <w:r>
        <w:rPr>
          <w:spacing w:val="-82"/>
        </w:rPr>
      </w:r>
      <w:r>
        <w:rPr/>
        <w:t>供保证担保。截止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该担保借款余额</w:t>
      </w:r>
      <w:r>
        <w:rPr>
          <w:rFonts w:ascii="Times New Roman" w:hAnsi="Times New Roman" w:cs="Times New Roman" w:eastAsia="Times New Roman" w:hint="default"/>
        </w:rPr>
        <w:t>2000</w:t>
      </w:r>
      <w:r>
        <w:rPr/>
        <w:t>万元。</w:t>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bookmarkStart w:name="（2）关键管理人员报酬" w:id="294"/>
      <w:bookmarkEnd w:id="294"/>
      <w:r>
        <w:rPr>
          <w:b w:val="0"/>
          <w:bCs w:val="0"/>
        </w:rPr>
      </w:r>
      <w:r>
        <w:rPr/>
        <w:t>（</w:t>
      </w:r>
      <w:r>
        <w:rPr>
          <w:rFonts w:ascii="Times New Roman" w:hAnsi="Times New Roman" w:cs="Times New Roman" w:eastAsia="Times New Roman" w:hint="default"/>
        </w:rPr>
        <w:t>2</w:t>
      </w:r>
      <w:r>
        <w:rPr/>
        <w:t>）关键管理人员报酬</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承诺及或有事项" w:id="295"/>
      <w:bookmarkEnd w:id="295"/>
      <w:r>
        <w:rPr>
          <w:b w:val="0"/>
          <w:bCs w:val="0"/>
        </w:rPr>
      </w:r>
      <w:r>
        <w:rPr/>
        <w:t>十三、承诺及或有事项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296"/>
      <w:bookmarkEnd w:id="29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4"/>
        <w:spacing w:line="240" w:lineRule="auto" w:before="90"/>
        <w:ind w:left="871" w:right="0"/>
        <w:jc w:val="left"/>
        <w:rPr>
          <w:b w:val="0"/>
          <w:bCs w:val="0"/>
        </w:rPr>
      </w:pPr>
      <w:r>
        <w:rPr/>
        <w:t>已签订的正在或准备履行的大额合同</w:t>
      </w:r>
      <w:r>
        <w:rPr>
          <w:b w:val="0"/>
          <w:bCs w:val="0"/>
        </w:rPr>
      </w:r>
    </w:p>
    <w:p>
      <w:pPr>
        <w:spacing w:line="240" w:lineRule="auto" w:before="13"/>
        <w:rPr>
          <w:rFonts w:ascii="宋体" w:hAnsi="宋体" w:cs="宋体" w:eastAsia="宋体" w:hint="default"/>
          <w:b/>
          <w:bCs/>
          <w:sz w:val="3"/>
          <w:szCs w:val="3"/>
        </w:rPr>
      </w:pPr>
    </w:p>
    <w:tbl>
      <w:tblPr>
        <w:tblW w:w="0" w:type="auto"/>
        <w:jc w:val="left"/>
        <w:tblInd w:w="146" w:type="dxa"/>
        <w:tblLayout w:type="fixed"/>
        <w:tblCellMar>
          <w:top w:w="0" w:type="dxa"/>
          <w:left w:w="0" w:type="dxa"/>
          <w:bottom w:w="0" w:type="dxa"/>
          <w:right w:w="0" w:type="dxa"/>
        </w:tblCellMar>
        <w:tblLook w:val="01E0"/>
      </w:tblPr>
      <w:tblGrid>
        <w:gridCol w:w="3196"/>
        <w:gridCol w:w="1341"/>
        <w:gridCol w:w="1418"/>
        <w:gridCol w:w="1418"/>
        <w:gridCol w:w="1560"/>
      </w:tblGrid>
      <w:tr>
        <w:trPr>
          <w:trHeight w:val="355" w:hRule="exact"/>
        </w:trPr>
        <w:tc>
          <w:tcPr>
            <w:tcW w:w="3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签订单位</w:t>
            </w:r>
          </w:p>
        </w:tc>
        <w:tc>
          <w:tcPr>
            <w:tcW w:w="13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02"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已付金额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未付金额</w:t>
            </w:r>
          </w:p>
        </w:tc>
        <w:tc>
          <w:tcPr>
            <w:tcW w:w="15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宋体" w:hAnsi="宋体" w:cs="宋体" w:eastAsia="宋体" w:hint="default"/>
                <w:sz w:val="18"/>
                <w:szCs w:val="18"/>
              </w:rPr>
              <w:t>性质</w:t>
            </w:r>
          </w:p>
        </w:tc>
      </w:tr>
      <w:tr>
        <w:trPr>
          <w:trHeight w:val="352" w:hRule="exact"/>
        </w:trPr>
        <w:tc>
          <w:tcPr>
            <w:tcW w:w="3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汕头市澄海区港口建筑工程有限公司</w:t>
            </w:r>
          </w:p>
        </w:tc>
        <w:tc>
          <w:tcPr>
            <w:tcW w:w="13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183,421,264.60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169,081,488.32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14,339,776.28</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工程款</w:t>
            </w:r>
          </w:p>
        </w:tc>
      </w:tr>
      <w:tr>
        <w:trPr>
          <w:trHeight w:val="352" w:hRule="exact"/>
        </w:trPr>
        <w:tc>
          <w:tcPr>
            <w:tcW w:w="3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浙江中南集团卡通影视有限公司</w:t>
            </w:r>
          </w:p>
        </w:tc>
        <w:tc>
          <w:tcPr>
            <w:tcW w:w="13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500,000.00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著作权使用许可费</w:t>
            </w:r>
          </w:p>
        </w:tc>
      </w:tr>
      <w:tr>
        <w:trPr>
          <w:trHeight w:val="665" w:hRule="exact"/>
        </w:trPr>
        <w:tc>
          <w:tcPr>
            <w:tcW w:w="3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浙江中南集团卡通影视有限公司</w:t>
            </w:r>
          </w:p>
        </w:tc>
        <w:tc>
          <w:tcPr>
            <w:tcW w:w="13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2,500,000.00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2,400,000.00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100,000.00</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2" w:right="108"/>
              <w:jc w:val="left"/>
              <w:rPr>
                <w:rFonts w:ascii="宋体" w:hAnsi="宋体" w:cs="宋体" w:eastAsia="宋体" w:hint="default"/>
                <w:sz w:val="18"/>
                <w:szCs w:val="18"/>
              </w:rPr>
            </w:pPr>
            <w:r>
              <w:rPr>
                <w:rFonts w:ascii="宋体" w:hAnsi="宋体" w:cs="宋体" w:eastAsia="宋体" w:hint="default"/>
                <w:sz w:val="18"/>
                <w:szCs w:val="18"/>
              </w:rPr>
              <w:t>知识产权使用许可 费</w:t>
            </w:r>
          </w:p>
        </w:tc>
      </w:tr>
      <w:tr>
        <w:trPr>
          <w:trHeight w:val="352" w:hRule="exact"/>
        </w:trPr>
        <w:tc>
          <w:tcPr>
            <w:tcW w:w="31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189,921,264.60</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174,981,488.32</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14,939,776.28</w:t>
            </w:r>
          </w:p>
        </w:tc>
        <w:tc>
          <w:tcPr>
            <w:tcW w:w="15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54" w:right="0"/>
        <w:jc w:val="left"/>
        <w:rPr>
          <w:b w:val="0"/>
          <w:bCs w:val="0"/>
        </w:rPr>
      </w:pPr>
      <w:bookmarkStart w:name="十四、资产负债表日后事项" w:id="297"/>
      <w:bookmarkEnd w:id="297"/>
      <w:r>
        <w:rPr>
          <w:b w:val="0"/>
          <w:bCs w:val="0"/>
        </w:rPr>
      </w:r>
      <w:r>
        <w:rPr/>
        <w:t>十四、资产负债表日后事项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 重大对外投资事项" w:id="298"/>
      <w:bookmarkEnd w:id="298"/>
      <w:r>
        <w:rPr>
          <w:b w:val="0"/>
          <w:bCs w:val="0"/>
        </w:rPr>
      </w:r>
      <w:r>
        <w:rPr>
          <w:rFonts w:ascii="Times New Roman" w:hAnsi="Times New Roman" w:cs="Times New Roman" w:eastAsia="Times New Roman" w:hint="default"/>
        </w:rPr>
        <w:t>1</w:t>
      </w:r>
      <w:r>
        <w:rPr/>
        <w:t>、</w:t>
      </w:r>
      <w:r>
        <w:rPr>
          <w:spacing w:val="-4"/>
        </w:rPr>
        <w:t> </w:t>
      </w:r>
      <w:r>
        <w:rPr/>
        <w:t>重大对外投资事项</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5</w:t>
      </w:r>
      <w:r>
        <w:rPr>
          <w:spacing w:val="-1"/>
        </w:rPr>
        <w:t>日，经中国证监会上市公司并购重组审核委员会</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12</w:t>
      </w:r>
      <w:r>
        <w:rPr>
          <w:spacing w:val="-1"/>
        </w:rPr>
        <w:t>次工作会议审核，本公司发行股份</w:t>
      </w:r>
      <w:r>
        <w:rPr>
          <w:spacing w:val="-80"/>
        </w:rPr>
        <w:t> </w:t>
      </w:r>
      <w:r>
        <w:rPr>
          <w:spacing w:val="-80"/>
        </w:rPr>
      </w:r>
      <w:r>
        <w:rPr/>
        <w:t>及支付现金购买资产并募集配套资金事项未获得通过。</w:t>
      </w:r>
    </w:p>
    <w:p>
      <w:pPr>
        <w:spacing w:after="0" w:line="25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利润分配情况" w:id="299"/>
      <w:bookmarkEnd w:id="29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26,760,000.00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五、母公司财务报表主要项目注释" w:id="300"/>
      <w:bookmarkEnd w:id="300"/>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01"/>
      <w:bookmarkEnd w:id="30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02"/>
      <w:bookmarkEnd w:id="30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133,210,</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566.27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2,664,21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130,546,3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80,261,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013.56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1,613,969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78,647,043.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133,210,</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566.27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2,664,21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2.00%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130,546,3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54.94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80,261,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013.56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1,613,969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78,647,043.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133,210,566.27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2,664,211.33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133,210,566.27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2,664,211.33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133,210,566.27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2,664,211.33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本期实际核销的应收账款情况" w:id="303"/>
      <w:bookmarkEnd w:id="303"/>
      <w:r>
        <w:rPr>
          <w:b w:val="0"/>
          <w:bCs w:val="0"/>
        </w:rPr>
      </w:r>
      <w:r>
        <w:rPr/>
        <w:t>（</w:t>
      </w:r>
      <w:r>
        <w:rPr>
          <w:rFonts w:ascii="Times New Roman" w:hAnsi="Times New Roman" w:cs="Times New Roman" w:eastAsia="Times New Roman" w:hint="default"/>
        </w:rPr>
        <w:t>2</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97"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9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47,894.41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按欠款方归集的期末余额前五吊的应收账款情况" w:id="304"/>
      <w:bookmarkEnd w:id="304"/>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51" w:type="dxa"/>
        <w:tblLayout w:type="fixed"/>
        <w:tblCellMar>
          <w:top w:w="0" w:type="dxa"/>
          <w:left w:w="0" w:type="dxa"/>
          <w:bottom w:w="0" w:type="dxa"/>
          <w:right w:w="0" w:type="dxa"/>
        </w:tblCellMar>
        <w:tblLook w:val="01E0"/>
      </w:tblPr>
      <w:tblGrid>
        <w:gridCol w:w="3084"/>
        <w:gridCol w:w="1418"/>
        <w:gridCol w:w="1590"/>
        <w:gridCol w:w="1678"/>
      </w:tblGrid>
      <w:tr>
        <w:trPr>
          <w:trHeight w:val="342" w:hRule="exact"/>
        </w:trPr>
        <w:tc>
          <w:tcPr>
            <w:tcW w:w="3084"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654" w:hRule="exact"/>
        </w:trPr>
        <w:tc>
          <w:tcPr>
            <w:tcW w:w="3084"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85" w:right="68" w:hanging="31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汕头市澄海区艳阳春贸易有限公司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24,027,696.46</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18.04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480,553.93</w:t>
            </w:r>
          </w:p>
        </w:tc>
      </w:tr>
      <w:tr>
        <w:trPr>
          <w:trHeight w:val="3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汕头市迪华贸易有限公司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18,365,936.94</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13.79</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367,318.74</w:t>
            </w:r>
          </w:p>
        </w:tc>
      </w:tr>
      <w:tr>
        <w:trPr>
          <w:trHeight w:val="3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汕头市怡盛贸易有限公司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15,384,410.33</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11.55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307,688.21</w:t>
            </w:r>
          </w:p>
        </w:tc>
      </w:tr>
      <w:tr>
        <w:trPr>
          <w:trHeight w:val="3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香港添丰行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12,001,962.82</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240,039.26</w:t>
            </w:r>
          </w:p>
        </w:tc>
      </w:tr>
      <w:tr>
        <w:trPr>
          <w:trHeight w:val="3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汕头市金柏顺贸易有限公司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7,906,116.45</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5.94</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158,122.33</w:t>
            </w:r>
          </w:p>
        </w:tc>
      </w:tr>
      <w:tr>
        <w:trPr>
          <w:trHeight w:val="342" w:hRule="exact"/>
        </w:trPr>
        <w:tc>
          <w:tcPr>
            <w:tcW w:w="3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77,686,123.00</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58.33</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1,553,722.47</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5"/>
        <w:ind w:left="154" w:right="0"/>
        <w:jc w:val="left"/>
        <w:rPr>
          <w:b w:val="0"/>
          <w:bCs w:val="0"/>
        </w:rPr>
      </w:pPr>
      <w:bookmarkStart w:name="2、其他应收款" w:id="305"/>
      <w:bookmarkEnd w:id="30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其他应收款分类披露" w:id="306"/>
      <w:bookmarkEnd w:id="30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98,200,0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93.39%</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98,200,00</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97,500,</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90.28%</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5,567,82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5,561,417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8,665,8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34.32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3,611.20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8,662,223.1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1,378,26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1,378,263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1,833,0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60.66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1,833,060.6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105,146,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6,406.84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105,139,6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107,998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3,611.20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107,995,28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088.25</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81.41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,894.98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3.78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汕头市童乐乐玩具有限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合并往来，不计提</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320,341.63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6,406.84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320,341.63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6,406.84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320,341.63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6,406.84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717" w:type="dxa"/>
        <w:tblLayout w:type="fixed"/>
        <w:tblCellMar>
          <w:top w:w="0" w:type="dxa"/>
          <w:left w:w="0" w:type="dxa"/>
          <w:bottom w:w="0" w:type="dxa"/>
          <w:right w:w="0" w:type="dxa"/>
        </w:tblCellMar>
        <w:tblLook w:val="01E0"/>
      </w:tblPr>
      <w:tblGrid>
        <w:gridCol w:w="1698"/>
        <w:gridCol w:w="2128"/>
        <w:gridCol w:w="1984"/>
        <w:gridCol w:w="1985"/>
      </w:tblGrid>
      <w:tr>
        <w:trPr>
          <w:trHeight w:val="355" w:hRule="exact"/>
        </w:trPr>
        <w:tc>
          <w:tcPr>
            <w:tcW w:w="1698" w:type="dxa"/>
            <w:vMerge w:val="restart"/>
            <w:tcBorders>
              <w:top w:val="single" w:sz="6" w:space="0" w:color="000000"/>
              <w:left w:val="single" w:sz="6" w:space="0" w:color="000000"/>
              <w:right w:val="single" w:sz="6" w:space="0" w:color="000000"/>
            </w:tcBorders>
          </w:tcPr>
          <w:p>
            <w:pPr>
              <w:pStyle w:val="TableParagraph"/>
              <w:spacing w:line="240" w:lineRule="auto" w:before="21"/>
              <w:ind w:left="48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09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3" w:hRule="exact"/>
        </w:trPr>
        <w:tc>
          <w:tcPr>
            <w:tcW w:w="1698" w:type="dxa"/>
            <w:vMerge/>
            <w:tcBorders>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52" w:hRule="exact"/>
        </w:trPr>
        <w:tc>
          <w:tcPr>
            <w:tcW w:w="1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待认证税金</w:t>
            </w:r>
          </w:p>
        </w:tc>
        <w:tc>
          <w:tcPr>
            <w:tcW w:w="2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2,784,030.04</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2" w:hRule="exact"/>
        </w:trPr>
        <w:tc>
          <w:tcPr>
            <w:tcW w:w="1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2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2,463,452.77</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1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1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5,247,482.81</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154" w:right="0"/>
        <w:jc w:val="left"/>
      </w:pPr>
      <w:r>
        <w:rPr/>
        <w:t>年末单项金额虽不重大并单独计提坏账准备的其他应收款：</w:t>
      </w:r>
    </w:p>
    <w:p>
      <w:pPr>
        <w:spacing w:line="240" w:lineRule="auto" w:before="13"/>
        <w:rPr>
          <w:rFonts w:ascii="宋体" w:hAnsi="宋体" w:cs="宋体" w:eastAsia="宋体" w:hint="default"/>
          <w:sz w:val="3"/>
          <w:szCs w:val="3"/>
        </w:rPr>
      </w:pPr>
    </w:p>
    <w:tbl>
      <w:tblPr>
        <w:tblW w:w="0" w:type="auto"/>
        <w:jc w:val="left"/>
        <w:tblInd w:w="696" w:type="dxa"/>
        <w:tblLayout w:type="fixed"/>
        <w:tblCellMar>
          <w:top w:w="0" w:type="dxa"/>
          <w:left w:w="0" w:type="dxa"/>
          <w:bottom w:w="0" w:type="dxa"/>
          <w:right w:w="0" w:type="dxa"/>
        </w:tblCellMar>
        <w:tblLook w:val="01E0"/>
      </w:tblPr>
      <w:tblGrid>
        <w:gridCol w:w="2351"/>
        <w:gridCol w:w="1496"/>
        <w:gridCol w:w="1134"/>
        <w:gridCol w:w="991"/>
        <w:gridCol w:w="1844"/>
      </w:tblGrid>
      <w:tr>
        <w:trPr>
          <w:trHeight w:val="355" w:hRule="exact"/>
        </w:trPr>
        <w:tc>
          <w:tcPr>
            <w:tcW w:w="2351" w:type="dxa"/>
            <w:vMerge w:val="restart"/>
            <w:tcBorders>
              <w:top w:val="single" w:sz="6" w:space="0" w:color="000000"/>
              <w:left w:val="single" w:sz="6" w:space="0" w:color="000000"/>
              <w:right w:val="single" w:sz="6" w:space="0" w:color="000000"/>
            </w:tcBorders>
          </w:tcPr>
          <w:p>
            <w:pPr>
              <w:pStyle w:val="TableParagraph"/>
              <w:spacing w:line="240" w:lineRule="auto" w:before="21"/>
              <w:ind w:left="268"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464"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52" w:hRule="exact"/>
        </w:trPr>
        <w:tc>
          <w:tcPr>
            <w:tcW w:w="2351" w:type="dxa"/>
            <w:vMerge/>
            <w:tcBorders>
              <w:left w:val="single" w:sz="6" w:space="0" w:color="000000"/>
              <w:bottom w:val="single" w:sz="12" w:space="0" w:color="000000"/>
              <w:right w:val="single" w:sz="6" w:space="0" w:color="000000"/>
            </w:tcBorders>
          </w:tcPr>
          <w:p>
            <w:pP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2351"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0"/>
                <w:szCs w:val="20"/>
              </w:rPr>
            </w:pPr>
            <w:r>
              <w:rPr>
                <w:rFonts w:ascii="宋体" w:hAnsi="宋体" w:cs="宋体" w:eastAsia="宋体" w:hint="default"/>
                <w:sz w:val="20"/>
                <w:szCs w:val="20"/>
              </w:rPr>
              <w:t>群兴玩具</w:t>
            </w:r>
            <w:r>
              <w:rPr>
                <w:rFonts w:ascii="Times New Roman" w:hAnsi="Times New Roman" w:cs="Times New Roman" w:eastAsia="Times New Roman" w:hint="default"/>
                <w:sz w:val="20"/>
                <w:szCs w:val="20"/>
              </w:rPr>
              <w:t>(</w:t>
            </w:r>
            <w:r>
              <w:rPr>
                <w:rFonts w:ascii="宋体" w:hAnsi="宋体" w:cs="宋体" w:eastAsia="宋体" w:hint="default"/>
                <w:sz w:val="20"/>
                <w:szCs w:val="20"/>
              </w:rPr>
              <w:t>香港</w:t>
            </w:r>
            <w:r>
              <w:rPr>
                <w:rFonts w:ascii="Times New Roman" w:hAnsi="Times New Roman" w:cs="Times New Roman" w:eastAsia="Times New Roman" w:hint="default"/>
                <w:sz w:val="20"/>
                <w:szCs w:val="20"/>
              </w:rPr>
              <w:t>)</w:t>
            </w:r>
            <w:r>
              <w:rPr>
                <w:rFonts w:ascii="宋体" w:hAnsi="宋体" w:cs="宋体" w:eastAsia="宋体" w:hint="default"/>
                <w:sz w:val="20"/>
                <w:szCs w:val="20"/>
              </w:rPr>
              <w:t>有限公司</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1,378,263.81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83" w:right="0"/>
              <w:jc w:val="left"/>
              <w:rPr>
                <w:rFonts w:ascii="宋体" w:hAnsi="宋体" w:cs="宋体" w:eastAsia="宋体" w:hint="default"/>
                <w:sz w:val="18"/>
                <w:szCs w:val="18"/>
              </w:rPr>
            </w:pPr>
            <w:r>
              <w:rPr>
                <w:rFonts w:ascii="宋体" w:hAnsi="宋体" w:cs="宋体" w:eastAsia="宋体" w:hint="default"/>
                <w:sz w:val="18"/>
                <w:szCs w:val="18"/>
              </w:rPr>
              <w:t>合并往来、不计提</w:t>
            </w:r>
          </w:p>
        </w:tc>
      </w:tr>
      <w:tr>
        <w:trPr>
          <w:trHeight w:val="352" w:hRule="exact"/>
        </w:trPr>
        <w:tc>
          <w:tcPr>
            <w:tcW w:w="23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0"/>
              <w:ind w:right="1"/>
              <w:jc w:val="right"/>
              <w:rPr>
                <w:rFonts w:ascii="Times New Roman" w:hAnsi="Times New Roman" w:cs="Times New Roman" w:eastAsia="Times New Roman" w:hint="default"/>
                <w:sz w:val="20"/>
                <w:szCs w:val="20"/>
              </w:rPr>
            </w:pPr>
            <w:r>
              <w:rPr>
                <w:rFonts w:ascii="Times New Roman"/>
                <w:spacing w:val="-1"/>
                <w:sz w:val="20"/>
              </w:rPr>
              <w:t>1,378,263.81</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18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left="18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按欠款方归集的期末余额前五吊的其他应收款情况" w:id="307"/>
      <w:bookmarkEnd w:id="307"/>
      <w:r>
        <w:rPr>
          <w:b w:val="0"/>
          <w:bCs w:val="0"/>
        </w:rPr>
      </w:r>
      <w:r>
        <w:rPr/>
        <w:t>（</w:t>
      </w:r>
      <w:r>
        <w:rPr>
          <w:rFonts w:ascii="Times New Roman" w:hAnsi="Times New Roman" w:cs="Times New Roman" w:eastAsia="Times New Roman" w:hint="default"/>
        </w:rPr>
        <w:t>2</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童乐乐</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98,200,000.00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待认证税金</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待认证税金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2,784,030.04</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2,463,452.77</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1,378,263.81</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支付宝（中国）网络 技术有限公司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网络销售保证金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155,332.36</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3,106.65</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104,981,078.98</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3,106.65</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长期股权投资" w:id="308"/>
      <w:bookmarkEnd w:id="30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53,746,049.00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128,428,471.10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128,428,471.10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182,174,520.10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182,174,520.10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53,746,049.00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309"/>
      <w:bookmarkEnd w:id="30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群兴香港</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left="363" w:right="0"/>
              <w:jc w:val="left"/>
              <w:rPr>
                <w:rFonts w:ascii="Times New Roman" w:hAnsi="Times New Roman" w:cs="Times New Roman" w:eastAsia="Times New Roman" w:hint="default"/>
                <w:sz w:val="18"/>
                <w:szCs w:val="18"/>
              </w:rPr>
            </w:pPr>
            <w:r>
              <w:rPr>
                <w:rFonts w:ascii="Times New Roman"/>
                <w:sz w:val="18"/>
              </w:rPr>
              <w:t>2,495,649.00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2,495,649.00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童乐乐玩具</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51,250,400.00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51,250,400.00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53,746,049.00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53,746,049.00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310"/>
      <w:bookmarkEnd w:id="31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广东粤科</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4,428,471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4,428,471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124,000,0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4,428,471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128,428,4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71.10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营业收入和营业成本" w:id="311"/>
      <w:bookmarkEnd w:id="31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404,163,124.81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319,771,959.92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500,847,942.70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388,919,652.80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404,163,124.81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319,771,959.92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500,877,242.70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388,919,652.80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312"/>
      <w:bookmarkEnd w:id="31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662,364.38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60,115.07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远期外汇结汇</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-163,154.40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联营或合营公司分配来的利润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4,428,471.10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4,927,681.08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60,115.07</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六、补充资料" w:id="313"/>
      <w:bookmarkEnd w:id="313"/>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14"/>
      <w:bookmarkEnd w:id="31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-9,301.97</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720,857.48</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-341,156.42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-110,482.66</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64,979.11</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194,937.32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15"/>
      <w:bookmarkEnd w:id="31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316"/>
      <w:bookmarkEnd w:id="316"/>
      <w:r>
        <w:rPr>
          <w:b w:val="0"/>
          <w:bCs w:val="0"/>
        </w:rPr>
      </w:r>
      <w:bookmarkStart w:name="_bookmark11" w:id="317"/>
      <w:bookmarkEnd w:id="317"/>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BodyText"/>
        <w:spacing w:line="273" w:lineRule="auto"/>
        <w:ind w:right="2563"/>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58"/>
        <w:ind w:left="7430" w:right="1114" w:hanging="158"/>
        <w:jc w:val="left"/>
      </w:pPr>
      <w:r>
        <w:rPr/>
        <w:t>广东群兴玩具股份有限公司 法定代表人：林伟章 二</w:t>
      </w:r>
      <w:r>
        <w:rPr>
          <w:rFonts w:ascii="Times New Roman" w:hAnsi="Times New Roman" w:cs="Times New Roman" w:eastAsia="Times New Roman" w:hint="default"/>
        </w:rPr>
        <w:t>○</w:t>
      </w:r>
      <w:r>
        <w:rPr/>
        <w:t>一五年二月十一日</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6248" type="#_x0000_t75" stroked="false">
          <v:imagedata r:id="rId1" o:title=""/>
        </v:shape>
      </w:pict>
    </w:r>
    <w:r>
      <w:rPr/>
      <w:pict>
        <v:shape style="position:absolute;margin-left:533.179993pt;margin-top:795.517944pt;width:6.5pt;height:11pt;mso-position-horizontal-relative:page;mso-position-vertical-relative:page;z-index:-7462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6200" type="#_x0000_t75" stroked="false">
          <v:imagedata r:id="rId1" o:title=""/>
        </v:shape>
      </w:pict>
    </w:r>
    <w:r>
      <w:rPr/>
      <w:pict>
        <v:shape style="position:absolute;margin-left:527.679993pt;margin-top:781.957947pt;width:13pt;height:11pt;mso-position-horizontal-relative:page;mso-position-vertical-relative:page;z-index:-746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6152" type="#_x0000_t75" stroked="false">
          <v:imagedata r:id="rId1" o:title=""/>
        </v:shape>
      </w:pict>
    </w:r>
    <w:r>
      <w:rPr/>
      <w:pict>
        <v:shape style="position:absolute;margin-left:527.679993pt;margin-top:781.957947pt;width:13pt;height:11pt;mso-position-horizontal-relative:page;mso-position-vertical-relative:page;z-index:-7461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6104" type="#_x0000_t75" stroked="false">
          <v:imagedata r:id="rId1" o:title=""/>
        </v:shape>
      </w:pict>
    </w:r>
    <w:r>
      <w:rPr/>
      <w:pict>
        <v:shape style="position:absolute;margin-left:55.700001pt;margin-top:756.53656pt;width:483.95pt;height:12.5pt;mso-position-horizontal-relative:page;mso-position-vertical-relative:page;z-index:-746080" type="#_x0000_t202" filled="false" stroked="false">
          <v:textbox inset="0,0,0,0">
            <w:txbxContent>
              <w:p>
                <w:pPr>
                  <w:pStyle w:val="BodyText"/>
                  <w:spacing w:line="230" w:lineRule="exact"/>
                  <w:ind w:left="20" w:right="0"/>
                  <w:jc w:val="left"/>
                </w:pPr>
                <w:r>
                  <w:rPr>
                    <w:spacing w:val="-1"/>
                  </w:rPr>
                  <w:t>本公司进行商誉减值测试，对于因企业合并形成的商誉的账面价值，自购买日起按照合理的方法分摊至相</w:t>
                </w:r>
              </w:p>
            </w:txbxContent>
          </v:textbox>
          <w10:wrap type="none"/>
        </v:shape>
      </w:pict>
    </w:r>
    <w:r>
      <w:rPr/>
      <w:pict>
        <v:shape style="position:absolute;margin-left:527.679993pt;margin-top:781.957947pt;width:13pt;height:11pt;mso-position-horizontal-relative:page;mso-position-vertical-relative:page;z-index:-746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6032" type="#_x0000_t75" stroked="false">
          <v:imagedata r:id="rId1" o:title=""/>
        </v:shape>
      </w:pict>
    </w:r>
    <w:r>
      <w:rPr/>
      <w:pict>
        <v:shape style="position:absolute;margin-left:527.679993pt;margin-top:781.957947pt;width:13pt;height:11pt;mso-position-horizontal-relative:page;mso-position-vertical-relative:page;z-index:-746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5984" type="#_x0000_t75" stroked="false">
          <v:imagedata r:id="rId1" o:title=""/>
        </v:shape>
      </w:pict>
    </w:r>
    <w:r>
      <w:rPr/>
      <w:pict>
        <v:shape style="position:absolute;margin-left:524.179993pt;margin-top:781.957947pt;width:15.5pt;height:11pt;mso-position-horizontal-relative:page;mso-position-vertical-relative:page;z-index:-7459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45936" type="#_x0000_t75" stroked="false">
          <v:imagedata r:id="rId1" o:title=""/>
        </v:shape>
      </w:pict>
    </w:r>
    <w:r>
      <w:rPr/>
      <w:pict>
        <v:shape style="position:absolute;margin-left:523.179993pt;margin-top:781.957947pt;width:17.5pt;height:11pt;mso-position-horizontal-relative:page;mso-position-vertical-relative:page;z-index:-74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7462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广东群兴玩具股份有限公司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qunxingtoys.com/" TargetMode="External"/><Relationship Id="rId10" Type="http://schemas.openxmlformats.org/officeDocument/2006/relationships/hyperlink" Target="mailto:info@qunxingtoys.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cninfo.co/"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2020-05-06T17:51:40Z</dcterms:created>
  <dcterms:modified xsi:type="dcterms:W3CDTF">2020-05-06T17:51:40Z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