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2115"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1"/>
          <w:sz w:val="20"/>
          <w:szCs w:val="20"/>
        </w:rPr>
        <w:drawing>
          <wp:inline distT="0" distB="0" distL="0" distR="0">
            <wp:extent cx="1409033" cy="134302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09033" cy="1343025"/>
                    </a:xfrm>
                    <a:prstGeom prst="rect">
                      <a:avLst/>
                    </a:prstGeom>
                  </pic:spPr>
                </pic:pic>
              </a:graphicData>
            </a:graphic>
          </wp:inline>
        </w:drawing>
      </w:r>
      <w:r>
        <w:rPr>
          <w:rFonts w:ascii="Times New Roman" w:hAnsi="Times New Roman" w:cs="Times New Roman" w:eastAsia="Times New Roman" w:hint="default"/>
          <w:position w:val="-41"/>
          <w:sz w:val="20"/>
          <w:szCs w:val="20"/>
        </w:rPr>
      </w:r>
    </w:p>
    <w:p>
      <w:pPr>
        <w:spacing w:line="240" w:lineRule="auto" w:before="8"/>
        <w:rPr>
          <w:rFonts w:ascii="Times New Roman" w:hAnsi="Times New Roman" w:cs="Times New Roman" w:eastAsia="Times New Roman" w:hint="default"/>
          <w:sz w:val="13"/>
          <w:szCs w:val="13"/>
        </w:rPr>
      </w:pPr>
    </w:p>
    <w:p>
      <w:pPr>
        <w:spacing w:line="501" w:lineRule="exact" w:before="0"/>
        <w:ind w:left="2793" w:right="2793"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广东群兴玩具股份有限公司</w:t>
      </w:r>
      <w:r>
        <w:rPr>
          <w:rFonts w:ascii="Microsoft JhengHei" w:hAnsi="Microsoft JhengHei" w:cs="Microsoft JhengHei" w:eastAsia="Microsoft JhengHei" w:hint="default"/>
          <w:sz w:val="36"/>
          <w:szCs w:val="36"/>
        </w:rPr>
      </w:r>
    </w:p>
    <w:p>
      <w:pPr>
        <w:spacing w:before="258"/>
        <w:ind w:left="2792" w:right="2793"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3"/>
          <w:sz w:val="32"/>
          <w:szCs w:val="32"/>
        </w:rPr>
        <w:t> </w:t>
      </w:r>
      <w:r>
        <w:rPr>
          <w:rFonts w:ascii="Microsoft JhengHei" w:hAnsi="Microsoft JhengHei" w:cs="Microsoft JhengHei" w:eastAsia="Microsoft JhengHei" w:hint="default"/>
          <w:b/>
          <w:bCs/>
          <w:sz w:val="32"/>
          <w:szCs w:val="32"/>
        </w:rPr>
        <w:t>年年度报告</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9"/>
        <w:rPr>
          <w:rFonts w:ascii="Microsoft JhengHei" w:hAnsi="Microsoft JhengHei" w:cs="Microsoft JhengHei" w:eastAsia="Microsoft JhengHei" w:hint="default"/>
          <w:b/>
          <w:bCs/>
          <w:sz w:val="30"/>
          <w:szCs w:val="30"/>
        </w:rPr>
      </w:pPr>
    </w:p>
    <w:p>
      <w:pPr>
        <w:spacing w:before="0"/>
        <w:ind w:left="2793" w:right="2793"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2016 </w:t>
      </w:r>
      <w:r>
        <w:rPr>
          <w:rFonts w:ascii="Microsoft JhengHei" w:hAnsi="Microsoft JhengHei" w:cs="Microsoft JhengHei" w:eastAsia="Microsoft JhengHei" w:hint="default"/>
          <w:b/>
          <w:bCs/>
          <w:sz w:val="32"/>
          <w:szCs w:val="32"/>
        </w:rPr>
        <w:t>年 </w:t>
      </w:r>
      <w:r>
        <w:rPr>
          <w:rFonts w:ascii="Times New Roman" w:hAnsi="Times New Roman" w:cs="Times New Roman" w:eastAsia="Times New Roman" w:hint="default"/>
          <w:b/>
          <w:bCs/>
          <w:sz w:val="32"/>
          <w:szCs w:val="32"/>
        </w:rPr>
        <w:t>02</w:t>
      </w:r>
      <w:r>
        <w:rPr>
          <w:rFonts w:ascii="Times New Roman" w:hAnsi="Times New Roman" w:cs="Times New Roman" w:eastAsia="Times New Roman" w:hint="default"/>
          <w:b/>
          <w:bCs/>
          <w:spacing w:val="1"/>
          <w:sz w:val="32"/>
          <w:szCs w:val="32"/>
        </w:rPr>
        <w:t> </w:t>
      </w:r>
      <w:r>
        <w:rPr>
          <w:rFonts w:ascii="Microsoft JhengHei" w:hAnsi="Microsoft JhengHei" w:cs="Microsoft JhengHei" w:eastAsia="Microsoft JhengHei" w:hint="default"/>
          <w:b/>
          <w:bCs/>
          <w:sz w:val="32"/>
          <w:szCs w:val="32"/>
        </w:rPr>
        <w:t>月</w:t>
      </w:r>
      <w:r>
        <w:rPr>
          <w:rFonts w:ascii="Microsoft JhengHei" w:hAnsi="Microsoft JhengHei" w:cs="Microsoft JhengHei" w:eastAsia="Microsoft JhengHei" w:hint="default"/>
          <w:sz w:val="32"/>
          <w:szCs w:val="32"/>
        </w:rPr>
      </w:r>
    </w:p>
    <w:p>
      <w:pPr>
        <w:spacing w:after="0"/>
        <w:jc w:val="center"/>
        <w:rPr>
          <w:rFonts w:ascii="Microsoft JhengHei" w:hAnsi="Microsoft JhengHei" w:cs="Microsoft JhengHei" w:eastAsia="Microsoft JhengHei" w:hint="default"/>
          <w:sz w:val="32"/>
          <w:szCs w:val="32"/>
        </w:rPr>
        <w:sectPr>
          <w:headerReference w:type="default" r:id="rId5"/>
          <w:footerReference w:type="default" r:id="rId6"/>
          <w:type w:val="continuous"/>
          <w:pgSz w:w="11910" w:h="16840"/>
          <w:pgMar w:header="745" w:footer="979" w:top="1060" w:bottom="1160" w:left="980" w:right="980"/>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4"/>
          <w:szCs w:val="24"/>
        </w:rPr>
      </w:pPr>
    </w:p>
    <w:p>
      <w:pPr>
        <w:pStyle w:val="Heading1"/>
        <w:spacing w:line="456" w:lineRule="exact"/>
        <w:ind w:left="2803" w:right="0"/>
        <w:jc w:val="left"/>
        <w:rPr>
          <w:b w:val="0"/>
          <w:bCs w:val="0"/>
        </w:rPr>
      </w:pPr>
      <w:bookmarkStart w:name="_bookmark0" w:id="1"/>
      <w:bookmarkEnd w:id="1"/>
      <w:r>
        <w:rPr>
          <w:b w:val="0"/>
          <w:bCs w:val="0"/>
        </w:rPr>
      </w:r>
      <w:r>
        <w:rPr/>
        <w:t>第一节 </w:t>
      </w:r>
      <w:r>
        <w:rPr>
          <w:spacing w:val="12"/>
        </w:rPr>
        <w:t> </w:t>
      </w:r>
      <w:r>
        <w:rPr/>
        <w:t>重要提示、目录和释义</w:t>
      </w:r>
      <w:r>
        <w:rPr>
          <w:b w:val="0"/>
          <w:bCs w:val="0"/>
        </w:rPr>
      </w:r>
    </w:p>
    <w:p>
      <w:pPr>
        <w:spacing w:line="240" w:lineRule="auto" w:before="3"/>
        <w:rPr>
          <w:rFonts w:ascii="Microsoft JhengHei" w:hAnsi="Microsoft JhengHei" w:cs="Microsoft JhengHei" w:eastAsia="Microsoft JhengHei" w:hint="default"/>
          <w:b/>
          <w:bCs/>
          <w:sz w:val="29"/>
          <w:szCs w:val="29"/>
        </w:rPr>
      </w:pPr>
    </w:p>
    <w:p>
      <w:pPr>
        <w:spacing w:line="307" w:lineRule="auto" w:before="0"/>
        <w:ind w:left="152" w:right="156"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本公司董事会、监事会及董事、监事、高级管理人员保证年度报告内容的</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pacing w:val="2"/>
          <w:sz w:val="28"/>
          <w:szCs w:val="28"/>
        </w:rPr>
        <w:t>真实、准确、完整，不存在虚假记载、误导性陈述或重大遗漏，并承担个别和</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z w:val="28"/>
          <w:szCs w:val="28"/>
        </w:rPr>
        <w:t>连带的法律责任。</w:t>
      </w:r>
      <w:r>
        <w:rPr>
          <w:rFonts w:ascii="Microsoft JhengHei" w:hAnsi="Microsoft JhengHei" w:cs="Microsoft JhengHei" w:eastAsia="Microsoft JhengHei" w:hint="default"/>
          <w:sz w:val="28"/>
          <w:szCs w:val="28"/>
        </w:rPr>
      </w:r>
    </w:p>
    <w:p>
      <w:pPr>
        <w:spacing w:line="307" w:lineRule="auto" w:before="133"/>
        <w:ind w:left="152" w:right="151"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公司负责人林伟章、主管会计工作负责人乔新睿及会计机构负责人</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会计主</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z w:val="28"/>
          <w:szCs w:val="28"/>
        </w:rPr>
        <w:t>管人员</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陈轲声明：保证年度报告中财务报告的真实、准确、完整。</w:t>
      </w:r>
      <w:r>
        <w:rPr>
          <w:rFonts w:ascii="Microsoft JhengHei" w:hAnsi="Microsoft JhengHei" w:cs="Microsoft JhengHei" w:eastAsia="Microsoft JhengHei" w:hint="default"/>
          <w:sz w:val="28"/>
          <w:szCs w:val="28"/>
        </w:rPr>
      </w:r>
    </w:p>
    <w:p>
      <w:pPr>
        <w:spacing w:line="355" w:lineRule="auto" w:before="133"/>
        <w:ind w:left="714"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所有董事均已出席了审议本报告的董事会会议。</w:t>
      </w:r>
      <w:r>
        <w:rPr>
          <w:rFonts w:ascii="Microsoft JhengHei" w:hAnsi="Microsoft JhengHei" w:cs="Microsoft JhengHei" w:eastAsia="Microsoft JhengHei" w:hint="default"/>
          <w:b/>
          <w:bCs/>
          <w:spacing w:val="-48"/>
          <w:sz w:val="28"/>
          <w:szCs w:val="28"/>
        </w:rPr>
        <w:t> </w:t>
      </w:r>
      <w:r>
        <w:rPr>
          <w:rFonts w:ascii="Microsoft JhengHei" w:hAnsi="Microsoft JhengHei" w:cs="Microsoft JhengHei" w:eastAsia="Microsoft JhengHei" w:hint="default"/>
          <w:b/>
          <w:bCs/>
          <w:spacing w:val="-48"/>
          <w:sz w:val="28"/>
          <w:szCs w:val="28"/>
        </w:rPr>
      </w:r>
      <w:r>
        <w:rPr>
          <w:rFonts w:ascii="Microsoft JhengHei" w:hAnsi="Microsoft JhengHei" w:cs="Microsoft JhengHei" w:eastAsia="Microsoft JhengHei" w:hint="default"/>
          <w:b/>
          <w:bCs/>
          <w:spacing w:val="2"/>
          <w:sz w:val="28"/>
          <w:szCs w:val="28"/>
        </w:rPr>
        <w:t>公司在本报告第四节</w:t>
      </w:r>
      <w:r>
        <w:rPr>
          <w:rFonts w:ascii="Times New Roman" w:hAnsi="Times New Roman" w:cs="Times New Roman" w:eastAsia="Times New Roman" w:hint="default"/>
          <w:b/>
          <w:bCs/>
          <w:spacing w:val="2"/>
          <w:sz w:val="28"/>
          <w:szCs w:val="28"/>
        </w:rPr>
        <w:t>“</w:t>
      </w:r>
      <w:r>
        <w:rPr>
          <w:rFonts w:ascii="Microsoft JhengHei" w:hAnsi="Microsoft JhengHei" w:cs="Microsoft JhengHei" w:eastAsia="Microsoft JhengHei" w:hint="default"/>
          <w:b/>
          <w:bCs/>
          <w:spacing w:val="2"/>
          <w:sz w:val="28"/>
          <w:szCs w:val="28"/>
        </w:rPr>
        <w:t>管理层讨论与分析</w:t>
      </w:r>
      <w:r>
        <w:rPr>
          <w:rFonts w:ascii="Times New Roman" w:hAnsi="Times New Roman" w:cs="Times New Roman" w:eastAsia="Times New Roman" w:hint="default"/>
          <w:b/>
          <w:bCs/>
          <w:spacing w:val="2"/>
          <w:sz w:val="28"/>
          <w:szCs w:val="28"/>
        </w:rPr>
        <w:t>”</w:t>
      </w:r>
      <w:r>
        <w:rPr>
          <w:rFonts w:ascii="Microsoft JhengHei" w:hAnsi="Microsoft JhengHei" w:cs="Microsoft JhengHei" w:eastAsia="Microsoft JhengHei" w:hint="default"/>
          <w:b/>
          <w:bCs/>
          <w:spacing w:val="2"/>
          <w:sz w:val="28"/>
          <w:szCs w:val="28"/>
        </w:rPr>
        <w:t>中</w:t>
      </w:r>
      <w:r>
        <w:rPr>
          <w:rFonts w:ascii="Times New Roman" w:hAnsi="Times New Roman" w:cs="Times New Roman" w:eastAsia="Times New Roman" w:hint="default"/>
          <w:b/>
          <w:bCs/>
          <w:spacing w:val="2"/>
          <w:sz w:val="28"/>
          <w:szCs w:val="28"/>
        </w:rPr>
        <w:t>“</w:t>
      </w:r>
      <w:r>
        <w:rPr>
          <w:rFonts w:ascii="Microsoft JhengHei" w:hAnsi="Microsoft JhengHei" w:cs="Microsoft JhengHei" w:eastAsia="Microsoft JhengHei" w:hint="default"/>
          <w:b/>
          <w:bCs/>
          <w:spacing w:val="2"/>
          <w:sz w:val="28"/>
          <w:szCs w:val="28"/>
        </w:rPr>
        <w:t>公司未来发展的展望</w:t>
      </w:r>
      <w:r>
        <w:rPr>
          <w:rFonts w:ascii="Times New Roman" w:hAnsi="Times New Roman" w:cs="Times New Roman" w:eastAsia="Times New Roman" w:hint="default"/>
          <w:b/>
          <w:bCs/>
          <w:spacing w:val="2"/>
          <w:sz w:val="28"/>
          <w:szCs w:val="28"/>
        </w:rPr>
        <w:t>”</w:t>
      </w:r>
      <w:r>
        <w:rPr>
          <w:rFonts w:ascii="Microsoft JhengHei" w:hAnsi="Microsoft JhengHei" w:cs="Microsoft JhengHei" w:eastAsia="Microsoft JhengHei" w:hint="default"/>
          <w:b/>
          <w:bCs/>
          <w:spacing w:val="2"/>
          <w:sz w:val="28"/>
          <w:szCs w:val="28"/>
        </w:rPr>
        <w:t>部分，</w:t>
      </w:r>
      <w:r>
        <w:rPr>
          <w:rFonts w:ascii="Microsoft JhengHei" w:hAnsi="Microsoft JhengHei" w:cs="Microsoft JhengHei" w:eastAsia="Microsoft JhengHei" w:hint="default"/>
          <w:spacing w:val="2"/>
          <w:sz w:val="28"/>
          <w:szCs w:val="28"/>
        </w:rPr>
      </w:r>
    </w:p>
    <w:p>
      <w:pPr>
        <w:spacing w:line="446" w:lineRule="exact" w:before="0"/>
        <w:ind w:left="152"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具体描述了公司经营过程中可能存在的风险及应对措施，敬请投资者关注相关</w:t>
      </w:r>
      <w:r>
        <w:rPr>
          <w:rFonts w:ascii="Microsoft JhengHei" w:hAnsi="Microsoft JhengHei" w:cs="Microsoft JhengHei" w:eastAsia="Microsoft JhengHei" w:hint="default"/>
          <w:sz w:val="28"/>
          <w:szCs w:val="28"/>
        </w:rPr>
      </w:r>
    </w:p>
    <w:p>
      <w:pPr>
        <w:spacing w:before="136"/>
        <w:ind w:left="152"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内容。</w:t>
      </w:r>
      <w:r>
        <w:rPr>
          <w:rFonts w:ascii="Microsoft JhengHei" w:hAnsi="Microsoft JhengHei" w:cs="Microsoft JhengHei" w:eastAsia="Microsoft JhengHei" w:hint="default"/>
          <w:sz w:val="28"/>
          <w:szCs w:val="28"/>
        </w:rPr>
      </w:r>
    </w:p>
    <w:p>
      <w:pPr>
        <w:spacing w:before="237"/>
        <w:ind w:left="714"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公司计划不派发现金红利，不送红股，不以公积金转增股本。</w:t>
      </w:r>
      <w:r>
        <w:rPr>
          <w:rFonts w:ascii="Microsoft JhengHei" w:hAnsi="Microsoft JhengHei" w:cs="Microsoft JhengHei" w:eastAsia="Microsoft JhengHei" w:hint="default"/>
          <w:sz w:val="28"/>
          <w:szCs w:val="28"/>
        </w:rPr>
      </w:r>
    </w:p>
    <w:p>
      <w:pPr>
        <w:spacing w:after="0"/>
        <w:jc w:val="left"/>
        <w:rPr>
          <w:rFonts w:ascii="Microsoft JhengHei" w:hAnsi="Microsoft JhengHei" w:cs="Microsoft JhengHei" w:eastAsia="Microsoft JhengHei" w:hint="default"/>
          <w:sz w:val="28"/>
          <w:szCs w:val="28"/>
        </w:rPr>
        <w:sectPr>
          <w:footerReference w:type="default" r:id="rId8"/>
          <w:pgSz w:w="11910" w:h="16840"/>
          <w:pgMar w:footer="979" w:header="745" w:top="1060" w:bottom="1160" w:left="980" w:right="980"/>
          <w:pgNumType w:start="2"/>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14"/>
          <w:szCs w:val="14"/>
        </w:rPr>
      </w:pPr>
    </w:p>
    <w:p>
      <w:pPr>
        <w:spacing w:line="501" w:lineRule="exact" w:before="0"/>
        <w:ind w:left="2793" w:right="2793"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目录</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36"/>
          <w:szCs w:val="36"/>
        </w:rPr>
      </w:pPr>
    </w:p>
    <w:p>
      <w:pPr>
        <w:spacing w:line="240" w:lineRule="auto" w:before="8"/>
        <w:rPr>
          <w:rFonts w:ascii="Microsoft JhengHei" w:hAnsi="Microsoft JhengHei" w:cs="Microsoft JhengHei" w:eastAsia="Microsoft JhengHei" w:hint="default"/>
          <w:b/>
          <w:bCs/>
          <w:sz w:val="49"/>
          <w:szCs w:val="49"/>
        </w:rPr>
      </w:pPr>
    </w:p>
    <w:sdt>
      <w:sdtPr>
        <w:docPartObj>
          <w:docPartGallery w:val="Table of Contents"/>
          <w:docPartUnique/>
        </w:docPartObj>
      </w:sdtPr>
      <w:sdtEndPr/>
      <w:sdtContent>
        <w:p>
          <w:pPr>
            <w:pStyle w:val="TOC1"/>
            <w:tabs>
              <w:tab w:pos="9784"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 </w:t>
            </w:r>
            <w:r>
              <w:rPr>
                <w:spacing w:val="2"/>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4"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 </w:t>
            </w:r>
            <w:r>
              <w:rPr>
                <w:spacing w:val="2"/>
              </w:rPr>
              <w:t> </w:t>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4" w:val="right" w:leader="dot"/>
            </w:tabs>
            <w:spacing w:line="240" w:lineRule="auto" w:before="175"/>
            <w:ind w:right="0"/>
            <w:jc w:val="left"/>
            <w:rPr>
              <w:rFonts w:ascii="Times New Roman" w:hAnsi="Times New Roman" w:cs="Times New Roman" w:eastAsia="Times New Roman" w:hint="default"/>
              <w:b w:val="0"/>
              <w:bCs w:val="0"/>
            </w:rPr>
          </w:pPr>
          <w:hyperlink w:history="true" w:anchor="_bookmark2">
            <w:r>
              <w:rPr/>
              <w:t>第三节 </w:t>
            </w:r>
            <w:r>
              <w:rPr>
                <w:spacing w:val="2"/>
              </w:rPr>
              <w:t> </w:t>
            </w:r>
            <w:r>
              <w:rPr/>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 </w:t>
            </w:r>
            <w:r>
              <w:rPr>
                <w:spacing w:val="2"/>
              </w:rPr>
              <w:t> </w:t>
            </w:r>
            <w:r>
              <w:rPr/>
              <w:t>管理层讨论与分析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6"/>
              </w:rPr>
              <w:t>11</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 </w:t>
            </w:r>
            <w:r>
              <w:rPr>
                <w:spacing w:val="2"/>
              </w:rPr>
              <w:t> </w:t>
            </w:r>
            <w:r>
              <w:rPr/>
              <w:t>重要事项</w:t>
            </w:r>
            <w:r>
              <w:rPr>
                <w:rFonts w:ascii="Times New Roman" w:hAnsi="Times New Roman" w:cs="Times New Roman" w:eastAsia="Times New Roman" w:hint="default"/>
              </w:rPr>
              <w:tab/>
              <w:t>23</w:t>
            </w:r>
            <w:r>
              <w:rPr>
                <w:rFonts w:ascii="Times New Roman" w:hAnsi="Times New Roman" w:cs="Times New Roman" w:eastAsia="Times New Roman" w:hint="default"/>
                <w:b w:val="0"/>
                <w:bCs w:val="0"/>
              </w:rPr>
            </w:r>
          </w:hyperlink>
        </w:p>
        <w:p>
          <w:pPr>
            <w:pStyle w:val="TOC1"/>
            <w:tabs>
              <w:tab w:pos="9785" w:val="right" w:leader="dot"/>
            </w:tabs>
            <w:spacing w:line="240" w:lineRule="auto" w:before="175"/>
            <w:ind w:right="0"/>
            <w:jc w:val="left"/>
            <w:rPr>
              <w:rFonts w:ascii="Times New Roman" w:hAnsi="Times New Roman" w:cs="Times New Roman" w:eastAsia="Times New Roman" w:hint="default"/>
              <w:b w:val="0"/>
              <w:bCs w:val="0"/>
            </w:rPr>
          </w:pPr>
          <w:hyperlink w:history="true" w:anchor="_bookmark5">
            <w:r>
              <w:rPr/>
              <w:t>第六节 </w:t>
            </w:r>
            <w:r>
              <w:rPr>
                <w:spacing w:val="2"/>
              </w:rPr>
              <w:t> </w:t>
            </w:r>
            <w:r>
              <w:rPr/>
              <w:t>股份变动及股东情况</w:t>
            </w:r>
            <w:r>
              <w:rPr>
                <w:rFonts w:ascii="Times New Roman" w:hAnsi="Times New Roman" w:cs="Times New Roman" w:eastAsia="Times New Roman" w:hint="default"/>
              </w:rPr>
              <w:tab/>
              <w:t>38</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 </w:t>
            </w:r>
            <w:r>
              <w:rPr>
                <w:spacing w:val="2"/>
              </w:rPr>
              <w:t> </w:t>
            </w:r>
            <w:r>
              <w:rPr/>
              <w:t>优先股相关情况</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 </w:t>
            </w:r>
            <w:r>
              <w:rPr>
                <w:spacing w:val="2"/>
              </w:rPr>
              <w:t> </w:t>
            </w:r>
            <w:r>
              <w:rPr/>
              <w:t>董事、监事、高级管理人员和员工情况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5" w:val="right" w:leader="dot"/>
            </w:tabs>
            <w:spacing w:line="240" w:lineRule="auto" w:before="175"/>
            <w:ind w:right="0"/>
            <w:jc w:val="left"/>
            <w:rPr>
              <w:rFonts w:ascii="Times New Roman" w:hAnsi="Times New Roman" w:cs="Times New Roman" w:eastAsia="Times New Roman" w:hint="default"/>
              <w:b w:val="0"/>
              <w:bCs w:val="0"/>
            </w:rPr>
          </w:pPr>
          <w:hyperlink w:history="true" w:anchor="_bookmark8">
            <w:r>
              <w:rPr/>
              <w:t>第九节 </w:t>
            </w:r>
            <w:r>
              <w:rPr>
                <w:spacing w:val="2"/>
              </w:rPr>
              <w:t> </w:t>
            </w:r>
            <w:r>
              <w:rPr/>
              <w:t>公司治理</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85" w:val="right" w:leader="dot"/>
            </w:tabs>
            <w:spacing w:line="240" w:lineRule="auto" w:before="178"/>
            <w:ind w:right="0"/>
            <w:jc w:val="left"/>
            <w:rPr>
              <w:rFonts w:ascii="Times New Roman" w:hAnsi="Times New Roman" w:cs="Times New Roman" w:eastAsia="Times New Roman" w:hint="default"/>
              <w:b w:val="0"/>
              <w:bCs w:val="0"/>
            </w:rPr>
          </w:pPr>
          <w:hyperlink w:history="true" w:anchor="_bookmark9">
            <w:r>
              <w:rPr/>
              <w:t>第十节 </w:t>
            </w:r>
            <w:r>
              <w:rPr>
                <w:spacing w:val="2"/>
              </w:rPr>
              <w:t> </w:t>
            </w:r>
            <w:r>
              <w:rPr/>
              <w:t>财务报告</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4"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69"/>
              </w:rPr>
              <w:t> </w:t>
            </w:r>
            <w:r>
              <w:rPr/>
              <w:t>备查文件目录</w:t>
            </w:r>
            <w:r>
              <w:rPr>
                <w:rFonts w:ascii="Times New Roman" w:hAnsi="Times New Roman" w:cs="Times New Roman" w:eastAsia="Times New Roman" w:hint="default"/>
              </w:rPr>
              <w:tab/>
              <w:t>137</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79" w:top="1060" w:bottom="1160" w:left="980" w:right="980"/>
        </w:sectPr>
      </w:pPr>
    </w:p>
    <w:p>
      <w:pPr>
        <w:spacing w:before="843"/>
        <w:ind w:left="2793" w:right="2793"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释义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523"/>
        <w:gridCol w:w="623"/>
        <w:gridCol w:w="5424"/>
      </w:tblGrid>
      <w:tr>
        <w:trPr>
          <w:trHeight w:val="398" w:hRule="exact"/>
        </w:trPr>
        <w:tc>
          <w:tcPr>
            <w:tcW w:w="3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公司、本公司、股份公司、群兴玩具</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广东群兴玩具股份有限公司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群兴投资</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广东群兴投资有限公司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本公司控股股东</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广东群兴投资有限公司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本公司实际控制人</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林伟章、黄仕群</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童乐乐玩具</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汕头市童乐乐玩具有限公司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群兴香港</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群興玩具（香港）有限公司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粤科租赁</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广东粤科融资租赁有限公司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标的公司、三洲核能</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四川三洲川化机核能设备制造有限公司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《广东群兴玩具股份有限公司章程》</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Microsoft JhengHei" w:hAnsi="Microsoft JhengHei" w:cs="Microsoft JhengHei" w:eastAsia="Microsoft JhengHei" w:hint="default"/>
          <w:b/>
          <w:bCs/>
          <w:sz w:val="20"/>
          <w:szCs w:val="20"/>
        </w:rPr>
      </w:pPr>
      <w:r>
        <w:rPr/>
        <w:pict>
          <v:shape style="position:absolute;margin-left:138.024002pt;margin-top:272.809998pt;width:396.95pt;height:19.6pt;mso-position-horizontal-relative:page;mso-position-vertical-relative:page;z-index:-68248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p>
    <w:p>
      <w:pPr>
        <w:spacing w:line="240" w:lineRule="auto" w:before="3"/>
        <w:rPr>
          <w:rFonts w:ascii="Microsoft JhengHei" w:hAnsi="Microsoft JhengHei" w:cs="Microsoft JhengHei" w:eastAsia="Microsoft JhengHei" w:hint="default"/>
          <w:b/>
          <w:bCs/>
          <w:sz w:val="25"/>
          <w:szCs w:val="25"/>
        </w:rPr>
      </w:pPr>
    </w:p>
    <w:p>
      <w:pPr>
        <w:pStyle w:val="Heading1"/>
        <w:spacing w:line="456" w:lineRule="exact"/>
        <w:ind w:left="2642" w:right="0"/>
        <w:jc w:val="left"/>
        <w:rPr>
          <w:b w:val="0"/>
          <w:bCs w:val="0"/>
        </w:rPr>
      </w:pPr>
      <w:bookmarkStart w:name="_bookmark1" w:id="2"/>
      <w:bookmarkEnd w:id="2"/>
      <w:r>
        <w:rPr>
          <w:b w:val="0"/>
          <w:bCs w:val="0"/>
        </w:rPr>
      </w:r>
      <w:r>
        <w:rPr/>
        <w:t>第二节 </w:t>
      </w:r>
      <w:r>
        <w:rPr>
          <w:spacing w:val="13"/>
        </w:rPr>
        <w:t> </w:t>
      </w:r>
      <w:r>
        <w:rPr/>
        <w:t>公司简介和主要财务指标</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一、公司信息</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2285"/>
        <w:gridCol w:w="2954"/>
        <w:gridCol w:w="2156"/>
        <w:gridCol w:w="2176"/>
      </w:tblGrid>
      <w:tr>
        <w:trPr>
          <w:trHeight w:val="408"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群兴玩具</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002575</w:t>
            </w:r>
          </w:p>
        </w:tc>
      </w:tr>
      <w:tr>
        <w:trPr>
          <w:trHeight w:val="396"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广东群兴玩具股份有限公司</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群兴玩具</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GUANGDONG</w:t>
            </w:r>
            <w:r>
              <w:rPr>
                <w:rFonts w:ascii="Times New Roman"/>
                <w:spacing w:val="-9"/>
                <w:sz w:val="18"/>
              </w:rPr>
              <w:t> </w:t>
            </w:r>
            <w:r>
              <w:rPr>
                <w:rFonts w:ascii="Times New Roman"/>
                <w:sz w:val="18"/>
              </w:rPr>
              <w:t>QUNXING</w:t>
            </w:r>
            <w:r>
              <w:rPr>
                <w:rFonts w:ascii="Times New Roman"/>
                <w:spacing w:val="-11"/>
                <w:sz w:val="18"/>
              </w:rPr>
              <w:t> </w:t>
            </w:r>
            <w:r>
              <w:rPr>
                <w:rFonts w:ascii="Times New Roman"/>
                <w:sz w:val="18"/>
              </w:rPr>
              <w:t>TOYS</w:t>
            </w:r>
            <w:r>
              <w:rPr>
                <w:rFonts w:ascii="Times New Roman"/>
                <w:spacing w:val="-6"/>
                <w:sz w:val="18"/>
              </w:rPr>
              <w:t> </w:t>
            </w:r>
            <w:r>
              <w:rPr>
                <w:rFonts w:ascii="Times New Roman"/>
                <w:sz w:val="18"/>
              </w:rPr>
              <w:t>JOINT-STOCK</w:t>
            </w:r>
            <w:r>
              <w:rPr>
                <w:rFonts w:ascii="Times New Roman"/>
                <w:spacing w:val="-6"/>
                <w:sz w:val="18"/>
              </w:rPr>
              <w:t> </w:t>
            </w:r>
            <w:r>
              <w:rPr>
                <w:rFonts w:ascii="Times New Roman"/>
                <w:sz w:val="18"/>
              </w:rPr>
              <w:t>CO.,</w:t>
            </w:r>
            <w:r>
              <w:rPr>
                <w:rFonts w:ascii="Times New Roman"/>
                <w:spacing w:val="-6"/>
                <w:sz w:val="18"/>
              </w:rPr>
              <w:t> </w:t>
            </w:r>
            <w:r>
              <w:rPr>
                <w:rFonts w:ascii="Times New Roman"/>
                <w:spacing w:val="-5"/>
                <w:sz w:val="18"/>
              </w:rPr>
              <w:t>LTD.</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QUNXING</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林伟章</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广东汕头市澄海区莱芜经济开发试验区莱美工业区</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515800</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广东省深圳市南山区科苑路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号科兴科学园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B1 </w:t>
            </w:r>
            <w:r>
              <w:rPr>
                <w:rFonts w:ascii="宋体" w:hAnsi="宋体" w:cs="宋体" w:eastAsia="宋体" w:hint="default"/>
                <w:sz w:val="18"/>
                <w:szCs w:val="18"/>
              </w:rPr>
              <w:t>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603</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518057</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http://www.qunxingtoys.com</w:t>
              </w:r>
            </w:hyperlink>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info@qunxingtoys.com</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二、联系人和联系方式</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林伟章</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吴董宇</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shd w:val="clear" w:color="auto" w:fill="C6ECCC"/>
          </w:tcPr>
          <w:p>
            <w:pPr>
              <w:pStyle w:val="TableParagraph"/>
              <w:spacing w:line="300" w:lineRule="auto" w:before="49"/>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广东省深圳市南山区科苑路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号科兴科 学园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B1 </w:t>
            </w:r>
            <w:r>
              <w:rPr>
                <w:rFonts w:ascii="宋体" w:hAnsi="宋体" w:cs="宋体" w:eastAsia="宋体" w:hint="default"/>
                <w:sz w:val="18"/>
                <w:szCs w:val="18"/>
              </w:rPr>
              <w:t>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603</w:t>
            </w:r>
          </w:p>
        </w:tc>
        <w:tc>
          <w:tcPr>
            <w:tcW w:w="3190" w:type="dxa"/>
            <w:vMerge w:val="restart"/>
            <w:tcBorders>
              <w:top w:val="single" w:sz="4" w:space="0" w:color="000000"/>
              <w:left w:val="single" w:sz="4" w:space="0" w:color="000000"/>
              <w:right w:val="single" w:sz="4" w:space="0" w:color="000000"/>
            </w:tcBorders>
            <w:shd w:val="clear" w:color="auto" w:fill="C6ECCC"/>
          </w:tcPr>
          <w:p>
            <w:pPr>
              <w:pStyle w:val="TableParagraph"/>
              <w:spacing w:line="300" w:lineRule="auto" w:before="49"/>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广东省深圳市南山区科苑路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号科兴科 学园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B1 </w:t>
            </w:r>
            <w:r>
              <w:rPr>
                <w:rFonts w:ascii="宋体" w:hAnsi="宋体" w:cs="宋体" w:eastAsia="宋体" w:hint="default"/>
                <w:sz w:val="18"/>
                <w:szCs w:val="18"/>
              </w:rPr>
              <w:t>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603</w:t>
            </w:r>
          </w:p>
        </w:tc>
      </w:tr>
      <w:tr>
        <w:trPr>
          <w:trHeight w:val="394"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shd w:val="clear" w:color="auto" w:fill="C6ECCC"/>
          </w:tcPr>
          <w:p>
            <w:pPr/>
          </w:p>
        </w:tc>
        <w:tc>
          <w:tcPr>
            <w:tcW w:w="3190" w:type="dxa"/>
            <w:vMerge/>
            <w:tcBorders>
              <w:left w:val="single" w:sz="4" w:space="0" w:color="000000"/>
              <w:right w:val="single" w:sz="4" w:space="0" w:color="000000"/>
            </w:tcBorders>
            <w:shd w:val="clear" w:color="auto" w:fill="C6ECCC"/>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shd w:val="clear" w:color="auto" w:fill="C6ECCC"/>
          </w:tcPr>
          <w:p>
            <w:pPr/>
          </w:p>
        </w:tc>
        <w:tc>
          <w:tcPr>
            <w:tcW w:w="3190" w:type="dxa"/>
            <w:vMerge/>
            <w:tcBorders>
              <w:left w:val="single" w:sz="4" w:space="0" w:color="000000"/>
              <w:bottom w:val="single" w:sz="4" w:space="0" w:color="000000"/>
              <w:right w:val="single" w:sz="4" w:space="0" w:color="000000"/>
            </w:tcBorders>
            <w:shd w:val="clear" w:color="auto" w:fill="C6ECCC"/>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0755-86520802</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0755-86520802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0755-86520803</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0755-86520803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info@qunxingtoys.com</w:t>
              </w:r>
            </w:hyperlink>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info@qunxingtoys.com</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三、信息披露及备置地点</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3992"/>
        <w:gridCol w:w="5577"/>
      </w:tblGrid>
      <w:tr>
        <w:trPr>
          <w:trHeight w:val="403"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《证券时报》</w:t>
            </w:r>
          </w:p>
        </w:tc>
      </w:tr>
      <w:tr>
        <w:trPr>
          <w:trHeight w:val="401"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4"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公司董秘办公室</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4"/>
        <w:rPr>
          <w:rFonts w:ascii="Microsoft JhengHei" w:hAnsi="Microsoft JhengHei" w:cs="Microsoft JhengHei" w:eastAsia="Microsoft JhengHei" w:hint="default"/>
          <w:b/>
          <w:bCs/>
          <w:sz w:val="17"/>
          <w:szCs w:val="17"/>
        </w:rPr>
      </w:pPr>
    </w:p>
    <w:p>
      <w:pPr>
        <w:pStyle w:val="Heading2"/>
        <w:spacing w:line="367" w:lineRule="exact"/>
        <w:ind w:right="0"/>
        <w:jc w:val="left"/>
        <w:rPr>
          <w:b w:val="0"/>
          <w:bCs w:val="0"/>
        </w:rPr>
      </w:pPr>
      <w:r>
        <w:rPr/>
        <w:t>四、注册变更情况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15"/>
          <w:szCs w:val="15"/>
        </w:rPr>
      </w:pPr>
    </w:p>
    <w:p>
      <w:pPr>
        <w:spacing w:before="44"/>
        <w:ind w:left="0" w:right="161" w:firstLine="0"/>
        <w:jc w:val="right"/>
        <w:rPr>
          <w:rFonts w:ascii="宋体" w:hAnsi="宋体" w:cs="宋体" w:eastAsia="宋体" w:hint="default"/>
          <w:sz w:val="18"/>
          <w:szCs w:val="18"/>
        </w:rPr>
      </w:pPr>
      <w:r>
        <w:rPr/>
        <w:pict>
          <v:shape style="position:absolute;margin-left:56.459999pt;margin-top:-67.568260pt;width:479.2pt;height:216.7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1"/>
                    <w:gridCol w:w="6379"/>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19316605-7</w:t>
                        </w:r>
                      </w:p>
                    </w:tc>
                  </w:tr>
                  <w:tr>
                    <w:trPr>
                      <w:trHeight w:val="35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日，公司主营业务为生产、加工、销售；玩具，塑料制品，五金制 品；动漫软件设计、开发、制作；童车、手推车、婴儿床、学步车、三轮车、婴 儿车、行李车、自行车、电动车、摇篮车、摇椅、儿童摇床；废旧塑料回收、加 工；货物进出口、技术进出口。</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日，公司主营业务为生产、加工 </w:t>
                        </w:r>
                        <w:r>
                          <w:rPr>
                            <w:rFonts w:ascii="宋体" w:hAnsi="宋体" w:cs="宋体" w:eastAsia="宋体" w:hint="default"/>
                            <w:spacing w:val="-3"/>
                            <w:sz w:val="18"/>
                            <w:szCs w:val="18"/>
                          </w:rPr>
                          <w:t>销售；玩具，塑料制品，五金制品；动漫软件设计、开发、制作；童车、手推车</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婴儿床、学步车、三轮车、婴儿车、行李车、自行车、电动车、摇篮车、摇椅、 儿童摇床；废旧塑料回收、加工；货物进出口、技术进出口；对高新科技项目、 文化产业项目、文化休闲娱乐服务业的投资；对软件业、金融业、租赁和商务服 务业的投资；工业产品设计，多媒体和动漫技术的研发，电子信息技术的应用和 开发；房屋（物业）租赁、机械设备租赁、仪器仪表租赁（法律、行政法规禁止 </w:t>
                        </w:r>
                        <w:r>
                          <w:rPr>
                            <w:rFonts w:ascii="宋体" w:hAnsi="宋体" w:cs="宋体" w:eastAsia="宋体" w:hint="default"/>
                            <w:spacing w:val="-4"/>
                            <w:sz w:val="18"/>
                            <w:szCs w:val="18"/>
                          </w:rPr>
                          <w:t>的项目除外；法律、行政法规限制的项目须取得许可后方可经营）。</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p>
              </w:txbxContent>
            </v:textbox>
            <w10:wrap type="none"/>
          </v:shape>
        </w:pict>
      </w:r>
      <w:r>
        <w:rPr>
          <w:rFonts w:ascii="宋体" w:hAnsi="宋体" w:cs="宋体" w:eastAsia="宋体" w:hint="default"/>
          <w:sz w:val="18"/>
          <w:szCs w:val="18"/>
        </w:rPr>
        <w:t>、</w:t>
      </w:r>
    </w:p>
    <w:p>
      <w:pPr>
        <w:spacing w:before="76"/>
        <w:ind w:left="0" w:right="164"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367" w:lineRule="exact"/>
        <w:ind w:right="0"/>
        <w:jc w:val="left"/>
        <w:rPr>
          <w:b w:val="0"/>
          <w:bCs w:val="0"/>
        </w:rPr>
      </w:pPr>
      <w:r>
        <w:rPr/>
        <w:t>五、其他有关资料</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3"/>
        <w:gridCol w:w="6907"/>
      </w:tblGrid>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深圳市福田区滨河大道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号联合广场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楼</w:t>
            </w: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陈瑜星、方建新</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40"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公司聘请的报告期内履行持续督导职责的财务顾问</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六、主要会计数据和财务指标</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9"/>
        <w:gridCol w:w="1748"/>
        <w:gridCol w:w="1738"/>
        <w:gridCol w:w="1738"/>
        <w:gridCol w:w="1735"/>
      </w:tblGrid>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319,383,875.01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404,163,124.81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500,877,242.70</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18,186,393.35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14,865,866.87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24,470,802.60</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15,304,732.18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14,670,929.55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23,587,550.98</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100,640,651.82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-6,097,695.83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1,750.47%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71,867,490.88</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0.0309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0.0253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0.0416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22"/>
        <w:gridCol w:w="1738"/>
        <w:gridCol w:w="1738"/>
        <w:gridCol w:w="1738"/>
        <w:gridCol w:w="1735"/>
      </w:tblGrid>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0.0309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0.0253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0.0416</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0.39%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2.74%</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961,823,740.96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987,413,485.10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-2.59%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935,674,245.19</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894,773,148.44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903,204,791.29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901,710,416.99</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七、境内外会计准则下会计数据差异</w:t>
      </w:r>
      <w:r>
        <w:rPr>
          <w:b w:val="0"/>
          <w:bCs w:val="0"/>
        </w:rPr>
      </w:r>
    </w:p>
    <w:p>
      <w:pPr>
        <w:spacing w:line="240" w:lineRule="auto" w:before="4"/>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152" w:right="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40" w:lineRule="auto" w:before="0"/>
        <w:ind w:left="152" w:right="16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3"/>
          <w:szCs w:val="13"/>
        </w:rPr>
      </w:pPr>
    </w:p>
    <w:p>
      <w:pPr>
        <w:pStyle w:val="Heading2"/>
        <w:spacing w:line="240" w:lineRule="auto"/>
        <w:ind w:right="0"/>
        <w:jc w:val="left"/>
        <w:rPr>
          <w:b w:val="0"/>
          <w:bCs w:val="0"/>
        </w:rPr>
      </w:pPr>
      <w:r>
        <w:rPr/>
        <w:t>八、分季度主要财务指标</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22"/>
        <w:gridCol w:w="1740"/>
        <w:gridCol w:w="1740"/>
        <w:gridCol w:w="1738"/>
        <w:gridCol w:w="1730"/>
      </w:tblGrid>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70,891,635.08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100,419,124.95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108,029,182.89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40,043,932.09</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4,226,946.10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8,611,175.36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9,596,348.54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-4,248,076.65</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2,185,822.43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8,175,127.58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10,281,772.84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-5,337,990.67</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24,655,192.50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-42,877,168.13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9,069,230.67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109,793,396.78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九、非经常性损益项目及金额</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-35,897.92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-9,301.97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-22,910.10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3,773,244.48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720,857.48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1,035,043.48</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36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243,607.60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-341,156.42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172,315.07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-590,764.55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-110,482.66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-126,623.01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508,528.44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64,979.11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174,573.82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2,881,661.17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194,937.32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883,251.62</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3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3"/>
        <w:ind w:left="152" w:right="13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429" w:right="3490"/>
        <w:jc w:val="center"/>
        <w:rPr>
          <w:b w:val="0"/>
          <w:bCs w:val="0"/>
        </w:rPr>
      </w:pPr>
      <w:bookmarkStart w:name="_bookmark2" w:id="3"/>
      <w:bookmarkEnd w:id="3"/>
      <w:r>
        <w:rPr>
          <w:b w:val="0"/>
          <w:bCs w:val="0"/>
        </w:rPr>
      </w:r>
      <w:r>
        <w:rPr/>
        <w:t>第三节 </w:t>
      </w:r>
      <w:r>
        <w:rPr>
          <w:spacing w:val="7"/>
        </w:rPr>
        <w:t> </w:t>
      </w:r>
      <w:r>
        <w:rPr/>
        <w:t>公司业务概要</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102"/>
        <w:jc w:val="left"/>
        <w:rPr>
          <w:b w:val="0"/>
          <w:bCs w:val="0"/>
        </w:rPr>
      </w:pPr>
      <w:r>
        <w:rPr/>
        <w:t>一、报告期内公司从事的主要业务</w:t>
      </w:r>
      <w:r>
        <w:rPr>
          <w:b w:val="0"/>
          <w:bCs w:val="0"/>
        </w:rPr>
      </w:r>
    </w:p>
    <w:p>
      <w:pPr>
        <w:spacing w:line="240" w:lineRule="auto" w:before="0"/>
        <w:rPr>
          <w:rFonts w:ascii="Microsoft JhengHei" w:hAnsi="Microsoft JhengHei" w:cs="Microsoft JhengHei" w:eastAsia="Microsoft JhengHei" w:hint="default"/>
          <w:b/>
          <w:bCs/>
          <w:sz w:val="17"/>
          <w:szCs w:val="17"/>
        </w:rPr>
      </w:pPr>
    </w:p>
    <w:p>
      <w:pPr>
        <w:pStyle w:val="BodyText"/>
        <w:spacing w:line="268" w:lineRule="auto"/>
        <w:ind w:right="184" w:firstLine="420"/>
        <w:jc w:val="both"/>
      </w:pPr>
      <w:r>
        <w:rPr>
          <w:spacing w:val="-2"/>
        </w:rPr>
        <w:t>公司是国内最大的自主品牌电子电动玩具企业之一，十多年来一直专注于电子电动玩具的研发设计、</w:t>
      </w:r>
      <w:r>
        <w:rPr>
          <w:w w:val="100"/>
        </w:rPr>
        <w:t> </w:t>
      </w:r>
      <w:r>
        <w:rPr>
          <w:spacing w:val="-2"/>
        </w:rPr>
        <w:t>生产及销售业务。公司产品采用业内最先进的电脑加工技术研制开发、生产制造。产品包括童车、电脑学</w:t>
      </w:r>
      <w:r>
        <w:rPr>
          <w:spacing w:val="-47"/>
        </w:rPr>
        <w:t> </w:t>
      </w:r>
      <w:r>
        <w:rPr>
          <w:spacing w:val="-47"/>
        </w:rPr>
      </w:r>
      <w:r>
        <w:rPr/>
        <w:t>习机、电动车、婴童玩具和玩具手机等五大系列。集情感性、竞技性、趣味性、益智性、教育性和</w:t>
      </w:r>
      <w:r>
        <w:rPr>
          <w:rFonts w:ascii="Times New Roman" w:hAnsi="Times New Roman" w:cs="Times New Roman" w:eastAsia="Times New Roman" w:hint="default"/>
        </w:rPr>
        <w:t>“</w:t>
      </w:r>
      <w:r>
        <w:rPr/>
        <w:t>光、</w:t>
      </w:r>
      <w:r>
        <w:rPr>
          <w:spacing w:val="-11"/>
        </w:rPr>
        <w:t> </w:t>
      </w:r>
      <w:r>
        <w:rPr/>
        <w:t>电、声</w:t>
      </w:r>
      <w:r>
        <w:rPr>
          <w:rFonts w:ascii="Times New Roman" w:hAnsi="Times New Roman" w:cs="Times New Roman" w:eastAsia="Times New Roman" w:hint="default"/>
        </w:rPr>
        <w:t>”</w:t>
      </w:r>
      <w:r>
        <w:rPr/>
        <w:t>于一体的创意设计，具有现代风格、时代气息和文化内涵，技术含量高，符合国内外有关质量要</w:t>
      </w:r>
      <w:r>
        <w:rPr>
          <w:spacing w:val="-17"/>
        </w:rPr>
        <w:t> </w:t>
      </w:r>
      <w:r>
        <w:rPr>
          <w:spacing w:val="-17"/>
        </w:rPr>
      </w:r>
      <w:r>
        <w:rPr>
          <w:spacing w:val="-2"/>
        </w:rPr>
        <w:t>求。主要畅销欧美、中东、东南亚以及国内各大中城市。报告期内，公司面对当前传统玩具制造业大环境</w:t>
      </w:r>
      <w:r>
        <w:rPr>
          <w:spacing w:val="-43"/>
        </w:rPr>
        <w:t> </w:t>
      </w:r>
      <w:r>
        <w:rPr>
          <w:spacing w:val="-43"/>
        </w:rPr>
      </w:r>
      <w:r>
        <w:rPr>
          <w:spacing w:val="-2"/>
        </w:rPr>
        <w:t>不景气的环境下，依然专注于电子电动玩具的研发设计、生产及销售业务，继续巩固公司在玩具行业市场</w:t>
      </w:r>
      <w:r>
        <w:rPr>
          <w:spacing w:val="-44"/>
        </w:rPr>
        <w:t> </w:t>
      </w:r>
      <w:r>
        <w:rPr>
          <w:spacing w:val="-44"/>
        </w:rPr>
      </w:r>
      <w:r>
        <w:rPr/>
        <w:t>的地位，通过不断创新、市场分析与敏锐的市场嗅觉，积极调整产品结构，满足市场需求。</w:t>
      </w:r>
    </w:p>
    <w:p>
      <w:pPr>
        <w:pStyle w:val="BodyText"/>
        <w:spacing w:line="273" w:lineRule="auto" w:before="12"/>
        <w:ind w:right="102" w:firstLine="420"/>
        <w:jc w:val="left"/>
      </w:pPr>
      <w:r>
        <w:rPr>
          <w:spacing w:val="-2"/>
        </w:rPr>
        <w:t>面对公司所处的传统劳动密集型产业市场集中度低、竞争激烈，品牌效应不明显，同质化严重，附加</w:t>
      </w:r>
      <w:r>
        <w:rPr>
          <w:w w:val="100"/>
        </w:rPr>
        <w:t> </w:t>
      </w:r>
      <w:r>
        <w:rPr>
          <w:spacing w:val="-2"/>
        </w:rPr>
        <w:t>值较低的不利因素，加之受经济周期下行、人民币升值、原材料和劳动力成本上涨等因素影响，公司利润</w:t>
      </w:r>
      <w:r>
        <w:rPr>
          <w:spacing w:val="-50"/>
        </w:rPr>
        <w:t> </w:t>
      </w:r>
      <w:r>
        <w:rPr>
          <w:spacing w:val="-50"/>
        </w:rPr>
      </w:r>
      <w:r>
        <w:rPr>
          <w:spacing w:val="-5"/>
        </w:rPr>
        <w:t>空间不断受到挤压，报告期内，公司坚定积极升级转型的战略布局，拟通过资产重组，引入盈利能力较强、</w:t>
      </w:r>
      <w:r>
        <w:rPr>
          <w:spacing w:val="-13"/>
        </w:rPr>
        <w:t> </w:t>
      </w:r>
      <w:r>
        <w:rPr>
          <w:spacing w:val="-13"/>
        </w:rPr>
      </w:r>
      <w:r>
        <w:rPr/>
        <w:t>具有更大发展潜力和更具市场竞争力的优质企业，通过业务转型提升公司的持续盈利能力和抗风险能力，</w:t>
      </w:r>
      <w:r>
        <w:rPr>
          <w:w w:val="100"/>
        </w:rPr>
        <w:t> </w:t>
      </w:r>
      <w:r>
        <w:rPr/>
        <w:t>提高股东回报。</w:t>
      </w:r>
    </w:p>
    <w:p>
      <w:pPr>
        <w:spacing w:line="240" w:lineRule="auto" w:before="10"/>
        <w:rPr>
          <w:rFonts w:ascii="宋体" w:hAnsi="宋体" w:cs="宋体" w:eastAsia="宋体" w:hint="default"/>
          <w:sz w:val="15"/>
          <w:szCs w:val="15"/>
        </w:rPr>
      </w:pPr>
    </w:p>
    <w:p>
      <w:pPr>
        <w:pStyle w:val="Heading2"/>
        <w:spacing w:line="240" w:lineRule="auto"/>
        <w:ind w:right="102"/>
        <w:jc w:val="left"/>
        <w:rPr>
          <w:b w:val="0"/>
          <w:bCs w:val="0"/>
        </w:rPr>
      </w:pPr>
      <w:r>
        <w:rPr/>
        <w:t>二、主要资产重大变化情况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102"/>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3051"/>
        <w:gridCol w:w="6518"/>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报告期内，公司股权资产未发生重大变化。</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报告期内，公司固定资产未发生重大变化。</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报告期内，公司无形资产未发生重大变化。</w:t>
            </w:r>
          </w:p>
        </w:tc>
      </w:tr>
      <w:tr>
        <w:trPr>
          <w:trHeight w:val="40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报告期内，公司在建工程未发生重大变化。</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102"/>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102"/>
        <w:jc w:val="left"/>
        <w:rPr>
          <w:b w:val="0"/>
          <w:bCs w:val="0"/>
        </w:rPr>
      </w:pPr>
      <w:r>
        <w:rPr/>
        <w:t>三、核心竞争力分析</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56" w:lineRule="auto"/>
        <w:ind w:left="573" w:right="102"/>
        <w:jc w:val="left"/>
      </w:pPr>
      <w:r>
        <w:rPr>
          <w:rFonts w:ascii="Times New Roman" w:hAnsi="Times New Roman" w:cs="Times New Roman" w:eastAsia="Times New Roman" w:hint="default"/>
        </w:rPr>
        <w:t>1</w:t>
      </w:r>
      <w:r>
        <w:rPr/>
        <w:t>、较为突出的行业地位及较高的市场占有率</w:t>
      </w:r>
      <w:r>
        <w:rPr>
          <w:w w:val="100"/>
        </w:rPr>
        <w:t> </w:t>
      </w:r>
      <w:r>
        <w:rPr>
          <w:spacing w:val="-2"/>
        </w:rPr>
        <w:t>公司十多年来专注于电子电动玩具研发设计、生产和销售，始终坚持以自主品牌对外销售，是国内最</w:t>
      </w:r>
    </w:p>
    <w:p>
      <w:pPr>
        <w:pStyle w:val="BodyText"/>
        <w:spacing w:line="256" w:lineRule="auto" w:before="22"/>
        <w:ind w:left="573" w:right="102" w:hanging="421"/>
        <w:jc w:val="left"/>
      </w:pPr>
      <w:r>
        <w:rPr/>
        <w:t>大的自主品牌电子电动玩具企业之一，是</w:t>
      </w:r>
      <w:r>
        <w:rPr>
          <w:rFonts w:ascii="Times New Roman" w:hAnsi="Times New Roman" w:cs="Times New Roman" w:eastAsia="Times New Roman" w:hint="default"/>
        </w:rPr>
        <w:t>“</w:t>
      </w:r>
      <w:r>
        <w:rPr/>
        <w:t>广东省制造业百强企业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广东省企业</w:t>
      </w:r>
      <w:r>
        <w:rPr>
          <w:rFonts w:ascii="Times New Roman" w:hAnsi="Times New Roman" w:cs="Times New Roman" w:eastAsia="Times New Roman" w:hint="default"/>
        </w:rPr>
        <w:t>500</w:t>
      </w:r>
      <w:r>
        <w:rPr/>
        <w:t>强</w:t>
      </w:r>
      <w:r>
        <w:rPr>
          <w:rFonts w:ascii="Times New Roman" w:hAnsi="Times New Roman" w:cs="Times New Roman" w:eastAsia="Times New Roman" w:hint="default"/>
        </w:rPr>
        <w:t>”</w:t>
      </w:r>
      <w:r>
        <w:rPr/>
        <w:t>。</w:t>
      </w:r>
      <w:r>
        <w:rPr>
          <w:w w:val="100"/>
        </w:rPr>
        <w:t> </w:t>
      </w:r>
      <w:r>
        <w:rPr>
          <w:rFonts w:ascii="Times New Roman" w:hAnsi="Times New Roman" w:cs="Times New Roman" w:eastAsia="Times New Roman" w:hint="default"/>
        </w:rPr>
        <w:t>2</w:t>
      </w:r>
      <w:r>
        <w:rPr/>
        <w:t>、优秀的技术开发能力</w:t>
      </w:r>
      <w:r>
        <w:rPr>
          <w:w w:val="100"/>
        </w:rPr>
        <w:t> </w:t>
      </w:r>
      <w:r>
        <w:rPr/>
        <w:t>公司重视研发投入，报告期研发费用占公司主营业务收入为</w:t>
      </w:r>
      <w:r>
        <w:rPr>
          <w:rFonts w:ascii="Times New Roman" w:hAnsi="Times New Roman" w:cs="Times New Roman" w:eastAsia="Times New Roman" w:hint="default"/>
        </w:rPr>
        <w:t>3.78%</w:t>
      </w:r>
      <w:r>
        <w:rPr/>
        <w:t>，致力于自主品牌电子电动玩具的</w:t>
      </w:r>
    </w:p>
    <w:p>
      <w:pPr>
        <w:pStyle w:val="BodyText"/>
        <w:spacing w:line="273" w:lineRule="auto" w:before="5"/>
        <w:ind w:right="102"/>
        <w:jc w:val="left"/>
      </w:pPr>
      <w:r>
        <w:rPr>
          <w:spacing w:val="-2"/>
        </w:rPr>
        <w:t>研发、生产和销售，产品主要品类有童车、电脑学习机、婴童玩具、电动车等，每个品类包含多个款式及</w:t>
      </w:r>
      <w:r>
        <w:rPr>
          <w:spacing w:val="-42"/>
        </w:rPr>
        <w:t> </w:t>
      </w:r>
      <w:r>
        <w:rPr>
          <w:spacing w:val="-42"/>
        </w:rPr>
      </w:r>
      <w:r>
        <w:rPr>
          <w:spacing w:val="-2"/>
        </w:rPr>
        <w:t>规格。公司的自主研发设计与模具制造优势保证公司的产品创新性与质量处于国内领先水平，使公司能够</w:t>
      </w:r>
    </w:p>
    <w:p>
      <w:pPr>
        <w:spacing w:after="0" w:line="273"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BodyText"/>
        <w:spacing w:line="240" w:lineRule="auto" w:before="36"/>
        <w:ind w:right="0"/>
        <w:jc w:val="both"/>
      </w:pPr>
      <w:r>
        <w:rPr/>
        <w:t>针对国内外不同地域消费市场的需求，快速设计并制造出系列化的产品。</w:t>
      </w:r>
    </w:p>
    <w:p>
      <w:pPr>
        <w:pStyle w:val="BodyText"/>
        <w:spacing w:line="256" w:lineRule="auto" w:before="37"/>
        <w:ind w:left="573" w:right="102"/>
        <w:jc w:val="left"/>
      </w:pPr>
      <w:r>
        <w:rPr>
          <w:rFonts w:ascii="Times New Roman" w:hAnsi="Times New Roman" w:cs="Times New Roman" w:eastAsia="Times New Roman" w:hint="default"/>
        </w:rPr>
        <w:t>3</w:t>
      </w:r>
      <w:r>
        <w:rPr/>
        <w:t>、自主品牌优势</w:t>
      </w:r>
      <w:r>
        <w:rPr>
          <w:w w:val="100"/>
        </w:rPr>
        <w:t> </w:t>
      </w:r>
      <w:r>
        <w:rPr>
          <w:spacing w:val="-3"/>
        </w:rPr>
        <w:t>公司所有产品均使用</w:t>
      </w:r>
      <w:r>
        <w:rPr>
          <w:rFonts w:ascii="Times New Roman" w:hAnsi="Times New Roman" w:cs="Times New Roman" w:eastAsia="Times New Roman" w:hint="default"/>
          <w:spacing w:val="-3"/>
        </w:rPr>
        <w:t>“QUNXING”</w:t>
      </w:r>
      <w:r>
        <w:rPr>
          <w:spacing w:val="-3"/>
        </w:rPr>
        <w:t>品牌进行销售，经过多年自主品牌的市场开拓，公司产品在经销商、</w:t>
      </w:r>
    </w:p>
    <w:p>
      <w:pPr>
        <w:pStyle w:val="BodyText"/>
        <w:spacing w:line="240" w:lineRule="auto" w:before="5"/>
        <w:ind w:right="0"/>
        <w:jc w:val="both"/>
      </w:pPr>
      <w:r>
        <w:rPr/>
        <w:t>零售商和消费者中形成较高的影响力和认知度。</w:t>
      </w:r>
    </w:p>
    <w:p>
      <w:pPr>
        <w:pStyle w:val="BodyText"/>
        <w:spacing w:line="256" w:lineRule="auto" w:before="37"/>
        <w:ind w:left="573" w:right="102"/>
        <w:jc w:val="left"/>
      </w:pPr>
      <w:r>
        <w:rPr>
          <w:rFonts w:ascii="Times New Roman" w:hAnsi="Times New Roman" w:cs="Times New Roman" w:eastAsia="Times New Roman" w:hint="default"/>
        </w:rPr>
        <w:t>4</w:t>
      </w:r>
      <w:r>
        <w:rPr/>
        <w:t>、优良的产品品质及均衡的产品结构</w:t>
      </w:r>
      <w:r>
        <w:rPr>
          <w:w w:val="100"/>
        </w:rPr>
        <w:t> </w:t>
      </w:r>
      <w:r>
        <w:rPr>
          <w:spacing w:val="-2"/>
        </w:rPr>
        <w:t>多年来，公司产品质量稳定，品质优良。公司通过了</w:t>
      </w:r>
      <w:r>
        <w:rPr>
          <w:rFonts w:ascii="Times New Roman" w:hAnsi="Times New Roman" w:cs="Times New Roman" w:eastAsia="Times New Roman" w:hint="default"/>
          <w:spacing w:val="-2"/>
        </w:rPr>
        <w:t>ISO9001:2000</w:t>
      </w:r>
      <w:r>
        <w:rPr>
          <w:spacing w:val="-2"/>
        </w:rPr>
        <w:t>质量体系认证以及国际玩具协会针</w:t>
      </w:r>
    </w:p>
    <w:p>
      <w:pPr>
        <w:pStyle w:val="BodyText"/>
        <w:spacing w:line="256" w:lineRule="auto" w:before="5"/>
        <w:ind w:right="208"/>
        <w:jc w:val="both"/>
      </w:pPr>
      <w:r>
        <w:rPr>
          <w:spacing w:val="-3"/>
        </w:rPr>
        <w:t>对玩具生产企业的商业行为认证，所有产品均通过</w:t>
      </w:r>
      <w:r>
        <w:rPr>
          <w:rFonts w:ascii="Times New Roman" w:hAnsi="Times New Roman" w:cs="Times New Roman" w:eastAsia="Times New Roman" w:hint="default"/>
          <w:spacing w:val="-3"/>
        </w:rPr>
        <w:t>“3C”</w:t>
      </w:r>
      <w:r>
        <w:rPr>
          <w:spacing w:val="-3"/>
        </w:rPr>
        <w:t>认证，电动童车等多款产品已经通过国家标准管理</w:t>
      </w:r>
      <w:r>
        <w:rPr>
          <w:spacing w:val="-4"/>
        </w:rPr>
        <w:t> </w:t>
      </w:r>
      <w:r>
        <w:rPr>
          <w:spacing w:val="-4"/>
        </w:rPr>
      </w:r>
      <w:r>
        <w:rPr/>
        <w:t>委员会、广东省质量技术监督局的企业认证，获得</w:t>
      </w:r>
      <w:r>
        <w:rPr>
          <w:rFonts w:ascii="Times New Roman" w:hAnsi="Times New Roman" w:cs="Times New Roman" w:eastAsia="Times New Roman" w:hint="default"/>
        </w:rPr>
        <w:t>“</w:t>
      </w:r>
      <w:r>
        <w:rPr/>
        <w:t>采用国际标准产品标志证书</w:t>
      </w:r>
      <w:r>
        <w:rPr>
          <w:rFonts w:ascii="Times New Roman" w:hAnsi="Times New Roman" w:cs="Times New Roman" w:eastAsia="Times New Roman" w:hint="default"/>
        </w:rPr>
        <w:t>”</w:t>
      </w:r>
      <w:r>
        <w:rPr/>
        <w:t>。</w:t>
      </w:r>
    </w:p>
    <w:p>
      <w:pPr>
        <w:pStyle w:val="BodyText"/>
        <w:spacing w:line="256" w:lineRule="auto" w:before="5"/>
        <w:ind w:left="573" w:right="102"/>
        <w:jc w:val="left"/>
      </w:pPr>
      <w:r>
        <w:rPr>
          <w:rFonts w:ascii="Times New Roman" w:hAnsi="Times New Roman" w:cs="Times New Roman" w:eastAsia="Times New Roman" w:hint="default"/>
        </w:rPr>
        <w:t>5</w:t>
      </w:r>
      <w:r>
        <w:rPr/>
        <w:t>、重大资产重组拟收购</w:t>
      </w:r>
      <w:r>
        <w:rPr>
          <w:rFonts w:ascii="Times New Roman" w:hAnsi="Times New Roman" w:cs="Times New Roman" w:eastAsia="Times New Roman" w:hint="default"/>
        </w:rPr>
        <w:t>100%</w:t>
      </w:r>
      <w:r>
        <w:rPr/>
        <w:t>股权三洲核能的核心竞争力</w:t>
      </w:r>
      <w:r>
        <w:rPr>
          <w:w w:val="100"/>
        </w:rPr>
        <w:t> </w:t>
      </w:r>
      <w:r>
        <w:rPr>
          <w:spacing w:val="-2"/>
        </w:rPr>
        <w:t>三洲核能自成立以来一直服务于核电、军工、石化等行业，是业内大型骨干企业，主要产品包括核电</w:t>
      </w:r>
    </w:p>
    <w:p>
      <w:pPr>
        <w:pStyle w:val="BodyText"/>
        <w:spacing w:line="273" w:lineRule="auto" w:before="23"/>
        <w:ind w:left="573" w:right="102" w:hanging="421"/>
        <w:jc w:val="left"/>
      </w:pPr>
      <w:r>
        <w:rPr/>
        <w:t>主管道、军用产品、民用管道设备及管配件。</w:t>
      </w:r>
      <w:r>
        <w:rPr>
          <w:w w:val="100"/>
        </w:rPr>
        <w:t> </w:t>
      </w:r>
      <w:r>
        <w:rPr>
          <w:spacing w:val="-2"/>
        </w:rPr>
        <w:t>三洲核能在核电军用设备研发和制造行业创下了</w:t>
      </w:r>
      <w:r>
        <w:rPr>
          <w:rFonts w:ascii="Times New Roman" w:hAnsi="Times New Roman" w:cs="Times New Roman" w:eastAsia="Times New Roman" w:hint="default"/>
          <w:spacing w:val="-2"/>
        </w:rPr>
        <w:t>“</w:t>
      </w:r>
      <w:r>
        <w:rPr>
          <w:spacing w:val="-2"/>
        </w:rPr>
        <w:t>四个国内第一</w:t>
      </w:r>
      <w:r>
        <w:rPr>
          <w:rFonts w:ascii="Times New Roman" w:hAnsi="Times New Roman" w:cs="Times New Roman" w:eastAsia="Times New Roman" w:hint="default"/>
          <w:spacing w:val="-2"/>
        </w:rPr>
        <w:t>”</w:t>
      </w:r>
      <w:r>
        <w:rPr>
          <w:spacing w:val="-2"/>
        </w:rPr>
        <w:t>的业绩，即：国内第一家获得《民用</w:t>
      </w:r>
    </w:p>
    <w:p>
      <w:pPr>
        <w:pStyle w:val="BodyText"/>
        <w:spacing w:line="266" w:lineRule="auto"/>
        <w:ind w:right="185"/>
        <w:jc w:val="both"/>
      </w:pPr>
      <w:r>
        <w:rPr>
          <w:spacing w:val="-2"/>
        </w:rPr>
        <w:t>核安全设备制造许可证》从而具有核电站主管道制造资格的企业、国内第一家实现百万千瓦级核电站主管</w:t>
      </w:r>
      <w:r>
        <w:rPr>
          <w:spacing w:val="-42"/>
        </w:rPr>
        <w:t> </w:t>
      </w:r>
      <w:r>
        <w:rPr>
          <w:spacing w:val="-42"/>
        </w:rPr>
      </w:r>
      <w:r>
        <w:rPr>
          <w:spacing w:val="-2"/>
        </w:rPr>
        <w:t>道成套生产和预制从而成为国内第一家实现核电站主管道国产化并具有成套核电主管道制造业绩的企业、</w:t>
      </w:r>
      <w:r>
        <w:rPr>
          <w:spacing w:val="-21"/>
        </w:rPr>
        <w:t> </w:t>
      </w:r>
      <w:r>
        <w:rPr>
          <w:spacing w:val="-21"/>
        </w:rPr>
      </w:r>
      <w:r>
        <w:rPr/>
        <w:t>国内第一家能够按照美国</w:t>
      </w:r>
      <w:r>
        <w:rPr>
          <w:rFonts w:ascii="Times New Roman" w:hAnsi="Times New Roman" w:cs="Times New Roman" w:eastAsia="Times New Roman" w:hint="default"/>
        </w:rPr>
        <w:t>ASME</w:t>
      </w:r>
      <w:r>
        <w:rPr/>
        <w:t>标准和法国</w:t>
      </w:r>
      <w:r>
        <w:rPr>
          <w:rFonts w:ascii="Times New Roman" w:hAnsi="Times New Roman" w:cs="Times New Roman" w:eastAsia="Times New Roman" w:hint="default"/>
        </w:rPr>
        <w:t>RCC-M</w:t>
      </w:r>
      <w:r>
        <w:rPr/>
        <w:t>标准进行生产并成为国内第一家实现核电站主管道</w:t>
      </w:r>
      <w:r>
        <w:rPr>
          <w:rFonts w:ascii="Times New Roman" w:hAnsi="Times New Roman" w:cs="Times New Roman" w:eastAsia="Times New Roman" w:hint="default"/>
        </w:rPr>
        <w:t>“</w:t>
      </w:r>
      <w:r>
        <w:rPr/>
        <w:t>走</w:t>
      </w:r>
      <w:r>
        <w:rPr>
          <w:spacing w:val="-17"/>
        </w:rPr>
        <w:t> </w:t>
      </w:r>
      <w:r>
        <w:rPr/>
        <w:t>出去</w:t>
      </w:r>
      <w:r>
        <w:rPr>
          <w:rFonts w:ascii="Times New Roman" w:hAnsi="Times New Roman" w:cs="Times New Roman" w:eastAsia="Times New Roman" w:hint="default"/>
        </w:rPr>
        <w:t>”</w:t>
      </w:r>
      <w:r>
        <w:rPr/>
        <w:t>的企业、国内第一家攻克某军用关键设备难题并成为某军用产品唯一合格供应商的企业。</w:t>
      </w:r>
    </w:p>
    <w:p>
      <w:pPr>
        <w:pStyle w:val="BodyText"/>
        <w:spacing w:line="261" w:lineRule="auto"/>
        <w:ind w:right="206" w:firstLine="420"/>
        <w:jc w:val="both"/>
      </w:pPr>
      <w:r>
        <w:rPr>
          <w:spacing w:val="-4"/>
        </w:rPr>
        <w:t>三洲核能拥有国家核安全一级</w:t>
      </w:r>
      <w:r>
        <w:rPr>
          <w:rFonts w:ascii="Times New Roman" w:hAnsi="Times New Roman" w:cs="Times New Roman" w:eastAsia="Times New Roman" w:hint="default"/>
          <w:spacing w:val="-4"/>
        </w:rPr>
        <w:t>1000MW</w:t>
      </w:r>
      <w:r>
        <w:rPr>
          <w:spacing w:val="-4"/>
        </w:rPr>
        <w:t>压水堆核电厂主管道、核安全一</w:t>
      </w:r>
      <w:r>
        <w:rPr>
          <w:rFonts w:ascii="Times New Roman" w:hAnsi="Times New Roman" w:cs="Times New Roman" w:eastAsia="Times New Roman" w:hint="default"/>
          <w:spacing w:val="-4"/>
        </w:rPr>
        <w:t>/</w:t>
      </w:r>
      <w:r>
        <w:rPr>
          <w:spacing w:val="-4"/>
        </w:rPr>
        <w:t>二</w:t>
      </w:r>
      <w:r>
        <w:rPr>
          <w:rFonts w:ascii="Times New Roman" w:hAnsi="Times New Roman" w:cs="Times New Roman" w:eastAsia="Times New Roman" w:hint="default"/>
          <w:spacing w:val="-4"/>
        </w:rPr>
        <w:t>/</w:t>
      </w:r>
      <w:r>
        <w:rPr>
          <w:spacing w:val="-4"/>
        </w:rPr>
        <w:t>三级管件锻件、核安全三级</w:t>
      </w:r>
      <w:r>
        <w:rPr>
          <w:w w:val="100"/>
        </w:rPr>
        <w:t> </w:t>
      </w:r>
      <w:r>
        <w:rPr>
          <w:spacing w:val="-2"/>
        </w:rPr>
        <w:t>压力容器制造资格许可证，拥有多项国家发明专利技术，承接了国内二代和二代半核反应堆近</w:t>
      </w:r>
      <w:r>
        <w:rPr>
          <w:rFonts w:ascii="Times New Roman" w:hAnsi="Times New Roman" w:cs="Times New Roman" w:eastAsia="Times New Roman" w:hint="default"/>
          <w:spacing w:val="-2"/>
        </w:rPr>
        <w:t>60%</w:t>
      </w:r>
      <w:r>
        <w:rPr>
          <w:spacing w:val="-2"/>
        </w:rPr>
        <w:t>的主管</w:t>
      </w:r>
      <w:r>
        <w:rPr>
          <w:spacing w:val="-5"/>
        </w:rPr>
        <w:t> </w:t>
      </w:r>
      <w:r>
        <w:rPr>
          <w:spacing w:val="-5"/>
        </w:rPr>
      </w:r>
      <w:r>
        <w:rPr>
          <w:spacing w:val="-2"/>
        </w:rPr>
        <w:t>道订单，现已成功交付</w:t>
      </w:r>
      <w:r>
        <w:rPr>
          <w:rFonts w:ascii="Times New Roman" w:hAnsi="Times New Roman" w:cs="Times New Roman" w:eastAsia="Times New Roman" w:hint="default"/>
          <w:spacing w:val="-2"/>
        </w:rPr>
        <w:t>15</w:t>
      </w:r>
      <w:r>
        <w:rPr>
          <w:spacing w:val="-2"/>
        </w:rPr>
        <w:t>套机组的核岛主管道（含预制）。三洲核能先后获得了</w:t>
      </w:r>
      <w:r>
        <w:rPr>
          <w:rFonts w:ascii="Times New Roman" w:hAnsi="Times New Roman" w:cs="Times New Roman" w:eastAsia="Times New Roman" w:hint="default"/>
          <w:spacing w:val="-2"/>
        </w:rPr>
        <w:t>“</w:t>
      </w:r>
      <w:r>
        <w:rPr>
          <w:spacing w:val="-2"/>
        </w:rPr>
        <w:t>九五</w:t>
      </w:r>
      <w:r>
        <w:rPr>
          <w:rFonts w:ascii="Times New Roman" w:hAnsi="Times New Roman" w:cs="Times New Roman" w:eastAsia="Times New Roman" w:hint="default"/>
          <w:spacing w:val="-2"/>
        </w:rPr>
        <w:t>”</w:t>
      </w:r>
      <w:r>
        <w:rPr>
          <w:spacing w:val="-2"/>
        </w:rPr>
        <w:t>国家重点科技攻关</w:t>
      </w:r>
      <w:r>
        <w:rPr>
          <w:spacing w:val="-14"/>
        </w:rPr>
        <w:t> </w:t>
      </w:r>
      <w:r>
        <w:rPr>
          <w:spacing w:val="-14"/>
        </w:rPr>
      </w:r>
      <w:r>
        <w:rPr>
          <w:spacing w:val="-2"/>
        </w:rPr>
        <w:t>计划（重大装备）优秀技术成果奖、国家科技进步二等奖、四川省科技进步一等奖、四川省高新技术创新</w:t>
      </w:r>
      <w:r>
        <w:rPr>
          <w:spacing w:val="-43"/>
        </w:rPr>
        <w:t> </w:t>
      </w:r>
      <w:r>
        <w:rPr>
          <w:spacing w:val="-43"/>
        </w:rPr>
      </w:r>
      <w:r>
        <w:rPr/>
        <w:t>产品、四川省高新技术企业、三级保密证书、军工质量认证体系证书等多项荣誉和证书。</w:t>
      </w:r>
    </w:p>
    <w:p>
      <w:pPr>
        <w:pStyle w:val="BodyText"/>
        <w:spacing w:line="273" w:lineRule="auto" w:before="18"/>
        <w:ind w:right="206" w:firstLine="420"/>
        <w:jc w:val="both"/>
      </w:pPr>
      <w:r>
        <w:rPr>
          <w:spacing w:val="-2"/>
        </w:rPr>
        <w:t>在国家重启核电的大背景下，三洲核能紧跟行业发展，同时采取改进型传统工艺和研发创新工艺推进</w:t>
      </w:r>
      <w:r>
        <w:rPr>
          <w:w w:val="100"/>
        </w:rPr>
        <w:t> </w:t>
      </w:r>
      <w:r>
        <w:rPr>
          <w:spacing w:val="-2"/>
        </w:rPr>
        <w:t>三代核电主管道的研发和制造。三洲核能熟练掌握冶炼关键技术工艺和锻造核心技术工艺，在二代、二代</w:t>
      </w:r>
      <w:r>
        <w:rPr>
          <w:spacing w:val="-44"/>
        </w:rPr>
        <w:t> </w:t>
      </w:r>
      <w:r>
        <w:rPr>
          <w:spacing w:val="-44"/>
        </w:rPr>
      </w:r>
      <w:r>
        <w:rPr>
          <w:spacing w:val="-2"/>
        </w:rPr>
        <w:t>半核电主管道工艺基础上进行改进，采取实心电渣重熔钢锭在镦粗之后进行穿孔并空心锻造，与目前行业</w:t>
      </w:r>
      <w:r>
        <w:rPr>
          <w:spacing w:val="-43"/>
        </w:rPr>
        <w:t> </w:t>
      </w:r>
      <w:r>
        <w:rPr>
          <w:spacing w:val="-43"/>
        </w:rPr>
      </w:r>
      <w:r>
        <w:rPr>
          <w:spacing w:val="-2"/>
        </w:rPr>
        <w:t>内广泛采用的电渣重熔实心锭实心锻造相比，能够减少能耗、减少机加工时间和降低制造成本。同时，三</w:t>
      </w:r>
      <w:r>
        <w:rPr>
          <w:spacing w:val="-47"/>
        </w:rPr>
        <w:t> </w:t>
      </w:r>
      <w:r>
        <w:rPr>
          <w:spacing w:val="-47"/>
        </w:rPr>
      </w:r>
      <w:r>
        <w:rPr>
          <w:spacing w:val="-2"/>
        </w:rPr>
        <w:t>洲核能与钢铁研究总院合作开发用于三代主管道的离心浇注技术，并独创空心管轴向锻造技术，并获得国</w:t>
      </w:r>
      <w:r>
        <w:rPr>
          <w:spacing w:val="-42"/>
        </w:rPr>
        <w:t> </w:t>
      </w:r>
      <w:r>
        <w:rPr>
          <w:spacing w:val="-42"/>
        </w:rPr>
      </w:r>
      <w:r>
        <w:rPr>
          <w:spacing w:val="-2"/>
        </w:rPr>
        <w:t>家发明专利授权。创新工艺与三代核电主管道的传统工艺相比，能有效解决锻造过程中出现的由于锻不透</w:t>
      </w:r>
      <w:r>
        <w:rPr>
          <w:spacing w:val="-44"/>
        </w:rPr>
        <w:t> </w:t>
      </w:r>
      <w:r>
        <w:rPr>
          <w:spacing w:val="-44"/>
        </w:rPr>
      </w:r>
      <w:r>
        <w:rPr/>
        <w:t>及加热时间过长导致晶粒度不达标的问题，降低核电设备运行风险，并有效降低制造成本。</w:t>
      </w:r>
    </w:p>
    <w:p>
      <w:pPr>
        <w:pStyle w:val="BodyText"/>
        <w:spacing w:line="256" w:lineRule="auto" w:before="7"/>
        <w:ind w:right="206" w:firstLine="420"/>
        <w:jc w:val="both"/>
      </w:pPr>
      <w:r>
        <w:rPr>
          <w:spacing w:val="-2"/>
        </w:rPr>
        <w:t>在国内核电机组加速建设和</w:t>
      </w:r>
      <w:r>
        <w:rPr>
          <w:rFonts w:ascii="Times New Roman" w:hAnsi="Times New Roman" w:cs="Times New Roman" w:eastAsia="Times New Roman" w:hint="default"/>
          <w:spacing w:val="-2"/>
        </w:rPr>
        <w:t>“</w:t>
      </w:r>
      <w:r>
        <w:rPr>
          <w:spacing w:val="-2"/>
        </w:rPr>
        <w:t>一带一路</w:t>
      </w:r>
      <w:r>
        <w:rPr>
          <w:rFonts w:ascii="Times New Roman" w:hAnsi="Times New Roman" w:cs="Times New Roman" w:eastAsia="Times New Roman" w:hint="default"/>
          <w:spacing w:val="-2"/>
        </w:rPr>
        <w:t>”</w:t>
      </w:r>
      <w:r>
        <w:rPr>
          <w:spacing w:val="-2"/>
        </w:rPr>
        <w:t>战略的推动下，我国核电市场迎来快速发展机遇。三洲核能将</w:t>
      </w:r>
      <w:r>
        <w:rPr>
          <w:w w:val="100"/>
        </w:rPr>
        <w:t> </w:t>
      </w:r>
      <w:r>
        <w:rPr/>
        <w:t>抓住历史机遇，通过过硬的技术和产品质量占领市场，具有良好的发展前景和较强的持续盈利能力。</w:t>
      </w:r>
    </w:p>
    <w:p>
      <w:pPr>
        <w:pStyle w:val="BodyText"/>
        <w:spacing w:line="273" w:lineRule="auto" w:before="23"/>
        <w:ind w:right="206" w:firstLine="420"/>
        <w:jc w:val="both"/>
      </w:pPr>
      <w:r>
        <w:rPr>
          <w:spacing w:val="-2"/>
        </w:rPr>
        <w:t>公司抓住中国经济转型升级的重要机遇，积极探索并购机会，拟借助资本市场并购优质企业迅速提高</w:t>
      </w:r>
      <w:r>
        <w:rPr>
          <w:w w:val="100"/>
        </w:rPr>
        <w:t> </w:t>
      </w:r>
      <w:r>
        <w:rPr/>
        <w:t>公司盈利水平和综合实力，促进上市公司业绩持续增长，为股东创造更大价值。</w:t>
      </w:r>
    </w:p>
    <w:p>
      <w:pPr>
        <w:spacing w:after="0" w:line="273" w:lineRule="auto"/>
        <w:jc w:val="both"/>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456" w:lineRule="exact"/>
        <w:ind w:left="3125" w:right="102"/>
        <w:jc w:val="left"/>
        <w:rPr>
          <w:b w:val="0"/>
          <w:bCs w:val="0"/>
        </w:rPr>
      </w:pPr>
      <w:bookmarkStart w:name="_bookmark3" w:id="4"/>
      <w:bookmarkEnd w:id="4"/>
      <w:r>
        <w:rPr>
          <w:b w:val="0"/>
          <w:bCs w:val="0"/>
        </w:rPr>
      </w:r>
      <w:r>
        <w:rPr/>
        <w:t>第四节 </w:t>
      </w:r>
      <w:r>
        <w:rPr>
          <w:spacing w:val="10"/>
        </w:rPr>
        <w:t> </w:t>
      </w:r>
      <w:r>
        <w:rPr/>
        <w:t>管理层讨论与分析</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2"/>
        <w:spacing w:line="367" w:lineRule="exact"/>
        <w:ind w:right="0"/>
        <w:jc w:val="both"/>
        <w:rPr>
          <w:b w:val="0"/>
          <w:bCs w:val="0"/>
        </w:rPr>
      </w:pPr>
      <w:r>
        <w:rPr/>
        <w:t>一、概述</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68" w:lineRule="auto"/>
        <w:ind w:right="184" w:firstLine="420"/>
        <w:jc w:val="both"/>
      </w:pPr>
      <w:r>
        <w:rPr>
          <w:rFonts w:ascii="Times New Roman" w:hAnsi="Times New Roman" w:cs="Times New Roman" w:eastAsia="Times New Roman" w:hint="default"/>
          <w:spacing w:val="-2"/>
        </w:rPr>
        <w:t>2015</w:t>
      </w:r>
      <w:r>
        <w:rPr>
          <w:spacing w:val="-2"/>
        </w:rPr>
        <w:t>年，公司所处的玩具制造业仍处于低速增长阶段，一方面，近年国外玩具安全和环保标准的提高</w:t>
      </w:r>
      <w:r>
        <w:rPr>
          <w:w w:val="100"/>
        </w:rPr>
        <w:t> </w:t>
      </w:r>
      <w:r>
        <w:rPr>
          <w:spacing w:val="-2"/>
        </w:rPr>
        <w:t>加重了国内出口企业的检测成本，成本上升对利润空间微薄的小型加工制造企业造成了严重的冲击。另一</w:t>
      </w:r>
      <w:r>
        <w:rPr>
          <w:spacing w:val="-43"/>
        </w:rPr>
        <w:t> </w:t>
      </w:r>
      <w:r>
        <w:rPr>
          <w:spacing w:val="-43"/>
        </w:rPr>
      </w:r>
      <w:r>
        <w:rPr>
          <w:spacing w:val="-2"/>
        </w:rPr>
        <w:t>方面，以出口为主的企业同时面临国内原材料和劳动力成本上涨的压力。内外交困使部分风险承受能力较</w:t>
      </w:r>
      <w:r>
        <w:rPr>
          <w:spacing w:val="-43"/>
        </w:rPr>
        <w:t> </w:t>
      </w:r>
      <w:r>
        <w:rPr>
          <w:spacing w:val="-43"/>
        </w:rPr>
      </w:r>
      <w:r>
        <w:rPr>
          <w:spacing w:val="-2"/>
        </w:rPr>
        <w:t>弱的中小企业面临出局的困境。尽管国内市场具备多种有利因素，但多年以出口为主造成行业大多数企业</w:t>
      </w:r>
      <w:r>
        <w:rPr>
          <w:spacing w:val="-42"/>
        </w:rPr>
        <w:t> </w:t>
      </w:r>
      <w:r>
        <w:rPr>
          <w:spacing w:val="-42"/>
        </w:rPr>
      </w:r>
      <w:r>
        <w:rPr>
          <w:spacing w:val="-2"/>
        </w:rPr>
        <w:t>国内渠道建设基础较差，加上国内消费者对玩具品牌较为敏感，国内市场被大型品牌所占据，许多中小企</w:t>
      </w:r>
      <w:r>
        <w:rPr>
          <w:spacing w:val="-43"/>
        </w:rPr>
        <w:t> </w:t>
      </w:r>
      <w:r>
        <w:rPr>
          <w:spacing w:val="-43"/>
        </w:rPr>
      </w:r>
      <w:r>
        <w:rPr>
          <w:spacing w:val="-2"/>
        </w:rPr>
        <w:t>业并不具备渠道和品牌两大在国内市场十分重要的竞争要素。因此，随着市场竞争的加剧，这部分企业将</w:t>
      </w:r>
      <w:r>
        <w:rPr>
          <w:spacing w:val="-44"/>
        </w:rPr>
        <w:t> </w:t>
      </w:r>
      <w:r>
        <w:rPr>
          <w:spacing w:val="-44"/>
        </w:rPr>
      </w:r>
      <w:r>
        <w:rPr>
          <w:spacing w:val="-2"/>
        </w:rPr>
        <w:t>被淘汰，行业集中度由此提升。报告期内，公司顶住行业众多不利因素及国内外经济下行压力，坚定执行</w:t>
      </w:r>
      <w:r>
        <w:rPr>
          <w:spacing w:val="-47"/>
        </w:rPr>
        <w:t> </w:t>
      </w:r>
      <w:r>
        <w:rPr>
          <w:spacing w:val="-47"/>
        </w:rPr>
      </w:r>
      <w:r>
        <w:rPr>
          <w:rFonts w:ascii="Times New Roman" w:hAnsi="Times New Roman" w:cs="Times New Roman" w:eastAsia="Times New Roman" w:hint="default"/>
          <w:spacing w:val="-2"/>
        </w:rPr>
        <w:t>2015</w:t>
      </w:r>
      <w:r>
        <w:rPr>
          <w:spacing w:val="-2"/>
        </w:rPr>
        <w:t>初制定的运营计划，从生产销售、经营管理、投资运作、资本运作等四个方面着手进行改善和提高，</w:t>
      </w:r>
      <w:r>
        <w:rPr>
          <w:spacing w:val="-17"/>
        </w:rPr>
        <w:t> </w:t>
      </w:r>
      <w:r>
        <w:rPr>
          <w:spacing w:val="-17"/>
        </w:rPr>
      </w:r>
      <w:r>
        <w:rPr/>
        <w:t>确保各项业务持续发展、不断挖掘新的利润增长点。</w:t>
      </w:r>
    </w:p>
    <w:p>
      <w:pPr>
        <w:pStyle w:val="BodyText"/>
        <w:spacing w:line="273" w:lineRule="auto" w:before="12"/>
        <w:ind w:left="573" w:right="102"/>
        <w:jc w:val="left"/>
      </w:pPr>
      <w:r>
        <w:rPr/>
        <w:t>生产销售方面：</w:t>
      </w:r>
      <w:r>
        <w:rPr>
          <w:spacing w:val="-103"/>
        </w:rPr>
        <w:t> </w:t>
      </w:r>
      <w:r>
        <w:rPr>
          <w:spacing w:val="-103"/>
        </w:rPr>
      </w:r>
      <w:r>
        <w:rPr>
          <w:spacing w:val="-2"/>
        </w:rPr>
        <w:t>在激烈的市场竞争下，公司十分注重客户关系的建立、维护，扩大销售网络；同时精选优质客户，注</w:t>
      </w:r>
    </w:p>
    <w:p>
      <w:pPr>
        <w:pStyle w:val="BodyText"/>
        <w:spacing w:line="264" w:lineRule="auto" w:before="7"/>
        <w:ind w:right="206"/>
        <w:jc w:val="both"/>
      </w:pPr>
      <w:r>
        <w:rPr>
          <w:spacing w:val="-2"/>
        </w:rPr>
        <w:t>重销售质量，放弃部分风险较大的销售客户和销售合同，虽然</w:t>
      </w:r>
      <w:r>
        <w:rPr>
          <w:rFonts w:ascii="Times New Roman" w:hAnsi="Times New Roman" w:cs="Times New Roman" w:eastAsia="Times New Roman" w:hint="default"/>
          <w:spacing w:val="-2"/>
        </w:rPr>
        <w:t>2015</w:t>
      </w:r>
      <w:r>
        <w:rPr>
          <w:spacing w:val="-2"/>
        </w:rPr>
        <w:t>年电子电动玩具产品销售收入不及</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spacing w:val="-2"/>
        </w:rPr>
        <w:t>年，但是</w:t>
      </w:r>
      <w:r>
        <w:rPr>
          <w:rFonts w:ascii="Times New Roman" w:hAnsi="Times New Roman" w:cs="Times New Roman" w:eastAsia="Times New Roman" w:hint="default"/>
          <w:spacing w:val="-2"/>
        </w:rPr>
        <w:t>2015</w:t>
      </w:r>
      <w:r>
        <w:rPr>
          <w:spacing w:val="-2"/>
        </w:rPr>
        <w:t>年公司净利润与</w:t>
      </w:r>
      <w:r>
        <w:rPr>
          <w:rFonts w:ascii="Times New Roman" w:hAnsi="Times New Roman" w:cs="Times New Roman" w:eastAsia="Times New Roman" w:hint="default"/>
          <w:spacing w:val="-2"/>
        </w:rPr>
        <w:t>2014</w:t>
      </w:r>
      <w:r>
        <w:rPr>
          <w:spacing w:val="-2"/>
        </w:rPr>
        <w:t>年相比呈现增长态势。公司在稳固原有经销商渠道的基础上，努力通过</w:t>
      </w:r>
      <w:r>
        <w:rPr>
          <w:spacing w:val="-39"/>
        </w:rPr>
        <w:t> </w:t>
      </w:r>
      <w:r>
        <w:rPr>
          <w:spacing w:val="-39"/>
        </w:rPr>
      </w:r>
      <w:r>
        <w:rPr>
          <w:spacing w:val="-2"/>
        </w:rPr>
        <w:t>电商平台等互联网平台扩大公司和产品宣传，重点突出产品特点和优势，树立企业品牌形象，扩大销售渠</w:t>
      </w:r>
      <w:r>
        <w:rPr>
          <w:spacing w:val="-44"/>
        </w:rPr>
        <w:t> </w:t>
      </w:r>
      <w:r>
        <w:rPr>
          <w:spacing w:val="-44"/>
        </w:rPr>
      </w:r>
      <w:r>
        <w:rPr>
          <w:spacing w:val="-2"/>
        </w:rPr>
        <w:t>道和销售规模。公司利用技术方案革新，优化采购流程，规范生产流程、精简岗位人员等各种措施降本增</w:t>
      </w:r>
      <w:r>
        <w:rPr>
          <w:spacing w:val="-47"/>
        </w:rPr>
        <w:t> </w:t>
      </w:r>
      <w:r>
        <w:rPr>
          <w:spacing w:val="-47"/>
        </w:rPr>
      </w:r>
      <w:r>
        <w:rPr/>
        <w:t>效，提升产品竞争力。</w:t>
      </w:r>
    </w:p>
    <w:p>
      <w:pPr>
        <w:pStyle w:val="BodyText"/>
        <w:spacing w:line="273" w:lineRule="auto" w:before="16"/>
        <w:ind w:left="573" w:right="102"/>
        <w:jc w:val="left"/>
      </w:pPr>
      <w:r>
        <w:rPr/>
        <w:t>经营管理方面：</w:t>
      </w:r>
      <w:r>
        <w:rPr>
          <w:spacing w:val="-103"/>
        </w:rPr>
        <w:t> </w:t>
      </w:r>
      <w:r>
        <w:rPr>
          <w:spacing w:val="-103"/>
        </w:rPr>
      </w:r>
      <w:r>
        <w:rPr>
          <w:spacing w:val="-5"/>
        </w:rPr>
        <w:t>公司围绕战略目标，持续完善法人治理结构，不断优化组织机构设置、管理流程关系及岗位职责分工，</w:t>
      </w:r>
    </w:p>
    <w:p>
      <w:pPr>
        <w:pStyle w:val="BodyText"/>
        <w:spacing w:line="273" w:lineRule="auto" w:before="7"/>
        <w:ind w:right="206"/>
        <w:jc w:val="both"/>
      </w:pPr>
      <w:r>
        <w:rPr>
          <w:spacing w:val="-2"/>
        </w:rPr>
        <w:t>不断加强内部制度建设，进一步明确细化各项管理制度，促进各项流程和制度有效运行，公司董事会认真</w:t>
      </w:r>
      <w:r>
        <w:rPr>
          <w:spacing w:val="-43"/>
        </w:rPr>
        <w:t> </w:t>
      </w:r>
      <w:r>
        <w:rPr>
          <w:spacing w:val="-43"/>
        </w:rPr>
      </w:r>
      <w:r>
        <w:rPr/>
        <w:t>执行股东大会的决议和要求，推动公司全方位的各项工作有序开展。</w:t>
      </w:r>
    </w:p>
    <w:p>
      <w:pPr>
        <w:pStyle w:val="BodyText"/>
        <w:spacing w:line="273" w:lineRule="auto" w:before="7"/>
        <w:ind w:left="573" w:right="102"/>
        <w:jc w:val="left"/>
      </w:pPr>
      <w:r>
        <w:rPr/>
        <w:t>投资运作方面：</w:t>
      </w:r>
      <w:r>
        <w:rPr>
          <w:spacing w:val="-103"/>
        </w:rPr>
        <w:t> </w:t>
      </w:r>
      <w:r>
        <w:rPr>
          <w:spacing w:val="-103"/>
        </w:rPr>
      </w:r>
      <w:r>
        <w:rPr>
          <w:spacing w:val="-2"/>
        </w:rPr>
        <w:t>根据公司</w:t>
      </w:r>
      <w:r>
        <w:rPr>
          <w:rFonts w:ascii="Times New Roman" w:hAnsi="Times New Roman" w:cs="Times New Roman" w:eastAsia="Times New Roman" w:hint="default"/>
          <w:spacing w:val="-2"/>
        </w:rPr>
        <w:t>2015</w:t>
      </w:r>
      <w:r>
        <w:rPr>
          <w:spacing w:val="-2"/>
        </w:rPr>
        <w:t>年度战略规划，加强战略资源互补，充分调动业务团队的创业精神，以互联网的模式拓</w:t>
      </w:r>
    </w:p>
    <w:p>
      <w:pPr>
        <w:pStyle w:val="BodyText"/>
        <w:spacing w:line="266" w:lineRule="auto"/>
        <w:ind w:right="206"/>
        <w:jc w:val="both"/>
      </w:pPr>
      <w:r>
        <w:rPr/>
        <w:t>展加速产品创新、迭代和推广，公司以自有资金出资人民币</w:t>
      </w:r>
      <w:r>
        <w:rPr>
          <w:rFonts w:ascii="Times New Roman" w:hAnsi="Times New Roman" w:cs="Times New Roman" w:eastAsia="Times New Roman" w:hint="default"/>
        </w:rPr>
        <w:t>250</w:t>
      </w:r>
      <w:r>
        <w:rPr/>
        <w:t>万元与深圳市信利康电子有限公司、安徽</w:t>
      </w:r>
      <w:r>
        <w:rPr>
          <w:spacing w:val="-25"/>
        </w:rPr>
        <w:t> </w:t>
      </w:r>
      <w:r>
        <w:rPr>
          <w:spacing w:val="-25"/>
        </w:rPr>
      </w:r>
      <w:r>
        <w:rPr>
          <w:spacing w:val="-2"/>
        </w:rPr>
        <w:t>省信息产业投资控股有限公司和玩具业务核心团队成员投资参与合肥讯飞淘云科技有限公司增资扩股，增</w:t>
      </w:r>
      <w:r>
        <w:rPr>
          <w:spacing w:val="-43"/>
        </w:rPr>
        <w:t> </w:t>
      </w:r>
      <w:r>
        <w:rPr>
          <w:spacing w:val="-43"/>
        </w:rPr>
      </w:r>
      <w:r>
        <w:rPr/>
        <w:t>资完成后，公司持有合肥讯飞淘云科技有限公司股权比例为</w:t>
      </w:r>
      <w:r>
        <w:rPr>
          <w:rFonts w:ascii="Times New Roman" w:hAnsi="Times New Roman" w:cs="Times New Roman" w:eastAsia="Times New Roman" w:hint="default"/>
        </w:rPr>
        <w:t>10%</w:t>
      </w:r>
      <w:r>
        <w:rPr/>
        <w:t>。</w:t>
      </w:r>
    </w:p>
    <w:p>
      <w:pPr>
        <w:pStyle w:val="BodyText"/>
        <w:spacing w:line="273" w:lineRule="auto"/>
        <w:ind w:left="573" w:right="102"/>
        <w:jc w:val="left"/>
      </w:pPr>
      <w:r>
        <w:rPr/>
        <w:t>资本运作方面：</w:t>
      </w:r>
      <w:r>
        <w:rPr>
          <w:spacing w:val="-103"/>
        </w:rPr>
        <w:t> </w:t>
      </w:r>
      <w:r>
        <w:rPr>
          <w:spacing w:val="-103"/>
        </w:rPr>
      </w:r>
      <w:r>
        <w:rPr>
          <w:spacing w:val="-3"/>
        </w:rPr>
        <w:t>报告期内，公司坚定积极升级转型的战略布局，拟通过资产重组，引入盈利能力较强、具有更大发展</w:t>
      </w:r>
    </w:p>
    <w:p>
      <w:pPr>
        <w:pStyle w:val="BodyText"/>
        <w:spacing w:line="264" w:lineRule="auto" w:before="7"/>
        <w:ind w:right="102"/>
        <w:jc w:val="left"/>
      </w:pPr>
      <w:r>
        <w:rPr>
          <w:spacing w:val="-5"/>
        </w:rPr>
        <w:t>潜力和更具市场竞争力的优质企业，通过业务转型提升公司的持续盈利能力和抗风险能力，提高股东回报。</w:t>
      </w:r>
      <w:r>
        <w:rPr>
          <w:spacing w:val="-6"/>
        </w:rPr>
        <w:t> </w:t>
      </w:r>
      <w:r>
        <w:rPr>
          <w:spacing w:val="-6"/>
        </w:rPr>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日，公司召开第二届董事会第三十一次会议和第二届监事会第十八次会议，审议通过了《关</w:t>
      </w:r>
      <w:r>
        <w:rPr>
          <w:w w:val="100"/>
        </w:rPr>
        <w:t> </w:t>
      </w:r>
      <w:r>
        <w:rPr>
          <w:spacing w:val="-3"/>
        </w:rPr>
        <w:t>于</w:t>
      </w:r>
      <w:r>
        <w:rPr>
          <w:rFonts w:ascii="Times New Roman" w:hAnsi="Times New Roman" w:cs="Times New Roman" w:eastAsia="Times New Roman" w:hint="default"/>
          <w:spacing w:val="-3"/>
        </w:rPr>
        <w:t>&lt;</w:t>
      </w:r>
      <w:r>
        <w:rPr>
          <w:spacing w:val="-3"/>
        </w:rPr>
        <w:t>广东群兴玩具股份有限公司发行股份购买资产并募集配套资金暨关联交易预案</w:t>
      </w:r>
      <w:r>
        <w:rPr>
          <w:rFonts w:ascii="Times New Roman" w:hAnsi="Times New Roman" w:cs="Times New Roman" w:eastAsia="Times New Roman" w:hint="default"/>
          <w:spacing w:val="-3"/>
        </w:rPr>
        <w:t>&gt;</w:t>
      </w:r>
      <w:r>
        <w:rPr>
          <w:spacing w:val="-3"/>
        </w:rPr>
        <w:t>的议案》及其他相关议</w:t>
      </w:r>
      <w:r>
        <w:rPr>
          <w:spacing w:val="-25"/>
        </w:rPr>
        <w:t> </w:t>
      </w:r>
      <w:r>
        <w:rPr>
          <w:spacing w:val="-25"/>
        </w:rPr>
      </w:r>
      <w:r>
        <w:rPr>
          <w:spacing w:val="-4"/>
        </w:rPr>
        <w:t>案，拟通过发行股份的方式购买三洲特管、中国核动力院和华夏人寿持有的三洲核能</w:t>
      </w:r>
      <w:r>
        <w:rPr>
          <w:rFonts w:ascii="Times New Roman" w:hAnsi="Times New Roman" w:cs="Times New Roman" w:eastAsia="Times New Roman" w:hint="default"/>
          <w:spacing w:val="-4"/>
        </w:rPr>
        <w:t>100%</w:t>
      </w:r>
      <w:r>
        <w:rPr>
          <w:spacing w:val="-4"/>
        </w:rPr>
        <w:t>股权。同时向三</w:t>
      </w:r>
      <w:r>
        <w:rPr>
          <w:spacing w:val="-14"/>
        </w:rPr>
        <w:t> </w:t>
      </w:r>
      <w:r>
        <w:rPr>
          <w:spacing w:val="-14"/>
        </w:rPr>
      </w:r>
      <w:r>
        <w:rPr/>
        <w:t>洲特管、中广核资本、国核富盈、西藏广合、中合国能、永图沃通、北加凯隆、信合精诚等</w:t>
      </w:r>
      <w:r>
        <w:rPr>
          <w:rFonts w:ascii="Times New Roman" w:hAnsi="Times New Roman" w:cs="Times New Roman" w:eastAsia="Times New Roman" w:hint="default"/>
        </w:rPr>
        <w:t>8</w:t>
      </w:r>
      <w:r>
        <w:rPr/>
        <w:t>名合格投资</w:t>
      </w:r>
      <w:r>
        <w:rPr>
          <w:spacing w:val="-20"/>
        </w:rPr>
        <w:t> </w:t>
      </w:r>
      <w:r>
        <w:rPr>
          <w:spacing w:val="-20"/>
        </w:rPr>
      </w:r>
      <w:r>
        <w:rPr>
          <w:spacing w:val="-3"/>
        </w:rPr>
        <w:t>者非公开发行股票募集配套资金</w:t>
      </w:r>
      <w:r>
        <w:rPr>
          <w:rFonts w:ascii="Times New Roman" w:hAnsi="Times New Roman" w:cs="Times New Roman" w:eastAsia="Times New Roman" w:hint="default"/>
          <w:spacing w:val="-3"/>
        </w:rPr>
        <w:t>81,396.00</w:t>
      </w:r>
      <w:r>
        <w:rPr>
          <w:spacing w:val="-3"/>
        </w:rPr>
        <w:t>万元，募集资金总额不超过本次购买资产交易价格的</w:t>
      </w:r>
      <w:r>
        <w:rPr>
          <w:rFonts w:ascii="Times New Roman" w:hAnsi="Times New Roman" w:cs="Times New Roman" w:eastAsia="Times New Roman" w:hint="default"/>
          <w:spacing w:val="-3"/>
        </w:rPr>
        <w:t>100%</w:t>
      </w:r>
      <w:r>
        <w:rPr>
          <w:spacing w:val="-3"/>
        </w:rPr>
        <w:t>。自本</w:t>
      </w:r>
      <w:r>
        <w:rPr>
          <w:spacing w:val="-44"/>
        </w:rPr>
        <w:t> </w:t>
      </w:r>
      <w:r>
        <w:rPr>
          <w:spacing w:val="-44"/>
        </w:rPr>
      </w:r>
      <w:r>
        <w:rPr/>
        <w:t>次发行股份购买资产并募集配套资金暨关联交易预案披露以来，公司及有关各方正在进一步推动本次重大</w:t>
      </w:r>
      <w:r>
        <w:rPr>
          <w:w w:val="100"/>
        </w:rPr>
        <w:t> </w:t>
      </w:r>
      <w:r>
        <w:rPr>
          <w:spacing w:val="-2"/>
        </w:rPr>
        <w:t>资产重组所涉及的尽职调查、审计和评估等各项工作。截至目前，三洲核能已于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5</w:t>
      </w:r>
      <w:r>
        <w:rPr>
          <w:spacing w:val="-2"/>
        </w:rPr>
        <w:t>日获得四川省</w:t>
      </w:r>
      <w:r>
        <w:rPr>
          <w:spacing w:val="-38"/>
        </w:rPr>
        <w:t> </w:t>
      </w:r>
      <w:r>
        <w:rPr>
          <w:spacing w:val="-38"/>
        </w:rPr>
      </w:r>
      <w:r>
        <w:rPr>
          <w:spacing w:val="2"/>
        </w:rPr>
        <w:t>国防科学技术工业办公室转发国家国防科技工业局关于三洲核能资产重组上市涉及军工事项审查意见的</w:t>
      </w:r>
      <w:r>
        <w:rPr>
          <w:spacing w:val="-30"/>
        </w:rPr>
        <w:t> </w:t>
      </w:r>
      <w:r>
        <w:rPr>
          <w:spacing w:val="-30"/>
        </w:rPr>
      </w:r>
      <w:r>
        <w:rPr>
          <w:spacing w:val="-5"/>
        </w:rPr>
        <w:t>通知，国家国防科技工业主管部门原则同意三洲核能重组上市；重组报告书及相关文件正在编制和审核中， </w:t>
      </w:r>
      <w:r>
        <w:rPr>
          <w:spacing w:val="-5"/>
        </w:rPr>
      </w:r>
      <w:r>
        <w:rPr/>
        <w:t>公司及有关各方将继续积极推进后续工作，本次重大资产重组收购事项正在按计划稳步推进。</w:t>
      </w:r>
    </w:p>
    <w:p>
      <w:pPr>
        <w:spacing w:after="0" w:line="264"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BodyText"/>
        <w:spacing w:line="256" w:lineRule="auto" w:before="36"/>
        <w:ind w:right="0" w:firstLine="420"/>
        <w:jc w:val="left"/>
      </w:pPr>
      <w:r>
        <w:rPr/>
        <w:t>报告期内，公司实现营业收入</w:t>
      </w:r>
      <w:r>
        <w:rPr>
          <w:rFonts w:ascii="Times New Roman" w:hAnsi="Times New Roman" w:cs="Times New Roman" w:eastAsia="Times New Roman" w:hint="default"/>
        </w:rPr>
        <w:t>319,383,875.01</w:t>
      </w:r>
      <w:r>
        <w:rPr/>
        <w:t>元，同比增长</w:t>
      </w:r>
      <w:r>
        <w:rPr>
          <w:rFonts w:ascii="Times New Roman" w:hAnsi="Times New Roman" w:cs="Times New Roman" w:eastAsia="Times New Roman" w:hint="default"/>
        </w:rPr>
        <w:t>-20.98%</w:t>
      </w:r>
      <w:r>
        <w:rPr/>
        <w:t>；实现利润总额</w:t>
      </w:r>
      <w:r>
        <w:rPr>
          <w:rFonts w:ascii="Times New Roman" w:hAnsi="Times New Roman" w:cs="Times New Roman" w:eastAsia="Times New Roman" w:hint="default"/>
        </w:rPr>
        <w:t>20,347,385.95</w:t>
      </w:r>
      <w:r>
        <w:rPr/>
        <w:t>元，</w:t>
      </w:r>
      <w:r>
        <w:rPr>
          <w:spacing w:val="2"/>
          <w:w w:val="100"/>
        </w:rPr>
        <w:t> </w:t>
      </w:r>
      <w:r>
        <w:rPr/>
        <w:t>同比增长</w:t>
      </w:r>
      <w:r>
        <w:rPr>
          <w:rFonts w:ascii="Times New Roman" w:hAnsi="Times New Roman" w:cs="Times New Roman" w:eastAsia="Times New Roman" w:hint="default"/>
        </w:rPr>
        <w:t>15.34%</w:t>
      </w:r>
      <w:r>
        <w:rPr/>
        <w:t>；实现净利润</w:t>
      </w:r>
      <w:r>
        <w:rPr>
          <w:rFonts w:ascii="Times New Roman" w:hAnsi="Times New Roman" w:cs="Times New Roman" w:eastAsia="Times New Roman" w:hint="default"/>
        </w:rPr>
        <w:t>18,186,393.35</w:t>
      </w:r>
      <w:r>
        <w:rPr/>
        <w:t>元，同比增长</w:t>
      </w:r>
      <w:r>
        <w:rPr>
          <w:rFonts w:ascii="Times New Roman" w:hAnsi="Times New Roman" w:cs="Times New Roman" w:eastAsia="Times New Roman" w:hint="default"/>
        </w:rPr>
        <w:t>22.34%</w:t>
      </w:r>
      <w:r>
        <w:rPr/>
        <w:t>。</w:t>
      </w:r>
    </w:p>
    <w:p>
      <w:pPr>
        <w:spacing w:line="240" w:lineRule="auto" w:before="7"/>
        <w:rPr>
          <w:rFonts w:ascii="宋体" w:hAnsi="宋体" w:cs="宋体" w:eastAsia="宋体" w:hint="default"/>
          <w:sz w:val="15"/>
          <w:szCs w:val="15"/>
        </w:rPr>
      </w:pPr>
    </w:p>
    <w:p>
      <w:pPr>
        <w:pStyle w:val="Heading2"/>
        <w:spacing w:line="240" w:lineRule="auto"/>
        <w:ind w:right="0"/>
        <w:jc w:val="left"/>
        <w:rPr>
          <w:b w:val="0"/>
          <w:bCs w:val="0"/>
        </w:rPr>
      </w:pPr>
      <w:r>
        <w:rPr/>
        <w:t>二、主营业务分析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line="482" w:lineRule="auto" w:before="0"/>
        <w:ind w:left="152" w:right="567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、概述</w:t>
      </w:r>
      <w:r>
        <w:rPr>
          <w:rFonts w:ascii="Microsoft JhengHei" w:hAnsi="Microsoft JhengHei" w:cs="Microsoft JhengHei" w:eastAsia="Microsoft JhengHei" w:hint="default"/>
          <w:b/>
          <w:bCs/>
          <w:spacing w:val="-4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、收入与成本</w:t>
      </w:r>
      <w:r>
        <w:rPr>
          <w:rFonts w:ascii="Microsoft JhengHei" w:hAnsi="Microsoft JhengHei" w:cs="Microsoft JhengHei" w:eastAsia="Microsoft JhengHei" w:hint="default"/>
          <w:sz w:val="21"/>
          <w:szCs w:val="21"/>
        </w:rPr>
      </w:r>
    </w:p>
    <w:p>
      <w:pPr>
        <w:pStyle w:val="Heading3"/>
        <w:spacing w:line="333" w:lineRule="exact"/>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319,383,875.01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404,163,124.81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-20.98%</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玩具行业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319,383,875.01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404,163,124.81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-20.98%</w:t>
            </w:r>
          </w:p>
        </w:tc>
      </w:tr>
      <w:tr>
        <w:trPr>
          <w:trHeight w:val="404"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婴童玩具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97,067,622.80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122,739,305.70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-20.92%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电动车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140,179,758.80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153,927,731.65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玩具手机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2,796,682.76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7,927,924.68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-64.72%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童车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70,863,018.89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106,750,503.76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-33.62%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电脑学习机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7,020,029.40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11,645,209.71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-39.72%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1,456,762.36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1,172,449.31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24.25%</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186,244,219.38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239,730,840.81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-22.31%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133,139,655.63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164,432,284.00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-19.03%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22"/>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玩具行业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 w:right="0"/>
              <w:jc w:val="left"/>
              <w:rPr>
                <w:rFonts w:ascii="Times New Roman" w:hAnsi="Times New Roman" w:cs="Times New Roman" w:eastAsia="Times New Roman" w:hint="default"/>
                <w:sz w:val="18"/>
                <w:szCs w:val="18"/>
              </w:rPr>
            </w:pPr>
            <w:r>
              <w:rPr>
                <w:rFonts w:ascii="Times New Roman"/>
                <w:sz w:val="18"/>
              </w:rPr>
              <w:t>319,383,875.01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 w:right="0"/>
              <w:jc w:val="left"/>
              <w:rPr>
                <w:rFonts w:ascii="Times New Roman" w:hAnsi="Times New Roman" w:cs="Times New Roman" w:eastAsia="Times New Roman" w:hint="default"/>
                <w:sz w:val="18"/>
                <w:szCs w:val="18"/>
              </w:rPr>
            </w:pPr>
            <w:r>
              <w:rPr>
                <w:rFonts w:ascii="Times New Roman"/>
                <w:sz w:val="18"/>
              </w:rPr>
              <w:t>249,452,332.05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9" w:right="0"/>
              <w:jc w:val="left"/>
              <w:rPr>
                <w:rFonts w:ascii="Times New Roman" w:hAnsi="Times New Roman" w:cs="Times New Roman" w:eastAsia="Times New Roman" w:hint="default"/>
                <w:sz w:val="18"/>
                <w:szCs w:val="18"/>
              </w:rPr>
            </w:pPr>
            <w:r>
              <w:rPr>
                <w:rFonts w:ascii="Times New Roman"/>
                <w:sz w:val="18"/>
              </w:rPr>
              <w:t>21.90%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9" w:right="0"/>
              <w:jc w:val="left"/>
              <w:rPr>
                <w:rFonts w:ascii="Times New Roman" w:hAnsi="Times New Roman" w:cs="Times New Roman" w:eastAsia="Times New Roman" w:hint="default"/>
                <w:sz w:val="18"/>
                <w:szCs w:val="18"/>
              </w:rPr>
            </w:pPr>
            <w:r>
              <w:rPr>
                <w:rFonts w:ascii="Times New Roman"/>
                <w:sz w:val="18"/>
              </w:rPr>
              <w:t>-20.98%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0" w:right="0"/>
              <w:jc w:val="left"/>
              <w:rPr>
                <w:rFonts w:ascii="Times New Roman" w:hAnsi="Times New Roman" w:cs="Times New Roman" w:eastAsia="Times New Roman" w:hint="default"/>
                <w:sz w:val="18"/>
                <w:szCs w:val="18"/>
              </w:rPr>
            </w:pPr>
            <w:r>
              <w:rPr>
                <w:rFonts w:ascii="Times New Roman"/>
                <w:sz w:val="18"/>
              </w:rPr>
              <w:t>-21.99%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73" w:right="0"/>
              <w:jc w:val="left"/>
              <w:rPr>
                <w:rFonts w:ascii="Times New Roman" w:hAnsi="Times New Roman" w:cs="Times New Roman" w:eastAsia="Times New Roman" w:hint="default"/>
                <w:sz w:val="18"/>
                <w:szCs w:val="18"/>
              </w:rPr>
            </w:pPr>
            <w:r>
              <w:rPr>
                <w:rFonts w:ascii="Times New Roman"/>
                <w:sz w:val="18"/>
              </w:rPr>
              <w:t>1.02%</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6"/>
        <w:gridCol w:w="1369"/>
        <w:gridCol w:w="1370"/>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婴童玩具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97,067,622.80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76,158,136.70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-24.07%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电动车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140,179,758.80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109,894,325.51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-9.35%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0.36%</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玩具手机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2,796,682.76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2,220,497.21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-66.62%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童车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70,863,018.89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54,456,971.71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-33.62%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-33.08%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-0.61%</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电脑学习机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7,020,029.40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5,621,687.02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-39.07%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1,456,762.36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1,100,713.90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11.77%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8.44%</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186,244,219.38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145,738,175.67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-23.09%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0.79%</w:t>
            </w: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133,139,655.63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103,714,156.38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-20.39%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2"/>
        <w:gridCol w:w="1596"/>
        <w:gridCol w:w="1594"/>
        <w:gridCol w:w="1594"/>
      </w:tblGrid>
      <w:tr>
        <w:trPr>
          <w:trHeight w:val="398"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6" w:hRule="exact"/>
        </w:trPr>
        <w:tc>
          <w:tcPr>
            <w:tcW w:w="1595"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玩具行业</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个</w:t>
            </w:r>
            <w:r>
              <w:rPr>
                <w:rFonts w:ascii="Times New Roman" w:hAnsi="Times New Roman" w:cs="Times New Roman" w:eastAsia="Times New Roman" w:hint="default"/>
                <w:sz w:val="18"/>
                <w:szCs w:val="18"/>
              </w:rPr>
              <w:t>/</w:t>
            </w:r>
            <w:r>
              <w:rPr>
                <w:rFonts w:ascii="宋体" w:hAnsi="宋体" w:cs="宋体" w:eastAsia="宋体" w:hint="default"/>
                <w:sz w:val="18"/>
                <w:szCs w:val="18"/>
              </w:rPr>
              <w:t>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21,600,422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32,448,084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-33.00%</w:t>
            </w:r>
          </w:p>
        </w:tc>
      </w:tr>
      <w:tr>
        <w:trPr>
          <w:trHeight w:val="404" w:hRule="exact"/>
        </w:trPr>
        <w:tc>
          <w:tcPr>
            <w:tcW w:w="1595" w:type="dxa"/>
            <w:vMerge/>
            <w:tcBorders>
              <w:left w:val="single" w:sz="4" w:space="0" w:color="000000"/>
              <w:right w:val="single" w:sz="4" w:space="0" w:color="000000"/>
            </w:tcBorders>
            <w:shd w:val="clear" w:color="auto" w:fill="C6ECCC"/>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个</w:t>
            </w:r>
            <w:r>
              <w:rPr>
                <w:rFonts w:ascii="Times New Roman" w:hAnsi="Times New Roman" w:cs="Times New Roman" w:eastAsia="Times New Roman" w:hint="default"/>
                <w:sz w:val="18"/>
                <w:szCs w:val="18"/>
              </w:rPr>
              <w:t>/</w:t>
            </w:r>
            <w:r>
              <w:rPr>
                <w:rFonts w:ascii="宋体" w:hAnsi="宋体" w:cs="宋体" w:eastAsia="宋体" w:hint="default"/>
                <w:sz w:val="18"/>
                <w:szCs w:val="18"/>
              </w:rPr>
              <w:t>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21,469,507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31,396,323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-32.00%</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C6ECCC"/>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个</w:t>
            </w:r>
            <w:r>
              <w:rPr>
                <w:rFonts w:ascii="Times New Roman" w:hAnsi="Times New Roman" w:cs="Times New Roman" w:eastAsia="Times New Roman" w:hint="default"/>
                <w:sz w:val="18"/>
                <w:szCs w:val="18"/>
              </w:rPr>
              <w:t>/</w:t>
            </w:r>
            <w:r>
              <w:rPr>
                <w:rFonts w:ascii="宋体" w:hAnsi="宋体" w:cs="宋体" w:eastAsia="宋体" w:hint="default"/>
                <w:sz w:val="18"/>
                <w:szCs w:val="18"/>
              </w:rPr>
              <w:t>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1,456,939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1,590,479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38" w:lineRule="auto" w:before="103"/>
        <w:ind w:left="152" w:right="32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整体市场未见明显好转，本年销售较上年有所下降，故销售量与生产量同比下降。</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玩具行业</w:t>
            </w:r>
          </w:p>
        </w:tc>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249,452,332.05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319,771,959.92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9" w:right="0"/>
              <w:jc w:val="left"/>
              <w:rPr>
                <w:rFonts w:ascii="Times New Roman" w:hAnsi="Times New Roman" w:cs="Times New Roman" w:eastAsia="Times New Roman" w:hint="default"/>
                <w:sz w:val="18"/>
                <w:szCs w:val="18"/>
              </w:rPr>
            </w:pPr>
            <w:r>
              <w:rPr>
                <w:rFonts w:ascii="Times New Roman"/>
                <w:sz w:val="18"/>
              </w:rPr>
              <w:t>-21.99%</w:t>
            </w:r>
          </w:p>
        </w:tc>
      </w:tr>
    </w:tbl>
    <w:p>
      <w:pPr>
        <w:spacing w:before="49"/>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婴童玩具</w:t>
            </w:r>
          </w:p>
        </w:tc>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76,158,136.70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100,295,720.80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9" w:right="0"/>
              <w:jc w:val="left"/>
              <w:rPr>
                <w:rFonts w:ascii="Times New Roman" w:hAnsi="Times New Roman" w:cs="Times New Roman" w:eastAsia="Times New Roman" w:hint="default"/>
                <w:sz w:val="18"/>
                <w:szCs w:val="18"/>
              </w:rPr>
            </w:pPr>
            <w:r>
              <w:rPr>
                <w:rFonts w:ascii="Times New Roman"/>
                <w:sz w:val="18"/>
              </w:rPr>
              <w:t>-24.07%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电动车</w:t>
            </w:r>
          </w:p>
        </w:tc>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109,894,325.51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121,229,838.78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玩具手机</w:t>
            </w:r>
          </w:p>
        </w:tc>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2,220,497.21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6,652,991.40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-66.62%</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童车</w:t>
            </w:r>
          </w:p>
        </w:tc>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54,456,971.71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81,381,822.22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-33.08%</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电脑学习机</w:t>
            </w:r>
          </w:p>
        </w:tc>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5,621,687.02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9,226,785.34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-39.07%</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1,100,713.90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984,801.37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168,683,497.31</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52.81%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3"/>
        <w:gridCol w:w="3302"/>
        <w:gridCol w:w="2321"/>
        <w:gridCol w:w="3145"/>
      </w:tblGrid>
      <w:tr>
        <w:trPr>
          <w:trHeight w:val="398"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6"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w:t>
            </w:r>
          </w:p>
        </w:tc>
        <w:tc>
          <w:tcPr>
            <w:tcW w:w="33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6"/>
              <w:ind w:left="22" w:right="0"/>
              <w:jc w:val="left"/>
              <w:rPr>
                <w:rFonts w:ascii="Times New Roman" w:hAnsi="Times New Roman" w:cs="Times New Roman" w:eastAsia="Times New Roman" w:hint="default"/>
                <w:sz w:val="18"/>
                <w:szCs w:val="18"/>
              </w:rPr>
            </w:pPr>
            <w:r>
              <w:rPr>
                <w:rFonts w:ascii="Times New Roman"/>
                <w:sz w:val="18"/>
              </w:rPr>
              <w:t>TIM</w:t>
            </w:r>
            <w:r>
              <w:rPr>
                <w:rFonts w:ascii="Times New Roman"/>
                <w:spacing w:val="-3"/>
                <w:sz w:val="18"/>
              </w:rPr>
              <w:t> </w:t>
            </w:r>
            <w:r>
              <w:rPr>
                <w:rFonts w:ascii="Times New Roman"/>
                <w:sz w:val="18"/>
              </w:rPr>
              <w:t>FONGHONG</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70,534,887.67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22.08%</w:t>
            </w:r>
          </w:p>
        </w:tc>
      </w:tr>
      <w:tr>
        <w:trPr>
          <w:trHeight w:val="403"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3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汕头市澄海区艳阳春贸易有限公司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45,831,888.21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14.35%</w:t>
            </w:r>
          </w:p>
        </w:tc>
      </w:tr>
      <w:tr>
        <w:trPr>
          <w:trHeight w:val="401"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3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汕头市宇泰进出口贸易有限公司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18,267,926.07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5.72%</w:t>
            </w:r>
          </w:p>
        </w:tc>
      </w:tr>
      <w:tr>
        <w:trPr>
          <w:trHeight w:val="403"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3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国际玩具贸易有限公司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17,962,414.31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5.62%</w:t>
            </w:r>
          </w:p>
        </w:tc>
      </w:tr>
      <w:tr>
        <w:trPr>
          <w:trHeight w:val="401"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3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汕头市金明工艺玩具进出口有限公司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16,086,381.05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w:t>
            </w:r>
          </w:p>
        </w:tc>
      </w:tr>
      <w:tr>
        <w:trPr>
          <w:trHeight w:val="403"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168,683,497.31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52.81%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0" w:lineRule="auto" w:before="115"/>
        <w:ind w:left="152" w:right="8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107,208,254.66</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48.16%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8"/>
        <w:gridCol w:w="2321"/>
        <w:gridCol w:w="3145"/>
      </w:tblGrid>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汕头海湾物资有限公司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28,076,400.00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12.61%</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广东中炬塑胶有限公司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26,650,559.42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11.97%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36"/>
        <w:gridCol w:w="3168"/>
        <w:gridCol w:w="2321"/>
        <w:gridCol w:w="3145"/>
      </w:tblGrid>
      <w:tr>
        <w:trPr>
          <w:trHeight w:val="402"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中国石化化工销售有限公司汕头经营部</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20,193,219.42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9.07%</w:t>
            </w:r>
          </w:p>
        </w:tc>
      </w:tr>
      <w:tr>
        <w:trPr>
          <w:trHeight w:val="714"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0"/>
              <w:ind w:left="23" w:right="72"/>
              <w:jc w:val="left"/>
              <w:rPr>
                <w:rFonts w:ascii="宋体" w:hAnsi="宋体" w:cs="宋体" w:eastAsia="宋体" w:hint="default"/>
                <w:sz w:val="18"/>
                <w:szCs w:val="18"/>
              </w:rPr>
            </w:pPr>
            <w:r>
              <w:rPr>
                <w:rFonts w:ascii="宋体" w:hAnsi="宋体" w:cs="宋体" w:eastAsia="宋体" w:hint="default"/>
                <w:sz w:val="18"/>
                <w:szCs w:val="18"/>
              </w:rPr>
              <w:t>中国石油天然气股份有限公司华南化工 销售汕头分公司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19,788,075.80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8.89%</w:t>
            </w:r>
          </w:p>
        </w:tc>
      </w:tr>
      <w:tr>
        <w:trPr>
          <w:trHeight w:val="402"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汕头市集利贸易有限公司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12,500,000.02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5.62%</w:t>
            </w:r>
          </w:p>
        </w:tc>
      </w:tr>
      <w:tr>
        <w:trPr>
          <w:trHeight w:val="402"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107,208,254.66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48.16%</w:t>
            </w:r>
          </w:p>
        </w:tc>
      </w:tr>
    </w:tbl>
    <w:p>
      <w:pPr>
        <w:spacing w:before="49"/>
        <w:ind w:left="152" w:right="102"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5"/>
        <w:ind w:left="152"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102"/>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12,356,972.72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14,866,476.03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-16.88%</w:t>
            </w:r>
          </w:p>
        </w:tc>
        <w:tc>
          <w:tcPr>
            <w:tcW w:w="2919"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51,844,371.33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51,656,274.01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0.36%</w:t>
            </w:r>
          </w:p>
        </w:tc>
        <w:tc>
          <w:tcPr>
            <w:tcW w:w="2919"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027"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-2,955,862.46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1,200,109.65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-346.30%</w:t>
            </w:r>
          </w:p>
        </w:tc>
        <w:tc>
          <w:tcPr>
            <w:tcW w:w="29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主要系人民币汇率在报告期内贬值 </w:t>
            </w:r>
            <w:r>
              <w:rPr>
                <w:rFonts w:ascii="宋体" w:hAnsi="宋体" w:cs="宋体" w:eastAsia="宋体" w:hint="default"/>
                <w:spacing w:val="-2"/>
                <w:sz w:val="18"/>
                <w:szCs w:val="18"/>
              </w:rPr>
              <w:t>幅度较大，造成汇兑收益增加较多所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致。</w:t>
            </w:r>
          </w:p>
        </w:tc>
      </w:tr>
    </w:tbl>
    <w:p>
      <w:pPr>
        <w:spacing w:line="240" w:lineRule="auto" w:before="3"/>
        <w:rPr>
          <w:rFonts w:ascii="宋体" w:hAnsi="宋体" w:cs="宋体" w:eastAsia="宋体" w:hint="default"/>
          <w:sz w:val="19"/>
          <w:szCs w:val="19"/>
        </w:rPr>
      </w:pPr>
    </w:p>
    <w:p>
      <w:pPr>
        <w:pStyle w:val="Heading3"/>
        <w:spacing w:line="335" w:lineRule="exact"/>
        <w:ind w:right="102"/>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66" w:lineRule="auto" w:before="83"/>
        <w:ind w:right="102"/>
        <w:jc w:val="left"/>
      </w:pPr>
      <w:r>
        <w:rPr>
          <w:spacing w:val="-3"/>
        </w:rPr>
        <w:t>公司重视研发投入，报告期研发费用占公司主营业务收入为</w:t>
      </w:r>
      <w:r>
        <w:rPr>
          <w:rFonts w:ascii="Times New Roman" w:hAnsi="Times New Roman" w:cs="Times New Roman" w:eastAsia="Times New Roman" w:hint="default"/>
          <w:spacing w:val="-3"/>
        </w:rPr>
        <w:t>3.78%</w:t>
      </w:r>
      <w:r>
        <w:rPr>
          <w:spacing w:val="-3"/>
        </w:rPr>
        <w:t>，致力于自主品牌电子电动玩具的研发、</w:t>
      </w:r>
      <w:r>
        <w:rPr>
          <w:spacing w:val="-9"/>
        </w:rPr>
        <w:t> </w:t>
      </w:r>
      <w:r>
        <w:rPr>
          <w:spacing w:val="-9"/>
        </w:rPr>
      </w:r>
      <w:r>
        <w:rPr/>
        <w:t>生产和销售，产品主要品类有童车、电脑学习机、婴童玩具、电动车等，每个品类包含多个款式及规格。</w:t>
      </w:r>
      <w:r>
        <w:rPr>
          <w:w w:val="100"/>
        </w:rPr>
        <w:t> </w:t>
      </w:r>
      <w:r>
        <w:rPr>
          <w:spacing w:val="-2"/>
        </w:rPr>
        <w:t>公司的自主研发设计与模具制造优势保证公司的产品创新性与质量处于国内领先水平，使公司能够针对国</w:t>
      </w:r>
      <w:r>
        <w:rPr>
          <w:spacing w:val="-43"/>
        </w:rPr>
        <w:t> </w:t>
      </w:r>
      <w:r>
        <w:rPr>
          <w:spacing w:val="-43"/>
        </w:rPr>
      </w:r>
      <w:r>
        <w:rPr/>
        <w:t>内外不同地域消费市场的需求，快速设计并制造出系列化的产品。</w:t>
      </w:r>
    </w:p>
    <w:p>
      <w:pPr>
        <w:spacing w:before="75"/>
        <w:ind w:left="152" w:right="102"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0.75%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12,081,933.27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14,588,199.43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-17.18%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0.17%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102"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40" w:lineRule="auto" w:before="115"/>
        <w:ind w:left="152" w:right="5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研发投入资本化率大幅变动的原因及其合理性说明</w:t>
      </w:r>
    </w:p>
    <w:p>
      <w:pPr>
        <w:spacing w:line="338" w:lineRule="auto" w:before="41"/>
        <w:ind w:left="152" w:right="8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近两年专利数情况</w:t>
      </w:r>
    </w:p>
    <w:p>
      <w:pPr>
        <w:spacing w:after="0" w:line="338" w:lineRule="auto"/>
        <w:jc w:val="left"/>
        <w:rPr>
          <w:rFonts w:ascii="宋体" w:hAnsi="宋体" w:cs="宋体" w:eastAsia="宋体" w:hint="default"/>
          <w:sz w:val="18"/>
          <w:szCs w:val="18"/>
        </w:rPr>
        <w:sectPr>
          <w:pgSz w:w="11910" w:h="16840"/>
          <w:pgMar w:header="745" w:footer="979" w:top="1060" w:bottom="1160" w:left="980" w:right="920"/>
        </w:sectPr>
      </w:pPr>
    </w:p>
    <w:p>
      <w:pPr>
        <w:spacing w:line="240" w:lineRule="auto" w:before="10"/>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219"/>
        <w:gridCol w:w="2103"/>
        <w:gridCol w:w="2225"/>
        <w:gridCol w:w="2023"/>
      </w:tblGrid>
      <w:tr>
        <w:trPr>
          <w:trHeight w:val="401"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已申请</w:t>
            </w:r>
          </w:p>
        </w:tc>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已获得</w:t>
            </w:r>
          </w:p>
        </w:tc>
        <w:tc>
          <w:tcPr>
            <w:tcW w:w="2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截至报告期末累计获得</w:t>
            </w:r>
          </w:p>
        </w:tc>
      </w:tr>
      <w:tr>
        <w:trPr>
          <w:trHeight w:val="403"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261</w:t>
            </w:r>
          </w:p>
        </w:tc>
      </w:tr>
      <w:tr>
        <w:trPr>
          <w:trHeight w:val="713"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本年度核心技术团队或关键技术人员变 动情况</w:t>
            </w:r>
          </w:p>
        </w:tc>
        <w:tc>
          <w:tcPr>
            <w:tcW w:w="6351" w:type="dxa"/>
            <w:gridSpan w:val="3"/>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是否属于科技部认定高新企业</w:t>
            </w:r>
          </w:p>
        </w:tc>
        <w:tc>
          <w:tcPr>
            <w:tcW w:w="63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392,047,269.88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404,197,437.03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291,406,618.06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410,295,132.86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-28.98%</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100,640,651.82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-6,097,695.83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1,750.47%</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2,072,030.00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170,255,459.38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-98.78%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14,501,868.99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344,839,373.97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-95.79%</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-12,429,838.99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-174,583,914.59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-92.88%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-64.29%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72,858,234.34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56,060,123.54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29.96%</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-42,858,234.34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27,939,876.46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-253.39%</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45,494,542.29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-152,724,817.70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-129.79%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152" w:right="0" w:firstLine="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报告期内，经营活动产生的现金流量净额大幅变动的主要原因是本期采购材料金额较上年同期大幅下降所致。</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报告期内，投资活动现金流入小计大幅变动的主要原因是上年同期收回理财产品所致。</w:t>
      </w:r>
    </w:p>
    <w:p>
      <w:pPr>
        <w:spacing w:line="316" w:lineRule="auto" w:before="117"/>
        <w:ind w:left="513" w:right="130" w:hanging="361"/>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4"/>
          <w:sz w:val="18"/>
          <w:szCs w:val="18"/>
        </w:rPr>
        <w:t> </w:t>
      </w:r>
      <w:r>
        <w:rPr>
          <w:rFonts w:ascii="宋体" w:hAnsi="宋体" w:cs="宋体" w:eastAsia="宋体" w:hint="default"/>
          <w:sz w:val="18"/>
          <w:szCs w:val="18"/>
        </w:rPr>
        <w:t>报告期内，投资活动现金流出小计大幅变动的主要原因是上年同期短期理财产品支出增加、投资粤科租赁、重大资产重 组中介费用增加及本期较上年同期购建固定资产、无形资产和其他长期资产支付的现金减少所致。</w:t>
      </w:r>
    </w:p>
    <w:p>
      <w:pPr>
        <w:spacing w:line="316" w:lineRule="auto" w:before="59"/>
        <w:ind w:left="513" w:right="132" w:hanging="361"/>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12"/>
          <w:sz w:val="18"/>
          <w:szCs w:val="18"/>
        </w:rPr>
        <w:t> </w:t>
      </w:r>
      <w:r>
        <w:rPr>
          <w:rFonts w:ascii="宋体" w:hAnsi="宋体" w:cs="宋体" w:eastAsia="宋体" w:hint="default"/>
          <w:sz w:val="18"/>
          <w:szCs w:val="18"/>
        </w:rPr>
        <w:t>报告期内，投资活动产生的现金流量净额大幅变动的主要原因是上年同期短期理财产品支出增加、投资粤科租赁、重大 资产重组中介费用增加及本期较上年同期购建固定资产、无形资产和其他长期资产支付的现金减少所致。</w:t>
      </w:r>
    </w:p>
    <w:p>
      <w:pPr>
        <w:spacing w:before="57"/>
        <w:ind w:left="152" w:right="0" w:firstLine="0"/>
        <w:jc w:val="left"/>
        <w:rPr>
          <w:rFonts w:ascii="宋体" w:hAnsi="宋体" w:cs="宋体" w:eastAsia="宋体" w:hint="default"/>
          <w:sz w:val="18"/>
          <w:szCs w:val="18"/>
        </w:rPr>
      </w:pPr>
      <w:r>
        <w:rPr>
          <w:rFonts w:ascii="宋体" w:hAnsi="宋体" w:cs="宋体" w:eastAsia="宋体" w:hint="default"/>
          <w:sz w:val="18"/>
          <w:szCs w:val="18"/>
        </w:rPr>
        <w:t>5.  </w:t>
      </w:r>
      <w:r>
        <w:rPr>
          <w:rFonts w:ascii="宋体" w:hAnsi="宋体" w:cs="宋体" w:eastAsia="宋体" w:hint="default"/>
          <w:sz w:val="18"/>
          <w:szCs w:val="18"/>
        </w:rPr>
        <w:t>报告期内，筹资活动现金流入小计大幅变动的主要原因是本期短期借款减少导致。</w:t>
      </w:r>
    </w:p>
    <w:p>
      <w:pPr>
        <w:spacing w:line="338" w:lineRule="auto" w:before="117"/>
        <w:ind w:left="152" w:right="0" w:firstLine="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89"/>
          <w:sz w:val="18"/>
          <w:szCs w:val="18"/>
        </w:rPr>
        <w:t> </w:t>
      </w:r>
      <w:r>
        <w:rPr>
          <w:rFonts w:ascii="宋体" w:hAnsi="宋体" w:cs="宋体" w:eastAsia="宋体" w:hint="default"/>
          <w:sz w:val="18"/>
          <w:szCs w:val="18"/>
        </w:rPr>
        <w:t>报告期内，筹资活动产生的现金流量净额大幅变动的主要原因是本期短期借款减少及发放股利导致。 </w:t>
      </w:r>
      <w:r>
        <w:rPr>
          <w:rFonts w:ascii="宋体" w:hAnsi="宋体" w:cs="宋体" w:eastAsia="宋体" w:hint="default"/>
          <w:spacing w:val="-2"/>
          <w:sz w:val="18"/>
          <w:szCs w:val="18"/>
        </w:rPr>
        <w:t>报告期内，现金及现金等价物净增加额大幅变动的主要原因是本期采购材料金额下降、对外投资大幅下降及本期短期借款减</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少导致。</w:t>
      </w:r>
    </w:p>
    <w:p>
      <w:pPr>
        <w:spacing w:after="0" w:line="338" w:lineRule="auto"/>
        <w:jc w:val="left"/>
        <w:rPr>
          <w:rFonts w:ascii="宋体" w:hAnsi="宋体" w:cs="宋体" w:eastAsia="宋体" w:hint="default"/>
          <w:sz w:val="18"/>
          <w:szCs w:val="18"/>
        </w:rPr>
        <w:sectPr>
          <w:footerReference w:type="default" r:id="rId12"/>
          <w:pgSz w:w="11910" w:h="16840"/>
          <w:pgMar w:footer="979" w:header="745" w:top="1060" w:bottom="1160" w:left="980" w:right="980"/>
          <w:pgNumType w:start="16"/>
        </w:sectPr>
      </w:pPr>
    </w:p>
    <w:p>
      <w:pPr>
        <w:spacing w:line="240" w:lineRule="auto" w:before="10"/>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三、非主营业务分析</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4"/>
        <w:gridCol w:w="2253"/>
        <w:gridCol w:w="2254"/>
      </w:tblGrid>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9"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028"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9,755,782.13</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47.95%</w:t>
            </w:r>
          </w:p>
        </w:tc>
        <w:tc>
          <w:tcPr>
            <w:tcW w:w="22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49"/>
              <w:ind w:left="22" w:right="41"/>
              <w:jc w:val="both"/>
              <w:rPr>
                <w:rFonts w:ascii="宋体" w:hAnsi="宋体" w:cs="宋体" w:eastAsia="宋体" w:hint="default"/>
                <w:sz w:val="18"/>
                <w:szCs w:val="18"/>
              </w:rPr>
            </w:pPr>
            <w:r>
              <w:rPr>
                <w:rFonts w:ascii="宋体" w:hAnsi="宋体" w:cs="宋体" w:eastAsia="宋体" w:hint="default"/>
                <w:sz w:val="18"/>
                <w:szCs w:val="18"/>
              </w:rPr>
              <w:t>主要来自公司参股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的广 东粤科融资租赁有限公司的 投资收益</w:t>
            </w:r>
          </w:p>
        </w:tc>
        <w:tc>
          <w:tcPr>
            <w:tcW w:w="22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728,166.40</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3.58%</w:t>
            </w:r>
          </w:p>
        </w:tc>
        <w:tc>
          <w:tcPr>
            <w:tcW w:w="22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2" w:right="58"/>
              <w:jc w:val="left"/>
              <w:rPr>
                <w:rFonts w:ascii="宋体" w:hAnsi="宋体" w:cs="宋体" w:eastAsia="宋体" w:hint="default"/>
                <w:sz w:val="18"/>
                <w:szCs w:val="18"/>
              </w:rPr>
            </w:pPr>
            <w:r>
              <w:rPr>
                <w:rFonts w:ascii="宋体" w:hAnsi="宋体" w:cs="宋体" w:eastAsia="宋体" w:hint="default"/>
                <w:sz w:val="18"/>
                <w:szCs w:val="18"/>
              </w:rPr>
              <w:t>主要系远期结售汇本期确认 的所致</w:t>
            </w:r>
          </w:p>
        </w:tc>
        <w:tc>
          <w:tcPr>
            <w:tcW w:w="22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-481,272.82</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w:t>
            </w:r>
          </w:p>
        </w:tc>
        <w:tc>
          <w:tcPr>
            <w:tcW w:w="22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系本期确认坏帐损失所致</w:t>
            </w:r>
          </w:p>
        </w:tc>
        <w:tc>
          <w:tcPr>
            <w:tcW w:w="22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3,787,728.44</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18.62%</w:t>
            </w:r>
          </w:p>
        </w:tc>
        <w:tc>
          <w:tcPr>
            <w:tcW w:w="22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2" w:right="58"/>
              <w:jc w:val="left"/>
              <w:rPr>
                <w:rFonts w:ascii="宋体" w:hAnsi="宋体" w:cs="宋体" w:eastAsia="宋体" w:hint="default"/>
                <w:sz w:val="18"/>
                <w:szCs w:val="18"/>
              </w:rPr>
            </w:pPr>
            <w:r>
              <w:rPr>
                <w:rFonts w:ascii="宋体" w:hAnsi="宋体" w:cs="宋体" w:eastAsia="宋体" w:hint="default"/>
                <w:sz w:val="18"/>
                <w:szCs w:val="18"/>
              </w:rPr>
              <w:t>主要来自取得的政府补助所 致</w:t>
            </w:r>
          </w:p>
        </w:tc>
        <w:tc>
          <w:tcPr>
            <w:tcW w:w="22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641,146.43</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w:t>
            </w:r>
          </w:p>
        </w:tc>
        <w:tc>
          <w:tcPr>
            <w:tcW w:w="22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主要是对外捐赠所致</w:t>
            </w:r>
          </w:p>
        </w:tc>
        <w:tc>
          <w:tcPr>
            <w:tcW w:w="22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四、资产及负债状况分析</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5"/>
        <w:gridCol w:w="1063"/>
        <w:gridCol w:w="1195"/>
        <w:gridCol w:w="1064"/>
        <w:gridCol w:w="798"/>
        <w:gridCol w:w="2918"/>
      </w:tblGrid>
      <w:tr>
        <w:trPr>
          <w:trHeight w:val="383"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3" w:hRule="exact"/>
        </w:trPr>
        <w:tc>
          <w:tcPr>
            <w:tcW w:w="1368" w:type="dxa"/>
            <w:vMerge/>
            <w:tcBorders>
              <w:left w:val="single" w:sz="4" w:space="0" w:color="000000"/>
              <w:right w:val="single" w:sz="4" w:space="0" w:color="000000"/>
            </w:tcBorders>
            <w:shd w:val="clear" w:color="auto" w:fill="D2D2D2"/>
          </w:tcPr>
          <w:p>
            <w:pP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right w:val="single" w:sz="4" w:space="0" w:color="000000"/>
            </w:tcBorders>
            <w:shd w:val="clear" w:color="auto" w:fill="D2D2D2"/>
          </w:tcPr>
          <w:p>
            <w:pPr/>
          </w:p>
        </w:tc>
        <w:tc>
          <w:tcPr>
            <w:tcW w:w="29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0"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5"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134,324,626.2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89,942,323.40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9.11%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4.86%</w:t>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104,114,829.8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10.82%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130,546,354.94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w:t>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67,799,436.13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82,489,530.74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8.35%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-1.30%</w:t>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138,668,812.0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128,428,471.10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w:t>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405,602,123.2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419,614,270.27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-0.33%</w:t>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w:t>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20"/>
        <w:gridCol w:w="1212"/>
        <w:gridCol w:w="1215"/>
        <w:gridCol w:w="1212"/>
        <w:gridCol w:w="1215"/>
        <w:gridCol w:w="1212"/>
        <w:gridCol w:w="1213"/>
        <w:gridCol w:w="1075"/>
      </w:tblGrid>
      <w:tr>
        <w:trPr>
          <w:trHeight w:val="102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3" w:right="6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511" w:right="60" w:hanging="449"/>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2"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2"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54"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 产</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728,166.40</w:t>
            </w: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728,166.40</w:t>
            </w: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728,166.40</w:t>
            </w: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728,166.40</w:t>
            </w: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五、投资状况分析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3" w:right="0"/>
              <w:jc w:val="left"/>
              <w:rPr>
                <w:rFonts w:ascii="Times New Roman" w:hAnsi="Times New Roman" w:cs="Times New Roman" w:eastAsia="Times New Roman" w:hint="default"/>
                <w:sz w:val="18"/>
                <w:szCs w:val="18"/>
              </w:rPr>
            </w:pPr>
            <w:r>
              <w:rPr>
                <w:rFonts w:ascii="Times New Roman"/>
                <w:sz w:val="18"/>
              </w:rPr>
              <w:t>124,000,000.00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-97.98%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40" w:lineRule="auto" w:before="0"/>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公司报告期无募集资金使用情况。</w:t>
      </w:r>
    </w:p>
    <w:p>
      <w:pPr>
        <w:spacing w:after="0" w:line="3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六、重大资产和股权出售</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七、主要控股参股公司分析</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after="0" w:line="240" w:lineRule="auto"/>
        <w:rPr>
          <w:rFonts w:ascii="Microsoft JhengHei" w:hAnsi="Microsoft JhengHei" w:cs="Microsoft JhengHei" w:eastAsia="Microsoft JhengHei" w:hint="default"/>
          <w:sz w:val="15"/>
          <w:szCs w:val="15"/>
        </w:rPr>
        <w:sectPr>
          <w:pgSz w:w="11910" w:h="16840"/>
          <w:pgMar w:header="745" w:footer="979" w:top="1060" w:bottom="1160" w:left="980" w:right="980"/>
        </w:sectPr>
      </w:pPr>
    </w:p>
    <w:p>
      <w:pPr>
        <w:spacing w:before="44"/>
        <w:ind w:left="15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152" w:right="-18"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851" w:space="4069"/>
            <w:col w:w="103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3"/>
        <w:gridCol w:w="1198"/>
        <w:gridCol w:w="1045"/>
        <w:gridCol w:w="1044"/>
        <w:gridCol w:w="1047"/>
        <w:gridCol w:w="1046"/>
        <w:gridCol w:w="1045"/>
        <w:gridCol w:w="1044"/>
        <w:gridCol w:w="1046"/>
      </w:tblGrid>
      <w:tr>
        <w:trPr>
          <w:trHeight w:val="401" w:hRule="exact"/>
        </w:trPr>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5" w:hRule="exact"/>
        </w:trPr>
        <w:tc>
          <w:tcPr>
            <w:tcW w:w="10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z w:val="18"/>
                <w:szCs w:val="18"/>
              </w:rPr>
              <w:t>群興玩</w:t>
            </w:r>
            <w:r>
              <w:rPr>
                <w:rFonts w:ascii="宋体" w:hAnsi="宋体" w:cs="宋体" w:eastAsia="宋体" w:hint="default"/>
                <w:spacing w:val="-82"/>
                <w:sz w:val="18"/>
                <w:szCs w:val="18"/>
              </w:rPr>
              <w:t>具</w:t>
            </w:r>
            <w:r>
              <w:rPr>
                <w:rFonts w:ascii="宋体" w:hAnsi="宋体" w:cs="宋体" w:eastAsia="宋体" w:hint="default"/>
                <w:sz w:val="18"/>
                <w:szCs w:val="18"/>
              </w:rPr>
              <w:t>（香</w:t>
            </w:r>
            <w:r>
              <w:rPr>
                <w:rFonts w:ascii="宋体" w:hAnsi="宋体" w:cs="宋体" w:eastAsia="宋体" w:hint="default"/>
                <w:sz w:val="18"/>
                <w:szCs w:val="18"/>
              </w:rPr>
              <w:t> 港</w:t>
            </w:r>
            <w:r>
              <w:rPr>
                <w:rFonts w:ascii="宋体" w:hAnsi="宋体" w:cs="宋体" w:eastAsia="宋体" w:hint="default"/>
                <w:spacing w:val="-82"/>
                <w:sz w:val="18"/>
                <w:szCs w:val="18"/>
              </w:rPr>
              <w:t>）</w:t>
            </w:r>
            <w:r>
              <w:rPr>
                <w:rFonts w:ascii="宋体" w:hAnsi="宋体" w:cs="宋体" w:eastAsia="宋体" w:hint="default"/>
                <w:sz w:val="18"/>
                <w:szCs w:val="18"/>
              </w:rPr>
              <w:t>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0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3,606,527.65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2,456,723.30</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-13,891.37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-13,891.37</w:t>
            </w:r>
          </w:p>
        </w:tc>
      </w:tr>
      <w:tr>
        <w:trPr>
          <w:trHeight w:val="1025" w:hRule="exact"/>
        </w:trPr>
        <w:tc>
          <w:tcPr>
            <w:tcW w:w="10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18"/>
              <w:jc w:val="both"/>
              <w:rPr>
                <w:rFonts w:ascii="宋体" w:hAnsi="宋体" w:cs="宋体" w:eastAsia="宋体" w:hint="default"/>
                <w:sz w:val="18"/>
                <w:szCs w:val="18"/>
              </w:rPr>
            </w:pPr>
            <w:r>
              <w:rPr>
                <w:rFonts w:ascii="宋体" w:hAnsi="宋体" w:cs="宋体" w:eastAsia="宋体" w:hint="default"/>
                <w:sz w:val="18"/>
                <w:szCs w:val="18"/>
              </w:rPr>
              <w:t>汕头市童乐 乐玩具有限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0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137,833,239.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31,333,339.5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-5,826,433.2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-5,826,433.2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w:t>
            </w:r>
          </w:p>
        </w:tc>
      </w:tr>
      <w:tr>
        <w:trPr>
          <w:trHeight w:val="1027" w:hRule="exact"/>
        </w:trPr>
        <w:tc>
          <w:tcPr>
            <w:tcW w:w="10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18"/>
              <w:jc w:val="both"/>
              <w:rPr>
                <w:rFonts w:ascii="宋体" w:hAnsi="宋体" w:cs="宋体" w:eastAsia="宋体" w:hint="default"/>
                <w:sz w:val="18"/>
                <w:szCs w:val="18"/>
              </w:rPr>
            </w:pPr>
            <w:r>
              <w:rPr>
                <w:rFonts w:ascii="宋体" w:hAnsi="宋体" w:cs="宋体" w:eastAsia="宋体" w:hint="default"/>
                <w:sz w:val="18"/>
                <w:szCs w:val="18"/>
              </w:rPr>
              <w:t>广东省粤科 融资租赁有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0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3,167,363,37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9.81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693,262,946.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145,762,237.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67,856,087.5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51,201,704.6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w:t>
            </w:r>
          </w:p>
        </w:tc>
      </w:tr>
      <w:tr>
        <w:trPr>
          <w:trHeight w:val="1025" w:hRule="exact"/>
        </w:trPr>
        <w:tc>
          <w:tcPr>
            <w:tcW w:w="10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18"/>
              <w:jc w:val="both"/>
              <w:rPr>
                <w:rFonts w:ascii="宋体" w:hAnsi="宋体" w:cs="宋体" w:eastAsia="宋体" w:hint="default"/>
                <w:sz w:val="18"/>
                <w:szCs w:val="18"/>
              </w:rPr>
            </w:pPr>
            <w:r>
              <w:rPr>
                <w:rFonts w:ascii="宋体" w:hAnsi="宋体" w:cs="宋体" w:eastAsia="宋体" w:hint="default"/>
                <w:sz w:val="18"/>
                <w:szCs w:val="18"/>
              </w:rPr>
              <w:t>合肥讯飞淘 云科技有限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0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33,159,716.8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17,265,958.8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18,945,390.1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-2,720,826.6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-2,080,637.8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8"/>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合肥讯飞淘云科技有限公司</w:t>
            </w:r>
          </w:p>
        </w:tc>
        <w:tc>
          <w:tcPr>
            <w:tcW w:w="31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增资扩股</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八、公司控制的结构化主体情况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九、公司未来发展的展望</w:t>
      </w:r>
      <w:r>
        <w:rPr>
          <w:b w:val="0"/>
          <w:bCs w:val="0"/>
        </w:rPr>
      </w:r>
    </w:p>
    <w:p>
      <w:pPr>
        <w:spacing w:line="240" w:lineRule="auto" w:before="0"/>
        <w:rPr>
          <w:rFonts w:ascii="Microsoft JhengHei" w:hAnsi="Microsoft JhengHei" w:cs="Microsoft JhengHei" w:eastAsia="Microsoft JhengHei" w:hint="default"/>
          <w:b/>
          <w:bCs/>
          <w:sz w:val="17"/>
          <w:szCs w:val="17"/>
        </w:rPr>
      </w:pPr>
    </w:p>
    <w:p>
      <w:pPr>
        <w:pStyle w:val="BodyText"/>
        <w:spacing w:line="240" w:lineRule="auto"/>
        <w:ind w:left="573" w:right="0"/>
        <w:jc w:val="left"/>
      </w:pPr>
      <w:r>
        <w:rPr/>
        <w:t>（一）行业分析</w:t>
      </w:r>
    </w:p>
    <w:p>
      <w:pPr>
        <w:pStyle w:val="BodyText"/>
        <w:spacing w:line="240" w:lineRule="auto" w:before="37"/>
        <w:ind w:left="573" w:right="0"/>
        <w:jc w:val="left"/>
      </w:pPr>
      <w:r>
        <w:rPr/>
        <w:t>（</w:t>
      </w:r>
      <w:r>
        <w:rPr>
          <w:rFonts w:ascii="Times New Roman" w:hAnsi="Times New Roman" w:cs="Times New Roman" w:eastAsia="Times New Roman" w:hint="default"/>
        </w:rPr>
        <w:t>1</w:t>
      </w:r>
      <w:r>
        <w:rPr/>
        <w:t>）行业集中度将不断提升</w:t>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BodyText"/>
        <w:spacing w:line="273" w:lineRule="auto" w:before="36"/>
        <w:ind w:right="206" w:firstLine="420"/>
        <w:jc w:val="both"/>
      </w:pPr>
      <w:r>
        <w:rPr>
          <w:spacing w:val="-2"/>
        </w:rPr>
        <w:t>根据国外玩具行业发展规律，玩具行业发展越成熟，行业集中度越高，越容易孕育出知名品牌。目前</w:t>
      </w:r>
      <w:r>
        <w:rPr>
          <w:w w:val="100"/>
        </w:rPr>
        <w:t> </w:t>
      </w:r>
      <w:r>
        <w:rPr>
          <w:spacing w:val="-2"/>
        </w:rPr>
        <w:t>我国玩具行业集中度不高，企业数量众多但规模较小，单个企业的市场占有率较低，但随着行业洗牌的加</w:t>
      </w:r>
      <w:r>
        <w:rPr>
          <w:spacing w:val="-43"/>
        </w:rPr>
        <w:t> </w:t>
      </w:r>
      <w:r>
        <w:rPr>
          <w:spacing w:val="-43"/>
        </w:rPr>
      </w:r>
      <w:r>
        <w:rPr/>
        <w:t>速进行，行业集中度将不断提升。</w:t>
      </w:r>
    </w:p>
    <w:p>
      <w:pPr>
        <w:pStyle w:val="BodyText"/>
        <w:spacing w:line="273" w:lineRule="auto" w:before="7"/>
        <w:ind w:right="206" w:firstLine="420"/>
        <w:jc w:val="both"/>
      </w:pPr>
      <w:r>
        <w:rPr>
          <w:spacing w:val="-2"/>
        </w:rPr>
        <w:t>受众多因素的影响，未来我国玩具行业集中度将进一步提升。我国玩具行业历来以出口为主，近年国</w:t>
      </w:r>
      <w:r>
        <w:rPr>
          <w:w w:val="100"/>
        </w:rPr>
        <w:t> </w:t>
      </w:r>
      <w:r>
        <w:rPr>
          <w:spacing w:val="-2"/>
        </w:rPr>
        <w:t>外玩具安全和环保标准的提高加重了国内出口企业的检测成本，成本上升对企业的利润空间造成了严重的</w:t>
      </w:r>
      <w:r>
        <w:rPr>
          <w:spacing w:val="-43"/>
        </w:rPr>
        <w:t> </w:t>
      </w:r>
      <w:r>
        <w:rPr>
          <w:spacing w:val="-43"/>
        </w:rPr>
      </w:r>
      <w:r>
        <w:rPr>
          <w:spacing w:val="-2"/>
        </w:rPr>
        <w:t>冲击。另一方面，以出口为主的企业同时面临国内原材料和劳动力成本上涨的压力。内外交困使部分风险</w:t>
      </w:r>
      <w:r>
        <w:rPr>
          <w:spacing w:val="-43"/>
        </w:rPr>
        <w:t> </w:t>
      </w:r>
      <w:r>
        <w:rPr>
          <w:spacing w:val="-43"/>
        </w:rPr>
      </w:r>
      <w:r>
        <w:rPr>
          <w:spacing w:val="-2"/>
        </w:rPr>
        <w:t>承受能力较弱的中小企业面临出局的困境。加之行业大多数企业国内渠道建设基础较差，加上国内消费者</w:t>
      </w:r>
      <w:r>
        <w:rPr>
          <w:spacing w:val="-44"/>
        </w:rPr>
        <w:t> </w:t>
      </w:r>
      <w:r>
        <w:rPr>
          <w:spacing w:val="-44"/>
        </w:rPr>
      </w:r>
      <w:r>
        <w:rPr>
          <w:spacing w:val="-2"/>
        </w:rPr>
        <w:t>对玩具品牌较为敏感，国内市场被大型品牌所占据，许多中小企业并不具备渠道和品牌两大在国内市场十</w:t>
      </w:r>
      <w:r>
        <w:rPr>
          <w:spacing w:val="-44"/>
        </w:rPr>
        <w:t> </w:t>
      </w:r>
      <w:r>
        <w:rPr>
          <w:spacing w:val="-44"/>
        </w:rPr>
      </w:r>
      <w:r>
        <w:rPr/>
        <w:t>分重要的竞争要素。因此，随着市场竞争的加剧，这部分企业将被淘汰，行业集中度由此提升。</w:t>
      </w:r>
    </w:p>
    <w:p>
      <w:pPr>
        <w:pStyle w:val="BodyText"/>
        <w:spacing w:line="259" w:lineRule="auto" w:before="7"/>
        <w:ind w:left="573" w:right="102"/>
        <w:jc w:val="left"/>
      </w:pPr>
      <w:r>
        <w:rPr/>
        <w:t>（</w:t>
      </w:r>
      <w:r>
        <w:rPr>
          <w:rFonts w:ascii="Times New Roman" w:hAnsi="Times New Roman" w:cs="Times New Roman" w:eastAsia="Times New Roman" w:hint="default"/>
        </w:rPr>
        <w:t>2</w:t>
      </w:r>
      <w:r>
        <w:rPr/>
        <w:t>）玩具与动漫、网络游戏产业融合程度逐渐加深</w:t>
      </w:r>
      <w:r>
        <w:rPr>
          <w:w w:val="100"/>
        </w:rPr>
        <w:t> </w:t>
      </w:r>
      <w:r>
        <w:rPr>
          <w:spacing w:val="-2"/>
        </w:rPr>
        <w:t>从成熟的玩具行业发展经验来看，玩具与动漫、网游行业结合是玩具行业发展到一定阶段后的一种创</w:t>
      </w:r>
    </w:p>
    <w:p>
      <w:pPr>
        <w:pStyle w:val="BodyText"/>
        <w:spacing w:line="273" w:lineRule="auto" w:before="20"/>
        <w:ind w:right="103"/>
        <w:jc w:val="both"/>
      </w:pPr>
      <w:r>
        <w:rPr>
          <w:spacing w:val="-2"/>
        </w:rPr>
        <w:t>新盈利模式。玩具与动漫、网游行业相结合，能为玩具注入文化内涵，消费者为其中的文化形象愿意花费</w:t>
      </w:r>
      <w:r>
        <w:rPr>
          <w:spacing w:val="-47"/>
        </w:rPr>
        <w:t> </w:t>
      </w:r>
      <w:r>
        <w:rPr>
          <w:spacing w:val="-47"/>
        </w:rPr>
      </w:r>
      <w:r>
        <w:rPr>
          <w:spacing w:val="-2"/>
        </w:rPr>
        <w:t>更多的支出，玩具产品的附加值明显提升，同时，依赖动漫、网游形象的传播能极大地带动玩具销售。在</w:t>
      </w:r>
      <w:r>
        <w:rPr>
          <w:spacing w:val="-43"/>
        </w:rPr>
        <w:t> </w:t>
      </w:r>
      <w:r>
        <w:rPr>
          <w:spacing w:val="-43"/>
        </w:rPr>
      </w:r>
      <w:r>
        <w:rPr>
          <w:spacing w:val="-5"/>
        </w:rPr>
        <w:t>美国、日本等发达国家，动漫、网游玩具已经有较大的市场规模，成为这些国家最主要玩具产品类别之一。</w:t>
      </w:r>
    </w:p>
    <w:p>
      <w:pPr>
        <w:pStyle w:val="BodyText"/>
        <w:spacing w:line="273" w:lineRule="auto" w:before="7"/>
        <w:ind w:right="207" w:firstLine="420"/>
        <w:jc w:val="both"/>
      </w:pPr>
      <w:r>
        <w:rPr>
          <w:spacing w:val="-2"/>
        </w:rPr>
        <w:t>近年来，随着国内玩具行业的发展，玩具与动漫、网游形象结合已成为行业的重要发展趋势。玩具企</w:t>
      </w:r>
      <w:r>
        <w:rPr>
          <w:w w:val="100"/>
        </w:rPr>
        <w:t> </w:t>
      </w:r>
      <w:r>
        <w:rPr>
          <w:spacing w:val="-2"/>
        </w:rPr>
        <w:t>业通过多种途径涉足动漫、网游行业，自行开发动漫、网游形象、寻求已有动漫、网游形象的授权和收购</w:t>
      </w:r>
      <w:r>
        <w:rPr>
          <w:spacing w:val="-43"/>
        </w:rPr>
        <w:t> </w:t>
      </w:r>
      <w:r>
        <w:rPr>
          <w:spacing w:val="-43"/>
        </w:rPr>
      </w:r>
      <w:r>
        <w:rPr>
          <w:spacing w:val="-2"/>
        </w:rPr>
        <w:t>现成的动漫、网游企业是其中的主要方式。虽然自行开发的最终效益更好，但实现难度较大，因此，授权</w:t>
      </w:r>
      <w:r>
        <w:rPr>
          <w:spacing w:val="-43"/>
        </w:rPr>
        <w:t> </w:t>
      </w:r>
      <w:r>
        <w:rPr>
          <w:spacing w:val="-43"/>
        </w:rPr>
      </w:r>
      <w:r>
        <w:rPr/>
        <w:t>和收购成为其中较为常见的模式</w:t>
      </w:r>
    </w:p>
    <w:p>
      <w:pPr>
        <w:pStyle w:val="BodyText"/>
        <w:spacing w:line="256" w:lineRule="auto" w:before="7"/>
        <w:ind w:left="573" w:right="102"/>
        <w:jc w:val="left"/>
      </w:pPr>
      <w:r>
        <w:rPr/>
        <w:t>（</w:t>
      </w:r>
      <w:r>
        <w:rPr>
          <w:rFonts w:ascii="Times New Roman" w:hAnsi="Times New Roman" w:cs="Times New Roman" w:eastAsia="Times New Roman" w:hint="default"/>
        </w:rPr>
        <w:t>3</w:t>
      </w:r>
      <w:r>
        <w:rPr/>
        <w:t>）注重发展自主品牌</w:t>
      </w:r>
      <w:r>
        <w:rPr>
          <w:w w:val="100"/>
        </w:rPr>
        <w:t> </w:t>
      </w:r>
      <w:r>
        <w:rPr>
          <w:spacing w:val="-2"/>
        </w:rPr>
        <w:t>品牌是玩具行业的核心竞争要素。国内玩具企业主要以贴牌生产为主，品牌效应不明显、销售手段单</w:t>
      </w:r>
    </w:p>
    <w:p>
      <w:pPr>
        <w:pStyle w:val="BodyText"/>
        <w:spacing w:line="273" w:lineRule="auto" w:before="23"/>
        <w:ind w:right="102"/>
        <w:jc w:val="left"/>
      </w:pPr>
      <w:r>
        <w:rPr>
          <w:spacing w:val="-2"/>
        </w:rPr>
        <w:t>一，赚取少量的纯加工制造收入，竞争力不足。鉴于贴牌模式的局限性和依赖性，行业内的一些领先企业</w:t>
      </w:r>
      <w:r>
        <w:rPr>
          <w:spacing w:val="-47"/>
        </w:rPr>
        <w:t> </w:t>
      </w:r>
      <w:r>
        <w:rPr>
          <w:spacing w:val="-47"/>
        </w:rPr>
      </w:r>
      <w:r>
        <w:rPr>
          <w:spacing w:val="-2"/>
        </w:rPr>
        <w:t>开始重视自主品牌的建设，通过自主研发玩具产品、加大品牌建设投入、优化渠道销售布局和引入文化创</w:t>
      </w:r>
      <w:r>
        <w:rPr>
          <w:spacing w:val="-43"/>
        </w:rPr>
        <w:t> </w:t>
      </w:r>
      <w:r>
        <w:rPr>
          <w:spacing w:val="-43"/>
        </w:rPr>
      </w:r>
      <w:r>
        <w:rPr>
          <w:spacing w:val="-5"/>
        </w:rPr>
        <w:t>意内涵等手段摆脱贴牌生产经营模式，形成自身品牌优势，实现自主经营。随着行业把目光转向国内市场，</w:t>
      </w:r>
      <w:r>
        <w:rPr>
          <w:spacing w:val="-6"/>
        </w:rPr>
        <w:t> </w:t>
      </w:r>
      <w:r>
        <w:rPr>
          <w:spacing w:val="-6"/>
        </w:rPr>
      </w:r>
      <w:r>
        <w:rPr>
          <w:spacing w:val="-2"/>
        </w:rPr>
        <w:t>品牌对于企业经营显得更为重要，行业竞争日益表现为品牌的竞争。随着国内规模较大的企业逐渐摆脱贴</w:t>
      </w:r>
      <w:r>
        <w:rPr>
          <w:spacing w:val="-44"/>
        </w:rPr>
        <w:t> </w:t>
      </w:r>
      <w:r>
        <w:rPr>
          <w:spacing w:val="-44"/>
        </w:rPr>
      </w:r>
      <w:r>
        <w:rPr/>
        <w:t>牌模式，预期国际市场将有更多中国自主品牌产品。</w:t>
      </w:r>
    </w:p>
    <w:p>
      <w:pPr>
        <w:pStyle w:val="BodyText"/>
        <w:spacing w:line="256" w:lineRule="auto" w:before="7"/>
        <w:ind w:left="573" w:right="102"/>
        <w:jc w:val="left"/>
      </w:pPr>
      <w:r>
        <w:rPr/>
        <w:t>（二）</w:t>
      </w:r>
      <w:r>
        <w:rPr>
          <w:rFonts w:ascii="Times New Roman" w:hAnsi="Times New Roman" w:cs="Times New Roman" w:eastAsia="Times New Roman" w:hint="default"/>
        </w:rPr>
        <w:t>2016</w:t>
      </w:r>
      <w:r>
        <w:rPr/>
        <w:t>年的经营计划</w:t>
      </w:r>
      <w:r>
        <w:rPr>
          <w:w w:val="100"/>
        </w:rPr>
        <w:t> </w:t>
      </w:r>
      <w:r>
        <w:rPr>
          <w:spacing w:val="-2"/>
        </w:rPr>
        <w:t>面对公司所处的传统劳动密集型产业市场集中度低、竞争激烈，品牌效应不明显，同质化严重，附加</w:t>
      </w:r>
    </w:p>
    <w:p>
      <w:pPr>
        <w:pStyle w:val="BodyText"/>
        <w:spacing w:line="268" w:lineRule="auto" w:before="22"/>
        <w:ind w:right="206"/>
        <w:jc w:val="both"/>
      </w:pPr>
      <w:r>
        <w:rPr>
          <w:spacing w:val="-2"/>
        </w:rPr>
        <w:t>值较低的不利因素，加之受经济周期下行、人民币升值、原材料和劳动力成本上涨等因素影响，公司利润</w:t>
      </w:r>
      <w:r>
        <w:rPr>
          <w:spacing w:val="-50"/>
        </w:rPr>
        <w:t> </w:t>
      </w:r>
      <w:r>
        <w:rPr>
          <w:spacing w:val="-50"/>
        </w:rPr>
      </w:r>
      <w:r>
        <w:rPr>
          <w:spacing w:val="-2"/>
        </w:rPr>
        <w:t>空间不断受到挤压，公司将继续积极布局升级转型的战略，公司将抓住中国经济转型升级的重要机遇，积</w:t>
      </w:r>
      <w:r>
        <w:rPr>
          <w:spacing w:val="-42"/>
        </w:rPr>
        <w:t> </w:t>
      </w:r>
      <w:r>
        <w:rPr>
          <w:spacing w:val="-42"/>
        </w:rPr>
      </w:r>
      <w:r>
        <w:rPr>
          <w:spacing w:val="-2"/>
        </w:rPr>
        <w:t>极探索并购机会，拟借助资本市场参股或并购优质企业迅速提高公司盈利水平和综合实力，促进上市公司</w:t>
      </w:r>
      <w:r>
        <w:rPr>
          <w:spacing w:val="-43"/>
        </w:rPr>
        <w:t> </w:t>
      </w:r>
      <w:r>
        <w:rPr>
          <w:spacing w:val="-43"/>
        </w:rPr>
      </w:r>
      <w:r>
        <w:rPr/>
        <w:t>业绩持续增长，为股东创造更大价值。公司将于</w:t>
      </w:r>
      <w:r>
        <w:rPr>
          <w:rFonts w:ascii="Times New Roman" w:hAnsi="Times New Roman" w:cs="Times New Roman" w:eastAsia="Times New Roman" w:hint="default"/>
        </w:rPr>
        <w:t>2016</w:t>
      </w:r>
      <w:r>
        <w:rPr/>
        <w:t>年上半年积极推动关于发行股份购买三洲核能</w:t>
      </w:r>
      <w:r>
        <w:rPr>
          <w:rFonts w:ascii="Times New Roman" w:hAnsi="Times New Roman" w:cs="Times New Roman" w:eastAsia="Times New Roman" w:hint="default"/>
        </w:rPr>
        <w:t>100%</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spacing w:val="-2"/>
        </w:rPr>
        <w:t>股权的重大资产重组工作，争取早日完成重组工作，待本次交易完成后，公司将形成以电子电动玩具、核</w:t>
      </w:r>
      <w:r>
        <w:rPr>
          <w:spacing w:val="-44"/>
        </w:rPr>
        <w:t> </w:t>
      </w:r>
      <w:r>
        <w:rPr>
          <w:spacing w:val="-44"/>
        </w:rPr>
      </w:r>
      <w:r>
        <w:rPr>
          <w:spacing w:val="-2"/>
        </w:rPr>
        <w:t>电军工专用设备的双主业，核电军工产品备毛利率水平显著高于公司原有业务。核电军工专用设备业务的</w:t>
      </w:r>
      <w:r>
        <w:rPr>
          <w:spacing w:val="-44"/>
        </w:rPr>
        <w:t> </w:t>
      </w:r>
      <w:r>
        <w:rPr>
          <w:spacing w:val="-44"/>
        </w:rPr>
      </w:r>
      <w:r>
        <w:rPr/>
        <w:t>成长性优于电子电动玩具，这将对公司的业绩起到重要的保障作用</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确保公司的可持续发展，增强公司的</w:t>
      </w:r>
      <w:r>
        <w:rPr>
          <w:spacing w:val="-99"/>
        </w:rPr>
        <w:t> </w:t>
      </w:r>
      <w:r>
        <w:rPr>
          <w:spacing w:val="-99"/>
        </w:rPr>
      </w:r>
      <w:r>
        <w:rPr/>
        <w:t>核心竞争力。</w:t>
      </w:r>
    </w:p>
    <w:p>
      <w:pPr>
        <w:pStyle w:val="BodyText"/>
        <w:spacing w:line="240" w:lineRule="auto" w:before="12"/>
        <w:ind w:left="573" w:right="102"/>
        <w:jc w:val="left"/>
      </w:pPr>
      <w:r>
        <w:rPr/>
        <w:t>（三）公司未来发展战略和经营目标的实现产生不利影响的所有风险因素</w:t>
      </w:r>
    </w:p>
    <w:p>
      <w:pPr>
        <w:pStyle w:val="BodyText"/>
        <w:spacing w:line="256" w:lineRule="auto" w:before="37"/>
        <w:ind w:left="573" w:right="102"/>
        <w:jc w:val="left"/>
      </w:pPr>
      <w:r>
        <w:rPr>
          <w:rFonts w:ascii="Times New Roman" w:hAnsi="Times New Roman" w:cs="Times New Roman" w:eastAsia="Times New Roman" w:hint="default"/>
        </w:rPr>
        <w:t>1</w:t>
      </w:r>
      <w:r>
        <w:rPr/>
        <w:t>、质量控制风险</w:t>
      </w:r>
      <w:r>
        <w:rPr>
          <w:w w:val="100"/>
        </w:rPr>
        <w:t> </w:t>
      </w:r>
      <w:r>
        <w:rPr>
          <w:spacing w:val="2"/>
        </w:rPr>
        <w:t>尽管本公司已建立全面的产品质量监控体系，设立专门的品质管理部对公司产品进行全流程质量监</w:t>
      </w:r>
    </w:p>
    <w:p>
      <w:pPr>
        <w:pStyle w:val="BodyText"/>
        <w:spacing w:line="273" w:lineRule="auto" w:before="22"/>
        <w:ind w:right="185"/>
        <w:jc w:val="both"/>
      </w:pPr>
      <w:r>
        <w:rPr>
          <w:spacing w:val="-2"/>
        </w:rPr>
        <w:t>控，公司产品质量也长期保持稳定，受到经销商、零售商和消费者以及第三方检测机构的认可。但产品质</w:t>
      </w:r>
      <w:r>
        <w:rPr>
          <w:spacing w:val="-47"/>
        </w:rPr>
        <w:t> </w:t>
      </w:r>
      <w:r>
        <w:rPr>
          <w:spacing w:val="-47"/>
        </w:rPr>
      </w:r>
      <w:r>
        <w:rPr>
          <w:spacing w:val="-2"/>
        </w:rPr>
        <w:t>量风险仍然存在，如果公司执行相关质量控制措施出现偏差，一旦出现产品质量问题，将导致客户索赔、</w:t>
      </w:r>
      <w:r>
        <w:rPr>
          <w:spacing w:val="-21"/>
        </w:rPr>
        <w:t> </w:t>
      </w:r>
      <w:r>
        <w:rPr>
          <w:spacing w:val="-21"/>
        </w:rPr>
      </w:r>
      <w:r>
        <w:rPr/>
        <w:t>同时影响公司声誉。</w:t>
      </w:r>
    </w:p>
    <w:p>
      <w:pPr>
        <w:pStyle w:val="BodyText"/>
        <w:spacing w:line="256" w:lineRule="auto" w:before="8"/>
        <w:ind w:left="573" w:right="102"/>
        <w:jc w:val="left"/>
      </w:pPr>
      <w:r>
        <w:rPr>
          <w:rFonts w:ascii="Times New Roman" w:hAnsi="Times New Roman" w:cs="Times New Roman" w:eastAsia="Times New Roman" w:hint="default"/>
        </w:rPr>
        <w:t>2</w:t>
      </w:r>
      <w:r>
        <w:rPr/>
        <w:t>、原材料价格波动风险</w:t>
      </w:r>
      <w:r>
        <w:rPr>
          <w:w w:val="100"/>
        </w:rPr>
        <w:t> </w:t>
      </w:r>
      <w:r>
        <w:rPr>
          <w:spacing w:val="-2"/>
        </w:rPr>
        <w:t>本公司产品主要原料为塑料，作为原油的下游衍生品，近年来塑料价格随原油价格的大幅波动也发生</w:t>
      </w:r>
    </w:p>
    <w:p>
      <w:pPr>
        <w:pStyle w:val="BodyText"/>
        <w:spacing w:line="240" w:lineRule="auto" w:before="22"/>
        <w:ind w:right="0"/>
        <w:jc w:val="both"/>
      </w:pPr>
      <w:r>
        <w:rPr/>
        <w:t>了较大变化，塑料价格变动对公司的生产成本产生了一定影响。虽然公司可以通过调整产品结构或产品升</w:t>
      </w:r>
    </w:p>
    <w:p>
      <w:pPr>
        <w:spacing w:after="0" w:line="240" w:lineRule="auto"/>
        <w:jc w:val="both"/>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BodyText"/>
        <w:spacing w:line="273" w:lineRule="auto" w:before="36"/>
        <w:ind w:right="102"/>
        <w:jc w:val="left"/>
      </w:pPr>
      <w:r>
        <w:rPr>
          <w:spacing w:val="-2"/>
        </w:rPr>
        <w:t>级等措施降低原材料变动对公司带来的影响，但如果未来原材料价格上涨，仍将给公司业绩带来一定的不</w:t>
      </w:r>
      <w:r>
        <w:rPr>
          <w:spacing w:val="-42"/>
        </w:rPr>
        <w:t> </w:t>
      </w:r>
      <w:r>
        <w:rPr>
          <w:spacing w:val="-42"/>
        </w:rPr>
      </w:r>
      <w:r>
        <w:rPr/>
        <w:t>利影响。</w:t>
      </w:r>
    </w:p>
    <w:p>
      <w:pPr>
        <w:pStyle w:val="BodyText"/>
        <w:spacing w:line="256" w:lineRule="auto" w:before="7"/>
        <w:ind w:left="573" w:right="102"/>
        <w:jc w:val="left"/>
      </w:pPr>
      <w:r>
        <w:rPr>
          <w:rFonts w:ascii="Times New Roman" w:hAnsi="Times New Roman" w:cs="Times New Roman" w:eastAsia="Times New Roman" w:hint="default"/>
        </w:rPr>
        <w:t>3</w:t>
      </w:r>
      <w:r>
        <w:rPr/>
        <w:t>、市场竞争风险</w:t>
      </w:r>
      <w:r>
        <w:rPr>
          <w:w w:val="100"/>
        </w:rPr>
        <w:t> </w:t>
      </w:r>
      <w:r>
        <w:rPr>
          <w:spacing w:val="-2"/>
        </w:rPr>
        <w:t>经过多年的发展和积累，目前我国玩具业产业群体庞大，规模不等的玩具生产企业众多。虽然整个玩</w:t>
      </w:r>
    </w:p>
    <w:p>
      <w:pPr>
        <w:pStyle w:val="BodyText"/>
        <w:spacing w:line="273" w:lineRule="auto" w:before="22"/>
        <w:ind w:right="206"/>
        <w:jc w:val="both"/>
      </w:pPr>
      <w:r>
        <w:rPr>
          <w:spacing w:val="-2"/>
        </w:rPr>
        <w:t>具行业的需求量大且增长迅速，本公司利用品牌、研发创新能力上的竞争优势使得公司销售额及市场占有</w:t>
      </w:r>
      <w:r>
        <w:rPr>
          <w:spacing w:val="-42"/>
        </w:rPr>
        <w:t> </w:t>
      </w:r>
      <w:r>
        <w:rPr>
          <w:spacing w:val="-42"/>
        </w:rPr>
      </w:r>
      <w:r>
        <w:rPr>
          <w:spacing w:val="-2"/>
        </w:rPr>
        <w:t>率不断提高，但国内同行业的技术含量较低的中小型企业低价竞争策略仍可能会在一定程度上影响公司经</w:t>
      </w:r>
      <w:r>
        <w:rPr>
          <w:spacing w:val="-43"/>
        </w:rPr>
        <w:t> </w:t>
      </w:r>
      <w:r>
        <w:rPr>
          <w:spacing w:val="-43"/>
        </w:rPr>
      </w:r>
      <w:r>
        <w:rPr/>
        <w:t>营业绩。</w:t>
      </w:r>
    </w:p>
    <w:p>
      <w:pPr>
        <w:pStyle w:val="BodyText"/>
        <w:spacing w:line="256" w:lineRule="auto" w:before="7"/>
        <w:ind w:left="573" w:right="102"/>
        <w:jc w:val="left"/>
      </w:pPr>
      <w:r>
        <w:rPr>
          <w:rFonts w:ascii="Times New Roman" w:hAnsi="Times New Roman" w:cs="Times New Roman" w:eastAsia="Times New Roman" w:hint="default"/>
        </w:rPr>
        <w:t>4</w:t>
      </w:r>
      <w:r>
        <w:rPr/>
        <w:t>、产品认证标准变动风险</w:t>
      </w:r>
      <w:r>
        <w:rPr>
          <w:w w:val="100"/>
        </w:rPr>
        <w:t> </w:t>
      </w:r>
      <w:r>
        <w:rPr>
          <w:spacing w:val="-2"/>
        </w:rPr>
        <w:t>玩具大部分是面向儿童这一弱势消费群体，为保障儿童的身心健康和安全，玩具的质量受到各国特别</w:t>
      </w:r>
    </w:p>
    <w:p>
      <w:pPr>
        <w:pStyle w:val="BodyText"/>
        <w:spacing w:line="273" w:lineRule="auto" w:before="22"/>
        <w:ind w:right="102"/>
        <w:jc w:val="left"/>
      </w:pPr>
      <w:r>
        <w:rPr>
          <w:spacing w:val="-2"/>
        </w:rPr>
        <w:t>是发达国家的高度关注。我国对玩具的质量和安全实行强制性认证；国际上，美国实行玩具产品安全认证</w:t>
      </w:r>
      <w:r>
        <w:rPr>
          <w:spacing w:val="-44"/>
        </w:rPr>
        <w:t> </w:t>
      </w:r>
      <w:r>
        <w:rPr>
          <w:spacing w:val="-44"/>
        </w:rPr>
      </w:r>
      <w:r>
        <w:rPr/>
        <w:t>计划，欧盟出台 </w:t>
      </w:r>
      <w:r>
        <w:rPr>
          <w:rFonts w:ascii="Times New Roman" w:hAnsi="Times New Roman" w:cs="Times New Roman" w:eastAsia="Times New Roman" w:hint="default"/>
        </w:rPr>
        <w:t>ROHS</w:t>
      </w:r>
      <w:r>
        <w:rPr/>
        <w:t>、</w:t>
      </w:r>
      <w:r>
        <w:rPr>
          <w:rFonts w:ascii="Times New Roman" w:hAnsi="Times New Roman" w:cs="Times New Roman" w:eastAsia="Times New Roman" w:hint="default"/>
        </w:rPr>
        <w:t>WEEE</w:t>
      </w:r>
      <w:r>
        <w:rPr/>
        <w:t>、</w:t>
      </w:r>
      <w:r>
        <w:rPr>
          <w:rFonts w:ascii="Times New Roman" w:hAnsi="Times New Roman" w:cs="Times New Roman" w:eastAsia="Times New Roman" w:hint="default"/>
        </w:rPr>
        <w:t>REACH</w:t>
      </w:r>
      <w:r>
        <w:rPr>
          <w:rFonts w:ascii="Times New Roman" w:hAnsi="Times New Roman" w:cs="Times New Roman" w:eastAsia="Times New Roman" w:hint="default"/>
          <w:spacing w:val="3"/>
        </w:rPr>
        <w:t> </w:t>
      </w:r>
      <w:r>
        <w:rPr/>
        <w:t>等一系列指令，确保玩具产品质量达到安全标准。</w:t>
      </w:r>
    </w:p>
    <w:p>
      <w:pPr>
        <w:pStyle w:val="BodyText"/>
        <w:spacing w:line="273" w:lineRule="auto"/>
        <w:ind w:right="102" w:firstLine="420"/>
        <w:jc w:val="left"/>
      </w:pPr>
      <w:r>
        <w:rPr>
          <w:spacing w:val="-2"/>
        </w:rPr>
        <w:t>公司一贯重视产品质量安全管理，严格按照我国及相关进口国的技术法规组织生产，但认证标准的变</w:t>
      </w:r>
      <w:r>
        <w:rPr>
          <w:w w:val="100"/>
        </w:rPr>
        <w:t> </w:t>
      </w:r>
      <w:r>
        <w:rPr/>
        <w:t>化和不断增多将使得公司花费更多的质量检测费、认证费等，对公司盈利能力产生一定影响。</w:t>
      </w:r>
    </w:p>
    <w:p>
      <w:pPr>
        <w:pStyle w:val="BodyText"/>
        <w:spacing w:line="268" w:lineRule="auto" w:before="7"/>
        <w:ind w:right="102" w:firstLine="420"/>
        <w:jc w:val="left"/>
      </w:pPr>
      <w:r>
        <w:rPr>
          <w:rFonts w:ascii="宋体" w:hAnsi="宋体" w:cs="宋体" w:eastAsia="宋体" w:hint="default"/>
        </w:rPr>
        <w:t>5</w:t>
      </w:r>
      <w:r>
        <w:rPr/>
        <w:t>、整合风险</w:t>
      </w:r>
      <w:r>
        <w:rPr>
          <w:w w:val="100"/>
        </w:rPr>
        <w:t> </w:t>
      </w:r>
      <w:r>
        <w:rPr>
          <w:spacing w:val="-2"/>
        </w:rPr>
        <w:t>为确保公司中长期的可持续发展，公司将通过参股或并购的形式寻求具有市场竞争力、盈利水平较高的企</w:t>
      </w:r>
      <w:r>
        <w:rPr>
          <w:spacing w:val="-43"/>
        </w:rPr>
        <w:t> </w:t>
      </w:r>
      <w:r>
        <w:rPr>
          <w:spacing w:val="-43"/>
        </w:rPr>
      </w:r>
      <w:r>
        <w:rPr>
          <w:spacing w:val="-2"/>
        </w:rPr>
        <w:t>业，谋求战略转型。如公司本次实施重大资产重组未获监管机构审核批准、交易相关方违约、不可抗力等</w:t>
      </w:r>
      <w:r>
        <w:rPr>
          <w:spacing w:val="-47"/>
        </w:rPr>
        <w:t> </w:t>
      </w:r>
      <w:r>
        <w:rPr>
          <w:spacing w:val="-47"/>
        </w:rPr>
      </w:r>
      <w:r>
        <w:rPr>
          <w:spacing w:val="-4"/>
        </w:rPr>
        <w:t>多种因素，导致本次交易被暂停、中止、取消；或者交易各方解除相关协议，终止本次交易</w:t>
      </w:r>
      <w:r>
        <w:rPr>
          <w:rFonts w:ascii="Times New Roman" w:hAnsi="Times New Roman" w:cs="Times New Roman" w:eastAsia="Times New Roman" w:hint="default"/>
          <w:spacing w:val="-4"/>
        </w:rPr>
        <w:t>,</w:t>
      </w:r>
      <w:r>
        <w:rPr>
          <w:spacing w:val="-4"/>
        </w:rPr>
        <w:t>则公司有可能</w:t>
      </w:r>
      <w:r>
        <w:rPr>
          <w:spacing w:val="-5"/>
        </w:rPr>
        <w:t> </w:t>
      </w:r>
      <w:r>
        <w:rPr>
          <w:spacing w:val="-5"/>
        </w:rPr>
        <w:t>面临战略转型进程放缓的风险。公司将全力推进本次重大资产重组的相关工作，同时，继续寻找优质企业， </w:t>
      </w:r>
      <w:r>
        <w:rPr/>
        <w:t>通过包括但不限于使用自有资金、融资等多种方式完成并购整合，实现战略转型。</w:t>
      </w:r>
    </w:p>
    <w:p>
      <w:pPr>
        <w:spacing w:line="240" w:lineRule="auto" w:before="1"/>
        <w:rPr>
          <w:rFonts w:ascii="宋体" w:hAnsi="宋体" w:cs="宋体" w:eastAsia="宋体" w:hint="default"/>
          <w:sz w:val="16"/>
          <w:szCs w:val="16"/>
        </w:rPr>
      </w:pPr>
    </w:p>
    <w:p>
      <w:pPr>
        <w:pStyle w:val="Heading2"/>
        <w:spacing w:line="240" w:lineRule="auto"/>
        <w:ind w:right="0"/>
        <w:jc w:val="both"/>
        <w:rPr>
          <w:b w:val="0"/>
          <w:bCs w:val="0"/>
        </w:rPr>
      </w:pPr>
      <w:r>
        <w:rPr/>
        <w:t>十、接待调研、沟通、采访等活动</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40" w:lineRule="auto" w:before="0"/>
        <w:ind w:left="152" w:right="5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公司报告期内未发生接待调研、沟通、采访等活动。</w:t>
      </w:r>
    </w:p>
    <w:p>
      <w:pPr>
        <w:spacing w:line="240" w:lineRule="auto" w:before="2"/>
        <w:rPr>
          <w:rFonts w:ascii="宋体" w:hAnsi="宋体" w:cs="宋体" w:eastAsia="宋体" w:hint="default"/>
          <w:sz w:val="16"/>
          <w:szCs w:val="16"/>
        </w:rPr>
      </w:pPr>
    </w:p>
    <w:p>
      <w:pPr>
        <w:pStyle w:val="Heading3"/>
        <w:spacing w:line="240" w:lineRule="auto"/>
        <w:ind w:right="0"/>
        <w:jc w:val="both"/>
        <w:rPr>
          <w:b w:val="0"/>
          <w:bCs w:val="0"/>
        </w:rPr>
      </w:pPr>
      <w:r>
        <w:rPr>
          <w:rFonts w:ascii="Times New Roman" w:hAnsi="Times New Roman" w:cs="Times New Roman" w:eastAsia="Times New Roman" w:hint="default"/>
        </w:rPr>
        <w:t>2</w:t>
      </w:r>
      <w:r>
        <w:rPr/>
        <w:t>、报告期末至披露日期间接待调研、沟通、采访等活动登记表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before="44"/>
        <w:ind w:left="0" w:right="216" w:firstLine="0"/>
        <w:jc w:val="right"/>
        <w:rPr>
          <w:rFonts w:ascii="宋体" w:hAnsi="宋体" w:cs="宋体" w:eastAsia="宋体" w:hint="default"/>
          <w:sz w:val="18"/>
          <w:szCs w:val="18"/>
        </w:rPr>
      </w:pPr>
      <w:r>
        <w:rPr/>
        <w:pict>
          <v:shape style="position:absolute;margin-left:56.400002pt;margin-top:-154.595261pt;width:479.3pt;height:223.8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5"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1"/>
                          <w:ind w:left="23" w:right="17"/>
                          <w:jc w:val="both"/>
                          <w:rPr>
                            <w:rFonts w:ascii="宋体" w:hAnsi="宋体" w:cs="宋体" w:eastAsia="宋体" w:hint="default"/>
                            <w:sz w:val="18"/>
                            <w:szCs w:val="18"/>
                          </w:rPr>
                        </w:pPr>
                        <w:r>
                          <w:rPr>
                            <w:rFonts w:ascii="宋体" w:hAnsi="宋体" w:cs="宋体" w:eastAsia="宋体" w:hint="default"/>
                            <w:spacing w:val="-5"/>
                            <w:w w:val="99"/>
                            <w:sz w:val="18"/>
                            <w:szCs w:val="18"/>
                          </w:rPr>
                          <w:t>巨潮资讯网（</w:t>
                        </w:r>
                        <w:hyperlink r:id="rId11">
                          <w:r>
                            <w:rPr>
                              <w:rFonts w:ascii="Times New Roman" w:hAnsi="Times New Roman" w:cs="Times New Roman" w:eastAsia="Times New Roman" w:hint="default"/>
                              <w:spacing w:val="-5"/>
                              <w:w w:val="99"/>
                              <w:sz w:val="18"/>
                              <w:szCs w:val="18"/>
                            </w:rPr>
                            <w:t>www.cninfo.com.cn</w:t>
                          </w:r>
                        </w:hyperlink>
                        <w:r>
                          <w:rPr>
                            <w:rFonts w:ascii="宋体" w:hAnsi="宋体" w:cs="宋体" w:eastAsia="宋体" w:hint="default"/>
                            <w:spacing w:val="-5"/>
                            <w:w w:val="99"/>
                            <w:sz w:val="18"/>
                            <w:szCs w:val="18"/>
                          </w:rPr>
                          <w:t>）《群</w:t>
                        </w:r>
                        <w:r>
                          <w:rPr>
                            <w:rFonts w:ascii="宋体" w:hAnsi="宋体" w:cs="宋体" w:eastAsia="宋体" w:hint="default"/>
                            <w:spacing w:val="-68"/>
                            <w:w w:val="99"/>
                            <w:sz w:val="18"/>
                            <w:szCs w:val="18"/>
                          </w:rPr>
                          <w:t> </w:t>
                        </w:r>
                        <w:r>
                          <w:rPr>
                            <w:rFonts w:ascii="宋体" w:hAnsi="宋体" w:cs="宋体" w:eastAsia="宋体" w:hint="default"/>
                            <w:spacing w:val="-68"/>
                            <w:w w:val="99"/>
                            <w:sz w:val="18"/>
                            <w:szCs w:val="18"/>
                          </w:rPr>
                        </w:r>
                        <w:r>
                          <w:rPr>
                            <w:rFonts w:ascii="宋体" w:hAnsi="宋体" w:cs="宋体" w:eastAsia="宋体" w:hint="default"/>
                            <w:spacing w:val="-5"/>
                            <w:sz w:val="18"/>
                            <w:szCs w:val="18"/>
                          </w:rPr>
                          <w:t>兴玩具：</w:t>
                        </w:r>
                        <w:r>
                          <w:rPr>
                            <w:rFonts w:ascii="Times New Roman" w:hAnsi="Times New Roman" w:cs="Times New Roman" w:eastAsia="Times New Roman" w:hint="default"/>
                            <w:spacing w:val="-5"/>
                            <w:sz w:val="18"/>
                            <w:szCs w:val="18"/>
                          </w:rPr>
                          <w:t>2016</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 </w:t>
                        </w:r>
                        <w:r>
                          <w:rPr>
                            <w:rFonts w:ascii="宋体" w:hAnsi="宋体" w:cs="宋体" w:eastAsia="宋体" w:hint="default"/>
                            <w:spacing w:val="-6"/>
                            <w:sz w:val="18"/>
                            <w:szCs w:val="18"/>
                          </w:rPr>
                          <w:t>活动记录表》（编号：</w:t>
                        </w:r>
                        <w:r>
                          <w:rPr>
                            <w:rFonts w:ascii="Times New Roman" w:hAnsi="Times New Roman" w:cs="Times New Roman" w:eastAsia="Times New Roman" w:hint="default"/>
                            <w:spacing w:val="-6"/>
                            <w:sz w:val="18"/>
                            <w:szCs w:val="18"/>
                          </w:rPr>
                          <w:t>160119</w:t>
                        </w:r>
                        <w:r>
                          <w:rPr>
                            <w:rFonts w:ascii="宋体" w:hAnsi="宋体" w:cs="宋体" w:eastAsia="宋体" w:hint="default"/>
                            <w:spacing w:val="-6"/>
                            <w:sz w:val="18"/>
                            <w:szCs w:val="18"/>
                          </w:rPr>
                          <w:t>）</w:t>
                        </w:r>
                      </w:p>
                    </w:tc>
                  </w:tr>
                  <w:tr>
                    <w:trPr>
                      <w:trHeight w:val="102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49"/>
                          <w:ind w:left="23" w:right="17"/>
                          <w:jc w:val="both"/>
                          <w:rPr>
                            <w:rFonts w:ascii="宋体" w:hAnsi="宋体" w:cs="宋体" w:eastAsia="宋体" w:hint="default"/>
                            <w:sz w:val="18"/>
                            <w:szCs w:val="18"/>
                          </w:rPr>
                        </w:pPr>
                        <w:r>
                          <w:rPr>
                            <w:rFonts w:ascii="宋体" w:hAnsi="宋体" w:cs="宋体" w:eastAsia="宋体" w:hint="default"/>
                            <w:spacing w:val="-5"/>
                            <w:w w:val="99"/>
                            <w:sz w:val="18"/>
                            <w:szCs w:val="18"/>
                          </w:rPr>
                          <w:t>巨潮资讯网（</w:t>
                        </w:r>
                        <w:hyperlink r:id="rId11">
                          <w:r>
                            <w:rPr>
                              <w:rFonts w:ascii="Times New Roman" w:hAnsi="Times New Roman" w:cs="Times New Roman" w:eastAsia="Times New Roman" w:hint="default"/>
                              <w:spacing w:val="-5"/>
                              <w:w w:val="99"/>
                              <w:sz w:val="18"/>
                              <w:szCs w:val="18"/>
                            </w:rPr>
                            <w:t>www.cninfo.com.cn</w:t>
                          </w:r>
                        </w:hyperlink>
                        <w:r>
                          <w:rPr>
                            <w:rFonts w:ascii="宋体" w:hAnsi="宋体" w:cs="宋体" w:eastAsia="宋体" w:hint="default"/>
                            <w:spacing w:val="-5"/>
                            <w:w w:val="99"/>
                            <w:sz w:val="18"/>
                            <w:szCs w:val="18"/>
                          </w:rPr>
                          <w:t>）《群</w:t>
                        </w:r>
                        <w:r>
                          <w:rPr>
                            <w:rFonts w:ascii="宋体" w:hAnsi="宋体" w:cs="宋体" w:eastAsia="宋体" w:hint="default"/>
                            <w:spacing w:val="-68"/>
                            <w:w w:val="99"/>
                            <w:sz w:val="18"/>
                            <w:szCs w:val="18"/>
                          </w:rPr>
                          <w:t> </w:t>
                        </w:r>
                        <w:r>
                          <w:rPr>
                            <w:rFonts w:ascii="宋体" w:hAnsi="宋体" w:cs="宋体" w:eastAsia="宋体" w:hint="default"/>
                            <w:spacing w:val="-68"/>
                            <w:w w:val="99"/>
                            <w:sz w:val="18"/>
                            <w:szCs w:val="18"/>
                          </w:rPr>
                        </w:r>
                        <w:r>
                          <w:rPr>
                            <w:rFonts w:ascii="宋体" w:hAnsi="宋体" w:cs="宋体" w:eastAsia="宋体" w:hint="default"/>
                            <w:spacing w:val="-5"/>
                            <w:sz w:val="18"/>
                            <w:szCs w:val="18"/>
                          </w:rPr>
                          <w:t>兴玩具：</w:t>
                        </w:r>
                        <w:r>
                          <w:rPr>
                            <w:rFonts w:ascii="Times New Roman" w:hAnsi="Times New Roman" w:cs="Times New Roman" w:eastAsia="Times New Roman" w:hint="default"/>
                            <w:spacing w:val="-5"/>
                            <w:sz w:val="18"/>
                            <w:szCs w:val="18"/>
                          </w:rPr>
                          <w:t>2016</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 </w:t>
                        </w:r>
                        <w:r>
                          <w:rPr>
                            <w:rFonts w:ascii="宋体" w:hAnsi="宋体" w:cs="宋体" w:eastAsia="宋体" w:hint="default"/>
                            <w:spacing w:val="-5"/>
                            <w:sz w:val="18"/>
                            <w:szCs w:val="18"/>
                          </w:rPr>
                          <w:t>活动记录表》（编号：</w:t>
                        </w:r>
                        <w:r>
                          <w:rPr>
                            <w:rFonts w:ascii="Times New Roman" w:hAnsi="Times New Roman" w:cs="Times New Roman" w:eastAsia="Times New Roman" w:hint="default"/>
                            <w:spacing w:val="-5"/>
                            <w:sz w:val="18"/>
                            <w:szCs w:val="18"/>
                          </w:rPr>
                          <w:t>20160121</w:t>
                        </w:r>
                        <w:r>
                          <w:rPr>
                            <w:rFonts w:ascii="宋体" w:hAnsi="宋体" w:cs="宋体" w:eastAsia="宋体" w:hint="default"/>
                            <w:spacing w:val="-5"/>
                            <w:sz w:val="18"/>
                            <w:szCs w:val="18"/>
                          </w:rPr>
                          <w:t>）</w:t>
                        </w:r>
                      </w:p>
                    </w:tc>
                  </w:tr>
                  <w:tr>
                    <w:trPr>
                      <w:trHeight w:val="1340"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97" w:lineRule="auto" w:before="51"/>
                          <w:ind w:left="23" w:right="17"/>
                          <w:jc w:val="left"/>
                          <w:rPr>
                            <w:rFonts w:ascii="Times New Roman" w:hAnsi="Times New Roman" w:cs="Times New Roman" w:eastAsia="Times New Roman" w:hint="default"/>
                            <w:sz w:val="18"/>
                            <w:szCs w:val="18"/>
                          </w:rPr>
                        </w:pPr>
                        <w:r>
                          <w:rPr>
                            <w:rFonts w:ascii="宋体" w:hAnsi="宋体" w:cs="宋体" w:eastAsia="宋体" w:hint="default"/>
                            <w:spacing w:val="-5"/>
                            <w:w w:val="99"/>
                            <w:sz w:val="18"/>
                            <w:szCs w:val="18"/>
                          </w:rPr>
                          <w:t>巨潮资讯网（</w:t>
                        </w:r>
                        <w:hyperlink r:id="rId11">
                          <w:r>
                            <w:rPr>
                              <w:rFonts w:ascii="Times New Roman" w:hAnsi="Times New Roman" w:cs="Times New Roman" w:eastAsia="Times New Roman" w:hint="default"/>
                              <w:spacing w:val="-5"/>
                              <w:w w:val="99"/>
                              <w:sz w:val="18"/>
                              <w:szCs w:val="18"/>
                            </w:rPr>
                            <w:t>www.cninfo.com.cn</w:t>
                          </w:r>
                        </w:hyperlink>
                        <w:r>
                          <w:rPr>
                            <w:rFonts w:ascii="宋体" w:hAnsi="宋体" w:cs="宋体" w:eastAsia="宋体" w:hint="default"/>
                            <w:spacing w:val="-5"/>
                            <w:w w:val="99"/>
                            <w:sz w:val="18"/>
                            <w:szCs w:val="18"/>
                          </w:rPr>
                          <w:t>）《群</w:t>
                        </w:r>
                        <w:r>
                          <w:rPr>
                            <w:rFonts w:ascii="宋体" w:hAnsi="宋体" w:cs="宋体" w:eastAsia="宋体" w:hint="default"/>
                            <w:spacing w:val="-68"/>
                            <w:w w:val="99"/>
                            <w:sz w:val="18"/>
                            <w:szCs w:val="18"/>
                          </w:rPr>
                          <w:t> </w:t>
                        </w:r>
                        <w:r>
                          <w:rPr>
                            <w:rFonts w:ascii="宋体" w:hAnsi="宋体" w:cs="宋体" w:eastAsia="宋体" w:hint="default"/>
                            <w:spacing w:val="-68"/>
                            <w:w w:val="99"/>
                            <w:sz w:val="18"/>
                            <w:szCs w:val="18"/>
                          </w:rPr>
                        </w:r>
                        <w:r>
                          <w:rPr>
                            <w:rFonts w:ascii="宋体" w:hAnsi="宋体" w:cs="宋体" w:eastAsia="宋体" w:hint="default"/>
                            <w:sz w:val="18"/>
                            <w:szCs w:val="18"/>
                          </w:rPr>
                          <w:t>兴玩具：</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r>
                          <w:rPr>
                            <w:rFonts w:ascii="宋体" w:hAnsi="宋体" w:cs="宋体" w:eastAsia="宋体" w:hint="default"/>
                            <w:spacing w:val="-171"/>
                            <w:sz w:val="18"/>
                            <w:szCs w:val="18"/>
                          </w:rPr>
                          <w:t>》</w:t>
                        </w:r>
                        <w:r>
                          <w:rPr>
                            <w:rFonts w:ascii="宋体" w:hAnsi="宋体" w:cs="宋体" w:eastAsia="宋体" w:hint="default"/>
                            <w:sz w:val="18"/>
                            <w:szCs w:val="18"/>
                          </w:rPr>
                          <w:t>（编号</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160201-02</w:t>
                        </w:r>
                        <w:r>
                          <w:rPr>
                            <w:rFonts w:ascii="宋体" w:hAnsi="宋体" w:cs="宋体" w:eastAsia="宋体" w:hint="default"/>
                            <w:sz w:val="18"/>
                            <w:szCs w:val="18"/>
                          </w:rPr>
                          <w:t>）</w:t>
                        </w:r>
                      </w:p>
                    </w:tc>
                  </w:tr>
                  <w:tr>
                    <w:trPr>
                      <w:trHeight w:val="67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49"/>
                          <w:ind w:left="23" w:right="17"/>
                          <w:jc w:val="left"/>
                          <w:rPr>
                            <w:rFonts w:ascii="Times New Roman" w:hAnsi="Times New Roman" w:cs="Times New Roman" w:eastAsia="Times New Roman" w:hint="default"/>
                            <w:sz w:val="18"/>
                            <w:szCs w:val="18"/>
                          </w:rPr>
                        </w:pPr>
                        <w:r>
                          <w:rPr>
                            <w:rFonts w:ascii="宋体" w:hAnsi="宋体" w:cs="宋体" w:eastAsia="宋体" w:hint="default"/>
                            <w:spacing w:val="-5"/>
                            <w:w w:val="99"/>
                            <w:sz w:val="18"/>
                            <w:szCs w:val="18"/>
                          </w:rPr>
                          <w:t>巨潮资讯网（</w:t>
                        </w:r>
                        <w:hyperlink r:id="rId11">
                          <w:r>
                            <w:rPr>
                              <w:rFonts w:ascii="Times New Roman" w:hAnsi="Times New Roman" w:cs="Times New Roman" w:eastAsia="Times New Roman" w:hint="default"/>
                              <w:spacing w:val="-5"/>
                              <w:w w:val="99"/>
                              <w:sz w:val="18"/>
                              <w:szCs w:val="18"/>
                            </w:rPr>
                            <w:t>www.cninfo.com.cn</w:t>
                          </w:r>
                        </w:hyperlink>
                        <w:r>
                          <w:rPr>
                            <w:rFonts w:ascii="宋体" w:hAnsi="宋体" w:cs="宋体" w:eastAsia="宋体" w:hint="default"/>
                            <w:spacing w:val="-5"/>
                            <w:w w:val="99"/>
                            <w:sz w:val="18"/>
                            <w:szCs w:val="18"/>
                          </w:rPr>
                          <w:t>）《群</w:t>
                        </w:r>
                        <w:r>
                          <w:rPr>
                            <w:rFonts w:ascii="宋体" w:hAnsi="宋体" w:cs="宋体" w:eastAsia="宋体" w:hint="default"/>
                            <w:spacing w:val="-68"/>
                            <w:w w:val="99"/>
                            <w:sz w:val="18"/>
                            <w:szCs w:val="18"/>
                          </w:rPr>
                          <w:t> </w:t>
                        </w:r>
                        <w:r>
                          <w:rPr>
                            <w:rFonts w:ascii="宋体" w:hAnsi="宋体" w:cs="宋体" w:eastAsia="宋体" w:hint="default"/>
                            <w:spacing w:val="-68"/>
                            <w:w w:val="99"/>
                            <w:sz w:val="18"/>
                            <w:szCs w:val="18"/>
                          </w:rPr>
                        </w:r>
                        <w:r>
                          <w:rPr>
                            <w:rFonts w:ascii="宋体" w:hAnsi="宋体" w:cs="宋体" w:eastAsia="宋体" w:hint="default"/>
                            <w:sz w:val="18"/>
                            <w:szCs w:val="18"/>
                          </w:rPr>
                          <w:t>兴玩具：</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79" w:top="1060" w:bottom="1160" w:left="980" w:right="920"/>
        </w:sectPr>
      </w:pPr>
    </w:p>
    <w:p>
      <w:pPr>
        <w:spacing w:line="240" w:lineRule="auto" w:before="6"/>
        <w:rPr>
          <w:rFonts w:ascii="宋体" w:hAnsi="宋体" w:cs="宋体" w:eastAsia="宋体" w:hint="default"/>
          <w:sz w:val="26"/>
          <w:szCs w:val="26"/>
        </w:rPr>
      </w:pPr>
    </w:p>
    <w:p>
      <w:pPr>
        <w:spacing w:before="44"/>
        <w:ind w:left="0" w:right="156" w:firstLine="0"/>
        <w:jc w:val="right"/>
        <w:rPr>
          <w:rFonts w:ascii="宋体" w:hAnsi="宋体" w:cs="宋体" w:eastAsia="宋体" w:hint="default"/>
          <w:sz w:val="18"/>
          <w:szCs w:val="18"/>
        </w:rPr>
      </w:pPr>
      <w:r>
        <w:rPr/>
        <w:pict>
          <v:shape style="position:absolute;margin-left:56.400002pt;margin-top:1.291719pt;width:479.3pt;height:34.2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0"/>
                    <w:gridCol w:w="2177"/>
                    <w:gridCol w:w="2177"/>
                    <w:gridCol w:w="3037"/>
                  </w:tblGrid>
                  <w:tr>
                    <w:trPr>
                      <w:trHeight w:val="675" w:hRule="exact"/>
                    </w:trPr>
                    <w:tc>
                      <w:tcPr>
                        <w:tcW w:w="2180"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r>
                          <w:rPr>
                            <w:rFonts w:ascii="宋体" w:hAnsi="宋体" w:cs="宋体" w:eastAsia="宋体" w:hint="default"/>
                            <w:spacing w:val="-171"/>
                            <w:sz w:val="18"/>
                            <w:szCs w:val="18"/>
                          </w:rPr>
                          <w:t>》</w:t>
                        </w:r>
                        <w:r>
                          <w:rPr>
                            <w:rFonts w:ascii="宋体" w:hAnsi="宋体" w:cs="宋体" w:eastAsia="宋体" w:hint="default"/>
                            <w:sz w:val="18"/>
                            <w:szCs w:val="18"/>
                          </w:rPr>
                          <w:t>（编号</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160201-02</w:t>
                        </w:r>
                        <w:r>
                          <w:rPr>
                            <w:rFonts w:ascii="宋体" w:hAnsi="宋体" w:cs="宋体" w:eastAsia="宋体" w:hint="default"/>
                            <w:sz w:val="18"/>
                            <w:szCs w:val="18"/>
                          </w:rPr>
                          <w:t>）</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right="2792"/>
        <w:jc w:val="center"/>
        <w:rPr>
          <w:b w:val="0"/>
          <w:bCs w:val="0"/>
        </w:rPr>
      </w:pPr>
      <w:bookmarkStart w:name="_bookmark4" w:id="5"/>
      <w:bookmarkEnd w:id="5"/>
      <w:r>
        <w:rPr>
          <w:b w:val="0"/>
          <w:bCs w:val="0"/>
        </w:rPr>
      </w:r>
      <w:r>
        <w:rPr/>
        <w:t>第五节 </w:t>
      </w:r>
      <w:r>
        <w:rPr>
          <w:spacing w:val="9"/>
        </w:rPr>
        <w:t> </w:t>
      </w:r>
      <w:r>
        <w:rPr/>
        <w:t>重要事项</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56" w:lineRule="auto" w:before="80"/>
        <w:ind w:right="146" w:firstLine="420"/>
        <w:jc w:val="both"/>
      </w:pPr>
      <w:r>
        <w:rPr>
          <w:rFonts w:ascii="Times New Roman" w:hAnsi="Times New Roman" w:cs="Times New Roman" w:eastAsia="Times New Roman" w:hint="default"/>
        </w:rPr>
        <w:t>1</w:t>
      </w:r>
      <w:r>
        <w:rPr/>
        <w:t>、公司现金分红政策的制定情况根据中国证监会《关于进一步落实上市公司现金分红有关事项的通</w:t>
      </w:r>
      <w:r>
        <w:rPr>
          <w:w w:val="100"/>
        </w:rPr>
        <w:t> </w:t>
      </w:r>
      <w:r>
        <w:rPr>
          <w:spacing w:val="-2"/>
        </w:rPr>
        <w:t>知》、广东证监局《关于进一步落实上市公司分红相关规定的通知》（广东证监〔</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91</w:t>
      </w:r>
      <w:r>
        <w:rPr>
          <w:spacing w:val="-2"/>
        </w:rPr>
        <w:t>号），对公司</w:t>
      </w:r>
      <w:r>
        <w:rPr>
          <w:spacing w:val="-38"/>
        </w:rPr>
        <w:t> </w:t>
      </w:r>
      <w:r>
        <w:rPr>
          <w:spacing w:val="-38"/>
        </w:rPr>
      </w:r>
      <w:r>
        <w:rPr>
          <w:spacing w:val="-2"/>
        </w:rPr>
        <w:t>在分红制度建设、政策规划、决策程序、信息披露和监督执行等进行一次全面自查并落实整改，并于</w:t>
      </w:r>
      <w:r>
        <w:rPr>
          <w:rFonts w:ascii="Times New Roman" w:hAnsi="Times New Roman" w:cs="Times New Roman" w:eastAsia="Times New Roman" w:hint="default"/>
          <w:spacing w:val="-2"/>
        </w:rPr>
        <w:t>2012</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11</w:t>
      </w:r>
      <w:r>
        <w:rPr>
          <w:spacing w:val="-2"/>
        </w:rPr>
        <w:t>日召开</w:t>
      </w:r>
      <w:r>
        <w:rPr>
          <w:rFonts w:ascii="Times New Roman" w:hAnsi="Times New Roman" w:cs="Times New Roman" w:eastAsia="Times New Roman" w:hint="default"/>
          <w:spacing w:val="-2"/>
        </w:rPr>
        <w:t>2012</w:t>
      </w:r>
      <w:r>
        <w:rPr>
          <w:spacing w:val="-2"/>
        </w:rPr>
        <w:t>年第一次临时股东大会，修订《公司章程》。</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11</w:t>
      </w:r>
      <w:r>
        <w:rPr>
          <w:spacing w:val="-2"/>
        </w:rPr>
        <w:t>日第二届董事会第二十二次</w:t>
      </w:r>
      <w:r>
        <w:rPr>
          <w:spacing w:val="-35"/>
        </w:rPr>
        <w:t> </w:t>
      </w:r>
      <w:r>
        <w:rPr>
          <w:spacing w:val="-35"/>
        </w:rPr>
      </w:r>
      <w:r>
        <w:rPr/>
        <w:t>会</w:t>
      </w:r>
      <w:r>
        <w:rPr>
          <w:spacing w:val="-66"/>
        </w:rPr>
        <w:t> </w:t>
      </w:r>
      <w:r>
        <w:rPr/>
        <w:t>议</w:t>
      </w:r>
      <w:r>
        <w:rPr>
          <w:spacing w:val="-66"/>
        </w:rPr>
        <w:t> </w:t>
      </w:r>
      <w:r>
        <w:rPr/>
        <w:t>制</w:t>
      </w:r>
      <w:r>
        <w:rPr>
          <w:spacing w:val="-66"/>
        </w:rPr>
        <w:t> </w:t>
      </w:r>
      <w:r>
        <w:rPr/>
        <w:t>订</w:t>
      </w:r>
      <w:r>
        <w:rPr>
          <w:spacing w:val="-64"/>
        </w:rPr>
        <w:t> </w:t>
      </w:r>
      <w:r>
        <w:rPr/>
        <w:t>了</w:t>
      </w:r>
      <w:r>
        <w:rPr>
          <w:spacing w:val="-66"/>
        </w:rPr>
        <w:t> </w:t>
      </w:r>
      <w:r>
        <w:rPr/>
        <w:t>《</w:t>
      </w:r>
      <w:r>
        <w:rPr>
          <w:spacing w:val="-66"/>
        </w:rPr>
        <w:t> </w:t>
      </w:r>
      <w:r>
        <w:rPr/>
        <w:t>未</w:t>
      </w:r>
      <w:r>
        <w:rPr>
          <w:spacing w:val="-66"/>
        </w:rPr>
        <w:t> </w:t>
      </w:r>
      <w:r>
        <w:rPr/>
        <w:t>来</w:t>
      </w:r>
      <w:r>
        <w:rPr>
          <w:spacing w:val="-66"/>
        </w:rPr>
        <w:t> </w:t>
      </w:r>
      <w:r>
        <w:rPr/>
        <w:t>三</w:t>
      </w:r>
      <w:r>
        <w:rPr>
          <w:spacing w:val="-66"/>
        </w:rPr>
        <w:t> </w:t>
      </w:r>
      <w:r>
        <w:rPr/>
        <w:t>年</w:t>
      </w:r>
      <w:r>
        <w:rPr>
          <w:spacing w:val="-66"/>
        </w:rPr>
        <w:t> </w:t>
      </w:r>
      <w:r>
        <w:rPr/>
        <w:t>（</w:t>
      </w:r>
      <w:r>
        <w:rPr>
          <w:spacing w:val="-61"/>
        </w:rPr>
        <w:t> </w:t>
      </w:r>
      <w:r>
        <w:rPr>
          <w:rFonts w:ascii="Times New Roman" w:hAnsi="Times New Roman" w:cs="Times New Roman" w:eastAsia="Times New Roman" w:hint="default"/>
        </w:rPr>
        <w:t>2015~2017</w:t>
      </w:r>
      <w:r>
        <w:rPr>
          <w:rFonts w:ascii="Times New Roman" w:hAnsi="Times New Roman" w:cs="Times New Roman" w:eastAsia="Times New Roman" w:hint="default"/>
          <w:spacing w:val="17"/>
        </w:rPr>
        <w:t> </w:t>
      </w:r>
      <w:r>
        <w:rPr/>
        <w:t>年</w:t>
      </w:r>
      <w:r>
        <w:rPr>
          <w:spacing w:val="-64"/>
        </w:rPr>
        <w:t> </w:t>
      </w:r>
      <w:r>
        <w:rPr/>
        <w:t>）</w:t>
      </w:r>
      <w:r>
        <w:rPr>
          <w:spacing w:val="-66"/>
        </w:rPr>
        <w:t> </w:t>
      </w:r>
      <w:r>
        <w:rPr/>
        <w:t>股</w:t>
      </w:r>
      <w:r>
        <w:rPr>
          <w:spacing w:val="-66"/>
        </w:rPr>
        <w:t> </w:t>
      </w:r>
      <w:r>
        <w:rPr/>
        <w:t>东</w:t>
      </w:r>
      <w:r>
        <w:rPr>
          <w:spacing w:val="-66"/>
        </w:rPr>
        <w:t> </w:t>
      </w:r>
      <w:r>
        <w:rPr/>
        <w:t>回</w:t>
      </w:r>
      <w:r>
        <w:rPr>
          <w:spacing w:val="-66"/>
        </w:rPr>
        <w:t> </w:t>
      </w:r>
      <w:r>
        <w:rPr/>
        <w:t>报</w:t>
      </w:r>
      <w:r>
        <w:rPr>
          <w:spacing w:val="-66"/>
        </w:rPr>
        <w:t> </w:t>
      </w:r>
      <w:r>
        <w:rPr/>
        <w:t>规</w:t>
      </w:r>
      <w:r>
        <w:rPr>
          <w:spacing w:val="-64"/>
        </w:rPr>
        <w:t> </w:t>
      </w:r>
      <w:r>
        <w:rPr/>
        <w:t>划</w:t>
      </w:r>
      <w:r>
        <w:rPr>
          <w:spacing w:val="-66"/>
        </w:rPr>
        <w:t> </w:t>
      </w:r>
      <w:r>
        <w:rPr/>
        <w:t>》</w:t>
      </w:r>
      <w:r>
        <w:rPr>
          <w:spacing w:val="-66"/>
        </w:rPr>
        <w:t> </w:t>
      </w:r>
      <w:r>
        <w:rPr/>
        <w:t>（</w:t>
      </w:r>
      <w:r>
        <w:rPr>
          <w:spacing w:val="-66"/>
        </w:rPr>
        <w:t> </w:t>
      </w:r>
      <w:r>
        <w:rPr/>
        <w:t>详</w:t>
      </w:r>
      <w:r>
        <w:rPr>
          <w:spacing w:val="-66"/>
        </w:rPr>
        <w:t> </w:t>
      </w:r>
      <w:r>
        <w:rPr/>
        <w:t>见</w:t>
      </w:r>
      <w:r>
        <w:rPr>
          <w:spacing w:val="-6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4"/>
        </w:rPr>
        <w:t> </w:t>
      </w:r>
      <w:r>
        <w:rPr/>
        <w:t>年</w:t>
      </w:r>
      <w:r>
        <w:rPr>
          <w:spacing w:val="-65"/>
        </w:rPr>
        <w:t> </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月</w:t>
      </w:r>
      <w:r>
        <w:rPr>
          <w:spacing w:val="-64"/>
        </w:rPr>
        <w:t> </w:t>
      </w:r>
      <w:r>
        <w:rPr>
          <w:rFonts w:ascii="Times New Roman" w:hAnsi="Times New Roman" w:cs="Times New Roman" w:eastAsia="Times New Roman" w:hint="default"/>
        </w:rPr>
        <w:t>13</w:t>
      </w:r>
      <w:r>
        <w:rPr>
          <w:rFonts w:ascii="Times New Roman" w:hAnsi="Times New Roman" w:cs="Times New Roman" w:eastAsia="Times New Roman" w:hint="default"/>
          <w:spacing w:val="-14"/>
        </w:rPr>
        <w:t> </w:t>
      </w:r>
      <w:r>
        <w:rPr/>
        <w:t>日</w:t>
      </w:r>
      <w:r>
        <w:rPr>
          <w:spacing w:val="-66"/>
        </w:rPr>
        <w:t> </w:t>
      </w:r>
      <w:r>
        <w:rPr/>
        <w:t>巨</w:t>
      </w:r>
      <w:r>
        <w:rPr>
          <w:spacing w:val="-66"/>
        </w:rPr>
        <w:t> </w:t>
      </w:r>
      <w:r>
        <w:rPr/>
        <w:t>潮</w:t>
      </w:r>
      <w:r>
        <w:rPr>
          <w:spacing w:val="-66"/>
        </w:rPr>
        <w:t> </w:t>
      </w:r>
      <w:r>
        <w:rPr/>
        <w:t>资</w:t>
      </w:r>
      <w:r>
        <w:rPr>
          <w:spacing w:val="-66"/>
        </w:rPr>
        <w:t> </w:t>
      </w:r>
      <w:r>
        <w:rPr/>
        <w:t>讯</w:t>
      </w:r>
      <w:r>
        <w:rPr>
          <w:spacing w:val="-64"/>
        </w:rPr>
        <w:t> </w:t>
      </w:r>
      <w:r>
        <w:rPr/>
        <w:t>网</w:t>
      </w:r>
      <w:r>
        <w:rPr>
          <w:w w:val="100"/>
        </w:rPr>
        <w:t> </w:t>
      </w:r>
      <w:hyperlink r:id="rId11">
        <w:r>
          <w:rPr>
            <w:rFonts w:ascii="Times New Roman" w:hAnsi="Times New Roman" w:cs="Times New Roman" w:eastAsia="Times New Roman" w:hint="default"/>
            <w:spacing w:val="-3"/>
          </w:rPr>
          <w:t>www.cninfo.com.cn</w:t>
        </w:r>
      </w:hyperlink>
      <w:r>
        <w:rPr>
          <w:spacing w:val="-3"/>
        </w:rPr>
        <w:t>），并于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6</w:t>
      </w:r>
      <w:r>
        <w:rPr>
          <w:spacing w:val="-3"/>
        </w:rPr>
        <w:t>日经公司</w:t>
      </w:r>
      <w:r>
        <w:rPr>
          <w:rFonts w:ascii="Times New Roman" w:hAnsi="Times New Roman" w:cs="Times New Roman" w:eastAsia="Times New Roman" w:hint="default"/>
          <w:spacing w:val="-3"/>
        </w:rPr>
        <w:t>2014</w:t>
      </w:r>
      <w:r>
        <w:rPr>
          <w:spacing w:val="-3"/>
        </w:rPr>
        <w:t>年年度股东大会审议通过，明确了分红的决策程序和</w:t>
      </w:r>
      <w:r>
        <w:rPr>
          <w:spacing w:val="7"/>
        </w:rPr>
        <w:t> </w:t>
      </w:r>
      <w:r>
        <w:rPr>
          <w:spacing w:val="7"/>
        </w:rPr>
      </w:r>
      <w:r>
        <w:rPr/>
        <w:t>机制，有效地保障投资者的合理投资回报。</w:t>
      </w:r>
    </w:p>
    <w:p>
      <w:pPr>
        <w:pStyle w:val="BodyText"/>
        <w:spacing w:line="266" w:lineRule="auto" w:before="22"/>
        <w:ind w:right="149" w:firstLine="420"/>
        <w:jc w:val="both"/>
      </w:pPr>
      <w:r>
        <w:rPr>
          <w:rFonts w:ascii="Times New Roman" w:hAnsi="Times New Roman" w:cs="Times New Roman" w:eastAsia="Times New Roman" w:hint="default"/>
        </w:rPr>
        <w:t>2</w:t>
      </w:r>
      <w:r>
        <w:rPr/>
        <w:t>、公司现金分红政策的执行情况公司利润分配政策符合《公司章程》的规定，公司现金分红政策制</w:t>
      </w:r>
      <w:r>
        <w:rPr>
          <w:w w:val="100"/>
        </w:rPr>
        <w:t> </w:t>
      </w:r>
      <w:r>
        <w:rPr>
          <w:spacing w:val="-2"/>
        </w:rPr>
        <w:t>定及执行均符合《公司章程》的规定及股东大会决议的要求，分红标准和分红比例明确清晰，相关的决策</w:t>
      </w:r>
      <w:r>
        <w:rPr>
          <w:spacing w:val="-50"/>
        </w:rPr>
        <w:t> </w:t>
      </w:r>
      <w:r>
        <w:rPr>
          <w:spacing w:val="-50"/>
        </w:rPr>
      </w:r>
      <w:r>
        <w:rPr>
          <w:spacing w:val="-2"/>
        </w:rPr>
        <w:t>程序和机制完备，独立董事的职责明确，能发挥应有的作用，中小股东有充分表达意见和诉求的机会，中</w:t>
      </w:r>
      <w:r>
        <w:rPr>
          <w:spacing w:val="-47"/>
        </w:rPr>
        <w:t> </w:t>
      </w:r>
      <w:r>
        <w:rPr>
          <w:spacing w:val="-47"/>
        </w:rPr>
      </w:r>
      <w:r>
        <w:rPr/>
        <w:t>小股东的合法权益得到了维护。</w:t>
      </w:r>
    </w:p>
    <w:p>
      <w:pPr>
        <w:spacing w:line="240" w:lineRule="auto" w:before="2"/>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5"/>
        <w:gridCol w:w="4785"/>
      </w:tblGrid>
      <w:tr>
        <w:trPr>
          <w:trHeight w:val="3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5"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69"/>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5"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pStyle w:val="BodyText"/>
        <w:spacing w:line="240" w:lineRule="auto" w:before="80"/>
        <w:ind w:left="573" w:right="0"/>
        <w:jc w:val="left"/>
      </w:pPr>
      <w:r>
        <w:rPr>
          <w:rFonts w:ascii="Times New Roman" w:hAnsi="Times New Roman" w:cs="Times New Roman" w:eastAsia="Times New Roman" w:hint="default"/>
        </w:rPr>
        <w:t>2013</w:t>
      </w:r>
      <w:r>
        <w:rPr/>
        <w:t>年度</w:t>
      </w:r>
    </w:p>
    <w:p>
      <w:pPr>
        <w:pStyle w:val="BodyText"/>
        <w:spacing w:line="256" w:lineRule="auto" w:before="21"/>
        <w:ind w:right="148" w:firstLine="42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8</w:t>
      </w:r>
      <w:r>
        <w:rPr>
          <w:spacing w:val="2"/>
        </w:rPr>
        <w:t>日，公司第二届董事会第十二次会议审议通过了公司《关于</w:t>
      </w:r>
      <w:r>
        <w:rPr>
          <w:rFonts w:ascii="Times New Roman" w:hAnsi="Times New Roman" w:cs="Times New Roman" w:eastAsia="Times New Roman" w:hint="default"/>
          <w:spacing w:val="2"/>
        </w:rPr>
        <w:t>2013</w:t>
      </w:r>
      <w:r>
        <w:rPr>
          <w:spacing w:val="2"/>
        </w:rPr>
        <w:t>年度利润分配预案的议</w:t>
      </w:r>
      <w:r>
        <w:rPr>
          <w:w w:val="100"/>
        </w:rPr>
        <w:t> </w:t>
      </w:r>
      <w:r>
        <w:rPr/>
        <w:t>案》，并经</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日召开的公司</w:t>
      </w:r>
      <w:r>
        <w:rPr>
          <w:rFonts w:ascii="Times New Roman" w:hAnsi="Times New Roman" w:cs="Times New Roman" w:eastAsia="Times New Roman" w:hint="default"/>
        </w:rPr>
        <w:t>2013</w:t>
      </w:r>
      <w:r>
        <w:rPr/>
        <w:t>年度股东大会审议批准。</w:t>
      </w:r>
    </w:p>
    <w:p>
      <w:pPr>
        <w:pStyle w:val="BodyText"/>
        <w:spacing w:line="256" w:lineRule="auto" w:before="5"/>
        <w:ind w:right="148" w:firstLine="420"/>
        <w:jc w:val="both"/>
      </w:pPr>
      <w:r>
        <w:rPr>
          <w:spacing w:val="-2"/>
        </w:rPr>
        <w:t>公司</w:t>
      </w:r>
      <w:r>
        <w:rPr>
          <w:rFonts w:ascii="Times New Roman" w:hAnsi="Times New Roman" w:cs="Times New Roman" w:eastAsia="Times New Roman" w:hint="default"/>
          <w:spacing w:val="-2"/>
        </w:rPr>
        <w:t>2013</w:t>
      </w:r>
      <w:r>
        <w:rPr>
          <w:spacing w:val="-2"/>
        </w:rPr>
        <w:t>年度利润分配方案为：以截止</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267,600,000</w:t>
      </w:r>
      <w:r>
        <w:rPr>
          <w:spacing w:val="-2"/>
        </w:rPr>
        <w:t>股为基数，每</w:t>
      </w:r>
      <w:r>
        <w:rPr>
          <w:rFonts w:ascii="Times New Roman" w:hAnsi="Times New Roman" w:cs="Times New Roman" w:eastAsia="Times New Roman" w:hint="default"/>
          <w:spacing w:val="-2"/>
        </w:rPr>
        <w:t>10</w:t>
      </w:r>
      <w:r>
        <w:rPr>
          <w:spacing w:val="-2"/>
        </w:rPr>
        <w:t>股派发</w:t>
      </w:r>
      <w:r>
        <w:rPr>
          <w:w w:val="100"/>
        </w:rPr>
        <w:t> </w:t>
      </w:r>
      <w:r>
        <w:rPr>
          <w:rFonts w:ascii="Times New Roman" w:hAnsi="Times New Roman" w:cs="Times New Roman" w:eastAsia="Times New Roman" w:hint="default"/>
          <w:spacing w:val="-5"/>
        </w:rPr>
        <w:t>0.5</w:t>
      </w:r>
      <w:r>
        <w:rPr>
          <w:spacing w:val="-5"/>
        </w:rPr>
        <w:t>元现金红利（含税），合计派发现金股利</w:t>
      </w:r>
      <w:r>
        <w:rPr>
          <w:rFonts w:ascii="Times New Roman" w:hAnsi="Times New Roman" w:cs="Times New Roman" w:eastAsia="Times New Roman" w:hint="default"/>
          <w:spacing w:val="-5"/>
        </w:rPr>
        <w:t>13,380,000</w:t>
      </w:r>
      <w:r>
        <w:rPr>
          <w:spacing w:val="-5"/>
        </w:rPr>
        <w:t>元，剩余未分配利润结转以后年度分配。公司于</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日披露了《</w:t>
      </w:r>
      <w:r>
        <w:rPr>
          <w:rFonts w:ascii="Times New Roman" w:hAnsi="Times New Roman" w:cs="Times New Roman" w:eastAsia="Times New Roman" w:hint="default"/>
        </w:rPr>
        <w:t>2013</w:t>
      </w:r>
      <w:r>
        <w:rPr/>
        <w:t>年度权益分派实施公告》，本次权益分派股权登记日为：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日，除权除</w:t>
      </w:r>
      <w:r>
        <w:rPr>
          <w:spacing w:val="-27"/>
        </w:rPr>
        <w:t> </w:t>
      </w:r>
      <w:r>
        <w:rPr>
          <w:spacing w:val="-27"/>
        </w:rPr>
      </w:r>
      <w:r>
        <w:rPr/>
        <w:t>息日为：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w:t>
      </w:r>
    </w:p>
    <w:p>
      <w:pPr>
        <w:pStyle w:val="BodyText"/>
        <w:spacing w:line="240" w:lineRule="auto" w:before="5"/>
        <w:ind w:left="573" w:right="0"/>
        <w:jc w:val="left"/>
      </w:pPr>
      <w:r>
        <w:rPr>
          <w:rFonts w:ascii="Times New Roman" w:hAnsi="Times New Roman" w:cs="Times New Roman" w:eastAsia="Times New Roman" w:hint="default"/>
        </w:rPr>
        <w:t>2014</w:t>
      </w:r>
      <w:r>
        <w:rPr/>
        <w:t>年度</w:t>
      </w:r>
    </w:p>
    <w:p>
      <w:pPr>
        <w:pStyle w:val="BodyText"/>
        <w:spacing w:line="240" w:lineRule="auto" w:before="21"/>
        <w:ind w:left="573" w:right="0"/>
        <w:jc w:val="left"/>
      </w:pPr>
      <w:r>
        <w:rPr/>
        <w:t>以公司现有总股本</w:t>
      </w:r>
      <w:r>
        <w:rPr>
          <w:rFonts w:ascii="Times New Roman" w:hAnsi="Times New Roman" w:cs="Times New Roman" w:eastAsia="Times New Roman" w:hint="default"/>
        </w:rPr>
        <w:t>267,600,000</w:t>
      </w:r>
      <w:r>
        <w:rPr/>
        <w:t>股为基数，向全体股东每 </w:t>
      </w:r>
      <w:r>
        <w:rPr>
          <w:rFonts w:ascii="Times New Roman" w:hAnsi="Times New Roman" w:cs="Times New Roman" w:eastAsia="Times New Roman" w:hint="default"/>
        </w:rPr>
        <w:t>10 </w:t>
      </w:r>
      <w:r>
        <w:rPr/>
        <w:t>股派发现金股利 </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spacing w:val="-5"/>
        </w:rPr>
        <w:t>元（含税）；同时，以</w:t>
      </w:r>
    </w:p>
    <w:p>
      <w:pPr>
        <w:pStyle w:val="BodyText"/>
        <w:spacing w:line="256" w:lineRule="auto" w:before="21"/>
        <w:ind w:right="146"/>
        <w:jc w:val="both"/>
        <w:rPr>
          <w:rFonts w:ascii="Times New Roman" w:hAnsi="Times New Roman" w:cs="Times New Roman" w:eastAsia="Times New Roman" w:hint="default"/>
        </w:rPr>
      </w:pPr>
      <w:r>
        <w:rPr/>
        <w:t>资本公积金向全体股东每</w:t>
      </w:r>
      <w:r>
        <w:rPr>
          <w:spacing w:val="-6"/>
        </w:rPr>
        <w:t> </w:t>
      </w:r>
      <w:r>
        <w:rPr>
          <w:rFonts w:ascii="Times New Roman" w:hAnsi="Times New Roman" w:cs="Times New Roman" w:eastAsia="Times New Roman" w:hint="default"/>
        </w:rPr>
        <w:t>10</w:t>
      </w:r>
      <w:r>
        <w:rPr>
          <w:rFonts w:ascii="Times New Roman" w:hAnsi="Times New Roman" w:cs="Times New Roman" w:eastAsia="Times New Roman" w:hint="default"/>
          <w:spacing w:val="43"/>
        </w:rPr>
        <w:t> </w:t>
      </w:r>
      <w:r>
        <w:rPr/>
        <w:t>股转增</w:t>
      </w:r>
      <w:r>
        <w:rPr>
          <w:spacing w:val="-7"/>
        </w:rPr>
        <w:t> </w:t>
      </w:r>
      <w:r>
        <w:rPr>
          <w:rFonts w:ascii="Times New Roman" w:hAnsi="Times New Roman" w:cs="Times New Roman" w:eastAsia="Times New Roman" w:hint="default"/>
        </w:rPr>
        <w:t>12</w:t>
      </w:r>
      <w:r>
        <w:rPr>
          <w:rFonts w:ascii="Times New Roman" w:hAnsi="Times New Roman" w:cs="Times New Roman" w:eastAsia="Times New Roman" w:hint="default"/>
          <w:spacing w:val="43"/>
        </w:rPr>
        <w:t> </w:t>
      </w:r>
      <w:r>
        <w:rPr/>
        <w:t>股，合计转增</w:t>
      </w:r>
      <w:r>
        <w:rPr>
          <w:rFonts w:ascii="Times New Roman" w:hAnsi="Times New Roman" w:cs="Times New Roman" w:eastAsia="Times New Roman" w:hint="default"/>
        </w:rPr>
        <w:t>321,120,000</w:t>
      </w:r>
      <w:r>
        <w:rPr/>
        <w:t>股，转增后公司总股本增至</w:t>
      </w:r>
      <w:r>
        <w:rPr>
          <w:rFonts w:ascii="Times New Roman" w:hAnsi="Times New Roman" w:cs="Times New Roman" w:eastAsia="Times New Roman" w:hint="default"/>
        </w:rPr>
        <w:t>588,720,000</w:t>
      </w:r>
      <w:r>
        <w:rPr>
          <w:rFonts w:ascii="Times New Roman" w:hAnsi="Times New Roman" w:cs="Times New Roman" w:eastAsia="Times New Roman" w:hint="default"/>
          <w:spacing w:val="-50"/>
        </w:rPr>
        <w:t> </w:t>
      </w:r>
      <w:r>
        <w:rPr>
          <w:rFonts w:ascii="Times New Roman" w:hAnsi="Times New Roman" w:cs="Times New Roman" w:eastAsia="Times New Roman" w:hint="default"/>
          <w:spacing w:val="-50"/>
        </w:rPr>
      </w:r>
      <w:r>
        <w:rPr>
          <w:spacing w:val="-1"/>
        </w:rPr>
        <w:t>股。本次利润分配</w:t>
      </w:r>
      <w:r>
        <w:rPr>
          <w:rFonts w:ascii="Times New Roman" w:hAnsi="Times New Roman" w:cs="Times New Roman" w:eastAsia="Times New Roman" w:hint="default"/>
          <w:spacing w:val="-1"/>
        </w:rPr>
        <w:t>2,676</w:t>
      </w:r>
      <w:r>
        <w:rPr>
          <w:spacing w:val="-1"/>
        </w:rPr>
        <w:t>万元，利润分配后，剩余未分配利润结转以后年度分配。公司于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12</w:t>
      </w:r>
      <w:r>
        <w:rPr>
          <w:spacing w:val="-1"/>
        </w:rPr>
        <w:t>日披</w:t>
      </w:r>
      <w:r>
        <w:rPr>
          <w:spacing w:val="-28"/>
        </w:rPr>
        <w:t> </w:t>
      </w:r>
      <w:r>
        <w:rPr>
          <w:spacing w:val="-4"/>
        </w:rPr>
        <w:t>露了《</w:t>
      </w:r>
      <w:r>
        <w:rPr>
          <w:rFonts w:ascii="Times New Roman" w:hAnsi="Times New Roman" w:cs="Times New Roman" w:eastAsia="Times New Roman" w:hint="default"/>
          <w:spacing w:val="-4"/>
        </w:rPr>
        <w:t>2014</w:t>
      </w:r>
      <w:r>
        <w:rPr>
          <w:spacing w:val="-4"/>
        </w:rPr>
        <w:t>年度权益分派实施公告》，本次权益分派股权登记日为：</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18</w:t>
      </w:r>
      <w:r>
        <w:rPr>
          <w:spacing w:val="-4"/>
        </w:rPr>
        <w:t>日，除权除息日为：</w:t>
      </w:r>
      <w:r>
        <w:rPr>
          <w:rFonts w:ascii="Times New Roman" w:hAnsi="Times New Roman" w:cs="Times New Roman" w:eastAsia="Times New Roman" w:hint="default"/>
          <w:spacing w:val="-4"/>
        </w:rPr>
        <w:t>2015</w:t>
      </w:r>
    </w:p>
    <w:p>
      <w:pPr>
        <w:spacing w:after="0" w:line="256" w:lineRule="auto"/>
        <w:jc w:val="both"/>
        <w:rPr>
          <w:rFonts w:ascii="Times New Roman" w:hAnsi="Times New Roman" w:cs="Times New Roman" w:eastAsia="Times New Roman" w:hint="default"/>
        </w:rPr>
        <w:sectPr>
          <w:pgSz w:w="11910" w:h="16840"/>
          <w:pgMar w:header="745" w:footer="979" w:top="1060" w:bottom="1160" w:left="980" w:right="980"/>
        </w:sectPr>
      </w:pPr>
    </w:p>
    <w:p>
      <w:pPr>
        <w:spacing w:line="240" w:lineRule="auto" w:before="3"/>
        <w:rPr>
          <w:rFonts w:ascii="Times New Roman" w:hAnsi="Times New Roman" w:cs="Times New Roman" w:eastAsia="Times New Roman" w:hint="default"/>
          <w:sz w:val="28"/>
          <w:szCs w:val="28"/>
        </w:rPr>
      </w:pPr>
    </w:p>
    <w:p>
      <w:pPr>
        <w:pStyle w:val="BodyText"/>
        <w:spacing w:line="240" w:lineRule="auto" w:before="36"/>
        <w:ind w:right="0"/>
        <w:jc w:val="left"/>
      </w:pP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w:t>
      </w:r>
    </w:p>
    <w:p>
      <w:pPr>
        <w:pStyle w:val="BodyText"/>
        <w:spacing w:line="256" w:lineRule="auto" w:before="21"/>
        <w:ind w:left="573" w:right="0"/>
        <w:jc w:val="left"/>
      </w:pPr>
      <w:r>
        <w:rPr>
          <w:rFonts w:ascii="Times New Roman" w:hAnsi="Times New Roman" w:cs="Times New Roman" w:eastAsia="Times New Roman" w:hint="default"/>
        </w:rPr>
        <w:t>2015</w:t>
      </w:r>
      <w:r>
        <w:rPr/>
        <w:t>年度</w:t>
      </w:r>
      <w:r>
        <w:rPr>
          <w:spacing w:val="-3"/>
          <w:w w:val="100"/>
        </w:rPr>
        <w:t> </w:t>
      </w:r>
      <w:r>
        <w:rPr>
          <w:spacing w:val="-2"/>
        </w:rPr>
        <w:t>基于对股东长远利益的考虑，同时为了更好的保证公司的稳定发展，公司</w:t>
      </w:r>
      <w:r>
        <w:rPr>
          <w:rFonts w:ascii="Times New Roman" w:hAnsi="Times New Roman" w:cs="Times New Roman" w:eastAsia="Times New Roman" w:hint="default"/>
          <w:spacing w:val="-2"/>
        </w:rPr>
        <w:t>2015</w:t>
      </w:r>
      <w:r>
        <w:rPr>
          <w:spacing w:val="-2"/>
        </w:rPr>
        <w:t>年度不进行利润分配，</w:t>
      </w:r>
    </w:p>
    <w:p>
      <w:pPr>
        <w:pStyle w:val="BodyText"/>
        <w:spacing w:line="240" w:lineRule="auto" w:before="5"/>
        <w:ind w:right="0"/>
        <w:jc w:val="left"/>
      </w:pPr>
      <w:r>
        <w:rPr/>
        <w:t>不派发现金红利，不送红股，不以公积金转增股本。</w:t>
      </w:r>
    </w:p>
    <w:p>
      <w:pPr>
        <w:spacing w:before="98"/>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33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18,186,393.35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14,865,866.87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24,470,802.60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54.68%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before="44"/>
        <w:ind w:left="0" w:right="159" w:firstLine="0"/>
        <w:jc w:val="right"/>
        <w:rPr>
          <w:rFonts w:ascii="宋体" w:hAnsi="宋体" w:cs="宋体" w:eastAsia="宋体" w:hint="default"/>
          <w:sz w:val="18"/>
          <w:szCs w:val="18"/>
        </w:rPr>
      </w:pPr>
      <w:r>
        <w:rPr/>
        <w:pict>
          <v:shape style="position:absolute;margin-left:56.459999pt;margin-top:-129.988266pt;width:479.2pt;height:181.1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6" w:right="44" w:hanging="990"/>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7"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2897"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00" w:lineRule="auto"/>
                          <w:ind w:left="22" w:right="19"/>
                          <w:jc w:val="both"/>
                          <w:rPr>
                            <w:rFonts w:ascii="宋体" w:hAnsi="宋体" w:cs="宋体" w:eastAsia="宋体" w:hint="default"/>
                            <w:sz w:val="18"/>
                            <w:szCs w:val="18"/>
                          </w:rPr>
                        </w:pPr>
                        <w:r>
                          <w:rPr>
                            <w:rFonts w:ascii="宋体" w:hAnsi="宋体" w:cs="宋体" w:eastAsia="宋体" w:hint="default"/>
                            <w:sz w:val="18"/>
                            <w:szCs w:val="18"/>
                          </w:rPr>
                          <w:t>公司处于战略转型发展期，</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年公司计划加大市场推广与 业务整合，资金需求较大，为了支持公司长期发展，</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度拟不分配现金红利，不送红股，不以公积金转增股本。</w:t>
                        </w:r>
                      </w:p>
                    </w:tc>
                    <w:tc>
                      <w:tcPr>
                        <w:tcW w:w="47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年度拟不分配现金红利，不送红股，不以公积金转增股</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本，尚有累计未分配利润 </w:t>
                        </w:r>
                        <w:r>
                          <w:rPr>
                            <w:rFonts w:ascii="Times New Roman" w:hAnsi="Times New Roman" w:cs="Times New Roman" w:eastAsia="Times New Roman" w:hint="default"/>
                            <w:sz w:val="18"/>
                            <w:szCs w:val="18"/>
                          </w:rPr>
                          <w:t>125,394,197.17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元结转下一年度。</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在公司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年度不分红的情况下，近三年分红合计</w:t>
                        </w:r>
                      </w:p>
                      <w:p>
                        <w:pPr>
                          <w:pStyle w:val="TableParagraph"/>
                          <w:spacing w:line="304" w:lineRule="auto" w:before="63"/>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39,552,106.72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元，满足最近三年以现金方式累计分配的利润 不少于最近三年实现的年均可分配利润的</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，符合证监 </w:t>
                        </w:r>
                        <w:r>
                          <w:rPr>
                            <w:rFonts w:ascii="宋体" w:hAnsi="宋体" w:cs="宋体" w:eastAsia="宋体" w:hint="default"/>
                            <w:spacing w:val="-9"/>
                            <w:sz w:val="18"/>
                            <w:szCs w:val="18"/>
                          </w:rPr>
                          <w:t>会、交易所、《公司章程》及公司《未来三年（</w:t>
                        </w:r>
                        <w:r>
                          <w:rPr>
                            <w:rFonts w:ascii="Times New Roman" w:hAnsi="Times New Roman" w:cs="Times New Roman" w:eastAsia="Times New Roman" w:hint="default"/>
                            <w:spacing w:val="-9"/>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年）股东回报规划》的规定，不存在损害投资者利益的情况 为支持公司长远发展，拟将公司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年度未分配利润用于 加大市场推广与业务整合及升级转型。</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2"/>
        <w:spacing w:line="367" w:lineRule="exact"/>
        <w:ind w:right="0"/>
        <w:jc w:val="left"/>
        <w:rPr>
          <w:b w:val="0"/>
          <w:bCs w:val="0"/>
        </w:rPr>
      </w:pPr>
      <w:r>
        <w:rPr/>
        <w:t>二、本报告期利润分配及资本公积金转增股本预案</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40" w:lineRule="auto" w:before="0"/>
        <w:ind w:left="152" w:right="45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公司计划年度不派发现金红利，不送红股，不以公积金转增股本。</w:t>
      </w:r>
    </w:p>
    <w:p>
      <w:pPr>
        <w:spacing w:line="240" w:lineRule="auto" w:before="6"/>
        <w:rPr>
          <w:rFonts w:ascii="宋体" w:hAnsi="宋体" w:cs="宋体" w:eastAsia="宋体" w:hint="default"/>
          <w:sz w:val="13"/>
          <w:szCs w:val="13"/>
        </w:rPr>
      </w:pPr>
    </w:p>
    <w:p>
      <w:pPr>
        <w:pStyle w:val="Heading2"/>
        <w:spacing w:line="240" w:lineRule="auto"/>
        <w:ind w:right="0"/>
        <w:jc w:val="left"/>
        <w:rPr>
          <w:b w:val="0"/>
          <w:bCs w:val="0"/>
        </w:rPr>
      </w:pPr>
      <w:r>
        <w:rPr/>
        <w:t>三、承诺事项履行情况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Heading3"/>
        <w:spacing w:line="314" w:lineRule="exact"/>
        <w:ind w:right="0"/>
        <w:jc w:val="left"/>
        <w:rPr>
          <w:b w:val="0"/>
          <w:bCs w:val="0"/>
        </w:rPr>
      </w:pP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26"/>
        </w:rPr>
        <w:t> </w:t>
      </w:r>
      <w:r>
        <w:rPr>
          <w:spacing w:val="26"/>
        </w:rPr>
      </w:r>
      <w:r>
        <w:rPr/>
        <w:t>截至报告期末尚未履行完毕的承诺事项</w:t>
      </w:r>
      <w:r>
        <w:rPr>
          <w:b w:val="0"/>
          <w:bCs w:val="0"/>
        </w:rPr>
      </w:r>
    </w:p>
    <w:p>
      <w:pPr>
        <w:spacing w:line="240" w:lineRule="auto" w:before="11"/>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396"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18"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2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0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39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w:t>
            </w:r>
          </w:p>
        </w:tc>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2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06"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6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作承诺</w:t>
            </w:r>
          </w:p>
        </w:tc>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2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0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2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0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6020" w:hRule="exact"/>
        </w:trPr>
        <w:tc>
          <w:tcPr>
            <w:tcW w:w="28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控股股东广 东群兴投资 </w:t>
            </w:r>
            <w:r>
              <w:rPr>
                <w:rFonts w:ascii="宋体" w:hAnsi="宋体" w:cs="宋体" w:eastAsia="宋体" w:hint="default"/>
                <w:spacing w:val="-3"/>
                <w:sz w:val="18"/>
                <w:szCs w:val="18"/>
              </w:rPr>
              <w:t>有限公司；自</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然人股东陈 </w:t>
            </w:r>
            <w:r>
              <w:rPr>
                <w:rFonts w:ascii="宋体" w:hAnsi="宋体" w:cs="宋体" w:eastAsia="宋体" w:hint="default"/>
                <w:spacing w:val="-3"/>
                <w:sz w:val="18"/>
                <w:szCs w:val="18"/>
              </w:rPr>
              <w:t>明光先生、梁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健锋先生、林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少明先生、林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桂升先生、李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新岗先生；本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公司实际控 制人林伟章 先生和黄仕 </w:t>
            </w:r>
            <w:r>
              <w:rPr>
                <w:rFonts w:ascii="宋体" w:hAnsi="宋体" w:cs="宋体" w:eastAsia="宋体" w:hint="default"/>
                <w:spacing w:val="-3"/>
                <w:sz w:val="18"/>
                <w:szCs w:val="18"/>
              </w:rPr>
              <w:t>群先生、本公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司控股股东 广东群兴投 资有限公司 之股东林伟 亮先生和林 少洁女士；</w:t>
            </w:r>
          </w:p>
        </w:tc>
        <w:tc>
          <w:tcPr>
            <w:tcW w:w="11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26" w:right="19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4" w:right="11"/>
              <w:jc w:val="left"/>
              <w:rPr>
                <w:rFonts w:ascii="宋体" w:hAnsi="宋体" w:cs="宋体" w:eastAsia="宋体" w:hint="default"/>
                <w:sz w:val="18"/>
                <w:szCs w:val="18"/>
              </w:rPr>
            </w:pPr>
            <w:r>
              <w:rPr>
                <w:rFonts w:ascii="宋体" w:hAnsi="宋体" w:cs="宋体" w:eastAsia="宋体" w:hint="default"/>
                <w:sz w:val="18"/>
                <w:szCs w:val="18"/>
              </w:rPr>
              <w:t>自本公司股 票上市之日 起三十六个 月内，不转让 或者委托他 人管理本次 发行前已持 有的本公司 股份，也不由 本公司回购 该部分股份。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3" w:right="-8"/>
              <w:jc w:val="left"/>
              <w:rPr>
                <w:rFonts w:ascii="宋体" w:hAnsi="宋体" w:cs="宋体" w:eastAsia="宋体" w:hint="default"/>
                <w:sz w:val="18"/>
                <w:szCs w:val="18"/>
              </w:rPr>
            </w:pPr>
            <w:r>
              <w:rPr>
                <w:rFonts w:ascii="宋体" w:hAnsi="宋体" w:cs="宋体" w:eastAsia="宋体" w:hint="default"/>
                <w:sz w:val="18"/>
                <w:szCs w:val="18"/>
              </w:rPr>
              <w:t>已履行完毕， 承诺人未发 生违反承诺 的情况。</w:t>
            </w:r>
          </w:p>
        </w:tc>
      </w:tr>
      <w:tr>
        <w:trPr>
          <w:trHeight w:val="6915"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4"/>
              <w:ind w:left="23" w:right="19"/>
              <w:jc w:val="left"/>
              <w:rPr>
                <w:rFonts w:ascii="宋体" w:hAnsi="宋体" w:cs="宋体" w:eastAsia="宋体" w:hint="default"/>
                <w:sz w:val="18"/>
                <w:szCs w:val="18"/>
              </w:rPr>
            </w:pPr>
            <w:r>
              <w:rPr>
                <w:rFonts w:ascii="宋体" w:hAnsi="宋体" w:cs="宋体" w:eastAsia="宋体" w:hint="default"/>
                <w:sz w:val="18"/>
                <w:szCs w:val="18"/>
              </w:rPr>
              <w:t>本公司之控 股股东广东 群兴投资有 </w:t>
            </w:r>
            <w:r>
              <w:rPr>
                <w:rFonts w:ascii="宋体" w:hAnsi="宋体" w:cs="宋体" w:eastAsia="宋体" w:hint="default"/>
                <w:spacing w:val="-3"/>
                <w:sz w:val="18"/>
                <w:szCs w:val="18"/>
              </w:rPr>
              <w:t>限公司、本公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司实际控制 人林伟章先 </w:t>
            </w:r>
            <w:r>
              <w:rPr>
                <w:rFonts w:ascii="宋体" w:hAnsi="宋体" w:cs="宋体" w:eastAsia="宋体" w:hint="default"/>
                <w:spacing w:val="-3"/>
                <w:sz w:val="18"/>
                <w:szCs w:val="18"/>
              </w:rPr>
              <w:t>生、黄仕群先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生</w:t>
            </w:r>
          </w:p>
        </w:tc>
        <w:tc>
          <w:tcPr>
            <w:tcW w:w="11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4" w:lineRule="auto"/>
              <w:ind w:left="26" w:right="190"/>
              <w:jc w:val="left"/>
              <w:rPr>
                <w:rFonts w:ascii="宋体" w:hAnsi="宋体" w:cs="宋体" w:eastAsia="宋体" w:hint="default"/>
                <w:sz w:val="18"/>
                <w:szCs w:val="18"/>
              </w:rPr>
            </w:pPr>
            <w:r>
              <w:rPr>
                <w:rFonts w:ascii="宋体" w:hAnsi="宋体" w:cs="宋体" w:eastAsia="宋体" w:hint="default"/>
                <w:sz w:val="18"/>
                <w:szCs w:val="18"/>
              </w:rPr>
              <w:t>同业竞争承 诺</w:t>
            </w: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为杜绝出现 同业竞争等 损害广东群 兴玩具股份 </w:t>
            </w:r>
            <w:r>
              <w:rPr>
                <w:rFonts w:ascii="宋体" w:hAnsi="宋体" w:cs="宋体" w:eastAsia="宋体" w:hint="default"/>
                <w:spacing w:val="-2"/>
                <w:sz w:val="18"/>
                <w:szCs w:val="18"/>
              </w:rPr>
              <w:t>有限公司（下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称</w:t>
            </w:r>
            <w:r>
              <w:rPr>
                <w:rFonts w:ascii="Times New Roman" w:hAnsi="Times New Roman" w:cs="Times New Roman" w:eastAsia="Times New Roman" w:hint="default"/>
                <w:sz w:val="18"/>
                <w:szCs w:val="18"/>
              </w:rPr>
              <w:t>"</w:t>
            </w:r>
            <w:r>
              <w:rPr>
                <w:rFonts w:ascii="宋体" w:hAnsi="宋体" w:cs="宋体" w:eastAsia="宋体" w:hint="default"/>
                <w:sz w:val="18"/>
                <w:szCs w:val="18"/>
              </w:rPr>
              <w:t>群兴玩具 </w:t>
            </w: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）的利益的情</w:t>
            </w:r>
            <w:r>
              <w:rPr>
                <w:rFonts w:ascii="宋体" w:hAnsi="宋体" w:cs="宋体" w:eastAsia="宋体" w:hint="default"/>
                <w:spacing w:val="-86"/>
                <w:w w:val="99"/>
                <w:sz w:val="18"/>
                <w:szCs w:val="18"/>
              </w:rPr>
              <w:t> </w:t>
            </w:r>
            <w:r>
              <w:rPr>
                <w:rFonts w:ascii="宋体" w:hAnsi="宋体" w:cs="宋体" w:eastAsia="宋体" w:hint="default"/>
                <w:spacing w:val="-86"/>
                <w:w w:val="99"/>
                <w:sz w:val="18"/>
                <w:szCs w:val="18"/>
              </w:rPr>
            </w:r>
            <w:r>
              <w:rPr>
                <w:rFonts w:ascii="宋体" w:hAnsi="宋体" w:cs="宋体" w:eastAsia="宋体" w:hint="default"/>
                <w:sz w:val="18"/>
                <w:szCs w:val="18"/>
              </w:rPr>
              <w:t>形，本公司</w:t>
            </w:r>
          </w:p>
          <w:p>
            <w:pPr>
              <w:pStyle w:val="TableParagraph"/>
              <w:spacing w:line="316" w:lineRule="auto" w:before="22"/>
              <w:ind w:left="24" w:right="11"/>
              <w:jc w:val="left"/>
              <w:rPr>
                <w:rFonts w:ascii="宋体" w:hAnsi="宋体" w:cs="宋体" w:eastAsia="宋体" w:hint="default"/>
                <w:sz w:val="18"/>
                <w:szCs w:val="18"/>
              </w:rPr>
            </w:pPr>
            <w:r>
              <w:rPr>
                <w:rFonts w:ascii="宋体" w:hAnsi="宋体" w:cs="宋体" w:eastAsia="宋体" w:hint="default"/>
                <w:sz w:val="18"/>
                <w:szCs w:val="18"/>
              </w:rPr>
              <w:t>（或本人）出 具本承诺函， 并对此承担 相应的法律 责任：第一 条：在本承诺 签署之日，本 公司及本公 司（或本人） 控制的公司 均未直接或 间接经营与 群兴玩具经 营的业务构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5"/>
                <w:sz w:val="18"/>
                <w:szCs w:val="18"/>
              </w:rPr>
              <w:t>截至目前，承</w:t>
            </w:r>
            <w:r>
              <w:rPr>
                <w:rFonts w:ascii="宋体" w:hAnsi="宋体" w:cs="宋体" w:eastAsia="宋体" w:hint="default"/>
                <w:sz w:val="18"/>
                <w:szCs w:val="18"/>
              </w:rPr>
              <w:t> 诺人未发生 违反承诺的 </w:t>
            </w:r>
            <w:r>
              <w:rPr>
                <w:rFonts w:ascii="宋体" w:hAnsi="宋体" w:cs="宋体" w:eastAsia="宋体" w:hint="default"/>
                <w:spacing w:val="-5"/>
                <w:sz w:val="18"/>
                <w:szCs w:val="18"/>
              </w:rPr>
              <w:t>情况，该承诺</w:t>
            </w:r>
            <w:r>
              <w:rPr>
                <w:rFonts w:ascii="宋体" w:hAnsi="宋体" w:cs="宋体" w:eastAsia="宋体" w:hint="default"/>
                <w:sz w:val="18"/>
                <w:szCs w:val="18"/>
              </w:rPr>
              <w:t> 事项仍在严 格履行中。</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shd w:val="clear" w:color="auto" w:fill="C6ECCC"/>
          </w:tcPr>
          <w:p>
            <w:pPr/>
          </w:p>
        </w:tc>
        <w:tc>
          <w:tcPr>
            <w:tcW w:w="1128" w:type="dxa"/>
            <w:vMerge w:val="restart"/>
            <w:tcBorders>
              <w:top w:val="single" w:sz="4" w:space="0" w:color="000000"/>
              <w:left w:val="single" w:sz="4" w:space="0" w:color="000000"/>
              <w:right w:val="single" w:sz="4" w:space="0" w:color="000000"/>
            </w:tcBorders>
            <w:shd w:val="clear" w:color="auto" w:fill="C6ECCC"/>
          </w:tcPr>
          <w:p>
            <w:pPr/>
          </w:p>
        </w:tc>
        <w:tc>
          <w:tcPr>
            <w:tcW w:w="1126"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成竞争或可</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shd w:val="clear" w:color="auto" w:fill="C6ECCC"/>
          </w:tcPr>
          <w:p>
            <w:pPr/>
          </w:p>
        </w:tc>
        <w:tc>
          <w:tcPr>
            <w:tcW w:w="1106" w:type="dxa"/>
            <w:vMerge w:val="restart"/>
            <w:tcBorders>
              <w:top w:val="single" w:sz="4" w:space="0" w:color="000000"/>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能构成竞争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的业务，也未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参与投资任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何与群兴玩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具经营的业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务构成竞争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或可能构成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竞争的其他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企业。第二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条：自本承诺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签署之日起，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本公司及本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公司（或本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人）控制的公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司均将不直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接或间接经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营与群兴玩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具经营的业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务构成竞争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或可能构成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竞争的业务，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也不参与投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资任何与群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兴玩具经营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的业务构成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竞争或可能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构成竞争的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其他企业。在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本公司及本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公司（或本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人）控制的公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司与群兴玩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具存在关联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关系期间，本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承诺函为有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效之承诺。如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上述承诺被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证明是不真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实或未被遵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守，本公司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（或本人）将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向群兴玩具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shd w:val="clear" w:color="auto" w:fill="C6ECCC"/>
          </w:tcPr>
          <w:p>
            <w:pPr/>
          </w:p>
        </w:tc>
        <w:tc>
          <w:tcPr>
            <w:tcW w:w="1128" w:type="dxa"/>
            <w:vMerge/>
            <w:tcBorders>
              <w:left w:val="single" w:sz="4" w:space="0" w:color="000000"/>
              <w:bottom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赔偿一切直</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shd w:val="clear" w:color="auto" w:fill="C6ECCC"/>
          </w:tcPr>
          <w:p>
            <w:pPr/>
          </w:p>
        </w:tc>
        <w:tc>
          <w:tcPr>
            <w:tcW w:w="1106" w:type="dxa"/>
            <w:vMerge/>
            <w:tcBorders>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shd w:val="clear" w:color="auto" w:fill="C6ECCC"/>
          </w:tcPr>
          <w:p>
            <w:pPr/>
          </w:p>
        </w:tc>
        <w:tc>
          <w:tcPr>
            <w:tcW w:w="1128" w:type="dxa"/>
            <w:vMerge w:val="restart"/>
            <w:tcBorders>
              <w:top w:val="single" w:sz="4" w:space="0" w:color="000000"/>
              <w:left w:val="single" w:sz="4" w:space="0" w:color="000000"/>
              <w:right w:val="single" w:sz="4" w:space="0" w:color="000000"/>
            </w:tcBorders>
            <w:shd w:val="clear" w:color="auto" w:fill="C6ECCC"/>
          </w:tcPr>
          <w:p>
            <w:pPr/>
          </w:p>
        </w:tc>
        <w:tc>
          <w:tcPr>
            <w:tcW w:w="1126"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接和间接损</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shd w:val="clear" w:color="auto" w:fill="C6ECCC"/>
          </w:tcPr>
          <w:p>
            <w:pPr/>
          </w:p>
        </w:tc>
        <w:tc>
          <w:tcPr>
            <w:tcW w:w="1106" w:type="dxa"/>
            <w:vMerge w:val="restart"/>
            <w:tcBorders>
              <w:top w:val="single" w:sz="4" w:space="0" w:color="000000"/>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失，并承担相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应的法律责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任。为杜绝出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现同业竞争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等损害广东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群兴玩具股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（下称群兴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玩具）的利益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的情形，本公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司（或本人）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出具本承诺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函，并对此承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担相应的法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律责任：第一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条：在本承诺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签署之日，本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公司及本公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司（或本人）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控制的公司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均未直接或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间接经营与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群兴玩具经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营的业务构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成竞争或可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能构成竞争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的业务，也未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参与投资任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何与群兴玩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具经营的业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务构成竞争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或可能构成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竞争的其他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企业。第二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条：自本承诺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签署之日起，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本公司及本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公司（或本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人）控制的公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司均将不直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接或间接经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C6ECCC"/>
          </w:tcPr>
          <w:p>
            <w:pP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营与群兴玩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shd w:val="clear" w:color="auto" w:fill="C6ECCC"/>
          </w:tcPr>
          <w:p>
            <w:pPr/>
          </w:p>
        </w:tc>
        <w:tc>
          <w:tcPr>
            <w:tcW w:w="1128" w:type="dxa"/>
            <w:vMerge/>
            <w:tcBorders>
              <w:left w:val="single" w:sz="4" w:space="0" w:color="000000"/>
              <w:bottom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具经营的业</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shd w:val="clear" w:color="auto" w:fill="C6ECCC"/>
          </w:tcPr>
          <w:p>
            <w:pPr/>
          </w:p>
        </w:tc>
        <w:tc>
          <w:tcPr>
            <w:tcW w:w="1106" w:type="dxa"/>
            <w:vMerge/>
            <w:tcBorders>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9.1pt;height:692.05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910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2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8"/>
                          <w:ind w:left="24" w:right="11"/>
                          <w:jc w:val="left"/>
                          <w:rPr>
                            <w:rFonts w:ascii="宋体" w:hAnsi="宋体" w:cs="宋体" w:eastAsia="宋体" w:hint="default"/>
                            <w:sz w:val="18"/>
                            <w:szCs w:val="18"/>
                          </w:rPr>
                        </w:pPr>
                        <w:r>
                          <w:rPr>
                            <w:rFonts w:ascii="宋体" w:hAnsi="宋体" w:cs="宋体" w:eastAsia="宋体" w:hint="default"/>
                            <w:sz w:val="18"/>
                            <w:szCs w:val="18"/>
                          </w:rPr>
                          <w:t>务构成竞争 或可能构成 竞争的业务， 也不参与投 资任何与群 兴玩具经营 的业务构成 竞争或可能 构成竞争的 其他企业。在 本公司及本 公司（或本 人）控制的公 司与群兴玩 具存在关联 关系期间，本 承诺函为有 效之承诺。如 上述承诺被 证明是不真 实或未被遵 守，本公司</w:t>
                        </w:r>
                      </w:p>
                      <w:p>
                        <w:pPr>
                          <w:pStyle w:val="TableParagraph"/>
                          <w:spacing w:line="316" w:lineRule="auto" w:before="19"/>
                          <w:ind w:left="24" w:right="19"/>
                          <w:jc w:val="left"/>
                          <w:rPr>
                            <w:rFonts w:ascii="宋体" w:hAnsi="宋体" w:cs="宋体" w:eastAsia="宋体" w:hint="default"/>
                            <w:sz w:val="18"/>
                            <w:szCs w:val="18"/>
                          </w:rPr>
                        </w:pPr>
                        <w:r>
                          <w:rPr>
                            <w:rFonts w:ascii="宋体" w:hAnsi="宋体" w:cs="宋体" w:eastAsia="宋体" w:hint="default"/>
                            <w:spacing w:val="-2"/>
                            <w:sz w:val="18"/>
                            <w:szCs w:val="18"/>
                          </w:rPr>
                          <w:t>（或本人）将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向群兴玩具 赔偿一切直 接和间接损 </w:t>
                        </w:r>
                        <w:r>
                          <w:rPr>
                            <w:rFonts w:ascii="宋体" w:hAnsi="宋体" w:cs="宋体" w:eastAsia="宋体" w:hint="default"/>
                            <w:spacing w:val="-2"/>
                            <w:sz w:val="18"/>
                            <w:szCs w:val="18"/>
                          </w:rPr>
                          <w:t>失，并承担相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应的法律责 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0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731"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公司董事林 </w:t>
                        </w:r>
                        <w:r>
                          <w:rPr>
                            <w:rFonts w:ascii="宋体" w:hAnsi="宋体" w:cs="宋体" w:eastAsia="宋体" w:hint="default"/>
                            <w:spacing w:val="-3"/>
                            <w:sz w:val="18"/>
                            <w:szCs w:val="18"/>
                          </w:rPr>
                          <w:t>伟章先生（通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过直接持有 群兴投资股 份而间接持 有本公司股 </w:t>
                        </w:r>
                        <w:r>
                          <w:rPr>
                            <w:rFonts w:ascii="宋体" w:hAnsi="宋体" w:cs="宋体" w:eastAsia="宋体" w:hint="default"/>
                            <w:spacing w:val="-3"/>
                            <w:sz w:val="18"/>
                            <w:szCs w:val="18"/>
                          </w:rPr>
                          <w:t>份，且同时担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任本公司董 事长兼董 </w:t>
                        </w:r>
                        <w:r>
                          <w:rPr>
                            <w:rFonts w:ascii="宋体" w:hAnsi="宋体" w:cs="宋体" w:eastAsia="宋体" w:hint="default"/>
                            <w:spacing w:val="-16"/>
                            <w:sz w:val="18"/>
                            <w:szCs w:val="18"/>
                          </w:rPr>
                          <w:t>秘）、公司董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事黄仕群先 </w:t>
                        </w:r>
                        <w:r>
                          <w:rPr>
                            <w:rFonts w:ascii="宋体" w:hAnsi="宋体" w:cs="宋体" w:eastAsia="宋体" w:hint="default"/>
                            <w:spacing w:val="-3"/>
                            <w:sz w:val="18"/>
                            <w:szCs w:val="18"/>
                          </w:rPr>
                          <w:t>生（通过直接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持有群兴投 资股份而间 接持有本公</w:t>
                        </w:r>
                      </w:p>
                    </w:tc>
                    <w:tc>
                      <w:tcPr>
                        <w:tcW w:w="11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4" w:lineRule="auto"/>
                          <w:ind w:left="26" w:right="19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锁定期满后， 若本人仍担 任群兴玩具 董事或监事 或高级管理 人员，在任职 期间本人每 年转让股份 不超过直接 或间接所持 群兴玩具的 股票总数的 百分之二十 五。本人离任 后六个月内，</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23" w:right="5"/>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承诺人任职 </w:t>
                        </w:r>
                        <w:r>
                          <w:rPr>
                            <w:rFonts w:ascii="宋体" w:hAnsi="宋体" w:cs="宋体" w:eastAsia="宋体" w:hint="default"/>
                            <w:spacing w:val="-3"/>
                            <w:sz w:val="18"/>
                            <w:szCs w:val="18"/>
                          </w:rPr>
                          <w:t>公司董事、监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事、高级管理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人员期间、离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职后半年内、 在申报离任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个月后的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个月内。</w:t>
                        </w:r>
                      </w:p>
                    </w:tc>
                    <w:tc>
                      <w:tcPr>
                        <w:tcW w:w="11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3" w:right="-8"/>
                          <w:jc w:val="left"/>
                          <w:rPr>
                            <w:rFonts w:ascii="宋体" w:hAnsi="宋体" w:cs="宋体" w:eastAsia="宋体" w:hint="default"/>
                            <w:sz w:val="18"/>
                            <w:szCs w:val="18"/>
                          </w:rPr>
                        </w:pPr>
                        <w:r>
                          <w:rPr>
                            <w:rFonts w:ascii="宋体" w:hAnsi="宋体" w:cs="宋体" w:eastAsia="宋体" w:hint="default"/>
                            <w:spacing w:val="-5"/>
                            <w:sz w:val="18"/>
                            <w:szCs w:val="18"/>
                          </w:rPr>
                          <w:t>截至目前，林</w:t>
                        </w:r>
                        <w:r>
                          <w:rPr>
                            <w:rFonts w:ascii="宋体" w:hAnsi="宋体" w:cs="宋体" w:eastAsia="宋体" w:hint="default"/>
                            <w:sz w:val="18"/>
                            <w:szCs w:val="18"/>
                          </w:rPr>
                          <w:t> 少明先生已 按照要求履 行完毕承诺， 林伟亮先生</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p>
                        <w:pPr>
                          <w:pStyle w:val="TableParagraph"/>
                          <w:spacing w:line="314"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日离职 其他承诺人 </w:t>
                        </w:r>
                        <w:r>
                          <w:rPr>
                            <w:rFonts w:ascii="宋体" w:hAnsi="宋体" w:cs="宋体" w:eastAsia="宋体" w:hint="default"/>
                            <w:spacing w:val="-5"/>
                            <w:sz w:val="18"/>
                            <w:szCs w:val="18"/>
                          </w:rPr>
                          <w:t>仍在职，但承</w:t>
                        </w:r>
                        <w:r>
                          <w:rPr>
                            <w:rFonts w:ascii="宋体" w:hAnsi="宋体" w:cs="宋体" w:eastAsia="宋体" w:hint="default"/>
                            <w:sz w:val="18"/>
                            <w:szCs w:val="18"/>
                          </w:rPr>
                          <w:t> 诺人未发生 违反承诺的 </w:t>
                        </w:r>
                        <w:r>
                          <w:rPr>
                            <w:rFonts w:ascii="宋体" w:hAnsi="宋体" w:cs="宋体" w:eastAsia="宋体" w:hint="default"/>
                            <w:spacing w:val="-5"/>
                            <w:sz w:val="18"/>
                            <w:szCs w:val="18"/>
                          </w:rPr>
                          <w:t>情况，该承诺</w:t>
                        </w:r>
                        <w:r>
                          <w:rPr>
                            <w:rFonts w:ascii="宋体" w:hAnsi="宋体" w:cs="宋体" w:eastAsia="宋体" w:hint="default"/>
                            <w:sz w:val="18"/>
                            <w:szCs w:val="18"/>
                          </w:rPr>
                          <w:t> 事项仍在严 格履行中。</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9"/>
          <w:szCs w:val="19"/>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21.929993pt;margin-top:72.47998pt;width:88.95pt;height:282.9pt;mso-position-horizontal-relative:page;mso-position-vertical-relative:page;z-index:-6823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38"/>
                    <w:ind w:left="0" w:right="0" w:firstLine="0"/>
                    <w:jc w:val="left"/>
                    <w:rPr>
                      <w:rFonts w:ascii="宋体" w:hAnsi="宋体" w:cs="宋体" w:eastAsia="宋体" w:hint="default"/>
                      <w:sz w:val="18"/>
                      <w:szCs w:val="18"/>
                    </w:rPr>
                  </w:pPr>
                  <w:r>
                    <w:rPr>
                      <w:rFonts w:ascii="宋体" w:hAnsi="宋体" w:cs="宋体" w:eastAsia="宋体" w:hint="default"/>
                      <w:sz w:val="18"/>
                      <w:szCs w:val="18"/>
                    </w:rPr>
                    <w:t>日离职）</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pacing w:val="-3"/>
                <w:sz w:val="18"/>
                <w:szCs w:val="18"/>
              </w:rPr>
              <w:t>司股份，且同</w:t>
            </w:r>
          </w:p>
        </w:tc>
        <w:tc>
          <w:tcPr>
            <w:tcW w:w="1128" w:type="dxa"/>
            <w:vMerge w:val="restart"/>
            <w:tcBorders>
              <w:top w:val="single" w:sz="4" w:space="0" w:color="000000"/>
              <w:left w:val="single" w:sz="4" w:space="0" w:color="000000"/>
              <w:right w:val="single" w:sz="4" w:space="0" w:color="000000"/>
            </w:tcBorders>
            <w:shd w:val="clear" w:color="auto" w:fill="C6ECCC"/>
          </w:tcPr>
          <w:p>
            <w:pPr/>
          </w:p>
        </w:tc>
        <w:tc>
          <w:tcPr>
            <w:tcW w:w="1126"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不转让直接</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shd w:val="clear" w:color="auto" w:fill="C6ECCC"/>
          </w:tcPr>
          <w:p>
            <w:pPr/>
          </w:p>
        </w:tc>
        <w:tc>
          <w:tcPr>
            <w:tcW w:w="1106" w:type="dxa"/>
            <w:vMerge w:val="restart"/>
            <w:tcBorders>
              <w:top w:val="single" w:sz="4" w:space="0" w:color="000000"/>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时担任本公</w:t>
            </w: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或间接所持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司总经理</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群兴玩具的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公司原董事</w:t>
            </w: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任何股份。本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林伟亮先生</w:t>
            </w: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人在申报离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（通过直接</w:t>
            </w: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任六个月后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持有群兴投</w:t>
            </w: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的十二个月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资股份而间</w:t>
            </w: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内通过证券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接持有本公</w:t>
            </w: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交易所挂牌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司股份，于</w:t>
            </w: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交易出售群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兴玩具股票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日离职</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数量占其所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公司原监事</w:t>
            </w: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林少明先生</w:t>
            </w: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持有群兴玩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（直接持有</w:t>
            </w: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具股票总数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本公司股份，</w:t>
            </w: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的比例不得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1128" w:type="dxa"/>
            <w:vMerge/>
            <w:tcBorders>
              <w:left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超过百分之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6ECCC"/>
          </w:tcPr>
          <w:p>
            <w:pPr/>
          </w:p>
        </w:tc>
        <w:tc>
          <w:tcPr>
            <w:tcW w:w="1106" w:type="dxa"/>
            <w:vMerge/>
            <w:tcBorders>
              <w:left w:val="single" w:sz="4" w:space="0" w:color="000000"/>
              <w:right w:val="single" w:sz="4" w:space="0" w:color="000000"/>
            </w:tcBorders>
            <w:shd w:val="clear" w:color="auto" w:fill="C6ECCC"/>
          </w:tcPr>
          <w:p>
            <w:pPr/>
          </w:p>
        </w:tc>
      </w:tr>
      <w:tr>
        <w:trPr>
          <w:trHeight w:val="355"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p>
        </w:tc>
        <w:tc>
          <w:tcPr>
            <w:tcW w:w="1128" w:type="dxa"/>
            <w:vMerge/>
            <w:tcBorders>
              <w:left w:val="single" w:sz="4" w:space="0" w:color="000000"/>
              <w:bottom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五十。</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shd w:val="clear" w:color="auto" w:fill="C6ECCC"/>
          </w:tcPr>
          <w:p>
            <w:pPr/>
          </w:p>
        </w:tc>
        <w:tc>
          <w:tcPr>
            <w:tcW w:w="1106" w:type="dxa"/>
            <w:vMerge/>
            <w:tcBorders>
              <w:left w:val="single" w:sz="4" w:space="0" w:color="000000"/>
              <w:bottom w:val="single" w:sz="4" w:space="0" w:color="000000"/>
              <w:right w:val="single" w:sz="4" w:space="0" w:color="000000"/>
            </w:tcBorders>
            <w:shd w:val="clear" w:color="auto" w:fill="C6ECCC"/>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2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0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356" w:hRule="exact"/>
        </w:trPr>
        <w:tc>
          <w:tcPr>
            <w:tcW w:w="28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shd w:val="clear" w:color="auto" w:fill="C6ECCC"/>
          </w:tcPr>
          <w:p>
            <w:pPr/>
          </w:p>
        </w:tc>
        <w:tc>
          <w:tcPr>
            <w:tcW w:w="1128" w:type="dxa"/>
            <w:tcBorders>
              <w:top w:val="single" w:sz="4" w:space="0" w:color="000000"/>
              <w:left w:val="single" w:sz="4" w:space="0" w:color="000000"/>
              <w:bottom w:val="nil" w:sz="6" w:space="0" w:color="auto"/>
              <w:right w:val="single" w:sz="4" w:space="0" w:color="000000"/>
            </w:tcBorders>
            <w:shd w:val="clear" w:color="auto" w:fill="C6ECCC"/>
          </w:tcPr>
          <w:p>
            <w:pPr/>
          </w:p>
        </w:tc>
        <w:tc>
          <w:tcPr>
            <w:tcW w:w="1126"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公司董事会</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shd w:val="clear" w:color="auto" w:fill="C6ECCC"/>
          </w:tcPr>
          <w:p>
            <w:pPr/>
          </w:p>
        </w:tc>
        <w:tc>
          <w:tcPr>
            <w:tcW w:w="1106"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17"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shd w:val="clear" w:color="auto" w:fill="C6ECCC"/>
          </w:tcPr>
          <w:p>
            <w:pPr/>
          </w:p>
        </w:tc>
        <w:tc>
          <w:tcPr>
            <w:tcW w:w="1128" w:type="dxa"/>
            <w:tcBorders>
              <w:top w:val="nil" w:sz="6" w:space="0" w:color="auto"/>
              <w:left w:val="single" w:sz="4" w:space="0" w:color="000000"/>
              <w:bottom w:val="nil" w:sz="6" w:space="0" w:color="auto"/>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6"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shd w:val="clear" w:color="auto" w:fill="C6ECCC"/>
          </w:tcPr>
          <w:p>
            <w:pPr/>
          </w:p>
        </w:tc>
        <w:tc>
          <w:tcPr>
            <w:tcW w:w="1128" w:type="dxa"/>
            <w:tcBorders>
              <w:top w:val="nil" w:sz="6" w:space="0" w:color="auto"/>
              <w:left w:val="single" w:sz="4" w:space="0" w:color="000000"/>
              <w:bottom w:val="nil" w:sz="6" w:space="0" w:color="auto"/>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日审议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6"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07"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shd w:val="clear" w:color="auto" w:fill="C6ECCC"/>
          </w:tcPr>
          <w:p>
            <w:pPr/>
          </w:p>
        </w:tc>
        <w:tc>
          <w:tcPr>
            <w:tcW w:w="1128" w:type="dxa"/>
            <w:tcBorders>
              <w:top w:val="nil" w:sz="6" w:space="0" w:color="auto"/>
              <w:left w:val="single" w:sz="4" w:space="0" w:color="000000"/>
              <w:bottom w:val="nil" w:sz="6" w:space="0" w:color="auto"/>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通过了《关于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6"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shd w:val="clear" w:color="auto" w:fill="C6ECCC"/>
          </w:tcPr>
          <w:p>
            <w:pPr/>
          </w:p>
        </w:tc>
        <w:tc>
          <w:tcPr>
            <w:tcW w:w="1128" w:type="dxa"/>
            <w:tcBorders>
              <w:top w:val="nil" w:sz="6" w:space="0" w:color="auto"/>
              <w:left w:val="single" w:sz="4" w:space="0" w:color="000000"/>
              <w:bottom w:val="nil" w:sz="6" w:space="0" w:color="auto"/>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使用部分超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6"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shd w:val="clear" w:color="auto" w:fill="C6ECCC"/>
          </w:tcPr>
          <w:p>
            <w:pPr/>
          </w:p>
        </w:tc>
        <w:tc>
          <w:tcPr>
            <w:tcW w:w="1128" w:type="dxa"/>
            <w:tcBorders>
              <w:top w:val="nil" w:sz="6" w:space="0" w:color="auto"/>
              <w:left w:val="single" w:sz="4" w:space="0" w:color="000000"/>
              <w:bottom w:val="nil" w:sz="6" w:space="0" w:color="auto"/>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募资金永久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6"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shd w:val="clear" w:color="auto" w:fill="C6ECCC"/>
          </w:tcPr>
          <w:p>
            <w:pPr/>
          </w:p>
        </w:tc>
        <w:tc>
          <w:tcPr>
            <w:tcW w:w="1128" w:type="dxa"/>
            <w:tcBorders>
              <w:top w:val="nil" w:sz="6" w:space="0" w:color="auto"/>
              <w:left w:val="single" w:sz="4" w:space="0" w:color="000000"/>
              <w:bottom w:val="nil" w:sz="6" w:space="0" w:color="auto"/>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性补充流动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6"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shd w:val="clear" w:color="auto" w:fill="C6ECCC"/>
          </w:tcPr>
          <w:p>
            <w:pPr/>
          </w:p>
        </w:tc>
        <w:tc>
          <w:tcPr>
            <w:tcW w:w="1128" w:type="dxa"/>
            <w:tcBorders>
              <w:top w:val="nil" w:sz="6" w:space="0" w:color="auto"/>
              <w:left w:val="single" w:sz="4" w:space="0" w:color="000000"/>
              <w:bottom w:val="nil" w:sz="6" w:space="0" w:color="auto"/>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资金的议案》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6"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shd w:val="clear" w:color="auto" w:fill="C6ECCC"/>
          </w:tcPr>
          <w:p>
            <w:pPr/>
          </w:p>
        </w:tc>
        <w:tc>
          <w:tcPr>
            <w:tcW w:w="1128" w:type="dxa"/>
            <w:tcBorders>
              <w:top w:val="nil" w:sz="6" w:space="0" w:color="auto"/>
              <w:left w:val="single" w:sz="4" w:space="0" w:color="000000"/>
              <w:bottom w:val="nil" w:sz="6" w:space="0" w:color="auto"/>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并进行了专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6"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1561"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9" w:lineRule="auto" w:before="10"/>
              <w:ind w:left="24" w:right="19"/>
              <w:jc w:val="left"/>
              <w:rPr>
                <w:rFonts w:ascii="宋体" w:hAnsi="宋体" w:cs="宋体" w:eastAsia="宋体" w:hint="default"/>
                <w:sz w:val="18"/>
                <w:szCs w:val="18"/>
              </w:rPr>
            </w:pPr>
            <w:r>
              <w:rPr>
                <w:rFonts w:ascii="宋体" w:hAnsi="宋体" w:cs="宋体" w:eastAsia="宋体" w:hint="default"/>
                <w:spacing w:val="-2"/>
                <w:sz w:val="18"/>
                <w:szCs w:val="18"/>
              </w:rPr>
              <w:t>项公告，公司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承诺补充流 动资金后十 二个月内不 进行证券投</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3" w:right="-8"/>
              <w:jc w:val="left"/>
              <w:rPr>
                <w:rFonts w:ascii="宋体" w:hAnsi="宋体" w:cs="宋体" w:eastAsia="宋体" w:hint="default"/>
                <w:sz w:val="18"/>
                <w:szCs w:val="18"/>
              </w:rPr>
            </w:pPr>
            <w:r>
              <w:rPr>
                <w:rFonts w:ascii="宋体" w:hAnsi="宋体" w:cs="宋体" w:eastAsia="宋体" w:hint="default"/>
                <w:sz w:val="18"/>
                <w:szCs w:val="18"/>
              </w:rPr>
              <w:t>已履行完毕， 承诺人未发 生违反承诺 的情况。</w:t>
            </w:r>
          </w:p>
        </w:tc>
      </w:tr>
      <w:tr>
        <w:trPr>
          <w:trHeight w:val="312"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shd w:val="clear" w:color="auto" w:fill="C6ECCC"/>
          </w:tcPr>
          <w:p>
            <w:pPr/>
          </w:p>
        </w:tc>
        <w:tc>
          <w:tcPr>
            <w:tcW w:w="1128" w:type="dxa"/>
            <w:tcBorders>
              <w:top w:val="nil" w:sz="6" w:space="0" w:color="auto"/>
              <w:left w:val="single" w:sz="4" w:space="0" w:color="000000"/>
              <w:bottom w:val="nil" w:sz="6" w:space="0" w:color="auto"/>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资等高风险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6"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shd w:val="clear" w:color="auto" w:fill="C6ECCC"/>
          </w:tcPr>
          <w:p>
            <w:pPr/>
          </w:p>
        </w:tc>
        <w:tc>
          <w:tcPr>
            <w:tcW w:w="1128" w:type="dxa"/>
            <w:tcBorders>
              <w:top w:val="nil" w:sz="6" w:space="0" w:color="auto"/>
              <w:left w:val="single" w:sz="4" w:space="0" w:color="000000"/>
              <w:bottom w:val="nil" w:sz="6" w:space="0" w:color="auto"/>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投资；公司承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6"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shd w:val="clear" w:color="auto" w:fill="C6ECCC"/>
          </w:tcPr>
          <w:p>
            <w:pPr/>
          </w:p>
        </w:tc>
        <w:tc>
          <w:tcPr>
            <w:tcW w:w="1128" w:type="dxa"/>
            <w:tcBorders>
              <w:top w:val="nil" w:sz="6" w:space="0" w:color="auto"/>
              <w:left w:val="single" w:sz="4" w:space="0" w:color="000000"/>
              <w:bottom w:val="nil" w:sz="6" w:space="0" w:color="auto"/>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诺按照实际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6"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shd w:val="clear" w:color="auto" w:fill="C6ECCC"/>
          </w:tcPr>
          <w:p>
            <w:pPr/>
          </w:p>
        </w:tc>
        <w:tc>
          <w:tcPr>
            <w:tcW w:w="1128" w:type="dxa"/>
            <w:tcBorders>
              <w:top w:val="nil" w:sz="6" w:space="0" w:color="auto"/>
              <w:left w:val="single" w:sz="4" w:space="0" w:color="000000"/>
              <w:bottom w:val="nil" w:sz="6" w:space="0" w:color="auto"/>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需求补充流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6"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shd w:val="clear" w:color="auto" w:fill="C6ECCC"/>
          </w:tcPr>
          <w:p>
            <w:pPr/>
          </w:p>
        </w:tc>
        <w:tc>
          <w:tcPr>
            <w:tcW w:w="1128" w:type="dxa"/>
            <w:tcBorders>
              <w:top w:val="nil" w:sz="6" w:space="0" w:color="auto"/>
              <w:left w:val="single" w:sz="4" w:space="0" w:color="000000"/>
              <w:bottom w:val="nil" w:sz="6" w:space="0" w:color="auto"/>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动资金，每十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6"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shd w:val="clear" w:color="auto" w:fill="C6ECCC"/>
          </w:tcPr>
          <w:p>
            <w:pPr/>
          </w:p>
        </w:tc>
        <w:tc>
          <w:tcPr>
            <w:tcW w:w="1128" w:type="dxa"/>
            <w:tcBorders>
              <w:top w:val="nil" w:sz="6" w:space="0" w:color="auto"/>
              <w:left w:val="single" w:sz="4" w:space="0" w:color="000000"/>
              <w:bottom w:val="nil" w:sz="6" w:space="0" w:color="auto"/>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二个月内累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6"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shd w:val="clear" w:color="auto" w:fill="C6ECCC"/>
          </w:tcPr>
          <w:p>
            <w:pPr/>
          </w:p>
        </w:tc>
        <w:tc>
          <w:tcPr>
            <w:tcW w:w="1128" w:type="dxa"/>
            <w:tcBorders>
              <w:top w:val="nil" w:sz="6" w:space="0" w:color="auto"/>
              <w:left w:val="single" w:sz="4" w:space="0" w:color="000000"/>
              <w:bottom w:val="nil" w:sz="6" w:space="0" w:color="auto"/>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计金额不超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6"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shd w:val="clear" w:color="auto" w:fill="C6ECCC"/>
          </w:tcPr>
          <w:p>
            <w:pPr/>
          </w:p>
        </w:tc>
        <w:tc>
          <w:tcPr>
            <w:tcW w:w="1128" w:type="dxa"/>
            <w:tcBorders>
              <w:top w:val="nil" w:sz="6" w:space="0" w:color="auto"/>
              <w:left w:val="single" w:sz="4" w:space="0" w:color="000000"/>
              <w:bottom w:val="nil" w:sz="6" w:space="0" w:color="auto"/>
              <w:right w:val="single" w:sz="4" w:space="0" w:color="000000"/>
            </w:tcBorders>
            <w:shd w:val="clear" w:color="auto" w:fill="C6ECCC"/>
          </w:tcPr>
          <w:p>
            <w:pPr/>
          </w:p>
        </w:tc>
        <w:tc>
          <w:tcPr>
            <w:tcW w:w="11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过超募资金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6ECCC"/>
          </w:tcPr>
          <w:p>
            <w:pPr/>
          </w:p>
        </w:tc>
        <w:tc>
          <w:tcPr>
            <w:tcW w:w="1106"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60"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shd w:val="clear" w:color="auto" w:fill="C6ECCC"/>
          </w:tcPr>
          <w:p>
            <w:pPr/>
          </w:p>
        </w:tc>
        <w:tc>
          <w:tcPr>
            <w:tcW w:w="1128" w:type="dxa"/>
            <w:tcBorders>
              <w:top w:val="nil" w:sz="6" w:space="0" w:color="auto"/>
              <w:left w:val="single" w:sz="4" w:space="0" w:color="000000"/>
              <w:bottom w:val="single" w:sz="4" w:space="0" w:color="000000"/>
              <w:right w:val="single" w:sz="4" w:space="0" w:color="000000"/>
            </w:tcBorders>
            <w:shd w:val="clear" w:color="auto" w:fill="C6ECCC"/>
          </w:tcPr>
          <w:p>
            <w:pPr/>
          </w:p>
        </w:tc>
        <w:tc>
          <w:tcPr>
            <w:tcW w:w="1126"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4" w:right="-5"/>
              <w:jc w:val="left"/>
              <w:rPr>
                <w:rFonts w:ascii="宋体" w:hAnsi="宋体" w:cs="宋体" w:eastAsia="宋体" w:hint="default"/>
                <w:sz w:val="18"/>
                <w:szCs w:val="18"/>
              </w:rPr>
            </w:pPr>
            <w:r>
              <w:rPr>
                <w:rFonts w:ascii="宋体" w:hAnsi="宋体" w:cs="宋体" w:eastAsia="宋体" w:hint="default"/>
                <w:sz w:val="18"/>
                <w:szCs w:val="18"/>
              </w:rPr>
              <w:t>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shd w:val="clear" w:color="auto" w:fill="C6ECCC"/>
          </w:tcPr>
          <w:p>
            <w:pPr/>
          </w:p>
        </w:tc>
        <w:tc>
          <w:tcPr>
            <w:tcW w:w="1106" w:type="dxa"/>
            <w:tcBorders>
              <w:top w:val="nil" w:sz="6" w:space="0" w:color="auto"/>
              <w:left w:val="single" w:sz="4" w:space="0" w:color="000000"/>
              <w:bottom w:val="single" w:sz="4" w:space="0" w:color="000000"/>
              <w:right w:val="single" w:sz="4" w:space="0" w:color="000000"/>
            </w:tcBorders>
            <w:shd w:val="clear" w:color="auto" w:fill="C6ECCC"/>
          </w:tcPr>
          <w:p>
            <w:pPr/>
          </w:p>
        </w:tc>
      </w:tr>
      <w:tr>
        <w:trPr>
          <w:trHeight w:val="401" w:hRule="exact"/>
        </w:trPr>
        <w:tc>
          <w:tcPr>
            <w:tcW w:w="28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sz w:val="18"/>
                <w:szCs w:val="18"/>
              </w:rPr>
              <w:t>利润分配承</w:t>
            </w: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6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pacing w:val="-5"/>
                <w:sz w:val="18"/>
                <w:szCs w:val="18"/>
              </w:rPr>
              <w:t>截至目前，承</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566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8"/>
              <w:ind w:left="24" w:right="1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w:t>
            </w:r>
            <w:r>
              <w:rPr>
                <w:rFonts w:ascii="宋体" w:hAnsi="宋体" w:cs="宋体" w:eastAsia="宋体" w:hint="default"/>
                <w:spacing w:val="-2"/>
                <w:sz w:val="18"/>
                <w:szCs w:val="18"/>
              </w:rPr>
              <w:t>通过了《未来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三年</w:t>
            </w:r>
          </w:p>
          <w:p>
            <w:pPr>
              <w:pStyle w:val="TableParagraph"/>
              <w:spacing w:line="240" w:lineRule="auto" w:before="2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2015~2017</w:t>
            </w:r>
          </w:p>
          <w:p>
            <w:pPr>
              <w:pStyle w:val="TableParagraph"/>
              <w:spacing w:line="316" w:lineRule="auto" w:before="63"/>
              <w:ind w:left="24" w:right="19"/>
              <w:jc w:val="left"/>
              <w:rPr>
                <w:rFonts w:ascii="宋体" w:hAnsi="宋体" w:cs="宋体" w:eastAsia="宋体" w:hint="default"/>
                <w:sz w:val="18"/>
                <w:szCs w:val="18"/>
              </w:rPr>
            </w:pPr>
            <w:r>
              <w:rPr>
                <w:rFonts w:ascii="宋体" w:hAnsi="宋体" w:cs="宋体" w:eastAsia="宋体" w:hint="default"/>
                <w:spacing w:val="-2"/>
                <w:sz w:val="18"/>
                <w:szCs w:val="18"/>
              </w:rPr>
              <w:t>年）股东回报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规划</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 </w:t>
            </w:r>
            <w:r>
              <w:rPr>
                <w:rFonts w:ascii="宋体" w:hAnsi="宋体" w:cs="宋体" w:eastAsia="宋体" w:hint="default"/>
                <w:spacing w:val="-16"/>
                <w:sz w:val="18"/>
                <w:szCs w:val="18"/>
              </w:rPr>
              <w:t>案》，承诺在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足额提取法 </w:t>
            </w:r>
            <w:r>
              <w:rPr>
                <w:rFonts w:ascii="宋体" w:hAnsi="宋体" w:cs="宋体" w:eastAsia="宋体" w:hint="default"/>
                <w:spacing w:val="-2"/>
                <w:sz w:val="18"/>
                <w:szCs w:val="18"/>
              </w:rPr>
              <w:t>定公积金、任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意公积金以 </w:t>
            </w:r>
            <w:r>
              <w:rPr>
                <w:rFonts w:ascii="宋体" w:hAnsi="宋体" w:cs="宋体" w:eastAsia="宋体" w:hint="default"/>
                <w:spacing w:val="-2"/>
                <w:sz w:val="18"/>
                <w:szCs w:val="18"/>
              </w:rPr>
              <w:t>后，最近三年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以现金方式 累计分配的 利润不少于 最近三年实 现的年均可 分配利润的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8"/>
              <w:ind w:left="23" w:right="22"/>
              <w:jc w:val="left"/>
              <w:rPr>
                <w:rFonts w:ascii="宋体" w:hAnsi="宋体" w:cs="宋体" w:eastAsia="宋体" w:hint="default"/>
                <w:sz w:val="18"/>
                <w:szCs w:val="18"/>
              </w:rPr>
            </w:pPr>
            <w:r>
              <w:rPr>
                <w:rFonts w:ascii="宋体" w:hAnsi="宋体" w:cs="宋体" w:eastAsia="宋体" w:hint="default"/>
                <w:sz w:val="18"/>
                <w:szCs w:val="18"/>
              </w:rPr>
              <w:t>诺人未发生 违反承诺的 </w:t>
            </w:r>
            <w:r>
              <w:rPr>
                <w:rFonts w:ascii="宋体" w:hAnsi="宋体" w:cs="宋体" w:eastAsia="宋体" w:hint="default"/>
                <w:spacing w:val="-5"/>
                <w:sz w:val="18"/>
                <w:szCs w:val="18"/>
              </w:rPr>
              <w:t>情况，该承诺</w:t>
            </w:r>
            <w:r>
              <w:rPr>
                <w:rFonts w:ascii="宋体" w:hAnsi="宋体" w:cs="宋体" w:eastAsia="宋体" w:hint="default"/>
                <w:sz w:val="18"/>
                <w:szCs w:val="18"/>
              </w:rPr>
              <w:t> 事项仍在严 格履行中。</w:t>
            </w:r>
          </w:p>
        </w:tc>
      </w:tr>
      <w:tr>
        <w:trPr>
          <w:trHeight w:val="4770"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如公司仍未 能在延期期 限内披露发 行股份购买 </w:t>
            </w:r>
            <w:r>
              <w:rPr>
                <w:rFonts w:ascii="宋体" w:hAnsi="宋体" w:cs="宋体" w:eastAsia="宋体" w:hint="default"/>
                <w:spacing w:val="-2"/>
                <w:sz w:val="18"/>
                <w:szCs w:val="18"/>
              </w:rPr>
              <w:t>资产预案（或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6"/>
                <w:sz w:val="18"/>
                <w:szCs w:val="18"/>
              </w:rPr>
              <w:t>报告书），公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司及公司控 </w:t>
            </w:r>
            <w:r>
              <w:rPr>
                <w:rFonts w:ascii="宋体" w:hAnsi="宋体" w:cs="宋体" w:eastAsia="宋体" w:hint="default"/>
                <w:spacing w:val="-2"/>
                <w:sz w:val="18"/>
                <w:szCs w:val="18"/>
              </w:rPr>
              <w:t>股股东、实际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控制人承诺 自公司股票 复牌之日起 六个月内不 再筹划发行 股份购买资 产事项。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5"/>
              <w:jc w:val="left"/>
              <w:rPr>
                <w:rFonts w:ascii="宋体" w:hAnsi="宋体" w:cs="宋体" w:eastAsia="宋体" w:hint="default"/>
                <w:sz w:val="18"/>
                <w:szCs w:val="18"/>
              </w:rPr>
            </w:pPr>
            <w:r>
              <w:rPr>
                <w:rFonts w:ascii="宋体" w:hAnsi="宋体" w:cs="宋体" w:eastAsia="宋体" w:hint="default"/>
                <w:sz w:val="18"/>
                <w:szCs w:val="18"/>
              </w:rPr>
              <w:t>已履行完毕， 承诺人未发 生违反承诺 的情况。</w:t>
            </w:r>
          </w:p>
        </w:tc>
      </w:tr>
      <w:tr>
        <w:trPr>
          <w:trHeight w:val="3483"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本公司之控 股股东广东 群兴投资有 限公司</w:t>
            </w:r>
          </w:p>
        </w:tc>
        <w:tc>
          <w:tcPr>
            <w:tcW w:w="11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6" w:right="0"/>
              <w:jc w:val="left"/>
              <w:rPr>
                <w:rFonts w:ascii="宋体" w:hAnsi="宋体" w:cs="宋体" w:eastAsia="宋体" w:hint="default"/>
                <w:sz w:val="18"/>
                <w:szCs w:val="18"/>
              </w:rPr>
            </w:pPr>
            <w:r>
              <w:rPr>
                <w:rFonts w:ascii="宋体" w:hAnsi="宋体" w:cs="宋体" w:eastAsia="宋体" w:hint="default"/>
                <w:sz w:val="18"/>
                <w:szCs w:val="18"/>
              </w:rPr>
              <w:t>增持承诺</w:t>
            </w: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基于对目前 资本市场形 势的认识及 对公司未来 发展的信心， 群兴投资计 划在近期增 持公司不低</w:t>
            </w:r>
          </w:p>
          <w:p>
            <w:pPr>
              <w:pStyle w:val="TableParagraph"/>
              <w:spacing w:line="240" w:lineRule="auto" w:before="1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16,275,400</w:t>
            </w:r>
          </w:p>
          <w:p>
            <w:pPr>
              <w:pStyle w:val="TableParagraph"/>
              <w:spacing w:line="316" w:lineRule="auto" w:before="63"/>
              <w:ind w:left="24" w:right="19"/>
              <w:jc w:val="left"/>
              <w:rPr>
                <w:rFonts w:ascii="宋体" w:hAnsi="宋体" w:cs="宋体" w:eastAsia="宋体" w:hint="default"/>
                <w:sz w:val="18"/>
                <w:szCs w:val="18"/>
              </w:rPr>
            </w:pPr>
            <w:r>
              <w:rPr>
                <w:rFonts w:ascii="宋体" w:hAnsi="宋体" w:cs="宋体" w:eastAsia="宋体" w:hint="default"/>
                <w:spacing w:val="-2"/>
                <w:sz w:val="18"/>
                <w:szCs w:val="18"/>
              </w:rPr>
              <w:t>股的股份，占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公司总股本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近期内</w:t>
            </w:r>
          </w:p>
        </w:tc>
        <w:tc>
          <w:tcPr>
            <w:tcW w:w="11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已履行完毕， 承诺人未发 生违反承诺 的情况。</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1923"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2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8"/>
              <w:ind w:left="24" w:right="38"/>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2.76%</w:t>
            </w:r>
            <w:r>
              <w:rPr>
                <w:rFonts w:ascii="宋体" w:hAnsi="宋体" w:cs="宋体" w:eastAsia="宋体" w:hint="default"/>
                <w:sz w:val="18"/>
                <w:szCs w:val="18"/>
              </w:rPr>
              <w:t>。在 增持期间及 法定期限内 不减持其所 持有的公司 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10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961"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187"/>
              <w:jc w:val="both"/>
              <w:rPr>
                <w:rFonts w:ascii="宋体" w:hAnsi="宋体" w:cs="宋体" w:eastAsia="宋体" w:hint="default"/>
                <w:sz w:val="18"/>
                <w:szCs w:val="18"/>
              </w:rPr>
            </w:pPr>
            <w:r>
              <w:rPr>
                <w:rFonts w:ascii="宋体" w:hAnsi="宋体" w:cs="宋体" w:eastAsia="宋体" w:hint="default"/>
                <w:sz w:val="18"/>
                <w:szCs w:val="18"/>
              </w:rPr>
              <w:t>本公司之控 股股东广东 群兴投资有 限公司</w:t>
            </w:r>
          </w:p>
        </w:tc>
        <w:tc>
          <w:tcPr>
            <w:tcW w:w="11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不减持承诺</w:t>
            </w:r>
          </w:p>
        </w:tc>
        <w:tc>
          <w:tcPr>
            <w:tcW w:w="11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4" w:right="143"/>
              <w:jc w:val="both"/>
              <w:rPr>
                <w:rFonts w:ascii="宋体" w:hAnsi="宋体" w:cs="宋体" w:eastAsia="宋体" w:hint="default"/>
                <w:sz w:val="18"/>
                <w:szCs w:val="18"/>
              </w:rPr>
            </w:pPr>
            <w:r>
              <w:rPr>
                <w:rFonts w:ascii="宋体" w:hAnsi="宋体" w:cs="宋体" w:eastAsia="宋体" w:hint="default"/>
                <w:sz w:val="18"/>
                <w:szCs w:val="18"/>
              </w:rPr>
              <w:t>在本次增持 期间以及增 持完成后的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 减持本次增 持的股份。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pacing w:val="-5"/>
                <w:sz w:val="18"/>
                <w:szCs w:val="18"/>
              </w:rPr>
              <w:t>截至目前，承</w:t>
            </w:r>
            <w:r>
              <w:rPr>
                <w:rFonts w:ascii="宋体" w:hAnsi="宋体" w:cs="宋体" w:eastAsia="宋体" w:hint="default"/>
                <w:sz w:val="18"/>
                <w:szCs w:val="18"/>
              </w:rPr>
              <w:t> 诺人未发生 违反承诺的 </w:t>
            </w:r>
            <w:r>
              <w:rPr>
                <w:rFonts w:ascii="宋体" w:hAnsi="宋体" w:cs="宋体" w:eastAsia="宋体" w:hint="default"/>
                <w:spacing w:val="-5"/>
                <w:sz w:val="18"/>
                <w:szCs w:val="18"/>
              </w:rPr>
              <w:t>情况，该承诺</w:t>
            </w:r>
            <w:r>
              <w:rPr>
                <w:rFonts w:ascii="宋体" w:hAnsi="宋体" w:cs="宋体" w:eastAsia="宋体" w:hint="default"/>
                <w:sz w:val="18"/>
                <w:szCs w:val="18"/>
              </w:rPr>
              <w:t> 事项仍在严 格履行中。</w:t>
            </w: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1" w:type="dxa"/>
            <w:gridSpan w:val="6"/>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314" w:lineRule="exact" w:before="30"/>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26"/>
        </w:rPr>
        <w:t> </w:t>
      </w:r>
      <w:r>
        <w:rPr>
          <w:spacing w:val="26"/>
        </w:rPr>
      </w:r>
      <w:r>
        <w:rPr/>
        <w:t>其原因做出说明</w:t>
      </w:r>
      <w:r>
        <w:rPr>
          <w:b w:val="0"/>
          <w:bCs w:val="0"/>
        </w:rPr>
      </w:r>
    </w:p>
    <w:p>
      <w:pPr>
        <w:spacing w:line="240" w:lineRule="auto" w:before="14"/>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四、控股股东及其关联方对上市公司的非经营性占用资金情况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40" w:lineRule="auto" w:before="0"/>
        <w:ind w:left="152" w:right="40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6"/>
        <w:rPr>
          <w:rFonts w:ascii="宋体" w:hAnsi="宋体" w:cs="宋体" w:eastAsia="宋体" w:hint="default"/>
          <w:sz w:val="13"/>
          <w:szCs w:val="13"/>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六、与上年度财务报告相比，会计政策、会计估计和核算方法发生变化的情况说明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40" w:lineRule="auto" w:before="0"/>
        <w:ind w:left="152" w:right="47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公司报告期无会计政策、会计估计和核算方法发生变化的情况。</w:t>
      </w:r>
    </w:p>
    <w:p>
      <w:pPr>
        <w:spacing w:line="240" w:lineRule="auto" w:before="6"/>
        <w:rPr>
          <w:rFonts w:ascii="宋体" w:hAnsi="宋体" w:cs="宋体" w:eastAsia="宋体" w:hint="default"/>
          <w:sz w:val="13"/>
          <w:szCs w:val="13"/>
        </w:rPr>
      </w:pPr>
    </w:p>
    <w:p>
      <w:pPr>
        <w:pStyle w:val="Heading2"/>
        <w:spacing w:line="240" w:lineRule="auto"/>
        <w:ind w:right="0"/>
        <w:jc w:val="left"/>
        <w:rPr>
          <w:b w:val="0"/>
          <w:bCs w:val="0"/>
        </w:rPr>
      </w:pPr>
      <w:r>
        <w:rPr/>
        <w:t>七、报告期内发生重大会计差错更正需追溯重述的情况说明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40" w:lineRule="auto" w:before="0"/>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公司报告期无重大会计差错更正需追溯重述的情况。</w:t>
      </w:r>
    </w:p>
    <w:p>
      <w:pPr>
        <w:spacing w:after="0" w:line="3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八、与上年度财务报告相比，合并报表范围发生变化的情况说明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38" w:lineRule="auto" w:before="0"/>
        <w:ind w:left="152" w:right="6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公司报告期无合并报表范围发生变化的情况。</w:t>
      </w: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r>
        <w:rPr/>
        <w:t>九、聘任、解聘会计师事务所情况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5"/>
        <w:gridCol w:w="5684"/>
      </w:tblGrid>
      <w:tr>
        <w:trPr>
          <w:trHeight w:val="403"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3"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陈瑜星、方建新</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5"/>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是否在审计期间改聘会计师事务所</w:t>
      </w:r>
    </w:p>
    <w:p>
      <w:pPr>
        <w:spacing w:line="340" w:lineRule="auto" w:before="39"/>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更换会计师事务所是否履行审批程序</w:t>
      </w:r>
    </w:p>
    <w:p>
      <w:pPr>
        <w:spacing w:line="338" w:lineRule="auto" w:before="41"/>
        <w:ind w:left="152" w:right="63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对改聘、变更会计师事务所情况的详细说明</w:t>
      </w:r>
    </w:p>
    <w:p>
      <w:pPr>
        <w:pStyle w:val="BodyText"/>
        <w:spacing w:line="273" w:lineRule="auto" w:before="23"/>
        <w:ind w:left="573" w:right="0"/>
        <w:jc w:val="left"/>
      </w:pPr>
      <w:r>
        <w:rPr/>
        <w:t>（一）改聘审计机构的情况说明</w:t>
      </w:r>
      <w:r>
        <w:rPr>
          <w:w w:val="100"/>
        </w:rPr>
        <w:t> </w:t>
      </w:r>
      <w:r>
        <w:rPr>
          <w:spacing w:val="-2"/>
        </w:rPr>
        <w:t>公司于</w:t>
      </w:r>
      <w:r>
        <w:rPr>
          <w:rFonts w:ascii="Times New Roman" w:hAnsi="Times New Roman" w:cs="Times New Roman" w:eastAsia="Times New Roman" w:hint="default"/>
          <w:spacing w:val="-2"/>
        </w:rPr>
        <w:t>2014</w:t>
      </w:r>
      <w:r>
        <w:rPr>
          <w:spacing w:val="-2"/>
        </w:rPr>
        <w:t>年年度股东大会决议续聘立信会计师事务所（特殊普通合伙）为公司</w:t>
      </w:r>
      <w:r>
        <w:rPr>
          <w:rFonts w:ascii="Times New Roman" w:hAnsi="Times New Roman" w:cs="Times New Roman" w:eastAsia="Times New Roman" w:hint="default"/>
          <w:spacing w:val="-2"/>
        </w:rPr>
        <w:t>2015</w:t>
      </w:r>
      <w:r>
        <w:rPr>
          <w:spacing w:val="-2"/>
        </w:rPr>
        <w:t>年度审计机构，</w:t>
      </w:r>
    </w:p>
    <w:p>
      <w:pPr>
        <w:pStyle w:val="BodyText"/>
        <w:spacing w:line="273" w:lineRule="auto"/>
        <w:ind w:right="146"/>
        <w:jc w:val="both"/>
      </w:pPr>
      <w:r>
        <w:rPr>
          <w:spacing w:val="-2"/>
        </w:rPr>
        <w:t>考虑到立信会计师事务所（特殊普通合伙）年度审计工作计划可能无法配合公司因本次重大资产重组需要</w:t>
      </w:r>
      <w:r>
        <w:rPr>
          <w:spacing w:val="-42"/>
        </w:rPr>
        <w:t> </w:t>
      </w:r>
      <w:r>
        <w:rPr>
          <w:spacing w:val="-42"/>
        </w:rPr>
      </w:r>
      <w:r>
        <w:rPr>
          <w:spacing w:val="-2"/>
        </w:rPr>
        <w:t>出具的上市公司年度审计报告的时间进度安排，为保证公司本次重大资产重组顺利完成，经公司董事会审</w:t>
      </w:r>
      <w:r>
        <w:rPr>
          <w:spacing w:val="-43"/>
        </w:rPr>
        <w:t> </w:t>
      </w:r>
      <w:r>
        <w:rPr>
          <w:spacing w:val="-43"/>
        </w:rPr>
      </w:r>
      <w:r>
        <w:rPr/>
        <w:t>计委员会认真调查并提议改聘大华会计师事务所（特殊普通合伙）为公司</w:t>
      </w:r>
      <w:r>
        <w:rPr>
          <w:rFonts w:ascii="Times New Roman" w:hAnsi="Times New Roman" w:cs="Times New Roman" w:eastAsia="Times New Roman" w:hint="default"/>
        </w:rPr>
        <w:t>2015</w:t>
      </w:r>
      <w:r>
        <w:rPr/>
        <w:t>年度审计机构。</w:t>
      </w:r>
    </w:p>
    <w:p>
      <w:pPr>
        <w:pStyle w:val="BodyText"/>
        <w:spacing w:line="264" w:lineRule="exact"/>
        <w:ind w:left="573" w:right="0"/>
        <w:jc w:val="left"/>
      </w:pPr>
      <w:r>
        <w:rPr/>
        <w:t>（二）改聘审计机构所履行的程序</w:t>
      </w:r>
    </w:p>
    <w:p>
      <w:pPr>
        <w:pStyle w:val="BodyText"/>
        <w:spacing w:line="256" w:lineRule="auto" w:before="37"/>
        <w:ind w:right="148" w:firstLine="420"/>
        <w:jc w:val="both"/>
      </w:pPr>
      <w:r>
        <w:rPr>
          <w:rFonts w:ascii="Times New Roman" w:hAnsi="Times New Roman" w:cs="Times New Roman" w:eastAsia="Times New Roman" w:hint="default"/>
        </w:rPr>
        <w:t>1</w:t>
      </w:r>
      <w:r>
        <w:rPr/>
        <w:t>、公司董事会审计委员会对大华会计师事务所（特殊普通合伙）进行了充分了解，同意变更会计师</w:t>
      </w:r>
      <w:r>
        <w:rPr>
          <w:w w:val="100"/>
        </w:rPr>
        <w:t> </w:t>
      </w:r>
      <w:r>
        <w:rPr>
          <w:spacing w:val="-2"/>
        </w:rPr>
        <w:t>事务所，改聘大华会计师事务所（特殊普通合伙）为公司</w:t>
      </w:r>
      <w:r>
        <w:rPr>
          <w:rFonts w:ascii="Times New Roman" w:hAnsi="Times New Roman" w:cs="Times New Roman" w:eastAsia="Times New Roman" w:hint="default"/>
          <w:spacing w:val="-2"/>
        </w:rPr>
        <w:t>2015</w:t>
      </w:r>
      <w:r>
        <w:rPr>
          <w:spacing w:val="-2"/>
        </w:rPr>
        <w:t>年度财务报告审计机构，并将该议案提交公</w:t>
      </w:r>
      <w:r>
        <w:rPr>
          <w:spacing w:val="-42"/>
        </w:rPr>
        <w:t> </w:t>
      </w:r>
      <w:r>
        <w:rPr>
          <w:spacing w:val="-42"/>
        </w:rPr>
      </w:r>
      <w:r>
        <w:rPr/>
        <w:t>司董事会审议。</w:t>
      </w:r>
    </w:p>
    <w:p>
      <w:pPr>
        <w:pStyle w:val="BodyText"/>
        <w:spacing w:line="256" w:lineRule="auto" w:before="23"/>
        <w:ind w:right="146" w:firstLine="420"/>
        <w:jc w:val="both"/>
      </w:pP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日召开了第二届董事会第三十次会议，审议并通过了《关于改聘</w:t>
      </w:r>
      <w:r>
        <w:rPr>
          <w:rFonts w:ascii="Times New Roman" w:hAnsi="Times New Roman" w:cs="Times New Roman" w:eastAsia="Times New Roman" w:hint="default"/>
        </w:rPr>
        <w:t>2015</w:t>
      </w:r>
      <w:r>
        <w:rPr/>
        <w:t>年度审</w:t>
      </w:r>
      <w:r>
        <w:rPr>
          <w:w w:val="100"/>
        </w:rPr>
        <w:t> </w:t>
      </w:r>
      <w:r>
        <w:rPr/>
        <w:t>计机构的议案》，同意改聘大华会计师事务所（特殊普通合伙）为公司</w:t>
      </w:r>
      <w:r>
        <w:rPr>
          <w:rFonts w:ascii="Times New Roman" w:hAnsi="Times New Roman" w:cs="Times New Roman" w:eastAsia="Times New Roman" w:hint="default"/>
        </w:rPr>
        <w:t>2015</w:t>
      </w:r>
      <w:r>
        <w:rPr/>
        <w:t>年度审计机构。</w:t>
      </w:r>
    </w:p>
    <w:p>
      <w:pPr>
        <w:pStyle w:val="BodyText"/>
        <w:spacing w:line="264" w:lineRule="auto" w:before="5"/>
        <w:ind w:right="127" w:firstLine="420"/>
        <w:jc w:val="right"/>
      </w:pPr>
      <w:r>
        <w:rPr>
          <w:rFonts w:ascii="Times New Roman" w:hAnsi="Times New Roman" w:cs="Times New Roman" w:eastAsia="Times New Roman" w:hint="default"/>
          <w:spacing w:val="-2"/>
        </w:rPr>
        <w:t>3</w:t>
      </w:r>
      <w:r>
        <w:rPr>
          <w:spacing w:val="-2"/>
        </w:rPr>
        <w:t>、经公司独立董事事前认可，并对此事项发表了同意的独立意见，认为：</w:t>
      </w:r>
      <w:r>
        <w:rPr>
          <w:spacing w:val="53"/>
        </w:rPr>
        <w:t> </w:t>
      </w:r>
      <w:r>
        <w:rPr>
          <w:spacing w:val="-2"/>
        </w:rPr>
        <w:t>大华会计师事务所（特殊</w:t>
      </w:r>
      <w:r>
        <w:rPr>
          <w:w w:val="100"/>
        </w:rPr>
        <w:t> </w:t>
      </w:r>
      <w:r>
        <w:rPr>
          <w:spacing w:val="-2"/>
        </w:rPr>
        <w:t>普通合伙）具备证券相关业务审计资格，具有多年为上市公司提供审计服务的经验和能力，能够满足公司</w:t>
      </w:r>
      <w:r>
        <w:rPr>
          <w:spacing w:val="-88"/>
        </w:rPr>
        <w:t> </w:t>
      </w:r>
      <w:r>
        <w:rPr>
          <w:spacing w:val="-88"/>
        </w:rPr>
      </w:r>
      <w:r>
        <w:rPr>
          <w:spacing w:val="-2"/>
        </w:rPr>
        <w:t>财务审计和相关专项审计工作的要求，能够独立对公司财务状况进行审计。因此，同意改聘大华会计师事</w:t>
      </w:r>
      <w:r>
        <w:rPr>
          <w:spacing w:val="-84"/>
        </w:rPr>
        <w:t> </w:t>
      </w:r>
      <w:r>
        <w:rPr>
          <w:spacing w:val="-84"/>
        </w:rPr>
      </w:r>
      <w:r>
        <w:rPr>
          <w:spacing w:val="-2"/>
        </w:rPr>
        <w:t>务所（特殊普通合伙）为公司</w:t>
      </w:r>
      <w:r>
        <w:rPr>
          <w:rFonts w:ascii="Times New Roman" w:hAnsi="Times New Roman" w:cs="Times New Roman" w:eastAsia="Times New Roman" w:hint="default"/>
          <w:spacing w:val="-2"/>
        </w:rPr>
        <w:t>2015</w:t>
      </w:r>
      <w:r>
        <w:rPr>
          <w:spacing w:val="-2"/>
        </w:rPr>
        <w:t>年度审计机构，同意将该议案提交公</w:t>
      </w:r>
      <w:r>
        <w:rPr>
          <w:rFonts w:ascii="Times New Roman" w:hAnsi="Times New Roman" w:cs="Times New Roman" w:eastAsia="Times New Roman" w:hint="default"/>
          <w:spacing w:val="-2"/>
        </w:rPr>
        <w:t>2015</w:t>
      </w:r>
      <w:r>
        <w:rPr>
          <w:spacing w:val="-2"/>
        </w:rPr>
        <w:t>年第三次临时股东大会审议。</w:t>
      </w:r>
      <w:r>
        <w:rPr>
          <w:spacing w:val="-40"/>
        </w:rPr>
        <w:t> </w:t>
      </w:r>
      <w:r>
        <w:rPr>
          <w:spacing w:val="-40"/>
        </w:rPr>
      </w:r>
      <w:r>
        <w:rPr>
          <w:rFonts w:ascii="Times New Roman" w:hAnsi="Times New Roman" w:cs="Times New Roman" w:eastAsia="Times New Roman" w:hint="default"/>
        </w:rPr>
        <w:t>4</w:t>
      </w: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日经</w:t>
      </w:r>
      <w:r>
        <w:rPr>
          <w:rFonts w:ascii="Times New Roman" w:hAnsi="Times New Roman" w:cs="Times New Roman" w:eastAsia="Times New Roman" w:hint="default"/>
        </w:rPr>
        <w:t>2015</w:t>
      </w:r>
      <w:r>
        <w:rPr/>
        <w:t>年第三次临时股东大会审议通过变更审计机构事项，自公司股东大</w:t>
      </w:r>
    </w:p>
    <w:p>
      <w:pPr>
        <w:pStyle w:val="BodyText"/>
        <w:spacing w:line="273" w:lineRule="exact"/>
        <w:ind w:right="0"/>
        <w:jc w:val="both"/>
      </w:pPr>
      <w:r>
        <w:rPr/>
        <w:t>会批准之日起生效。</w:t>
      </w:r>
    </w:p>
    <w:p>
      <w:pPr>
        <w:spacing w:before="98"/>
        <w:ind w:left="152" w:right="0" w:firstLine="0"/>
        <w:jc w:val="both"/>
        <w:rPr>
          <w:rFonts w:ascii="宋体" w:hAnsi="宋体" w:cs="宋体" w:eastAsia="宋体" w:hint="default"/>
          <w:sz w:val="18"/>
          <w:szCs w:val="18"/>
        </w:rPr>
      </w:pPr>
      <w:r>
        <w:rPr>
          <w:rFonts w:ascii="宋体" w:hAnsi="宋体" w:cs="宋体" w:eastAsia="宋体" w:hint="default"/>
          <w:sz w:val="18"/>
          <w:szCs w:val="18"/>
        </w:rPr>
        <w:t>聘请内部控制审计会计师事务所、财务顾问或保荐人情况</w:t>
      </w:r>
    </w:p>
    <w:p>
      <w:pPr>
        <w:spacing w:before="115"/>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0"/>
        <w:jc w:val="both"/>
        <w:rPr>
          <w:b w:val="0"/>
          <w:bCs w:val="0"/>
        </w:rPr>
      </w:pPr>
      <w:r>
        <w:rPr/>
        <w:t>十、年度报告披露后面临暂停上市和终止上市情况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十一、破产重整相关事项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38"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r>
        <w:rPr/>
        <w:t>十二、重大诉讼、仲裁事项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38"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本报告期公司无重大诉讼、仲裁事项。</w:t>
      </w:r>
    </w:p>
    <w:p>
      <w:pPr>
        <w:spacing w:line="240" w:lineRule="auto" w:before="11"/>
        <w:rPr>
          <w:rFonts w:ascii="宋体" w:hAnsi="宋体" w:cs="宋体" w:eastAsia="宋体" w:hint="default"/>
          <w:sz w:val="13"/>
          <w:szCs w:val="13"/>
        </w:rPr>
      </w:pPr>
    </w:p>
    <w:p>
      <w:pPr>
        <w:pStyle w:val="Heading2"/>
        <w:spacing w:line="240" w:lineRule="auto"/>
        <w:ind w:right="0"/>
        <w:jc w:val="left"/>
        <w:rPr>
          <w:b w:val="0"/>
          <w:bCs w:val="0"/>
        </w:rPr>
      </w:pPr>
      <w:r>
        <w:rPr/>
        <w:t>十三、处罚及整改情况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40" w:lineRule="auto" w:before="0"/>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6"/>
        <w:rPr>
          <w:rFonts w:ascii="宋体" w:hAnsi="宋体" w:cs="宋体" w:eastAsia="宋体" w:hint="default"/>
          <w:sz w:val="13"/>
          <w:szCs w:val="13"/>
        </w:rPr>
      </w:pPr>
    </w:p>
    <w:p>
      <w:pPr>
        <w:pStyle w:val="Heading2"/>
        <w:spacing w:line="240" w:lineRule="auto"/>
        <w:ind w:right="0"/>
        <w:jc w:val="left"/>
        <w:rPr>
          <w:b w:val="0"/>
          <w:bCs w:val="0"/>
        </w:rPr>
      </w:pPr>
      <w:r>
        <w:rPr/>
        <w:t>十四、公司及其控股股东、实际控制人的诚信状况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40" w:lineRule="auto" w:before="0"/>
        <w:ind w:left="152" w:right="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报告期内，公司及其控股股东、实际控制人不存在未履行法院生效判决、所负数额较大的债务到期未清偿等情况。</w:t>
      </w:r>
    </w:p>
    <w:p>
      <w:pPr>
        <w:spacing w:line="240" w:lineRule="auto" w:before="9"/>
        <w:rPr>
          <w:rFonts w:ascii="宋体" w:hAnsi="宋体" w:cs="宋体" w:eastAsia="宋体" w:hint="default"/>
          <w:sz w:val="13"/>
          <w:szCs w:val="13"/>
        </w:rPr>
      </w:pPr>
    </w:p>
    <w:p>
      <w:pPr>
        <w:pStyle w:val="Heading2"/>
        <w:spacing w:line="240" w:lineRule="auto"/>
        <w:ind w:right="0"/>
        <w:jc w:val="left"/>
        <w:rPr>
          <w:b w:val="0"/>
          <w:bCs w:val="0"/>
        </w:rPr>
      </w:pPr>
      <w:r>
        <w:rPr/>
        <w:t>十五、公司股权激励计划、员工持股计划或其他员工激励措施的实施情况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spacing w:line="340" w:lineRule="auto" w:before="0"/>
        <w:ind w:left="152" w:right="34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公司报告期无股权激励计划、员工持股计划或其他员工激励措施及其实施情况。</w:t>
      </w:r>
    </w:p>
    <w:p>
      <w:pPr>
        <w:spacing w:line="240" w:lineRule="auto" w:before="8"/>
        <w:rPr>
          <w:rFonts w:ascii="宋体" w:hAnsi="宋体" w:cs="宋体" w:eastAsia="宋体" w:hint="default"/>
          <w:sz w:val="13"/>
          <w:szCs w:val="13"/>
        </w:rPr>
      </w:pPr>
    </w:p>
    <w:p>
      <w:pPr>
        <w:pStyle w:val="Heading2"/>
        <w:spacing w:line="240" w:lineRule="auto"/>
        <w:ind w:right="0"/>
        <w:jc w:val="left"/>
        <w:rPr>
          <w:b w:val="0"/>
          <w:bCs w:val="0"/>
        </w:rPr>
      </w:pPr>
      <w:r>
        <w:rPr/>
        <w:t>十六、重大关联交易</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40" w:lineRule="auto" w:before="0"/>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公司报告期未发生与日常经营相关的关联交易。</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40" w:lineRule="auto" w:before="0"/>
        <w:ind w:left="152" w:right="5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152" w:right="6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after="0" w:line="338"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line="240" w:lineRule="auto" w:before="11"/>
        <w:rPr>
          <w:rFonts w:ascii="宋体" w:hAnsi="宋体" w:cs="宋体" w:eastAsia="宋体" w:hint="default"/>
          <w:sz w:val="13"/>
          <w:szCs w:val="13"/>
        </w:rPr>
      </w:pPr>
    </w:p>
    <w:p>
      <w:pPr>
        <w:pStyle w:val="Heading2"/>
        <w:spacing w:line="240" w:lineRule="auto"/>
        <w:ind w:right="0"/>
        <w:jc w:val="left"/>
        <w:rPr>
          <w:b w:val="0"/>
          <w:bCs w:val="0"/>
        </w:rPr>
      </w:pPr>
      <w:r>
        <w:rPr/>
        <w:t>十七、重大合同及其履行情况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公司报告期不存在租赁情况。</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公司报告期不存在担保情况。</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公司报告期不存在委托理财。</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spacing w:before="44"/>
        <w:ind w:left="152" w:right="0" w:firstLine="0"/>
        <w:jc w:val="both"/>
        <w:rPr>
          <w:rFonts w:ascii="宋体" w:hAnsi="宋体" w:cs="宋体" w:eastAsia="宋体" w:hint="default"/>
          <w:sz w:val="18"/>
          <w:szCs w:val="18"/>
        </w:rPr>
      </w:pPr>
      <w:r>
        <w:rPr>
          <w:rFonts w:ascii="宋体" w:hAnsi="宋体" w:cs="宋体" w:eastAsia="宋体" w:hint="default"/>
          <w:sz w:val="18"/>
          <w:szCs w:val="18"/>
        </w:rPr>
        <w:t>公司报告期不存在委托贷款。</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152" w:right="77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10"/>
        <w:rPr>
          <w:rFonts w:ascii="宋体" w:hAnsi="宋体" w:cs="宋体" w:eastAsia="宋体" w:hint="default"/>
          <w:sz w:val="13"/>
          <w:szCs w:val="13"/>
        </w:rPr>
      </w:pPr>
    </w:p>
    <w:p>
      <w:pPr>
        <w:pStyle w:val="Heading2"/>
        <w:spacing w:line="240" w:lineRule="auto"/>
        <w:ind w:right="0"/>
        <w:jc w:val="both"/>
        <w:rPr>
          <w:b w:val="0"/>
          <w:bCs w:val="0"/>
        </w:rPr>
      </w:pPr>
      <w:r>
        <w:rPr/>
        <w:t>十八、其他重大事项的说明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9" w:lineRule="auto" w:before="14"/>
        <w:ind w:left="573" w:right="789" w:firstLine="2"/>
        <w:jc w:val="left"/>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、其他重大交易</w:t>
      </w:r>
      <w:r>
        <w:rPr>
          <w:rFonts w:ascii="Microsoft JhengHei" w:hAnsi="Microsoft JhengHei" w:cs="Microsoft JhengHei" w:eastAsia="Microsoft JhengHei" w:hint="default"/>
          <w:b/>
          <w:bCs/>
          <w:spacing w:val="-46"/>
        </w:rPr>
        <w:t> </w:t>
      </w:r>
      <w:r>
        <w:rPr/>
        <w:t>本公司于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日与汕头市童乐乐玩具有限公司股东自然人陈伟煌和陈泽彬签订《股权收购合</w:t>
      </w:r>
    </w:p>
    <w:p>
      <w:pPr>
        <w:pStyle w:val="BodyText"/>
        <w:spacing w:line="256" w:lineRule="auto" w:before="12"/>
        <w:ind w:right="789"/>
        <w:jc w:val="left"/>
      </w:pPr>
      <w:r>
        <w:rPr/>
        <w:t>同》，收购陈伟煌持有的童乐乐玩具</w:t>
      </w:r>
      <w:r>
        <w:rPr>
          <w:rFonts w:ascii="Times New Roman" w:hAnsi="Times New Roman" w:cs="Times New Roman" w:eastAsia="Times New Roman" w:hint="default"/>
        </w:rPr>
        <w:t>50%</w:t>
      </w:r>
      <w:r>
        <w:rPr/>
        <w:t>股权，</w:t>
      </w:r>
      <w:r>
        <w:rPr>
          <w:spacing w:val="-30"/>
        </w:rPr>
        <w:t> </w:t>
      </w:r>
      <w:r>
        <w:rPr/>
        <w:t>陈泽彬所持有的童乐乐玩具</w:t>
      </w:r>
      <w:r>
        <w:rPr>
          <w:rFonts w:ascii="Times New Roman" w:hAnsi="Times New Roman" w:cs="Times New Roman" w:eastAsia="Times New Roman" w:hint="default"/>
        </w:rPr>
        <w:t>50%</w:t>
      </w:r>
      <w:r>
        <w:rPr/>
        <w:t>股权。本次收购完成后，</w:t>
      </w:r>
      <w:r>
        <w:rPr>
          <w:w w:val="100"/>
        </w:rPr>
        <w:t> </w:t>
      </w:r>
      <w:r>
        <w:rPr/>
        <w:t>童乐乐玩具将成为本公司全资子公司。本次股权收购，经公司第一届董事会第十四次会议审议通过。</w:t>
      </w:r>
    </w:p>
    <w:p>
      <w:pPr>
        <w:pStyle w:val="BodyText"/>
        <w:spacing w:line="261" w:lineRule="auto" w:before="22"/>
        <w:ind w:right="826" w:firstLine="420"/>
        <w:jc w:val="both"/>
      </w:pPr>
      <w:r>
        <w:rPr>
          <w:spacing w:val="2"/>
        </w:rPr>
        <w:t>汕头市童乐乐玩具有限公司的土地使用权为园区集体工业用地，国土部门实测确认该土地使用权为</w:t>
      </w:r>
      <w:r>
        <w:rPr>
          <w:w w:val="100"/>
        </w:rPr>
        <w:t> </w:t>
      </w:r>
      <w:r>
        <w:rPr>
          <w:rFonts w:ascii="Times New Roman" w:hAnsi="Times New Roman" w:cs="Times New Roman" w:eastAsia="Times New Roman" w:hint="default"/>
          <w:spacing w:val="-2"/>
        </w:rPr>
        <w:t>55,770.42</w:t>
      </w:r>
      <w:r>
        <w:rPr>
          <w:spacing w:val="-2"/>
        </w:rPr>
        <w:t>平方米，该地块已办理的房地合一证载的土地面积为</w:t>
      </w:r>
      <w:r>
        <w:rPr>
          <w:rFonts w:ascii="Times New Roman" w:hAnsi="Times New Roman" w:cs="Times New Roman" w:eastAsia="Times New Roman" w:hint="default"/>
          <w:spacing w:val="-2"/>
        </w:rPr>
        <w:t>19,401.42</w:t>
      </w:r>
      <w:r>
        <w:rPr>
          <w:spacing w:val="-2"/>
        </w:rPr>
        <w:t>平方米，剩余的</w:t>
      </w:r>
      <w:r>
        <w:rPr>
          <w:rFonts w:ascii="Times New Roman" w:hAnsi="Times New Roman" w:cs="Times New Roman" w:eastAsia="Times New Roman" w:hint="default"/>
          <w:spacing w:val="-2"/>
        </w:rPr>
        <w:t>36,369.00</w:t>
      </w:r>
      <w:r>
        <w:rPr>
          <w:spacing w:val="-2"/>
        </w:rPr>
        <w:t>平方米的</w:t>
      </w:r>
      <w:r>
        <w:rPr>
          <w:spacing w:val="-14"/>
        </w:rPr>
        <w:t> </w:t>
      </w:r>
      <w:r>
        <w:rPr>
          <w:spacing w:val="-14"/>
        </w:rPr>
      </w:r>
      <w:r>
        <w:rPr>
          <w:spacing w:val="2"/>
        </w:rPr>
        <w:t>土地使用权和待开发的二期厂房工程建设审批手续还在有关部门备案，相关权证也在申请办理中。截止</w:t>
      </w:r>
      <w:r>
        <w:rPr>
          <w:spacing w:val="-30"/>
        </w:rPr>
        <w:t> </w:t>
      </w:r>
      <w:r>
        <w:rPr>
          <w:spacing w:val="-30"/>
        </w:rPr>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日，办理进度情况如下：</w:t>
      </w:r>
      <w:r>
        <w:rPr>
          <w:spacing w:val="-32"/>
        </w:rPr>
        <w:t>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月上报汕头市澄海区国土资源局申请汕头市澄海区</w:t>
      </w:r>
      <w:r>
        <w:rPr>
          <w:rFonts w:ascii="Times New Roman" w:hAnsi="Times New Roman" w:cs="Times New Roman" w:eastAsia="Times New Roman" w:hint="default"/>
        </w:rPr>
        <w:t>2012</w:t>
      </w:r>
      <w:r>
        <w:rPr/>
        <w:t>年</w:t>
      </w:r>
      <w:r>
        <w:rPr>
          <w:w w:val="100"/>
        </w:rPr>
        <w:t> </w:t>
      </w:r>
      <w:r>
        <w:rPr>
          <w:spacing w:val="-2"/>
        </w:rPr>
        <w:t>第十批次城镇建设用地指标，经由汕头市澄海区国土资源局于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月上报广东省国土资源厅；</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7"/>
        </w:rPr>
        <w:t> </w:t>
      </w:r>
      <w:r>
        <w:rPr/>
        <w:t>月</w:t>
      </w:r>
      <w:r>
        <w:rPr>
          <w:rFonts w:ascii="Times New Roman" w:hAnsi="Times New Roman" w:cs="Times New Roman" w:eastAsia="Times New Roman" w:hint="default"/>
        </w:rPr>
        <w:t>9</w:t>
      </w:r>
      <w:r>
        <w:rPr/>
        <w:t>日，公司收到广东省国土资源厅关于汕头市澄海区</w:t>
      </w:r>
      <w:r>
        <w:rPr>
          <w:rFonts w:ascii="Times New Roman" w:hAnsi="Times New Roman" w:cs="Times New Roman" w:eastAsia="Times New Roman" w:hint="default"/>
        </w:rPr>
        <w:t>2012</w:t>
      </w:r>
      <w:r>
        <w:rPr/>
        <w:t>年度第十次城镇建设用地的批复，同意上述土</w:t>
      </w:r>
      <w:r>
        <w:rPr>
          <w:spacing w:val="-26"/>
        </w:rPr>
        <w:t> </w:t>
      </w:r>
      <w:r>
        <w:rPr>
          <w:spacing w:val="-26"/>
        </w:rPr>
      </w:r>
      <w:r>
        <w:rPr/>
        <w:t>地经完善相关手续后依照规划安排作为城镇建设用地。截止报告期末，相关手续仍在办理中。</w:t>
      </w:r>
    </w:p>
    <w:p>
      <w:pPr>
        <w:pStyle w:val="Heading3"/>
        <w:spacing w:line="317" w:lineRule="exact"/>
        <w:ind w:left="575" w:right="789"/>
        <w:jc w:val="left"/>
        <w:rPr>
          <w:b w:val="0"/>
          <w:bCs w:val="0"/>
        </w:rPr>
      </w:pPr>
      <w:r>
        <w:rPr>
          <w:rFonts w:ascii="Times New Roman" w:hAnsi="Times New Roman" w:cs="Times New Roman" w:eastAsia="Times New Roman" w:hint="default"/>
        </w:rPr>
        <w:t>2</w:t>
      </w:r>
      <w:r>
        <w:rPr/>
        <w:t>、重大资产重组进展情况</w:t>
      </w:r>
      <w:r>
        <w:rPr>
          <w:b w:val="0"/>
          <w:bCs w:val="0"/>
        </w:rPr>
      </w:r>
    </w:p>
    <w:p>
      <w:pPr>
        <w:pStyle w:val="BodyText"/>
        <w:spacing w:line="240" w:lineRule="auto" w:before="13"/>
        <w:ind w:left="573"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日，公司召开第二届董事会第三十一次会议和第二届监事会第十八次会议，审议通过了</w:t>
      </w:r>
    </w:p>
    <w:p>
      <w:pPr>
        <w:pStyle w:val="BodyText"/>
        <w:spacing w:line="256" w:lineRule="auto" w:before="21"/>
        <w:ind w:right="829"/>
        <w:jc w:val="both"/>
      </w:pPr>
      <w:r>
        <w:rPr>
          <w:spacing w:val="-3"/>
        </w:rPr>
        <w:t>《关于</w:t>
      </w:r>
      <w:r>
        <w:rPr>
          <w:rFonts w:ascii="Times New Roman" w:hAnsi="Times New Roman" w:cs="Times New Roman" w:eastAsia="Times New Roman" w:hint="default"/>
          <w:spacing w:val="-3"/>
        </w:rPr>
        <w:t>&lt;</w:t>
      </w:r>
      <w:r>
        <w:rPr>
          <w:spacing w:val="-3"/>
        </w:rPr>
        <w:t>广东群兴玩具股份有限公司发行股份购买资产并募集配套资金暨关联交易预案</w:t>
      </w:r>
      <w:r>
        <w:rPr>
          <w:rFonts w:ascii="Times New Roman" w:hAnsi="Times New Roman" w:cs="Times New Roman" w:eastAsia="Times New Roman" w:hint="default"/>
          <w:spacing w:val="-3"/>
        </w:rPr>
        <w:t>&gt;</w:t>
      </w:r>
      <w:r>
        <w:rPr>
          <w:spacing w:val="-3"/>
        </w:rPr>
        <w:t>的议案》及其他相</w:t>
      </w:r>
      <w:r>
        <w:rPr>
          <w:spacing w:val="-27"/>
        </w:rPr>
        <w:t> </w:t>
      </w:r>
      <w:r>
        <w:rPr>
          <w:spacing w:val="-27"/>
        </w:rPr>
      </w:r>
      <w:r>
        <w:rPr>
          <w:spacing w:val="-2"/>
        </w:rPr>
        <w:t>关议案，具体内容详见公司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22</w:t>
      </w:r>
      <w:r>
        <w:rPr>
          <w:spacing w:val="-2"/>
        </w:rPr>
        <w:t>日披露于巨潮资讯网和《中国证券报》、《证券时报》、《上海</w:t>
      </w:r>
      <w:r>
        <w:rPr>
          <w:spacing w:val="-37"/>
        </w:rPr>
        <w:t> </w:t>
      </w:r>
      <w:r>
        <w:rPr>
          <w:spacing w:val="-37"/>
        </w:rPr>
      </w:r>
      <w:r>
        <w:rPr/>
        <w:t>证券报》的相关公告。</w:t>
      </w:r>
    </w:p>
    <w:p>
      <w:pPr>
        <w:pStyle w:val="BodyText"/>
        <w:spacing w:line="256" w:lineRule="auto" w:before="22"/>
        <w:ind w:right="826" w:firstLine="42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日，公司收到了深圳证券交易所下发的《关于对广东群兴玩具股份有限公司的重组问询</w:t>
      </w:r>
      <w:r>
        <w:rPr>
          <w:w w:val="100"/>
        </w:rPr>
        <w:t> </w:t>
      </w:r>
      <w:r>
        <w:rPr/>
        <w:t>函》（中小板重组问询函（需行政许可）</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68</w:t>
      </w:r>
      <w:r>
        <w:rPr/>
        <w:t>号），公司与相关方及中介机构已就问询函所涉及问</w:t>
      </w:r>
      <w:r>
        <w:rPr>
          <w:spacing w:val="-55"/>
        </w:rPr>
        <w:t> </w:t>
      </w:r>
      <w:r>
        <w:rPr>
          <w:spacing w:val="-2"/>
        </w:rPr>
        <w:t>题进行了反馈，并编制了《广东群兴玩具股份有限公司发行股份购买资产并募集配套资金暨关联交易预案</w:t>
      </w:r>
    </w:p>
    <w:p>
      <w:pPr>
        <w:pStyle w:val="BodyText"/>
        <w:spacing w:line="240" w:lineRule="auto" w:before="22"/>
        <w:ind w:right="0"/>
        <w:jc w:val="both"/>
      </w:pPr>
      <w:r>
        <w:rPr/>
        <w:t>（修订稿）》，具体内容详见公司于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日刊登在巨潮资讯网和《中国证券报》、《证券时报》、</w:t>
      </w:r>
    </w:p>
    <w:p>
      <w:pPr>
        <w:pStyle w:val="BodyText"/>
        <w:spacing w:line="273" w:lineRule="auto" w:before="22"/>
        <w:ind w:left="573" w:right="789" w:hanging="421"/>
        <w:jc w:val="left"/>
      </w:pPr>
      <w:r>
        <w:rPr/>
        <w:t>《上海证券报》上的相关公告。</w:t>
      </w:r>
      <w:r>
        <w:rPr>
          <w:w w:val="100"/>
        </w:rPr>
        <w:t> </w:t>
      </w:r>
      <w:r>
        <w:rPr>
          <w:spacing w:val="-2"/>
        </w:rPr>
        <w:t>自本次发行股份购买资产并募集配套资金暨关联交易预案披露以来，公司及有关各方正在进一步推动</w:t>
      </w:r>
    </w:p>
    <w:p>
      <w:pPr>
        <w:pStyle w:val="BodyText"/>
        <w:spacing w:line="266" w:lineRule="auto" w:before="7"/>
        <w:ind w:right="807"/>
        <w:jc w:val="both"/>
      </w:pPr>
      <w:r>
        <w:rPr>
          <w:spacing w:val="-2"/>
        </w:rPr>
        <w:t>本次重大资产重组所涉及的尽职调查、审计和评估等各项工作。截至目前，三洲核能已于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5</w:t>
      </w:r>
      <w:r>
        <w:rPr>
          <w:spacing w:val="-2"/>
        </w:rPr>
        <w:t>日获</w:t>
      </w:r>
      <w:r>
        <w:rPr>
          <w:spacing w:val="-37"/>
        </w:rPr>
        <w:t> </w:t>
      </w:r>
      <w:r>
        <w:rPr>
          <w:spacing w:val="2"/>
        </w:rPr>
        <w:t>得四川省国防科学技术工业办公室转发国家国防科技工业局关于三洲核能资产重组上市涉及军工事项审</w:t>
      </w:r>
      <w:r>
        <w:rPr>
          <w:spacing w:val="-30"/>
        </w:rPr>
        <w:t> </w:t>
      </w:r>
      <w:r>
        <w:rPr>
          <w:spacing w:val="-30"/>
        </w:rPr>
      </w:r>
      <w:r>
        <w:rPr>
          <w:spacing w:val="-2"/>
        </w:rPr>
        <w:t>查意见的通知，国家国防科技工业主管部门原则同意三洲核能重组上市；重组报告书及相关文件正在编制</w:t>
      </w:r>
      <w:r>
        <w:rPr>
          <w:spacing w:val="-43"/>
        </w:rPr>
        <w:t> </w:t>
      </w:r>
      <w:r>
        <w:rPr>
          <w:spacing w:val="-43"/>
        </w:rPr>
      </w:r>
      <w:r>
        <w:rPr>
          <w:spacing w:val="-2"/>
        </w:rPr>
        <w:t>和审核中，公司及有关各方将继续积极推进后续工作，本次重大资产重组收购事项正在按计划稳步推进。</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line="446" w:lineRule="auto" w:before="0"/>
        <w:ind w:left="152" w:right="5799" w:firstLine="0"/>
        <w:jc w:val="left"/>
        <w:rPr>
          <w:rFonts w:ascii="宋体" w:hAnsi="宋体" w:cs="宋体" w:eastAsia="宋体" w:hint="default"/>
          <w:sz w:val="21"/>
          <w:szCs w:val="21"/>
        </w:rPr>
      </w:pPr>
      <w:r>
        <w:rPr/>
        <w:pict>
          <v:shape style="position:absolute;margin-left:56.52pt;margin-top:50.184475pt;width:518.4pt;height:43.4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44"/>
                    <w:gridCol w:w="4628"/>
                    <w:gridCol w:w="1796"/>
                    <w:gridCol w:w="2878"/>
                  </w:tblGrid>
                  <w:tr>
                    <w:trPr>
                      <w:trHeight w:val="427" w:hRule="exact"/>
                    </w:trPr>
                    <w:tc>
                      <w:tcPr>
                        <w:tcW w:w="10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公告编号</w:t>
                        </w:r>
                      </w:p>
                    </w:tc>
                    <w:tc>
                      <w:tcPr>
                        <w:tcW w:w="46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公告名称</w:t>
                        </w:r>
                      </w:p>
                    </w:tc>
                    <w:tc>
                      <w:tcPr>
                        <w:tcW w:w="1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8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临时报告披露网站查询索引</w:t>
                        </w:r>
                      </w:p>
                    </w:tc>
                  </w:tr>
                  <w:tr>
                    <w:trPr>
                      <w:trHeight w:val="427" w:hRule="exact"/>
                    </w:trPr>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2012-020</w:t>
                        </w:r>
                      </w:p>
                    </w:tc>
                    <w:tc>
                      <w:tcPr>
                        <w:tcW w:w="4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1"/>
                          <w:jc w:val="center"/>
                          <w:rPr>
                            <w:rFonts w:ascii="Times New Roman" w:hAnsi="Times New Roman" w:cs="Times New Roman" w:eastAsia="Times New Roman" w:hint="default"/>
                            <w:sz w:val="18"/>
                            <w:szCs w:val="18"/>
                          </w:rPr>
                        </w:pPr>
                        <w:r>
                          <w:rPr>
                            <w:rFonts w:ascii="宋体" w:hAnsi="宋体" w:cs="宋体" w:eastAsia="宋体" w:hint="default"/>
                            <w:sz w:val="18"/>
                            <w:szCs w:val="18"/>
                          </w:rPr>
                          <w:t>《关于使用自有资金收购汕头市童乐乐玩具有限公司</w:t>
                        </w:r>
                        <w:r>
                          <w:rPr>
                            <w:rFonts w:ascii="Times New Roman" w:hAnsi="Times New Roman" w:cs="Times New Roman" w:eastAsia="Times New Roman" w:hint="default"/>
                            <w:sz w:val="18"/>
                            <w:szCs w:val="18"/>
                          </w:rPr>
                          <w:t>100%</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2012-08-27</w:t>
                        </w:r>
                      </w:p>
                    </w:tc>
                    <w:tc>
                      <w:tcPr>
                        <w:tcW w:w="287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p>
              </w:txbxContent>
            </v:textbox>
            <w10:wrap type="none"/>
          </v:shape>
        </w:pic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、其他重要事项</w:t>
      </w:r>
      <w:r>
        <w:rPr>
          <w:rFonts w:ascii="Microsoft JhengHei" w:hAnsi="Microsoft JhengHei" w:cs="Microsoft JhengHei" w:eastAsia="Microsoft JhengHei" w:hint="default"/>
          <w:b/>
          <w:bCs/>
          <w:spacing w:val="-44"/>
          <w:sz w:val="21"/>
          <w:szCs w:val="21"/>
        </w:rPr>
        <w:t> </w:t>
      </w:r>
      <w:r>
        <w:rPr>
          <w:rFonts w:ascii="宋体" w:hAnsi="宋体" w:cs="宋体" w:eastAsia="宋体" w:hint="default"/>
          <w:spacing w:val="-2"/>
          <w:sz w:val="21"/>
          <w:szCs w:val="21"/>
        </w:rPr>
        <w:t>已作为临时报告披露的重大事项：</w:t>
      </w:r>
    </w:p>
    <w:p>
      <w:pPr>
        <w:spacing w:after="0" w:line="446" w:lineRule="auto"/>
        <w:jc w:val="left"/>
        <w:rPr>
          <w:rFonts w:ascii="宋体" w:hAnsi="宋体" w:cs="宋体" w:eastAsia="宋体" w:hint="default"/>
          <w:sz w:val="21"/>
          <w:szCs w:val="21"/>
        </w:rPr>
        <w:sectPr>
          <w:pgSz w:w="11910" w:h="16840"/>
          <w:pgMar w:header="745" w:footer="979" w:top="1060" w:bottom="1160" w:left="980" w:right="300"/>
        </w:sectPr>
      </w:pPr>
    </w:p>
    <w:p>
      <w:pPr>
        <w:spacing w:line="240" w:lineRule="auto" w:before="0"/>
        <w:rPr>
          <w:rFonts w:ascii="Times New Roman" w:hAnsi="Times New Roman" w:cs="Times New Roman" w:eastAsia="Times New Roman" w:hint="default"/>
          <w:sz w:val="20"/>
          <w:szCs w:val="20"/>
        </w:rPr>
      </w:pPr>
      <w:r>
        <w:rPr/>
        <w:pict>
          <v:shape style="position:absolute;margin-left:109.580002pt;margin-top:171.73999pt;width:320.4pt;height:36.25pt;mso-position-horizontal-relative:page;mso-position-vertical-relative:page;z-index:-6822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限公司发行股份购买资产并募集配套资金的决定》的公告》</w:t>
                  </w:r>
                </w:p>
              </w:txbxContent>
            </v:textbox>
            <w10:wrap type="none"/>
          </v:shape>
        </w:pict>
      </w:r>
      <w:r>
        <w:rPr/>
        <w:pict>
          <v:group style="position:absolute;margin-left:340.269989pt;margin-top:191.899979pt;width:90.15pt;height:16.1pt;mso-position-horizontal-relative:page;mso-position-vertical-relative:page;z-index:-682264" coordorigin="6805,3838" coordsize="1803,322">
            <v:group style="position:absolute;left:6817;top:3838;width:1782;height:322" coordorigin="6817,3838" coordsize="1782,322">
              <v:shape style="position:absolute;left:6817;top:3838;width:1782;height:322" coordorigin="6817,3838" coordsize="1782,322" path="m6817,4160l8599,4160,8599,3838,6817,3838,6817,4160xe" filled="true" fillcolor="#ffffff" stroked="false">
                <v:path arrowok="t"/>
                <v:fill type="solid"/>
              </v:shape>
            </v:group>
            <v:group style="position:absolute;left:6810;top:4155;width:1794;height:2" coordorigin="6810,4155" coordsize="1794,2">
              <v:shape style="position:absolute;left:6810;top:4155;width:1794;height:2" coordorigin="6810,4155" coordsize="1794,0" path="m6810,4155l8603,4155e" filled="false" stroked="true" strokeweight=".48001pt" strokecolor="#ffffff">
                <v:path arrowok="t"/>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50" w:type="dxa"/>
        <w:tblLayout w:type="fixed"/>
        <w:tblCellMar>
          <w:top w:w="0" w:type="dxa"/>
          <w:left w:w="0" w:type="dxa"/>
          <w:bottom w:w="0" w:type="dxa"/>
          <w:right w:w="0" w:type="dxa"/>
        </w:tblCellMar>
        <w:tblLook w:val="01E0"/>
      </w:tblPr>
      <w:tblGrid>
        <w:gridCol w:w="1044"/>
        <w:gridCol w:w="4628"/>
        <w:gridCol w:w="270"/>
        <w:gridCol w:w="1526"/>
        <w:gridCol w:w="2878"/>
      </w:tblGrid>
      <w:tr>
        <w:trPr>
          <w:trHeight w:val="387" w:hRule="exact"/>
        </w:trPr>
        <w:tc>
          <w:tcPr>
            <w:tcW w:w="1044" w:type="dxa"/>
            <w:tcBorders>
              <w:top w:val="single" w:sz="6" w:space="0" w:color="000000"/>
              <w:left w:val="single" w:sz="6" w:space="0" w:color="000000"/>
              <w:bottom w:val="single" w:sz="6" w:space="0" w:color="000000"/>
              <w:right w:val="single" w:sz="6" w:space="0" w:color="000000"/>
            </w:tcBorders>
          </w:tcPr>
          <w:p>
            <w:pPr/>
          </w:p>
        </w:tc>
        <w:tc>
          <w:tcPr>
            <w:tcW w:w="4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股权的公告》</w:t>
            </w:r>
          </w:p>
        </w:tc>
        <w:tc>
          <w:tcPr>
            <w:tcW w:w="1796" w:type="dxa"/>
            <w:gridSpan w:val="2"/>
            <w:tcBorders>
              <w:top w:val="single" w:sz="6" w:space="0" w:color="000000"/>
              <w:left w:val="single" w:sz="6" w:space="0" w:color="000000"/>
              <w:bottom w:val="single" w:sz="6" w:space="0" w:color="000000"/>
              <w:right w:val="single" w:sz="6" w:space="0" w:color="000000"/>
            </w:tcBorders>
          </w:tcPr>
          <w:p>
            <w:pPr/>
          </w:p>
        </w:tc>
        <w:tc>
          <w:tcPr>
            <w:tcW w:w="2878" w:type="dxa"/>
            <w:tcBorders>
              <w:top w:val="single" w:sz="6" w:space="0" w:color="000000"/>
              <w:left w:val="single" w:sz="6" w:space="0" w:color="000000"/>
              <w:bottom w:val="single" w:sz="6" w:space="0" w:color="000000"/>
              <w:right w:val="single" w:sz="6" w:space="0" w:color="000000"/>
            </w:tcBorders>
            <w:shd w:val="clear" w:color="auto" w:fill="C6ECCC"/>
          </w:tcPr>
          <w:p>
            <w:pPr/>
          </w:p>
        </w:tc>
      </w:tr>
      <w:tr>
        <w:trPr>
          <w:trHeight w:val="427" w:hRule="exact"/>
        </w:trPr>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2015-002</w:t>
            </w:r>
          </w:p>
        </w:tc>
        <w:tc>
          <w:tcPr>
            <w:tcW w:w="4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《关于开展远期结售汇业务的公告》</w:t>
            </w:r>
          </w:p>
        </w:tc>
        <w:tc>
          <w:tcPr>
            <w:tcW w:w="1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70" w:right="0"/>
              <w:jc w:val="left"/>
              <w:rPr>
                <w:rFonts w:ascii="Times New Roman" w:hAnsi="Times New Roman" w:cs="Times New Roman" w:eastAsia="Times New Roman" w:hint="default"/>
                <w:sz w:val="18"/>
                <w:szCs w:val="18"/>
              </w:rPr>
            </w:pPr>
            <w:r>
              <w:rPr>
                <w:rFonts w:ascii="Times New Roman"/>
                <w:sz w:val="18"/>
              </w:rPr>
              <w:t>2015-01-07</w:t>
            </w:r>
          </w:p>
        </w:tc>
        <w:tc>
          <w:tcPr>
            <w:tcW w:w="287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39" w:hRule="exact"/>
        </w:trPr>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2015-006</w:t>
            </w:r>
          </w:p>
        </w:tc>
        <w:tc>
          <w:tcPr>
            <w:tcW w:w="462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109"/>
              <w:jc w:val="left"/>
              <w:rPr>
                <w:rFonts w:ascii="宋体" w:hAnsi="宋体" w:cs="宋体" w:eastAsia="宋体" w:hint="default"/>
                <w:sz w:val="18"/>
                <w:szCs w:val="18"/>
              </w:rPr>
            </w:pPr>
            <w:r>
              <w:rPr>
                <w:rFonts w:ascii="宋体" w:hAnsi="宋体" w:cs="宋体" w:eastAsia="宋体" w:hint="default"/>
                <w:sz w:val="18"/>
                <w:szCs w:val="18"/>
              </w:rPr>
              <w:t>《关于公司重大资产重组事项未获得中国证监会上市公司 并购重组审核委员会审核通过暨公司股票复牌的公告》</w:t>
            </w:r>
          </w:p>
        </w:tc>
        <w:tc>
          <w:tcPr>
            <w:tcW w:w="1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70" w:right="0"/>
              <w:jc w:val="left"/>
              <w:rPr>
                <w:rFonts w:ascii="Times New Roman" w:hAnsi="Times New Roman" w:cs="Times New Roman" w:eastAsia="Times New Roman" w:hint="default"/>
                <w:sz w:val="18"/>
                <w:szCs w:val="18"/>
              </w:rPr>
            </w:pPr>
            <w:r>
              <w:rPr>
                <w:rFonts w:ascii="Times New Roman"/>
                <w:sz w:val="18"/>
              </w:rPr>
              <w:t>2015-02-06</w:t>
            </w:r>
          </w:p>
        </w:tc>
        <w:tc>
          <w:tcPr>
            <w:tcW w:w="287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27" w:hRule="exact"/>
        </w:trPr>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2015-009</w:t>
            </w:r>
          </w:p>
        </w:tc>
        <w:tc>
          <w:tcPr>
            <w:tcW w:w="4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《关于会计政策变更的公告》</w:t>
            </w:r>
          </w:p>
        </w:tc>
        <w:tc>
          <w:tcPr>
            <w:tcW w:w="1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70" w:right="0"/>
              <w:jc w:val="left"/>
              <w:rPr>
                <w:rFonts w:ascii="Times New Roman" w:hAnsi="Times New Roman" w:cs="Times New Roman" w:eastAsia="Times New Roman" w:hint="default"/>
                <w:sz w:val="18"/>
                <w:szCs w:val="18"/>
              </w:rPr>
            </w:pPr>
            <w:r>
              <w:rPr>
                <w:rFonts w:ascii="Times New Roman"/>
                <w:sz w:val="18"/>
              </w:rPr>
              <w:t>2015-02-10</w:t>
            </w:r>
          </w:p>
        </w:tc>
        <w:tc>
          <w:tcPr>
            <w:tcW w:w="287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39" w:hRule="exact"/>
        </w:trPr>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2015-018</w:t>
            </w:r>
          </w:p>
        </w:tc>
        <w:tc>
          <w:tcPr>
            <w:tcW w:w="4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pacing w:val="-3"/>
                <w:sz w:val="18"/>
                <w:szCs w:val="18"/>
              </w:rPr>
              <w:t>《关于收到中国证监会《关于不予核准广东群兴玩具股份有</w:t>
            </w:r>
          </w:p>
        </w:tc>
        <w:tc>
          <w:tcPr>
            <w:tcW w:w="270" w:type="dxa"/>
            <w:tcBorders>
              <w:top w:val="single" w:sz="6" w:space="0" w:color="000000"/>
              <w:left w:val="single" w:sz="6" w:space="0" w:color="000000"/>
              <w:bottom w:val="single" w:sz="6" w:space="0" w:color="000000"/>
              <w:right w:val="nil" w:sz="6" w:space="0" w:color="auto"/>
            </w:tcBorders>
          </w:tcPr>
          <w:p>
            <w:pPr/>
          </w:p>
        </w:tc>
        <w:tc>
          <w:tcPr>
            <w:tcW w:w="15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208" w:right="0"/>
              <w:jc w:val="left"/>
              <w:rPr>
                <w:rFonts w:ascii="Times New Roman" w:hAnsi="Times New Roman" w:cs="Times New Roman" w:eastAsia="Times New Roman" w:hint="default"/>
                <w:sz w:val="18"/>
                <w:szCs w:val="18"/>
              </w:rPr>
            </w:pPr>
            <w:r>
              <w:rPr>
                <w:rFonts w:ascii="Times New Roman"/>
                <w:sz w:val="18"/>
              </w:rPr>
              <w:t>2015-03-07</w:t>
            </w:r>
          </w:p>
        </w:tc>
        <w:tc>
          <w:tcPr>
            <w:tcW w:w="287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27" w:hRule="exact"/>
        </w:trPr>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2015-021</w:t>
            </w:r>
          </w:p>
        </w:tc>
        <w:tc>
          <w:tcPr>
            <w:tcW w:w="4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年度权益分派实施公告》</w:t>
            </w:r>
          </w:p>
        </w:tc>
        <w:tc>
          <w:tcPr>
            <w:tcW w:w="1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70" w:right="0"/>
              <w:jc w:val="left"/>
              <w:rPr>
                <w:rFonts w:ascii="Times New Roman" w:hAnsi="Times New Roman" w:cs="Times New Roman" w:eastAsia="Times New Roman" w:hint="default"/>
                <w:sz w:val="18"/>
                <w:szCs w:val="18"/>
              </w:rPr>
            </w:pPr>
            <w:r>
              <w:rPr>
                <w:rFonts w:ascii="Times New Roman"/>
                <w:sz w:val="18"/>
              </w:rPr>
              <w:t>2015-03-12</w:t>
            </w:r>
          </w:p>
        </w:tc>
        <w:tc>
          <w:tcPr>
            <w:tcW w:w="287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40" w:hRule="exact"/>
        </w:trPr>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Times New Roman" w:hAnsi="Times New Roman" w:cs="Times New Roman" w:eastAsia="Times New Roman" w:hint="default"/>
                <w:sz w:val="18"/>
                <w:szCs w:val="18"/>
              </w:rPr>
            </w:pPr>
            <w:r>
              <w:rPr>
                <w:rFonts w:ascii="Times New Roman"/>
                <w:sz w:val="18"/>
              </w:rPr>
              <w:t>2015-028</w:t>
            </w:r>
          </w:p>
        </w:tc>
        <w:tc>
          <w:tcPr>
            <w:tcW w:w="46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9"/>
              <w:ind w:left="2" w:right="109"/>
              <w:jc w:val="left"/>
              <w:rPr>
                <w:rFonts w:ascii="宋体" w:hAnsi="宋体" w:cs="宋体" w:eastAsia="宋体" w:hint="default"/>
                <w:sz w:val="18"/>
                <w:szCs w:val="18"/>
              </w:rPr>
            </w:pPr>
            <w:r>
              <w:rPr>
                <w:rFonts w:ascii="宋体" w:hAnsi="宋体" w:cs="宋体" w:eastAsia="宋体" w:hint="default"/>
                <w:sz w:val="18"/>
                <w:szCs w:val="18"/>
              </w:rPr>
              <w:t>《关于拟投资参与合肥讯飞启明信息科技有限公司增资扩 股的公告》</w:t>
            </w:r>
          </w:p>
        </w:tc>
        <w:tc>
          <w:tcPr>
            <w:tcW w:w="1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70" w:right="0"/>
              <w:jc w:val="left"/>
              <w:rPr>
                <w:rFonts w:ascii="Times New Roman" w:hAnsi="Times New Roman" w:cs="Times New Roman" w:eastAsia="Times New Roman" w:hint="default"/>
                <w:sz w:val="18"/>
                <w:szCs w:val="18"/>
              </w:rPr>
            </w:pPr>
            <w:r>
              <w:rPr>
                <w:rFonts w:ascii="Times New Roman"/>
                <w:sz w:val="18"/>
              </w:rPr>
              <w:t>2015-04-22</w:t>
            </w:r>
          </w:p>
        </w:tc>
        <w:tc>
          <w:tcPr>
            <w:tcW w:w="287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27" w:hRule="exact"/>
        </w:trPr>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2015-030</w:t>
            </w:r>
          </w:p>
        </w:tc>
        <w:tc>
          <w:tcPr>
            <w:tcW w:w="4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《关于设立专项产业并购基金的公告》</w:t>
            </w:r>
          </w:p>
        </w:tc>
        <w:tc>
          <w:tcPr>
            <w:tcW w:w="1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70" w:right="0"/>
              <w:jc w:val="left"/>
              <w:rPr>
                <w:rFonts w:ascii="Times New Roman" w:hAnsi="Times New Roman" w:cs="Times New Roman" w:eastAsia="Times New Roman" w:hint="default"/>
                <w:sz w:val="18"/>
                <w:szCs w:val="18"/>
              </w:rPr>
            </w:pPr>
            <w:r>
              <w:rPr>
                <w:rFonts w:ascii="Times New Roman"/>
                <w:sz w:val="18"/>
              </w:rPr>
              <w:t>2015-04-25</w:t>
            </w:r>
          </w:p>
        </w:tc>
        <w:tc>
          <w:tcPr>
            <w:tcW w:w="287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27" w:hRule="exact"/>
        </w:trPr>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2015-031</w:t>
            </w:r>
          </w:p>
        </w:tc>
        <w:tc>
          <w:tcPr>
            <w:tcW w:w="4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《关于控股股东减持计划的公告》</w:t>
            </w:r>
          </w:p>
        </w:tc>
        <w:tc>
          <w:tcPr>
            <w:tcW w:w="1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70" w:right="0"/>
              <w:jc w:val="left"/>
              <w:rPr>
                <w:rFonts w:ascii="Times New Roman" w:hAnsi="Times New Roman" w:cs="Times New Roman" w:eastAsia="Times New Roman" w:hint="default"/>
                <w:sz w:val="18"/>
                <w:szCs w:val="18"/>
              </w:rPr>
            </w:pPr>
            <w:r>
              <w:rPr>
                <w:rFonts w:ascii="Times New Roman"/>
                <w:sz w:val="18"/>
              </w:rPr>
              <w:t>2015-04-25</w:t>
            </w:r>
          </w:p>
        </w:tc>
        <w:tc>
          <w:tcPr>
            <w:tcW w:w="287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25" w:hRule="exact"/>
        </w:trPr>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2015-034</w:t>
            </w:r>
          </w:p>
        </w:tc>
        <w:tc>
          <w:tcPr>
            <w:tcW w:w="4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《关于控股股东减持股份的公告》</w:t>
            </w:r>
          </w:p>
        </w:tc>
        <w:tc>
          <w:tcPr>
            <w:tcW w:w="1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70" w:right="0"/>
              <w:jc w:val="left"/>
              <w:rPr>
                <w:rFonts w:ascii="Times New Roman" w:hAnsi="Times New Roman" w:cs="Times New Roman" w:eastAsia="Times New Roman" w:hint="default"/>
                <w:sz w:val="18"/>
                <w:szCs w:val="18"/>
              </w:rPr>
            </w:pPr>
            <w:r>
              <w:rPr>
                <w:rFonts w:ascii="Times New Roman"/>
                <w:sz w:val="18"/>
              </w:rPr>
              <w:t>2015-05-07</w:t>
            </w:r>
          </w:p>
        </w:tc>
        <w:tc>
          <w:tcPr>
            <w:tcW w:w="287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27" w:hRule="exact"/>
        </w:trPr>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2015-035</w:t>
            </w:r>
          </w:p>
        </w:tc>
        <w:tc>
          <w:tcPr>
            <w:tcW w:w="4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《关于控股股东减持股份的公告》</w:t>
            </w:r>
          </w:p>
        </w:tc>
        <w:tc>
          <w:tcPr>
            <w:tcW w:w="1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70" w:right="0"/>
              <w:jc w:val="left"/>
              <w:rPr>
                <w:rFonts w:ascii="Times New Roman" w:hAnsi="Times New Roman" w:cs="Times New Roman" w:eastAsia="Times New Roman" w:hint="default"/>
                <w:sz w:val="18"/>
                <w:szCs w:val="18"/>
              </w:rPr>
            </w:pPr>
            <w:r>
              <w:rPr>
                <w:rFonts w:ascii="Times New Roman"/>
                <w:sz w:val="18"/>
              </w:rPr>
              <w:t>2015-05-08</w:t>
            </w:r>
          </w:p>
        </w:tc>
        <w:tc>
          <w:tcPr>
            <w:tcW w:w="287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27" w:hRule="exact"/>
        </w:trPr>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2015-036</w:t>
            </w:r>
          </w:p>
        </w:tc>
        <w:tc>
          <w:tcPr>
            <w:tcW w:w="4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《关于控股股东权益变动的提示性公告》</w:t>
            </w:r>
          </w:p>
        </w:tc>
        <w:tc>
          <w:tcPr>
            <w:tcW w:w="1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70" w:right="0"/>
              <w:jc w:val="left"/>
              <w:rPr>
                <w:rFonts w:ascii="Times New Roman" w:hAnsi="Times New Roman" w:cs="Times New Roman" w:eastAsia="Times New Roman" w:hint="default"/>
                <w:sz w:val="18"/>
                <w:szCs w:val="18"/>
              </w:rPr>
            </w:pPr>
            <w:r>
              <w:rPr>
                <w:rFonts w:ascii="Times New Roman"/>
                <w:sz w:val="18"/>
              </w:rPr>
              <w:t>2015-05-09</w:t>
            </w:r>
          </w:p>
        </w:tc>
        <w:tc>
          <w:tcPr>
            <w:tcW w:w="287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28" w:hRule="exact"/>
        </w:trPr>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2015-037</w:t>
            </w:r>
          </w:p>
        </w:tc>
        <w:tc>
          <w:tcPr>
            <w:tcW w:w="4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《关于控股股东权益变动的提示性公告》</w:t>
            </w:r>
          </w:p>
        </w:tc>
        <w:tc>
          <w:tcPr>
            <w:tcW w:w="1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70" w:right="0"/>
              <w:jc w:val="left"/>
              <w:rPr>
                <w:rFonts w:ascii="Times New Roman" w:hAnsi="Times New Roman" w:cs="Times New Roman" w:eastAsia="Times New Roman" w:hint="default"/>
                <w:sz w:val="18"/>
                <w:szCs w:val="18"/>
              </w:rPr>
            </w:pPr>
            <w:r>
              <w:rPr>
                <w:rFonts w:ascii="Times New Roman"/>
                <w:sz w:val="18"/>
              </w:rPr>
              <w:t>2015-05-16</w:t>
            </w:r>
          </w:p>
        </w:tc>
        <w:tc>
          <w:tcPr>
            <w:tcW w:w="287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27" w:hRule="exact"/>
        </w:trPr>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2015-039</w:t>
            </w:r>
          </w:p>
        </w:tc>
        <w:tc>
          <w:tcPr>
            <w:tcW w:w="4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《关于控股股东权益变动的提示性公告》</w:t>
            </w:r>
          </w:p>
        </w:tc>
        <w:tc>
          <w:tcPr>
            <w:tcW w:w="1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70" w:right="0"/>
              <w:jc w:val="left"/>
              <w:rPr>
                <w:rFonts w:ascii="Times New Roman" w:hAnsi="Times New Roman" w:cs="Times New Roman" w:eastAsia="Times New Roman" w:hint="default"/>
                <w:sz w:val="18"/>
                <w:szCs w:val="18"/>
              </w:rPr>
            </w:pPr>
            <w:r>
              <w:rPr>
                <w:rFonts w:ascii="Times New Roman"/>
                <w:sz w:val="18"/>
              </w:rPr>
              <w:t>2015-05-22</w:t>
            </w:r>
          </w:p>
        </w:tc>
        <w:tc>
          <w:tcPr>
            <w:tcW w:w="287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27" w:hRule="exact"/>
        </w:trPr>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2015-040</w:t>
            </w:r>
          </w:p>
        </w:tc>
        <w:tc>
          <w:tcPr>
            <w:tcW w:w="4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《重大事项停牌公告》</w:t>
            </w:r>
          </w:p>
        </w:tc>
        <w:tc>
          <w:tcPr>
            <w:tcW w:w="1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70" w:right="0"/>
              <w:jc w:val="left"/>
              <w:rPr>
                <w:rFonts w:ascii="Times New Roman" w:hAnsi="Times New Roman" w:cs="Times New Roman" w:eastAsia="Times New Roman" w:hint="default"/>
                <w:sz w:val="18"/>
                <w:szCs w:val="18"/>
              </w:rPr>
            </w:pPr>
            <w:r>
              <w:rPr>
                <w:rFonts w:ascii="Times New Roman"/>
                <w:sz w:val="18"/>
              </w:rPr>
              <w:t>2015-06-02</w:t>
            </w:r>
          </w:p>
        </w:tc>
        <w:tc>
          <w:tcPr>
            <w:tcW w:w="287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27" w:hRule="exact"/>
        </w:trPr>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2015-042</w:t>
            </w:r>
          </w:p>
        </w:tc>
        <w:tc>
          <w:tcPr>
            <w:tcW w:w="4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《关于控股股东股份质押的公告》</w:t>
            </w:r>
          </w:p>
        </w:tc>
        <w:tc>
          <w:tcPr>
            <w:tcW w:w="1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70" w:right="0"/>
              <w:jc w:val="left"/>
              <w:rPr>
                <w:rFonts w:ascii="Times New Roman" w:hAnsi="Times New Roman" w:cs="Times New Roman" w:eastAsia="Times New Roman" w:hint="default"/>
                <w:sz w:val="18"/>
                <w:szCs w:val="18"/>
              </w:rPr>
            </w:pPr>
            <w:r>
              <w:rPr>
                <w:rFonts w:ascii="Times New Roman"/>
                <w:sz w:val="18"/>
              </w:rPr>
              <w:t>2015-06-08</w:t>
            </w:r>
          </w:p>
        </w:tc>
        <w:tc>
          <w:tcPr>
            <w:tcW w:w="287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27" w:hRule="exact"/>
        </w:trPr>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2015-044</w:t>
            </w:r>
          </w:p>
        </w:tc>
        <w:tc>
          <w:tcPr>
            <w:tcW w:w="4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《关于筹划重大资产重组的停牌公告》</w:t>
            </w:r>
          </w:p>
        </w:tc>
        <w:tc>
          <w:tcPr>
            <w:tcW w:w="1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70" w:right="0"/>
              <w:jc w:val="left"/>
              <w:rPr>
                <w:rFonts w:ascii="Times New Roman" w:hAnsi="Times New Roman" w:cs="Times New Roman" w:eastAsia="Times New Roman" w:hint="default"/>
                <w:sz w:val="18"/>
                <w:szCs w:val="18"/>
              </w:rPr>
            </w:pPr>
            <w:r>
              <w:rPr>
                <w:rFonts w:ascii="Times New Roman"/>
                <w:sz w:val="18"/>
              </w:rPr>
              <w:t>2015-06-20</w:t>
            </w:r>
          </w:p>
        </w:tc>
        <w:tc>
          <w:tcPr>
            <w:tcW w:w="287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27" w:hRule="exact"/>
        </w:trPr>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2015-046</w:t>
            </w:r>
          </w:p>
        </w:tc>
        <w:tc>
          <w:tcPr>
            <w:tcW w:w="4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《关于董事会秘书辞职的公告》</w:t>
            </w:r>
          </w:p>
        </w:tc>
        <w:tc>
          <w:tcPr>
            <w:tcW w:w="1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70" w:right="0"/>
              <w:jc w:val="left"/>
              <w:rPr>
                <w:rFonts w:ascii="Times New Roman" w:hAnsi="Times New Roman" w:cs="Times New Roman" w:eastAsia="Times New Roman" w:hint="default"/>
                <w:sz w:val="18"/>
                <w:szCs w:val="18"/>
              </w:rPr>
            </w:pPr>
            <w:r>
              <w:rPr>
                <w:rFonts w:ascii="Times New Roman"/>
                <w:sz w:val="18"/>
              </w:rPr>
              <w:t>2015-06-27</w:t>
            </w:r>
          </w:p>
        </w:tc>
        <w:tc>
          <w:tcPr>
            <w:tcW w:w="287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39" w:hRule="exact"/>
        </w:trPr>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2015-048</w:t>
            </w:r>
          </w:p>
        </w:tc>
        <w:tc>
          <w:tcPr>
            <w:tcW w:w="46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09"/>
              <w:jc w:val="left"/>
              <w:rPr>
                <w:rFonts w:ascii="宋体" w:hAnsi="宋体" w:cs="宋体" w:eastAsia="宋体" w:hint="default"/>
                <w:sz w:val="18"/>
                <w:szCs w:val="18"/>
              </w:rPr>
            </w:pPr>
            <w:r>
              <w:rPr>
                <w:rFonts w:ascii="宋体" w:hAnsi="宋体" w:cs="宋体" w:eastAsia="宋体" w:hint="default"/>
                <w:sz w:val="18"/>
                <w:szCs w:val="18"/>
              </w:rPr>
              <w:t>《关于董事辞职并补选第二届董事会非独立董事候选人的 公告》</w:t>
            </w:r>
          </w:p>
        </w:tc>
        <w:tc>
          <w:tcPr>
            <w:tcW w:w="1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70" w:right="0"/>
              <w:jc w:val="left"/>
              <w:rPr>
                <w:rFonts w:ascii="Times New Roman" w:hAnsi="Times New Roman" w:cs="Times New Roman" w:eastAsia="Times New Roman" w:hint="default"/>
                <w:sz w:val="18"/>
                <w:szCs w:val="18"/>
              </w:rPr>
            </w:pPr>
            <w:r>
              <w:rPr>
                <w:rFonts w:ascii="Times New Roman"/>
                <w:sz w:val="18"/>
              </w:rPr>
              <w:t>2015-06-27</w:t>
            </w:r>
          </w:p>
        </w:tc>
        <w:tc>
          <w:tcPr>
            <w:tcW w:w="287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28" w:hRule="exact"/>
        </w:trPr>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Times New Roman" w:hAnsi="Times New Roman" w:cs="Times New Roman" w:eastAsia="Times New Roman" w:hint="default"/>
                <w:sz w:val="18"/>
                <w:szCs w:val="18"/>
              </w:rPr>
            </w:pPr>
            <w:r>
              <w:rPr>
                <w:rFonts w:ascii="Times New Roman"/>
                <w:sz w:val="18"/>
              </w:rPr>
              <w:t>2015-051</w:t>
            </w:r>
          </w:p>
        </w:tc>
        <w:tc>
          <w:tcPr>
            <w:tcW w:w="4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《关于控股股东增持公司股份计划的公告》</w:t>
            </w:r>
          </w:p>
        </w:tc>
        <w:tc>
          <w:tcPr>
            <w:tcW w:w="1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70" w:right="0"/>
              <w:jc w:val="left"/>
              <w:rPr>
                <w:rFonts w:ascii="Times New Roman" w:hAnsi="Times New Roman" w:cs="Times New Roman" w:eastAsia="Times New Roman" w:hint="default"/>
                <w:sz w:val="18"/>
                <w:szCs w:val="18"/>
              </w:rPr>
            </w:pPr>
            <w:r>
              <w:rPr>
                <w:rFonts w:ascii="Times New Roman"/>
                <w:sz w:val="18"/>
              </w:rPr>
              <w:t>2015-07-09</w:t>
            </w:r>
          </w:p>
        </w:tc>
        <w:tc>
          <w:tcPr>
            <w:tcW w:w="287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27" w:hRule="exact"/>
        </w:trPr>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2015-056</w:t>
            </w:r>
          </w:p>
        </w:tc>
        <w:tc>
          <w:tcPr>
            <w:tcW w:w="4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《关于完成工商变更登记的公告》</w:t>
            </w:r>
          </w:p>
        </w:tc>
        <w:tc>
          <w:tcPr>
            <w:tcW w:w="1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70" w:right="0"/>
              <w:jc w:val="left"/>
              <w:rPr>
                <w:rFonts w:ascii="Times New Roman" w:hAnsi="Times New Roman" w:cs="Times New Roman" w:eastAsia="Times New Roman" w:hint="default"/>
                <w:sz w:val="18"/>
                <w:szCs w:val="18"/>
              </w:rPr>
            </w:pPr>
            <w:r>
              <w:rPr>
                <w:rFonts w:ascii="Times New Roman"/>
                <w:sz w:val="18"/>
              </w:rPr>
              <w:t>2015-07-27</w:t>
            </w:r>
          </w:p>
        </w:tc>
        <w:tc>
          <w:tcPr>
            <w:tcW w:w="287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37" w:hRule="exact"/>
        </w:trPr>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2015-080</w:t>
            </w:r>
          </w:p>
        </w:tc>
        <w:tc>
          <w:tcPr>
            <w:tcW w:w="46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09"/>
              <w:jc w:val="left"/>
              <w:rPr>
                <w:rFonts w:ascii="宋体" w:hAnsi="宋体" w:cs="宋体" w:eastAsia="宋体" w:hint="default"/>
                <w:sz w:val="18"/>
                <w:szCs w:val="18"/>
              </w:rPr>
            </w:pPr>
            <w:r>
              <w:rPr>
                <w:rFonts w:ascii="宋体" w:hAnsi="宋体" w:cs="宋体" w:eastAsia="宋体" w:hint="default"/>
                <w:sz w:val="18"/>
                <w:szCs w:val="18"/>
              </w:rPr>
              <w:t>《关于控股股东进行股权解押并办理股票质押式回购交易 的公告》</w:t>
            </w:r>
          </w:p>
        </w:tc>
        <w:tc>
          <w:tcPr>
            <w:tcW w:w="1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70" w:right="0"/>
              <w:jc w:val="left"/>
              <w:rPr>
                <w:rFonts w:ascii="Times New Roman" w:hAnsi="Times New Roman" w:cs="Times New Roman" w:eastAsia="Times New Roman" w:hint="default"/>
                <w:sz w:val="18"/>
                <w:szCs w:val="18"/>
              </w:rPr>
            </w:pPr>
            <w:r>
              <w:rPr>
                <w:rFonts w:ascii="Times New Roman"/>
                <w:sz w:val="18"/>
              </w:rPr>
              <w:t>2015-10-31</w:t>
            </w:r>
          </w:p>
        </w:tc>
        <w:tc>
          <w:tcPr>
            <w:tcW w:w="287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27" w:hRule="exact"/>
        </w:trPr>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2015-090</w:t>
            </w:r>
          </w:p>
        </w:tc>
        <w:tc>
          <w:tcPr>
            <w:tcW w:w="4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《关于改聘</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年度审计机构的公告》</w:t>
            </w:r>
          </w:p>
        </w:tc>
        <w:tc>
          <w:tcPr>
            <w:tcW w:w="1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70" w:right="0"/>
              <w:jc w:val="left"/>
              <w:rPr>
                <w:rFonts w:ascii="Times New Roman" w:hAnsi="Times New Roman" w:cs="Times New Roman" w:eastAsia="Times New Roman" w:hint="default"/>
                <w:sz w:val="18"/>
                <w:szCs w:val="18"/>
              </w:rPr>
            </w:pPr>
            <w:r>
              <w:rPr>
                <w:rFonts w:ascii="Times New Roman"/>
                <w:sz w:val="18"/>
              </w:rPr>
              <w:t>2015-11-25</w:t>
            </w:r>
          </w:p>
        </w:tc>
        <w:tc>
          <w:tcPr>
            <w:tcW w:w="287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27" w:hRule="exact"/>
        </w:trPr>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2015-093</w:t>
            </w:r>
          </w:p>
        </w:tc>
        <w:tc>
          <w:tcPr>
            <w:tcW w:w="4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《关于控股股东办理股票质押式回购交易的公告》</w:t>
            </w:r>
          </w:p>
        </w:tc>
        <w:tc>
          <w:tcPr>
            <w:tcW w:w="1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70" w:right="0"/>
              <w:jc w:val="left"/>
              <w:rPr>
                <w:rFonts w:ascii="Times New Roman" w:hAnsi="Times New Roman" w:cs="Times New Roman" w:eastAsia="Times New Roman" w:hint="default"/>
                <w:sz w:val="18"/>
                <w:szCs w:val="18"/>
              </w:rPr>
            </w:pPr>
            <w:r>
              <w:rPr>
                <w:rFonts w:ascii="Times New Roman"/>
                <w:sz w:val="18"/>
              </w:rPr>
              <w:t>2015-12-07</w:t>
            </w:r>
          </w:p>
        </w:tc>
        <w:tc>
          <w:tcPr>
            <w:tcW w:w="287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27" w:hRule="exact"/>
        </w:trPr>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2015-096</w:t>
            </w:r>
          </w:p>
        </w:tc>
        <w:tc>
          <w:tcPr>
            <w:tcW w:w="4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《关于控股股东进行股权解押的公告》</w:t>
            </w:r>
          </w:p>
        </w:tc>
        <w:tc>
          <w:tcPr>
            <w:tcW w:w="1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70" w:right="0"/>
              <w:jc w:val="left"/>
              <w:rPr>
                <w:rFonts w:ascii="Times New Roman" w:hAnsi="Times New Roman" w:cs="Times New Roman" w:eastAsia="Times New Roman" w:hint="default"/>
                <w:sz w:val="18"/>
                <w:szCs w:val="18"/>
              </w:rPr>
            </w:pPr>
            <w:r>
              <w:rPr>
                <w:rFonts w:ascii="Times New Roman"/>
                <w:sz w:val="18"/>
              </w:rPr>
              <w:t>2015-12-12</w:t>
            </w:r>
          </w:p>
        </w:tc>
        <w:tc>
          <w:tcPr>
            <w:tcW w:w="287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27" w:hRule="exact"/>
        </w:trPr>
        <w:tc>
          <w:tcPr>
            <w:tcW w:w="1044" w:type="dxa"/>
            <w:tcBorders>
              <w:top w:val="single" w:sz="6" w:space="0" w:color="000000"/>
              <w:left w:val="single" w:sz="6" w:space="0" w:color="000000"/>
              <w:bottom w:val="single" w:sz="6" w:space="0" w:color="000000"/>
              <w:right w:val="single" w:sz="6" w:space="0" w:color="000000"/>
            </w:tcBorders>
          </w:tcPr>
          <w:p>
            <w:pPr/>
          </w:p>
        </w:tc>
        <w:tc>
          <w:tcPr>
            <w:tcW w:w="4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《发行股份购买资产并募集配套资金暨关联交易预案》</w:t>
            </w:r>
          </w:p>
        </w:tc>
        <w:tc>
          <w:tcPr>
            <w:tcW w:w="1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70" w:right="0"/>
              <w:jc w:val="left"/>
              <w:rPr>
                <w:rFonts w:ascii="Times New Roman" w:hAnsi="Times New Roman" w:cs="Times New Roman" w:eastAsia="Times New Roman" w:hint="default"/>
                <w:sz w:val="18"/>
                <w:szCs w:val="18"/>
              </w:rPr>
            </w:pPr>
            <w:r>
              <w:rPr>
                <w:rFonts w:ascii="Times New Roman"/>
                <w:sz w:val="18"/>
              </w:rPr>
              <w:t>2015-12-22</w:t>
            </w:r>
          </w:p>
        </w:tc>
        <w:tc>
          <w:tcPr>
            <w:tcW w:w="287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300"/>
        </w:sectPr>
      </w:pPr>
    </w:p>
    <w:p>
      <w:pPr>
        <w:spacing w:line="240" w:lineRule="auto" w:before="10"/>
        <w:rPr>
          <w:rFonts w:ascii="Times New Roman" w:hAnsi="Times New Roman" w:cs="Times New Roman" w:eastAsia="Times New Roman" w:hint="default"/>
          <w:sz w:val="26"/>
          <w:szCs w:val="26"/>
        </w:rPr>
      </w:pPr>
    </w:p>
    <w:p>
      <w:pPr>
        <w:pStyle w:val="Heading2"/>
        <w:spacing w:line="367" w:lineRule="exact"/>
        <w:ind w:right="102"/>
        <w:jc w:val="left"/>
        <w:rPr>
          <w:b w:val="0"/>
          <w:bCs w:val="0"/>
        </w:rPr>
      </w:pPr>
      <w:r>
        <w:rPr/>
        <w:t>十九、公司子公司重大事项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2"/>
        <w:spacing w:line="240" w:lineRule="auto"/>
        <w:ind w:right="102"/>
        <w:jc w:val="left"/>
        <w:rPr>
          <w:b w:val="0"/>
          <w:bCs w:val="0"/>
        </w:rPr>
      </w:pPr>
      <w:r>
        <w:rPr/>
        <w:t>二十、社会责任情况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73" w:lineRule="auto" w:before="83"/>
        <w:ind w:right="206" w:firstLine="420"/>
        <w:jc w:val="both"/>
      </w:pPr>
      <w:r>
        <w:rPr>
          <w:spacing w:val="-2"/>
        </w:rPr>
        <w:t>报告期内公司按照国家有关法律法规、规范性文件要求，坚持公司和社会共同发展，不断加强和完善</w:t>
      </w:r>
      <w:r>
        <w:rPr>
          <w:w w:val="100"/>
        </w:rPr>
        <w:t> </w:t>
      </w:r>
      <w:r>
        <w:rPr>
          <w:spacing w:val="-2"/>
        </w:rPr>
        <w:t>内部控制，注重安全生产、产品质量、环境保护和职工、投资者的合法利益，积极履行社会责任，促进公</w:t>
      </w:r>
      <w:r>
        <w:rPr>
          <w:spacing w:val="-42"/>
        </w:rPr>
        <w:t> </w:t>
      </w:r>
      <w:r>
        <w:rPr>
          <w:spacing w:val="-42"/>
        </w:rPr>
      </w:r>
      <w:r>
        <w:rPr/>
        <w:t>司与社会、自然的和谐发展。</w:t>
      </w:r>
    </w:p>
    <w:p>
      <w:pPr>
        <w:pStyle w:val="BodyText"/>
        <w:spacing w:line="273" w:lineRule="auto" w:before="8"/>
        <w:ind w:right="206" w:firstLine="420"/>
        <w:jc w:val="both"/>
      </w:pPr>
      <w:r>
        <w:rPr>
          <w:spacing w:val="-2"/>
        </w:rPr>
        <w:t>公司重视企业社会价值的实现，并一直秉承“质量为本、信誉为魂、追求卓著、独树品牌”的可持续</w:t>
      </w:r>
      <w:r>
        <w:rPr>
          <w:w w:val="100"/>
        </w:rPr>
        <w:t> </w:t>
      </w:r>
      <w:r>
        <w:rPr/>
        <w:t>发展理念，重视研发及生产优质玩具、践行企业社会责任。</w:t>
      </w:r>
    </w:p>
    <w:p>
      <w:pPr>
        <w:pStyle w:val="BodyText"/>
        <w:spacing w:line="273" w:lineRule="auto" w:before="7"/>
        <w:ind w:right="206" w:firstLine="420"/>
        <w:jc w:val="both"/>
      </w:pPr>
      <w:r>
        <w:rPr>
          <w:spacing w:val="-2"/>
        </w:rPr>
        <w:t>保障股东的利益是公司最基本的社会责任，公司建立了较为完善的公司治理结构，形成了完整的内部</w:t>
      </w:r>
      <w:r>
        <w:rPr>
          <w:w w:val="100"/>
        </w:rPr>
        <w:t> </w:t>
      </w:r>
      <w:r>
        <w:rPr>
          <w:spacing w:val="-2"/>
        </w:rPr>
        <w:t>控制制度，报告期内，公司根据《公司法》、《证券法》、《上市公司治理准则》等法律法规，不断完善</w:t>
      </w:r>
      <w:r>
        <w:rPr>
          <w:spacing w:val="-44"/>
        </w:rPr>
        <w:t> </w:t>
      </w:r>
      <w:r>
        <w:rPr>
          <w:spacing w:val="-44"/>
        </w:rPr>
      </w:r>
      <w:r>
        <w:rPr>
          <w:spacing w:val="-2"/>
        </w:rPr>
        <w:t>公司治理，进一步修订了《公司章程》和改善内部控制，建立了以《公司章程》为基础的内控体系，形成</w:t>
      </w:r>
      <w:r>
        <w:rPr>
          <w:spacing w:val="-47"/>
        </w:rPr>
        <w:t> </w:t>
      </w:r>
      <w:r>
        <w:rPr>
          <w:spacing w:val="-47"/>
        </w:rPr>
      </w:r>
      <w:r>
        <w:rPr>
          <w:spacing w:val="-2"/>
        </w:rPr>
        <w:t>了以股东大会、董事会、监事会及管理层为主体结构的决策与经营体系，切实保障股东特别是中小股东的</w:t>
      </w:r>
      <w:r>
        <w:rPr>
          <w:spacing w:val="-44"/>
        </w:rPr>
        <w:t> </w:t>
      </w:r>
      <w:r>
        <w:rPr>
          <w:spacing w:val="-44"/>
        </w:rPr>
      </w:r>
      <w:r>
        <w:rPr/>
        <w:t>利益。</w:t>
      </w:r>
    </w:p>
    <w:p>
      <w:pPr>
        <w:pStyle w:val="BodyText"/>
        <w:spacing w:line="273" w:lineRule="auto" w:before="7"/>
        <w:ind w:right="102" w:firstLine="420"/>
        <w:jc w:val="left"/>
      </w:pPr>
      <w:r>
        <w:rPr/>
        <w:t>公司《</w:t>
      </w:r>
      <w:r>
        <w:rPr>
          <w:rFonts w:ascii="宋体" w:hAnsi="宋体" w:cs="宋体" w:eastAsia="宋体" w:hint="default"/>
        </w:rPr>
        <w:t>2015~2017</w:t>
      </w:r>
      <w:r>
        <w:rPr/>
        <w:t>年股东回报规划》、《公司章程》、《分红管理制度》规定公司足额提取法定公积</w:t>
      </w:r>
      <w:r>
        <w:rPr>
          <w:w w:val="100"/>
        </w:rPr>
        <w:t> </w:t>
      </w:r>
      <w:r>
        <w:rPr>
          <w:spacing w:val="-2"/>
        </w:rPr>
        <w:t>金、任意公积金以后，最近三年以现金方式累计分配的利润不少于最近三年实现的年均可分配利润的</w:t>
      </w:r>
      <w:r>
        <w:rPr>
          <w:rFonts w:ascii="宋体" w:hAnsi="宋体" w:cs="宋体" w:eastAsia="宋体" w:hint="default"/>
          <w:spacing w:val="-2"/>
        </w:rPr>
        <w:t>30%</w:t>
      </w:r>
      <w:r>
        <w:rPr>
          <w:spacing w:val="-2"/>
        </w:rPr>
        <w:t>。</w:t>
      </w:r>
      <w:r>
        <w:rPr>
          <w:spacing w:val="-42"/>
        </w:rPr>
        <w:t> </w:t>
      </w:r>
      <w:r>
        <w:rPr>
          <w:rFonts w:ascii="宋体" w:hAnsi="宋体" w:cs="宋体" w:eastAsia="宋体" w:hint="default"/>
        </w:rPr>
        <w:t>2015</w:t>
      </w:r>
      <w:r>
        <w:rPr/>
        <w:t>年公司实施了</w:t>
      </w:r>
      <w:r>
        <w:rPr>
          <w:rFonts w:ascii="宋体" w:hAnsi="宋体" w:cs="宋体" w:eastAsia="宋体" w:hint="default"/>
        </w:rPr>
        <w:t>2014</w:t>
      </w:r>
      <w:r>
        <w:rPr/>
        <w:t>年度的利润分配方案，积极回报股东。</w:t>
      </w:r>
    </w:p>
    <w:p>
      <w:pPr>
        <w:pStyle w:val="BodyText"/>
        <w:spacing w:line="273" w:lineRule="auto" w:before="8"/>
        <w:ind w:right="206" w:firstLine="420"/>
        <w:jc w:val="both"/>
      </w:pPr>
      <w:r>
        <w:rPr>
          <w:spacing w:val="-2"/>
        </w:rPr>
        <w:t>公司严格遵守《劳动法》、《劳动合同法》、《妇女权益保护法》等相关法律法规，严格执行国家用</w:t>
      </w:r>
      <w:r>
        <w:rPr>
          <w:w w:val="100"/>
        </w:rPr>
        <w:t> </w:t>
      </w:r>
      <w:r>
        <w:rPr>
          <w:spacing w:val="-2"/>
        </w:rPr>
        <w:t>工制度和劳动保障制度，尊重和维护员工的个人权益，切实关注员工健康、安全和满意度，重视人才培训</w:t>
      </w:r>
      <w:r>
        <w:rPr>
          <w:spacing w:val="-47"/>
        </w:rPr>
        <w:t> </w:t>
      </w:r>
      <w:r>
        <w:rPr>
          <w:spacing w:val="-47"/>
        </w:rPr>
      </w:r>
      <w:r>
        <w:rPr/>
        <w:t>和培养，实现员工与企业的共同成长，认真保障企业员工的各项权益，履行企业的责任。</w:t>
      </w:r>
    </w:p>
    <w:p>
      <w:pPr>
        <w:pStyle w:val="BodyText"/>
        <w:spacing w:line="273" w:lineRule="auto" w:before="7"/>
        <w:ind w:right="206" w:firstLine="420"/>
        <w:jc w:val="both"/>
      </w:pPr>
      <w:r>
        <w:rPr>
          <w:spacing w:val="-2"/>
        </w:rPr>
        <w:t>公司坚持“客户至上”原则，为客户提供优质的产品，加强与供应商的沟通合作，实行互惠共赢，信</w:t>
      </w:r>
      <w:r>
        <w:rPr>
          <w:w w:val="100"/>
        </w:rPr>
        <w:t> </w:t>
      </w:r>
      <w:r>
        <w:rPr/>
        <w:t>守商业规则，遵合同守信用，严格把控产品质量，注重产品安全，保护消费者利益。</w:t>
      </w:r>
    </w:p>
    <w:p>
      <w:pPr>
        <w:pStyle w:val="BodyText"/>
        <w:spacing w:line="273" w:lineRule="auto" w:before="7"/>
        <w:ind w:right="206" w:firstLine="420"/>
        <w:jc w:val="both"/>
      </w:pPr>
      <w:r>
        <w:rPr>
          <w:spacing w:val="-2"/>
        </w:rPr>
        <w:t>公司坚持推进节能减排，认真按照国家环保管理部门的各项规定进行环保自查并持续改进，使公司的</w:t>
      </w:r>
      <w:r>
        <w:rPr>
          <w:w w:val="100"/>
        </w:rPr>
        <w:t> </w:t>
      </w:r>
      <w:r>
        <w:rPr>
          <w:spacing w:val="-2"/>
        </w:rPr>
        <w:t>环境保护管理水平和效果不断提升，不仅满足了玩具行业对环境保护的相关要求，体现了公司强烈的社会</w:t>
      </w:r>
      <w:r>
        <w:rPr>
          <w:spacing w:val="-42"/>
        </w:rPr>
        <w:t> </w:t>
      </w:r>
      <w:r>
        <w:rPr>
          <w:spacing w:val="-42"/>
        </w:rPr>
      </w:r>
      <w:r>
        <w:rPr/>
        <w:t>责任意识，也实现了企业效益的提升。</w:t>
      </w:r>
    </w:p>
    <w:p>
      <w:pPr>
        <w:spacing w:before="69"/>
        <w:ind w:left="152" w:right="102"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上市公司及其子公司是否属于国家环境保护部门规定的重污染行业</w:t>
      </w:r>
    </w:p>
    <w:p>
      <w:pPr>
        <w:spacing w:line="340" w:lineRule="auto" w:before="115"/>
        <w:ind w:left="152" w:right="8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是否发布社会责任报告</w:t>
      </w:r>
    </w:p>
    <w:p>
      <w:pPr>
        <w:spacing w:before="39"/>
        <w:ind w:left="152"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5"/>
        <w:rPr>
          <w:rFonts w:ascii="宋体" w:hAnsi="宋体" w:cs="宋体" w:eastAsia="宋体" w:hint="default"/>
          <w:sz w:val="18"/>
          <w:szCs w:val="18"/>
        </w:rPr>
      </w:pPr>
    </w:p>
    <w:p>
      <w:pPr>
        <w:pStyle w:val="Heading2"/>
        <w:spacing w:line="240" w:lineRule="auto"/>
        <w:ind w:right="102"/>
        <w:jc w:val="left"/>
        <w:rPr>
          <w:b w:val="0"/>
          <w:bCs w:val="0"/>
        </w:rPr>
      </w:pPr>
      <w:r>
        <w:rPr/>
        <w:t>二十一、公司债券相关情况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60" w:lineRule="auto" w:before="0"/>
        <w:ind w:left="152" w:right="119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60" w:lineRule="auto"/>
        <w:jc w:val="left"/>
        <w:rPr>
          <w:rFonts w:ascii="宋体" w:hAnsi="宋体" w:cs="宋体" w:eastAsia="宋体" w:hint="default"/>
          <w:sz w:val="18"/>
          <w:szCs w:val="18"/>
        </w:rPr>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2964" w:right="102"/>
        <w:jc w:val="left"/>
        <w:rPr>
          <w:b w:val="0"/>
          <w:bCs w:val="0"/>
        </w:rPr>
      </w:pPr>
      <w:bookmarkStart w:name="_bookmark5" w:id="6"/>
      <w:bookmarkEnd w:id="6"/>
      <w:r>
        <w:rPr>
          <w:b w:val="0"/>
          <w:bCs w:val="0"/>
        </w:rPr>
      </w:r>
      <w:r>
        <w:rPr/>
        <w:t>第六节 </w:t>
      </w:r>
      <w:r>
        <w:rPr>
          <w:spacing w:val="11"/>
        </w:rPr>
        <w:t> </w:t>
      </w:r>
      <w:r>
        <w:rPr/>
        <w:t>股份变动及股东情况</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102"/>
        <w:jc w:val="left"/>
        <w:rPr>
          <w:b w:val="0"/>
          <w:bCs w:val="0"/>
        </w:rPr>
      </w:pPr>
      <w:r>
        <w:rPr/>
        <w:t>一、股份变动情况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102"/>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28"/>
        <w:gridCol w:w="824"/>
        <w:gridCol w:w="823"/>
        <w:gridCol w:w="823"/>
        <w:gridCol w:w="821"/>
        <w:gridCol w:w="823"/>
        <w:gridCol w:w="821"/>
        <w:gridCol w:w="824"/>
        <w:gridCol w:w="794"/>
        <w:gridCol w:w="792"/>
      </w:tblGrid>
      <w:tr>
        <w:trPr>
          <w:trHeight w:val="404"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53"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0"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4,000,000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1.49%</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4,800,000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4,000,000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1.49%</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4,800,000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4,000,000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1.49%</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4,800,000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263,600,0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98.50%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316,320,0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8,800,000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325,120,0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588,720,0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263,600,0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98.50%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316,320,0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8,800,000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325,120,0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588,720,0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267,600,0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321,120,0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321,120,0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588,720,0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spacing w:before="49"/>
        <w:ind w:left="152" w:right="102"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2"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80"/>
        <w:ind w:left="573" w:right="102"/>
        <w:jc w:val="left"/>
      </w:pPr>
      <w:r>
        <w:rPr>
          <w:rFonts w:ascii="宋体" w:hAnsi="宋体" w:cs="宋体" w:eastAsia="宋体" w:hint="default"/>
        </w:rPr>
        <w:t>1</w:t>
      </w:r>
      <w:r>
        <w:rPr/>
        <w:t>、公司实施 </w:t>
      </w:r>
      <w:r>
        <w:rPr>
          <w:rFonts w:ascii="宋体" w:hAnsi="宋体" w:cs="宋体" w:eastAsia="宋体" w:hint="default"/>
        </w:rPr>
        <w:t>2014</w:t>
      </w:r>
      <w:r>
        <w:rPr>
          <w:rFonts w:ascii="宋体" w:hAnsi="宋体" w:cs="宋体" w:eastAsia="宋体" w:hint="default"/>
          <w:spacing w:val="-3"/>
        </w:rPr>
        <w:t> </w:t>
      </w:r>
      <w:r>
        <w:rPr/>
        <w:t>年度权益分派资本公积转增股本所致。</w:t>
      </w:r>
    </w:p>
    <w:p>
      <w:pPr>
        <w:pStyle w:val="BodyText"/>
        <w:spacing w:line="273" w:lineRule="auto" w:before="37"/>
        <w:ind w:right="187" w:firstLine="420"/>
        <w:jc w:val="both"/>
      </w:pPr>
      <w:r>
        <w:rPr>
          <w:rFonts w:ascii="宋体" w:hAnsi="宋体" w:cs="宋体" w:eastAsia="宋体" w:hint="default"/>
          <w:spacing w:val="-2"/>
        </w:rPr>
        <w:t>2</w:t>
      </w:r>
      <w:r>
        <w:rPr>
          <w:spacing w:val="-2"/>
        </w:rPr>
        <w:t>、公司原监事林少明先生报告期末直接持有本公司股份</w:t>
      </w:r>
      <w:r>
        <w:rPr>
          <w:rFonts w:ascii="宋体" w:hAnsi="宋体" w:cs="宋体" w:eastAsia="宋体" w:hint="default"/>
          <w:spacing w:val="-2"/>
        </w:rPr>
        <w:t>8,800,000</w:t>
      </w:r>
      <w:r>
        <w:rPr>
          <w:spacing w:val="-2"/>
        </w:rPr>
        <w:t>股，其已于</w:t>
      </w:r>
      <w:r>
        <w:rPr>
          <w:rFonts w:ascii="宋体" w:hAnsi="宋体" w:cs="宋体" w:eastAsia="宋体" w:hint="default"/>
          <w:spacing w:val="-2"/>
        </w:rPr>
        <w:t>2013</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日离职，</w:t>
      </w:r>
      <w:r>
        <w:rPr>
          <w:w w:val="100"/>
        </w:rPr>
        <w:t> </w:t>
      </w:r>
      <w:r>
        <w:rPr>
          <w:spacing w:val="-2"/>
        </w:rPr>
        <w:t>截至本报告期末，林少明严格履行其离职承诺：本人离任后六个月内，不转让直接或间接所持群兴玩具的</w:t>
      </w:r>
      <w:r>
        <w:rPr>
          <w:spacing w:val="-44"/>
        </w:rPr>
        <w:t> </w:t>
      </w:r>
      <w:r>
        <w:rPr>
          <w:spacing w:val="-44"/>
        </w:rPr>
      </w:r>
      <w:r>
        <w:rPr>
          <w:spacing w:val="-2"/>
        </w:rPr>
        <w:t>任何股份。本人在申报离任六个月后的十二个月内通过证券交易所挂牌交易出售群兴玩具股票数量占其所</w:t>
      </w:r>
      <w:r>
        <w:rPr>
          <w:spacing w:val="-43"/>
        </w:rPr>
        <w:t> </w:t>
      </w:r>
      <w:r>
        <w:rPr>
          <w:spacing w:val="-43"/>
        </w:rPr>
      </w:r>
      <w:r>
        <w:rPr>
          <w:spacing w:val="-2"/>
        </w:rPr>
        <w:t>直接或间接持有群兴玩具股票总数的比例不得超过百分之五十。截至本报告之日，所持股份已全部解除限</w:t>
      </w:r>
      <w:r>
        <w:rPr>
          <w:spacing w:val="-42"/>
        </w:rPr>
        <w:t> </w:t>
      </w:r>
      <w:r>
        <w:rPr>
          <w:spacing w:val="-42"/>
        </w:rPr>
      </w:r>
      <w:r>
        <w:rPr/>
        <w:t>售。</w:t>
      </w:r>
    </w:p>
    <w:p>
      <w:pPr>
        <w:spacing w:before="69"/>
        <w:ind w:left="152" w:right="102"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38" w:lineRule="auto" w:before="117"/>
        <w:ind w:left="152" w:right="82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股份变动的过户情况</w:t>
      </w:r>
    </w:p>
    <w:p>
      <w:pPr>
        <w:spacing w:line="340" w:lineRule="auto" w:before="43"/>
        <w:ind w:left="152" w:right="4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before="39"/>
        <w:ind w:left="152"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73" w:lineRule="auto" w:before="83"/>
        <w:ind w:right="103" w:firstLine="420"/>
        <w:jc w:val="both"/>
      </w:pPr>
      <w:r>
        <w:rPr>
          <w:spacing w:val="-2"/>
        </w:rPr>
        <w:t>本报告期内，公司资本公积转增股本增加股本</w:t>
      </w:r>
      <w:r>
        <w:rPr>
          <w:rFonts w:ascii="宋体" w:hAnsi="宋体" w:cs="宋体" w:eastAsia="宋体" w:hint="default"/>
          <w:spacing w:val="-2"/>
        </w:rPr>
        <w:t>321,120,000</w:t>
      </w:r>
      <w:r>
        <w:rPr>
          <w:spacing w:val="-2"/>
        </w:rPr>
        <w:t>股，对本期基本每股收益和稀释每股收益、</w:t>
      </w:r>
      <w:r>
        <w:rPr>
          <w:w w:val="100"/>
        </w:rPr>
        <w:t> </w:t>
      </w:r>
      <w:r>
        <w:rPr/>
        <w:t>归属于公司普通股股东的每股净资产有所摊薄。</w:t>
      </w:r>
    </w:p>
    <w:p>
      <w:pPr>
        <w:spacing w:after="0" w:line="273" w:lineRule="auto"/>
        <w:jc w:val="both"/>
        <w:sectPr>
          <w:pgSz w:w="11910" w:h="16840"/>
          <w:pgMar w:header="745" w:footer="979" w:top="1060" w:bottom="1160" w:left="980" w:right="920"/>
        </w:sectPr>
      </w:pPr>
    </w:p>
    <w:p>
      <w:pPr>
        <w:spacing w:line="240" w:lineRule="auto" w:before="10"/>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73" w:lineRule="auto" w:before="80"/>
        <w:ind w:right="0" w:firstLine="420"/>
        <w:jc w:val="left"/>
      </w:pP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13</w:t>
      </w:r>
      <w:r>
        <w:rPr/>
        <w:t>日，公司完成注册资本工商变更（备案）登记手续，注册资本由人民币</w:t>
      </w:r>
      <w:r>
        <w:rPr>
          <w:rFonts w:ascii="宋体" w:hAnsi="宋体" w:cs="宋体" w:eastAsia="宋体" w:hint="default"/>
        </w:rPr>
        <w:t>26,760</w:t>
      </w:r>
      <w:r>
        <w:rPr/>
        <w:t>万元变更</w:t>
      </w:r>
      <w:r>
        <w:rPr>
          <w:w w:val="100"/>
        </w:rPr>
        <w:t> </w:t>
      </w:r>
      <w:r>
        <w:rPr/>
        <w:t>为人民币</w:t>
      </w:r>
      <w:r>
        <w:rPr>
          <w:rFonts w:ascii="宋体" w:hAnsi="宋体" w:cs="宋体" w:eastAsia="宋体" w:hint="default"/>
        </w:rPr>
        <w:t>58,872</w:t>
      </w:r>
      <w:r>
        <w:rPr/>
        <w:t>万元；公司股份总数由</w:t>
      </w:r>
      <w:r>
        <w:rPr>
          <w:rFonts w:ascii="宋体" w:hAnsi="宋体" w:cs="宋体" w:eastAsia="宋体" w:hint="default"/>
        </w:rPr>
        <w:t>267,600,000</w:t>
      </w:r>
      <w:r>
        <w:rPr/>
        <w:t>股增加至</w:t>
      </w:r>
      <w:r>
        <w:rPr>
          <w:rFonts w:ascii="宋体" w:hAnsi="宋体" w:cs="宋体" w:eastAsia="宋体" w:hint="default"/>
        </w:rPr>
        <w:t>588,720,000</w:t>
      </w:r>
      <w:r>
        <w:rPr/>
        <w:t>股。</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46"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林少明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离任监事职务已 满 </w:t>
            </w:r>
            <w:r>
              <w:rPr>
                <w:rFonts w:ascii="Times New Roman" w:hAnsi="Times New Roman" w:cs="Times New Roman" w:eastAsia="Times New Roman" w:hint="default"/>
                <w:sz w:val="18"/>
                <w:szCs w:val="18"/>
              </w:rPr>
              <w:t>18 </w:t>
            </w:r>
            <w:r>
              <w:rPr>
                <w:rFonts w:ascii="宋体" w:hAnsi="宋体" w:cs="宋体" w:eastAsia="宋体" w:hint="default"/>
                <w:spacing w:val="-17"/>
                <w:sz w:val="18"/>
                <w:szCs w:val="18"/>
              </w:rPr>
              <w:t>个月，解除</w:t>
            </w:r>
            <w:r>
              <w:rPr>
                <w:rFonts w:ascii="宋体" w:hAnsi="宋体" w:cs="宋体" w:eastAsia="宋体" w:hint="default"/>
                <w:sz w:val="18"/>
                <w:szCs w:val="18"/>
              </w:rPr>
              <w:t> 所持股份锁定。</w:t>
            </w:r>
          </w:p>
        </w:tc>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2015-7-23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二、证券发行与上市情况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83"/>
        <w:ind w:left="0" w:right="127"/>
        <w:jc w:val="right"/>
      </w:pPr>
      <w:r>
        <w:rPr>
          <w:rFonts w:ascii="宋体" w:hAnsi="宋体" w:cs="宋体" w:eastAsia="宋体" w:hint="default"/>
        </w:rPr>
        <w:t>2015 </w:t>
      </w:r>
      <w:r>
        <w:rPr/>
        <w:t>年 </w:t>
      </w:r>
      <w:r>
        <w:rPr>
          <w:rFonts w:ascii="宋体" w:hAnsi="宋体" w:cs="宋体" w:eastAsia="宋体" w:hint="default"/>
        </w:rPr>
        <w:t>3 </w:t>
      </w:r>
      <w:r>
        <w:rPr/>
        <w:t>月 </w:t>
      </w:r>
      <w:r>
        <w:rPr>
          <w:rFonts w:ascii="宋体" w:hAnsi="宋体" w:cs="宋体" w:eastAsia="宋体" w:hint="default"/>
        </w:rPr>
        <w:t>6 </w:t>
      </w:r>
      <w:r>
        <w:rPr/>
        <w:t>日召开 </w:t>
      </w:r>
      <w:r>
        <w:rPr>
          <w:rFonts w:ascii="宋体" w:hAnsi="宋体" w:cs="宋体" w:eastAsia="宋体" w:hint="default"/>
        </w:rPr>
        <w:t>2014</w:t>
      </w:r>
      <w:r>
        <w:rPr/>
        <w:t>年年度股东大会审议通过了《关于 </w:t>
      </w:r>
      <w:r>
        <w:rPr>
          <w:rFonts w:ascii="宋体" w:hAnsi="宋体" w:cs="宋体" w:eastAsia="宋体" w:hint="default"/>
        </w:rPr>
        <w:t>2014</w:t>
      </w:r>
      <w:r>
        <w:rPr>
          <w:rFonts w:ascii="宋体" w:hAnsi="宋体" w:cs="宋体" w:eastAsia="宋体" w:hint="default"/>
          <w:spacing w:val="-11"/>
        </w:rPr>
        <w:t> </w:t>
      </w:r>
      <w:r>
        <w:rPr/>
        <w:t>年度利润分配预案的议案》，</w:t>
      </w:r>
    </w:p>
    <w:p>
      <w:pPr>
        <w:pStyle w:val="BodyText"/>
        <w:spacing w:line="240" w:lineRule="auto" w:before="37"/>
        <w:ind w:right="0"/>
        <w:jc w:val="left"/>
        <w:rPr>
          <w:rFonts w:ascii="宋体" w:hAnsi="宋体" w:cs="宋体" w:eastAsia="宋体" w:hint="default"/>
        </w:rPr>
      </w:pPr>
      <w:r>
        <w:rPr/>
        <w:t>同意以 </w:t>
      </w:r>
      <w:r>
        <w:rPr>
          <w:rFonts w:ascii="宋体" w:hAnsi="宋体" w:cs="宋体" w:eastAsia="宋体" w:hint="default"/>
        </w:rPr>
        <w:t>2014</w:t>
      </w:r>
      <w:r>
        <w:rPr/>
        <w:t>年 </w:t>
      </w:r>
      <w:r>
        <w:rPr>
          <w:rFonts w:ascii="宋体" w:hAnsi="宋体" w:cs="宋体" w:eastAsia="宋体" w:hint="default"/>
        </w:rPr>
        <w:t>12 </w:t>
      </w:r>
      <w:r>
        <w:rPr/>
        <w:t>月 </w:t>
      </w:r>
      <w:r>
        <w:rPr>
          <w:rFonts w:ascii="宋体" w:hAnsi="宋体" w:cs="宋体" w:eastAsia="宋体" w:hint="default"/>
        </w:rPr>
        <w:t>31 </w:t>
      </w:r>
      <w:r>
        <w:rPr>
          <w:spacing w:val="2"/>
        </w:rPr>
        <w:t>日公司总股本 </w:t>
      </w:r>
      <w:r>
        <w:rPr>
          <w:rFonts w:ascii="宋体" w:hAnsi="宋体" w:cs="宋体" w:eastAsia="宋体" w:hint="default"/>
        </w:rPr>
        <w:t>267,600,000 </w:t>
      </w:r>
      <w:r>
        <w:rPr>
          <w:spacing w:val="2"/>
        </w:rPr>
        <w:t>股为基数，向全体股东每 </w:t>
      </w:r>
      <w:r>
        <w:rPr>
          <w:rFonts w:ascii="宋体" w:hAnsi="宋体" w:cs="宋体" w:eastAsia="宋体" w:hint="default"/>
        </w:rPr>
        <w:t>10 </w:t>
      </w:r>
      <w:r>
        <w:rPr>
          <w:spacing w:val="2"/>
        </w:rPr>
        <w:t>股派发现金股利 </w:t>
      </w:r>
      <w:r>
        <w:rPr>
          <w:spacing w:val="15"/>
        </w:rPr>
        <w:t> </w:t>
      </w:r>
      <w:r>
        <w:rPr>
          <w:rFonts w:ascii="宋体" w:hAnsi="宋体" w:cs="宋体" w:eastAsia="宋体" w:hint="default"/>
        </w:rPr>
        <w:t>1</w:t>
      </w:r>
    </w:p>
    <w:p>
      <w:pPr>
        <w:pStyle w:val="BodyText"/>
        <w:spacing w:line="240" w:lineRule="auto" w:before="37"/>
        <w:ind w:right="0"/>
        <w:jc w:val="left"/>
      </w:pPr>
      <w:r>
        <w:rPr/>
        <w:t>元（含税）；同时，以资本公积金向全体股东每 </w:t>
      </w:r>
      <w:r>
        <w:rPr>
          <w:rFonts w:ascii="宋体" w:hAnsi="宋体" w:cs="宋体" w:eastAsia="宋体" w:hint="default"/>
        </w:rPr>
        <w:t>10 </w:t>
      </w:r>
      <w:r>
        <w:rPr/>
        <w:t>股转增 </w:t>
      </w:r>
      <w:r>
        <w:rPr>
          <w:rFonts w:ascii="宋体" w:hAnsi="宋体" w:cs="宋体" w:eastAsia="宋体" w:hint="default"/>
        </w:rPr>
        <w:t>12 </w:t>
      </w:r>
      <w:r>
        <w:rPr/>
        <w:t>股，合计转增 </w:t>
      </w:r>
      <w:r>
        <w:rPr>
          <w:rFonts w:ascii="宋体" w:hAnsi="宋体" w:cs="宋体" w:eastAsia="宋体" w:hint="default"/>
        </w:rPr>
        <w:t>321,120,000</w:t>
      </w:r>
      <w:r>
        <w:rPr>
          <w:rFonts w:ascii="宋体" w:hAnsi="宋体" w:cs="宋体" w:eastAsia="宋体" w:hint="default"/>
          <w:spacing w:val="83"/>
        </w:rPr>
        <w:t> </w:t>
      </w:r>
      <w:r>
        <w:rPr/>
        <w:t>股，转增后</w:t>
      </w:r>
    </w:p>
    <w:p>
      <w:pPr>
        <w:pStyle w:val="BodyText"/>
        <w:spacing w:line="240" w:lineRule="auto" w:before="37"/>
        <w:ind w:right="0"/>
        <w:jc w:val="left"/>
      </w:pPr>
      <w:r>
        <w:rPr>
          <w:spacing w:val="15"/>
        </w:rPr>
        <w:t>公司总股本增至 </w:t>
      </w:r>
      <w:r>
        <w:rPr>
          <w:rFonts w:ascii="宋体" w:hAnsi="宋体" w:cs="宋体" w:eastAsia="宋体" w:hint="default"/>
        </w:rPr>
        <w:t>588,720,000 </w:t>
      </w:r>
      <w:r>
        <w:rPr>
          <w:spacing w:val="7"/>
        </w:rPr>
        <w:t>股。 </w:t>
      </w:r>
      <w:r>
        <w:rPr>
          <w:spacing w:val="14"/>
        </w:rPr>
        <w:t>该权益分派已于 </w:t>
      </w:r>
      <w:r>
        <w:rPr>
          <w:rFonts w:ascii="宋体" w:hAnsi="宋体" w:cs="宋体" w:eastAsia="宋体" w:hint="default"/>
        </w:rPr>
        <w:t>2015 </w:t>
      </w:r>
      <w:r>
        <w:rPr/>
        <w:t>年 </w:t>
      </w:r>
      <w:r>
        <w:rPr>
          <w:rFonts w:ascii="宋体" w:hAnsi="宋体" w:cs="宋体" w:eastAsia="宋体" w:hint="default"/>
        </w:rPr>
        <w:t>3 </w:t>
      </w:r>
      <w:r>
        <w:rPr/>
        <w:t>月 </w:t>
      </w:r>
      <w:r>
        <w:rPr>
          <w:rFonts w:ascii="宋体" w:hAnsi="宋体" w:cs="宋体" w:eastAsia="宋体" w:hint="default"/>
        </w:rPr>
        <w:t>19</w:t>
      </w:r>
      <w:r>
        <w:rPr>
          <w:rFonts w:ascii="宋体" w:hAnsi="宋体" w:cs="宋体" w:eastAsia="宋体" w:hint="default"/>
          <w:spacing w:val="49"/>
        </w:rPr>
        <w:t> </w:t>
      </w:r>
      <w:r>
        <w:rPr>
          <w:spacing w:val="16"/>
        </w:rPr>
        <w:t>日实施完毕，公司总股份由</w:t>
      </w:r>
    </w:p>
    <w:p>
      <w:pPr>
        <w:pStyle w:val="BodyText"/>
        <w:spacing w:line="240" w:lineRule="auto" w:before="37"/>
        <w:ind w:right="0"/>
        <w:jc w:val="left"/>
      </w:pPr>
      <w:r>
        <w:rPr>
          <w:rFonts w:ascii="宋体" w:hAnsi="宋体" w:cs="宋体" w:eastAsia="宋体" w:hint="default"/>
        </w:rPr>
        <w:t>267,600,000 </w:t>
      </w:r>
      <w:r>
        <w:rPr>
          <w:spacing w:val="2"/>
        </w:rPr>
        <w:t>股增加至 </w:t>
      </w:r>
      <w:r>
        <w:rPr>
          <w:rFonts w:ascii="宋体" w:hAnsi="宋体" w:cs="宋体" w:eastAsia="宋体" w:hint="default"/>
        </w:rPr>
        <w:t>588,720,000</w:t>
      </w:r>
      <w:r>
        <w:rPr/>
        <w:t>股，公司注册资本和实收资本由人民币 </w:t>
      </w:r>
      <w:r>
        <w:rPr>
          <w:rFonts w:ascii="宋体" w:hAnsi="宋体" w:cs="宋体" w:eastAsia="宋体" w:hint="default"/>
        </w:rPr>
        <w:t>26,760 </w:t>
      </w:r>
      <w:r>
        <w:rPr>
          <w:rFonts w:ascii="宋体" w:hAnsi="宋体" w:cs="宋体" w:eastAsia="宋体" w:hint="default"/>
          <w:spacing w:val="40"/>
        </w:rPr>
        <w:t> </w:t>
      </w:r>
      <w:r>
        <w:rPr>
          <w:spacing w:val="2"/>
        </w:rPr>
        <w:t>万元变更为人民币</w:t>
      </w:r>
    </w:p>
    <w:p>
      <w:pPr>
        <w:pStyle w:val="BodyText"/>
        <w:spacing w:line="240" w:lineRule="auto" w:before="37"/>
        <w:ind w:right="0"/>
        <w:jc w:val="left"/>
      </w:pPr>
      <w:r>
        <w:rPr>
          <w:rFonts w:ascii="宋体" w:hAnsi="宋体" w:cs="宋体" w:eastAsia="宋体" w:hint="default"/>
        </w:rPr>
        <w:t>58,872</w:t>
      </w:r>
      <w:r>
        <w:rPr>
          <w:rFonts w:ascii="宋体" w:hAnsi="宋体" w:cs="宋体" w:eastAsia="宋体" w:hint="default"/>
          <w:spacing w:val="2"/>
        </w:rPr>
        <w:t> </w:t>
      </w:r>
      <w:r>
        <w:rPr/>
        <w:t>万元。</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三、股东和实际控制人情况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6"/>
        <w:gridCol w:w="1197"/>
        <w:gridCol w:w="1195"/>
        <w:gridCol w:w="1196"/>
        <w:gridCol w:w="1199"/>
        <w:gridCol w:w="1195"/>
        <w:gridCol w:w="1198"/>
      </w:tblGrid>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报告期末普通</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69" w:right="0"/>
              <w:jc w:val="left"/>
              <w:rPr>
                <w:rFonts w:ascii="Times New Roman" w:hAnsi="Times New Roman" w:cs="Times New Roman" w:eastAsia="Times New Roman" w:hint="default"/>
                <w:sz w:val="18"/>
                <w:szCs w:val="18"/>
              </w:rPr>
            </w:pPr>
            <w:r>
              <w:rPr>
                <w:rFonts w:ascii="Times New Roman"/>
                <w:sz w:val="18"/>
              </w:rPr>
              <w:t>35,340</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年度报告披露</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69" w:right="0"/>
              <w:jc w:val="left"/>
              <w:rPr>
                <w:rFonts w:ascii="Times New Roman" w:hAnsi="Times New Roman" w:cs="Times New Roman" w:eastAsia="Times New Roman" w:hint="default"/>
                <w:sz w:val="18"/>
                <w:szCs w:val="18"/>
              </w:rPr>
            </w:pPr>
            <w:r>
              <w:rPr>
                <w:rFonts w:ascii="Times New Roman"/>
                <w:sz w:val="18"/>
              </w:rPr>
              <w:t>30,965</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报告期末表决</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年度报告披露</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196"/>
        <w:gridCol w:w="274"/>
        <w:gridCol w:w="923"/>
        <w:gridCol w:w="489"/>
        <w:gridCol w:w="749"/>
        <w:gridCol w:w="826"/>
        <w:gridCol w:w="329"/>
        <w:gridCol w:w="461"/>
        <w:gridCol w:w="761"/>
        <w:gridCol w:w="866"/>
        <w:gridCol w:w="306"/>
        <w:gridCol w:w="1043"/>
        <w:gridCol w:w="151"/>
        <w:gridCol w:w="1198"/>
      </w:tblGrid>
      <w:tr>
        <w:trPr>
          <w:trHeight w:val="161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股股东总数</w:t>
            </w:r>
          </w:p>
        </w:tc>
        <w:tc>
          <w:tcPr>
            <w:tcW w:w="1196" w:type="dxa"/>
            <w:gridSpan w:val="2"/>
            <w:tcBorders>
              <w:top w:val="single" w:sz="4" w:space="0" w:color="000000"/>
              <w:left w:val="single" w:sz="4" w:space="0" w:color="000000"/>
              <w:bottom w:val="single" w:sz="4" w:space="0" w:color="000000"/>
              <w:right w:val="single" w:sz="4" w:space="0" w:color="000000"/>
            </w:tcBorders>
          </w:tcPr>
          <w:p>
            <w:pPr/>
          </w:p>
        </w:tc>
        <w:tc>
          <w:tcPr>
            <w:tcW w:w="12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123"/>
              <w:jc w:val="both"/>
              <w:rPr>
                <w:rFonts w:ascii="宋体" w:hAnsi="宋体" w:cs="宋体" w:eastAsia="宋体" w:hint="default"/>
                <w:sz w:val="18"/>
                <w:szCs w:val="18"/>
              </w:rPr>
            </w:pPr>
            <w:r>
              <w:rPr>
                <w:rFonts w:ascii="宋体" w:hAnsi="宋体" w:cs="宋体" w:eastAsia="宋体" w:hint="default"/>
                <w:sz w:val="18"/>
                <w:szCs w:val="18"/>
              </w:rPr>
              <w:t>日前上一月末 普通股股东总 数</w:t>
            </w:r>
          </w:p>
        </w:tc>
        <w:tc>
          <w:tcPr>
            <w:tcW w:w="1154" w:type="dxa"/>
            <w:gridSpan w:val="2"/>
            <w:tcBorders>
              <w:top w:val="single" w:sz="4" w:space="0" w:color="000000"/>
              <w:left w:val="single" w:sz="4" w:space="0" w:color="000000"/>
              <w:bottom w:val="single" w:sz="4" w:space="0" w:color="000000"/>
              <w:right w:val="single" w:sz="4" w:space="0" w:color="000000"/>
            </w:tcBorders>
          </w:tcPr>
          <w:p>
            <w:pPr/>
          </w:p>
        </w:tc>
        <w:tc>
          <w:tcPr>
            <w:tcW w:w="12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3" w:right="106"/>
              <w:jc w:val="left"/>
              <w:rPr>
                <w:rFonts w:ascii="宋体" w:hAnsi="宋体" w:cs="宋体" w:eastAsia="宋体" w:hint="default"/>
                <w:sz w:val="18"/>
                <w:szCs w:val="18"/>
              </w:rPr>
            </w:pPr>
            <w:r>
              <w:rPr>
                <w:rFonts w:ascii="宋体" w:hAnsi="宋体" w:cs="宋体" w:eastAsia="宋体" w:hint="default"/>
                <w:sz w:val="18"/>
                <w:szCs w:val="18"/>
              </w:rPr>
              <w:t>权恢复的优先 股股东总数</w:t>
            </w:r>
          </w:p>
          <w:p>
            <w:pPr>
              <w:pStyle w:val="TableParagraph"/>
              <w:spacing w:line="316" w:lineRule="auto" w:before="19"/>
              <w:ind w:left="23" w:right="48"/>
              <w:jc w:val="left"/>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72" w:type="dxa"/>
            <w:gridSpan w:val="2"/>
            <w:tcBorders>
              <w:top w:val="single" w:sz="4" w:space="0" w:color="000000"/>
              <w:left w:val="single" w:sz="4" w:space="0" w:color="000000"/>
              <w:bottom w:val="single" w:sz="4" w:space="0" w:color="000000"/>
              <w:right w:val="single" w:sz="4" w:space="0" w:color="000000"/>
            </w:tcBorders>
          </w:tcPr>
          <w:p>
            <w:pPr/>
          </w:p>
        </w:tc>
        <w:tc>
          <w:tcPr>
            <w:tcW w:w="11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20"/>
              <w:jc w:val="left"/>
              <w:rPr>
                <w:rFonts w:ascii="宋体" w:hAnsi="宋体" w:cs="宋体" w:eastAsia="宋体" w:hint="default"/>
                <w:sz w:val="18"/>
                <w:szCs w:val="18"/>
              </w:rPr>
            </w:pPr>
            <w:r>
              <w:rPr>
                <w:rFonts w:ascii="宋体" w:hAnsi="宋体" w:cs="宋体" w:eastAsia="宋体" w:hint="default"/>
                <w:sz w:val="18"/>
                <w:szCs w:val="18"/>
              </w:rPr>
              <w:t>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9571"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3"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1" w:right="-13"/>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69" w:right="2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 w:right="0"/>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1"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9" w:type="dxa"/>
            <w:vMerge/>
            <w:tcBorders>
              <w:left w:val="single" w:sz="4" w:space="0" w:color="000000"/>
              <w:bottom w:val="single" w:sz="4" w:space="0" w:color="000000"/>
              <w:right w:val="single" w:sz="4" w:space="0" w:color="000000"/>
            </w:tcBorders>
            <w:shd w:val="clear" w:color="auto" w:fill="D2D2D2"/>
          </w:tcPr>
          <w:p>
            <w:pPr/>
          </w:p>
        </w:tc>
        <w:tc>
          <w:tcPr>
            <w:tcW w:w="826" w:type="dxa"/>
            <w:vMerge/>
            <w:tcBorders>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广东群兴投资有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44.85%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264,053,0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-87,947,0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264,053,0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129,600,000</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苏建珣</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4.99%</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29,377,00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29,377,00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29,377,00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陈晓铓</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25,200,00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朱光祥</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23,370,00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邱良深</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-3,900,00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林少明</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8,800,000</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8,800,000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招商证券股份有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8,000,000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-312,003</w:t>
            </w:r>
          </w:p>
        </w:tc>
        <w:tc>
          <w:tcPr>
            <w:tcW w:w="76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刁云景</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6,665,100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-5,874,90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6,665,100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王晓东</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6,000,000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黄奕</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4,300,000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-4,500,00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4,300,000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881"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690" w:type="dxa"/>
            <w:gridSpan w:val="10"/>
            <w:vMerge w:val="restart"/>
            <w:tcBorders>
              <w:top w:val="single" w:sz="4" w:space="0" w:color="000000"/>
              <w:left w:val="single" w:sz="4" w:space="0" w:color="000000"/>
              <w:right w:val="single" w:sz="4" w:space="0" w:color="000000"/>
            </w:tcBorders>
            <w:shd w:val="clear" w:color="auto" w:fill="C6ECCC"/>
          </w:tcPr>
          <w:p>
            <w:pPr>
              <w:pStyle w:val="TableParagraph"/>
              <w:spacing w:line="309" w:lineRule="auto" w:before="49"/>
              <w:ind w:left="26" w:right="17"/>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、广东群兴投资有限公司是本公司的控股股东；</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、本公司未知上述其他股东之间是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否存在关联关系，也未知上述股东之间是否属于《上市公司股东持股变动信息披露管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理办法》中规定的一致行动人。</w:t>
            </w:r>
          </w:p>
        </w:tc>
      </w:tr>
      <w:tr>
        <w:trPr>
          <w:trHeight w:val="703" w:hRule="exact"/>
        </w:trPr>
        <w:tc>
          <w:tcPr>
            <w:tcW w:w="2881"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0" w:type="dxa"/>
            <w:gridSpan w:val="10"/>
            <w:vMerge/>
            <w:tcBorders>
              <w:left w:val="single" w:sz="4" w:space="0" w:color="000000"/>
              <w:right w:val="single" w:sz="4" w:space="0" w:color="000000"/>
            </w:tcBorders>
            <w:shd w:val="clear" w:color="auto" w:fill="C6ECCC"/>
          </w:tcPr>
          <w:p>
            <w:pPr/>
          </w:p>
        </w:tc>
      </w:tr>
      <w:tr>
        <w:trPr>
          <w:trHeight w:val="161" w:hRule="exact"/>
        </w:trPr>
        <w:tc>
          <w:tcPr>
            <w:tcW w:w="2881"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690" w:type="dxa"/>
            <w:gridSpan w:val="10"/>
            <w:vMerge/>
            <w:tcBorders>
              <w:left w:val="single" w:sz="4" w:space="0" w:color="000000"/>
              <w:bottom w:val="single" w:sz="4" w:space="0" w:color="000000"/>
              <w:right w:val="single" w:sz="4" w:space="0" w:color="000000"/>
            </w:tcBorders>
            <w:shd w:val="clear" w:color="auto" w:fill="C6ECCC"/>
          </w:tcPr>
          <w:p>
            <w:pPr/>
          </w:p>
        </w:tc>
      </w:tr>
      <w:tr>
        <w:trPr>
          <w:trHeight w:val="403" w:hRule="exact"/>
        </w:trPr>
        <w:tc>
          <w:tcPr>
            <w:tcW w:w="9571"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992" w:type="dxa"/>
            <w:gridSpan w:val="6"/>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4" w:hRule="exact"/>
        </w:trPr>
        <w:tc>
          <w:tcPr>
            <w:tcW w:w="2881"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2" w:type="dxa"/>
            <w:gridSpan w:val="6"/>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4"/>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881" w:type="dxa"/>
            <w:gridSpan w:val="4"/>
            <w:vMerge/>
            <w:tcBorders>
              <w:left w:val="single" w:sz="4" w:space="0" w:color="000000"/>
              <w:bottom w:val="nil" w:sz="6" w:space="0" w:color="auto"/>
              <w:right w:val="single" w:sz="4" w:space="0" w:color="000000"/>
            </w:tcBorders>
            <w:shd w:val="clear" w:color="auto" w:fill="D2D2D2"/>
          </w:tcPr>
          <w:p>
            <w:pPr/>
          </w:p>
        </w:tc>
        <w:tc>
          <w:tcPr>
            <w:tcW w:w="3992" w:type="dxa"/>
            <w:gridSpan w:val="6"/>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1"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3992" w:type="dxa"/>
            <w:gridSpan w:val="6"/>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广东群兴投资有限公司</w:t>
            </w:r>
          </w:p>
        </w:tc>
        <w:tc>
          <w:tcPr>
            <w:tcW w:w="399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264,053,000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5" w:right="0"/>
              <w:jc w:val="left"/>
              <w:rPr>
                <w:rFonts w:ascii="Times New Roman" w:hAnsi="Times New Roman" w:cs="Times New Roman" w:eastAsia="Times New Roman" w:hint="default"/>
                <w:sz w:val="18"/>
                <w:szCs w:val="18"/>
              </w:rPr>
            </w:pPr>
            <w:r>
              <w:rPr>
                <w:rFonts w:ascii="Times New Roman"/>
                <w:sz w:val="18"/>
              </w:rPr>
              <w:t>264,053,000</w:t>
            </w:r>
          </w:p>
        </w:tc>
      </w:tr>
      <w:tr>
        <w:trPr>
          <w:trHeight w:val="403" w:hRule="exact"/>
        </w:trPr>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苏建珣</w:t>
            </w:r>
          </w:p>
        </w:tc>
        <w:tc>
          <w:tcPr>
            <w:tcW w:w="399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29,377,000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29,377,000</w:t>
            </w:r>
          </w:p>
        </w:tc>
      </w:tr>
      <w:tr>
        <w:trPr>
          <w:trHeight w:val="401" w:hRule="exact"/>
        </w:trPr>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陈晓铓</w:t>
            </w:r>
          </w:p>
        </w:tc>
        <w:tc>
          <w:tcPr>
            <w:tcW w:w="399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25,200,000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25,200,000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81"/>
        <w:gridCol w:w="3992"/>
        <w:gridCol w:w="1349"/>
        <w:gridCol w:w="1349"/>
      </w:tblGrid>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朱光祥</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23,370,000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23,370,000</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邱良深</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13,700,000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林少明</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8,800,000</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招商证券股份有限公司</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刁云景</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6,665,100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6,665,100</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王晓东</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黄奕</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4,300,000</w:t>
            </w:r>
          </w:p>
        </w:tc>
      </w:tr>
      <w:tr>
        <w:trPr>
          <w:trHeight w:val="1339"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1"/>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90"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07" w:lineRule="auto"/>
              <w:ind w:left="26" w:right="17"/>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、广东群兴投资有限公司是本公司的控股股东；</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、本公司未知上述其他股东之间是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否存在关联关系，也未知上述股东之间是否属于《上市公司股东持股变动信息披露管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理办法》中规定的一致行动人。</w:t>
            </w:r>
          </w:p>
        </w:tc>
      </w:tr>
      <w:tr>
        <w:trPr>
          <w:trHeight w:val="1026"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5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 </w:t>
            </w:r>
            <w:r>
              <w:rPr>
                <w:rFonts w:ascii="宋体" w:hAnsi="宋体" w:cs="宋体" w:eastAsia="宋体" w:hint="default"/>
                <w:spacing w:val="-8"/>
                <w:sz w:val="18"/>
                <w:szCs w:val="18"/>
              </w:rPr>
              <w:t>务情况说明（如有）（参见注</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0"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、广东群兴投资有限公司参与融资融券信用证券账户持有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股，与其普通</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证券账户合计持有公司股份</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264,053,000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w:t>
            </w:r>
            <w:r>
              <w:rPr>
                <w:rFonts w:ascii="宋体" w:hAnsi="宋体" w:cs="宋体" w:eastAsia="宋体" w:hint="default"/>
                <w:sz w:val="18"/>
                <w:szCs w:val="18"/>
              </w:rPr>
              <w:t>、王晓东参与融资融券信用证券账户持</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股，与其普通证券账户合计持有公司股份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6,000,000 </w:t>
            </w:r>
            <w:r>
              <w:rPr>
                <w:rFonts w:ascii="宋体" w:hAnsi="宋体" w:cs="宋体" w:eastAsia="宋体" w:hint="default"/>
                <w:sz w:val="18"/>
                <w:szCs w:val="18"/>
              </w:rPr>
              <w:t>股。</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名无限售条件普通股股东在报告期内是否进行约定购回交易</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名无限售条件普通股股东在报告期内未进行约定购回交易。</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60" w:lineRule="auto" w:before="0"/>
        <w:ind w:left="152" w:right="761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spacing w:before="44"/>
        <w:ind w:left="0" w:right="158" w:firstLine="0"/>
        <w:jc w:val="right"/>
        <w:rPr>
          <w:rFonts w:ascii="宋体" w:hAnsi="宋体" w:cs="宋体" w:eastAsia="宋体" w:hint="default"/>
          <w:sz w:val="18"/>
          <w:szCs w:val="18"/>
        </w:rPr>
      </w:pPr>
      <w:r>
        <w:rPr/>
        <w:pict>
          <v:shape style="position:absolute;margin-left:56.459999pt;margin-top:-36.368267pt;width:479.2pt;height:303.9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6"/>
                    <w:gridCol w:w="1829"/>
                    <w:gridCol w:w="1894"/>
                    <w:gridCol w:w="1935"/>
                    <w:gridCol w:w="1915"/>
                  </w:tblGrid>
                  <w:tr>
                    <w:trPr>
                      <w:trHeight w:val="708"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821" w:right="72"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5360" w:hRule="exact"/>
                    </w:trPr>
                    <w:tc>
                      <w:tcPr>
                        <w:tcW w:w="19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广东群兴投资有限公司</w:t>
                        </w:r>
                      </w:p>
                    </w:tc>
                    <w:tc>
                      <w:tcPr>
                        <w:tcW w:w="18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林伟章</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69243729-X</w:t>
                        </w:r>
                      </w:p>
                    </w:tc>
                    <w:tc>
                      <w:tcPr>
                        <w:tcW w:w="19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3" w:right="79"/>
                          <w:jc w:val="left"/>
                          <w:rPr>
                            <w:rFonts w:ascii="宋体" w:hAnsi="宋体" w:cs="宋体" w:eastAsia="宋体" w:hint="default"/>
                            <w:sz w:val="18"/>
                            <w:szCs w:val="18"/>
                          </w:rPr>
                        </w:pPr>
                        <w:r>
                          <w:rPr>
                            <w:rFonts w:ascii="宋体" w:hAnsi="宋体" w:cs="宋体" w:eastAsia="宋体" w:hint="default"/>
                            <w:spacing w:val="-4"/>
                            <w:sz w:val="18"/>
                            <w:szCs w:val="18"/>
                          </w:rPr>
                          <w:t>对农林牧渔业、采矿业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制造业、电力燃气及水 的生产业、建筑业、交 通运输仓储和邮政业、 信息传输计算机服务和 </w:t>
                        </w:r>
                        <w:r>
                          <w:rPr>
                            <w:rFonts w:ascii="宋体" w:hAnsi="宋体" w:cs="宋体" w:eastAsia="宋体" w:hint="default"/>
                            <w:spacing w:val="-4"/>
                            <w:sz w:val="18"/>
                            <w:szCs w:val="18"/>
                          </w:rPr>
                          <w:t>软件业、批发和零售业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金融业、房地产业、租 赁和商务服务业、水利 环境和公共设施管理 业、居民服务和其他服 务业、文化体育和娱乐 业等行业的投资；投资 管理咨询等；销售金属 材料、建筑材料、机械 设备、五金交电、日用 百货、纸及纸制品、化 工产品及化工原料（危</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6"/>
        <w:gridCol w:w="1829"/>
        <w:gridCol w:w="1894"/>
        <w:gridCol w:w="1935"/>
        <w:gridCol w:w="1915"/>
      </w:tblGrid>
      <w:tr>
        <w:trPr>
          <w:trHeight w:val="1928" w:hRule="exact"/>
        </w:trPr>
        <w:tc>
          <w:tcPr>
            <w:tcW w:w="199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82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894"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8"/>
              <w:ind w:left="23" w:right="23"/>
              <w:jc w:val="both"/>
              <w:rPr>
                <w:rFonts w:ascii="宋体" w:hAnsi="宋体" w:cs="宋体" w:eastAsia="宋体" w:hint="default"/>
                <w:sz w:val="18"/>
                <w:szCs w:val="18"/>
              </w:rPr>
            </w:pPr>
            <w:r>
              <w:rPr>
                <w:rFonts w:ascii="宋体" w:hAnsi="宋体" w:cs="宋体" w:eastAsia="宋体" w:hint="default"/>
                <w:spacing w:val="-12"/>
                <w:sz w:val="18"/>
                <w:szCs w:val="18"/>
              </w:rPr>
              <w:t>险化学品除外）；货物进</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出口，技术进出口（法 律、行政法规禁止的项 目除外；法律、行政法 规限制的项目须取得许 可后方可经营）</w:t>
            </w:r>
          </w:p>
        </w:tc>
      </w:tr>
      <w:tr>
        <w:trPr>
          <w:trHeight w:val="312" w:hRule="exact"/>
        </w:trPr>
        <w:tc>
          <w:tcPr>
            <w:tcW w:w="19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4"/>
              <w:ind w:left="22" w:right="161"/>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4" w:type="dxa"/>
            <w:gridSpan w:val="4"/>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91" w:hRule="exact"/>
        </w:trPr>
        <w:tc>
          <w:tcPr>
            <w:tcW w:w="1996" w:type="dxa"/>
            <w:vMerge/>
            <w:tcBorders>
              <w:left w:val="single" w:sz="4" w:space="0" w:color="000000"/>
              <w:right w:val="single" w:sz="4" w:space="0" w:color="000000"/>
            </w:tcBorders>
            <w:shd w:val="clear" w:color="auto" w:fill="D2D2D2"/>
          </w:tcPr>
          <w:p>
            <w:pPr/>
          </w:p>
        </w:tc>
        <w:tc>
          <w:tcPr>
            <w:tcW w:w="7574" w:type="dxa"/>
            <w:gridSpan w:val="4"/>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7" w:hRule="exact"/>
        </w:trPr>
        <w:tc>
          <w:tcPr>
            <w:tcW w:w="1996" w:type="dxa"/>
            <w:vMerge/>
            <w:tcBorders>
              <w:left w:val="single" w:sz="4" w:space="0" w:color="000000"/>
              <w:bottom w:val="single" w:sz="4" w:space="0" w:color="000000"/>
              <w:right w:val="single" w:sz="4" w:space="0" w:color="000000"/>
            </w:tcBorders>
            <w:shd w:val="clear" w:color="auto" w:fill="D2D2D2"/>
          </w:tcPr>
          <w:p>
            <w:pPr/>
          </w:p>
        </w:tc>
        <w:tc>
          <w:tcPr>
            <w:tcW w:w="7574" w:type="dxa"/>
            <w:gridSpan w:val="4"/>
            <w:tcBorders>
              <w:top w:val="nil" w:sz="6" w:space="0" w:color="auto"/>
              <w:left w:val="single" w:sz="4" w:space="0" w:color="000000"/>
              <w:bottom w:val="single" w:sz="4" w:space="0" w:color="000000"/>
              <w:right w:val="single" w:sz="4" w:space="0" w:color="000000"/>
            </w:tcBorders>
            <w:shd w:val="clear" w:color="auto" w:fill="C6ECCC"/>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8"/>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60" w:lineRule="auto" w:before="0"/>
        <w:ind w:left="152" w:right="743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3419"/>
        <w:gridCol w:w="2302"/>
        <w:gridCol w:w="3850"/>
      </w:tblGrid>
      <w:tr>
        <w:trPr>
          <w:trHeight w:val="402"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75"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林伟章（一致行动人）</w:t>
            </w:r>
          </w:p>
        </w:tc>
        <w:tc>
          <w:tcPr>
            <w:tcW w:w="23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黄仕群（一致行动人）</w:t>
            </w:r>
          </w:p>
        </w:tc>
        <w:tc>
          <w:tcPr>
            <w:tcW w:w="23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2"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Times New Roman" w:hAnsi="Times New Roman" w:cs="Times New Roman" w:eastAsia="Times New Roman" w:hint="default"/>
                <w:sz w:val="18"/>
                <w:szCs w:val="18"/>
              </w:rPr>
              <w:t>"</w:t>
            </w:r>
            <w:r>
              <w:rPr>
                <w:rFonts w:ascii="宋体" w:hAnsi="宋体" w:cs="宋体" w:eastAsia="宋体" w:hint="default"/>
                <w:sz w:val="18"/>
                <w:szCs w:val="18"/>
              </w:rPr>
              <w:t>第八节</w:t>
            </w:r>
            <w:r>
              <w:rPr>
                <w:rFonts w:ascii="Times New Roman" w:hAnsi="Times New Roman" w:cs="Times New Roman" w:eastAsia="Times New Roman" w:hint="default"/>
                <w:sz w:val="18"/>
                <w:szCs w:val="18"/>
              </w:rPr>
              <w:t>-</w:t>
            </w:r>
            <w:r>
              <w:rPr>
                <w:rFonts w:ascii="宋体" w:hAnsi="宋体" w:cs="宋体" w:eastAsia="宋体" w:hint="default"/>
                <w:sz w:val="18"/>
                <w:szCs w:val="18"/>
              </w:rPr>
              <w:t>三、任职情况</w:t>
            </w:r>
            <w:r>
              <w:rPr>
                <w:rFonts w:ascii="Times New Roman" w:hAnsi="Times New Roman" w:cs="Times New Roman" w:eastAsia="Times New Roman" w:hint="default"/>
                <w:sz w:val="18"/>
                <w:szCs w:val="18"/>
              </w:rPr>
              <w:t>"</w:t>
            </w:r>
          </w:p>
        </w:tc>
      </w:tr>
      <w:tr>
        <w:trPr>
          <w:trHeight w:val="402"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152"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7"/>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50"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5"/>
        <w:rPr>
          <w:rFonts w:ascii="宋体" w:hAnsi="宋体" w:cs="宋体" w:eastAsia="宋体" w:hint="default"/>
          <w:sz w:val="25"/>
          <w:szCs w:val="25"/>
        </w:rPr>
      </w:pPr>
    </w:p>
    <w:p>
      <w:pPr>
        <w:spacing w:line="2820" w:lineRule="exact"/>
        <w:ind w:left="1355" w:right="0" w:firstLine="0"/>
        <w:rPr>
          <w:rFonts w:ascii="宋体" w:hAnsi="宋体" w:cs="宋体" w:eastAsia="宋体" w:hint="default"/>
          <w:sz w:val="20"/>
          <w:szCs w:val="20"/>
        </w:rPr>
      </w:pPr>
      <w:r>
        <w:rPr>
          <w:rFonts w:ascii="宋体" w:hAnsi="宋体" w:cs="宋体" w:eastAsia="宋体" w:hint="default"/>
          <w:position w:val="-55"/>
          <w:sz w:val="20"/>
          <w:szCs w:val="20"/>
        </w:rPr>
        <w:drawing>
          <wp:inline distT="0" distB="0" distL="0" distR="0">
            <wp:extent cx="4593590" cy="179070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3" cstate="print"/>
                    <a:stretch>
                      <a:fillRect/>
                    </a:stretch>
                  </pic:blipFill>
                  <pic:spPr>
                    <a:xfrm>
                      <a:off x="0" y="0"/>
                      <a:ext cx="4593590" cy="1790700"/>
                    </a:xfrm>
                    <a:prstGeom prst="rect">
                      <a:avLst/>
                    </a:prstGeom>
                  </pic:spPr>
                </pic:pic>
              </a:graphicData>
            </a:graphic>
          </wp:inline>
        </w:drawing>
      </w:r>
      <w:r>
        <w:rPr>
          <w:rFonts w:ascii="宋体" w:hAnsi="宋体" w:cs="宋体" w:eastAsia="宋体" w:hint="default"/>
          <w:position w:val="-55"/>
          <w:sz w:val="20"/>
          <w:szCs w:val="20"/>
        </w:rPr>
      </w:r>
    </w:p>
    <w:p>
      <w:pPr>
        <w:spacing w:line="240" w:lineRule="auto" w:before="1"/>
        <w:rPr>
          <w:rFonts w:ascii="宋体" w:hAnsi="宋体" w:cs="宋体" w:eastAsia="宋体" w:hint="default"/>
          <w:sz w:val="22"/>
          <w:szCs w:val="22"/>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0"/>
        <w:rPr>
          <w:rFonts w:ascii="宋体" w:hAnsi="宋体" w:cs="宋体" w:eastAsia="宋体" w:hint="default"/>
          <w:sz w:val="18"/>
          <w:szCs w:val="18"/>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4</w:t>
      </w:r>
      <w:r>
        <w:rPr/>
        <w:t>、其他持股在</w:t>
      </w:r>
      <w:r>
        <w:rPr>
          <w:spacing w:val="12"/>
        </w:rPr>
        <w:t> </w:t>
      </w:r>
      <w:r>
        <w:rPr>
          <w:rFonts w:ascii="Times New Roman" w:hAnsi="Times New Roman" w:cs="Times New Roman" w:eastAsia="Times New Roman" w:hint="default"/>
        </w:rPr>
        <w:t>10%</w:t>
      </w:r>
      <w:r>
        <w:rPr/>
        <w:t>以上的法人股东</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285" w:right="0"/>
        <w:jc w:val="left"/>
        <w:rPr>
          <w:b w:val="0"/>
          <w:bCs w:val="0"/>
        </w:rPr>
      </w:pPr>
      <w:bookmarkStart w:name="_bookmark6" w:id="7"/>
      <w:bookmarkEnd w:id="7"/>
      <w:r>
        <w:rPr>
          <w:b w:val="0"/>
          <w:bCs w:val="0"/>
        </w:rPr>
      </w:r>
      <w:r>
        <w:rPr/>
        <w:t>第七节 </w:t>
      </w:r>
      <w:r>
        <w:rPr>
          <w:spacing w:val="8"/>
        </w:rPr>
        <w:t> </w:t>
      </w:r>
      <w:r>
        <w:rPr/>
        <w:t>优先股相关情况</w:t>
      </w:r>
      <w:r>
        <w:rPr>
          <w:b w:val="0"/>
          <w:bCs w:val="0"/>
        </w:rPr>
      </w:r>
    </w:p>
    <w:p>
      <w:pPr>
        <w:spacing w:line="240" w:lineRule="auto" w:before="8"/>
        <w:rPr>
          <w:rFonts w:ascii="Microsoft JhengHei" w:hAnsi="Microsoft JhengHei" w:cs="Microsoft JhengHei" w:eastAsia="Microsoft JhengHei" w:hint="default"/>
          <w:b/>
          <w:bCs/>
          <w:sz w:val="27"/>
          <w:szCs w:val="27"/>
        </w:rPr>
      </w:pPr>
    </w:p>
    <w:p>
      <w:pPr>
        <w:spacing w:line="338" w:lineRule="auto" w:before="44"/>
        <w:ind w:left="152" w:right="7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1679" w:right="0"/>
        <w:jc w:val="left"/>
        <w:rPr>
          <w:b w:val="0"/>
          <w:bCs w:val="0"/>
        </w:rPr>
      </w:pPr>
      <w:bookmarkStart w:name="_bookmark7" w:id="8"/>
      <w:bookmarkEnd w:id="8"/>
      <w:r>
        <w:rPr>
          <w:b w:val="0"/>
          <w:bCs w:val="0"/>
        </w:rPr>
      </w:r>
      <w:r>
        <w:rPr/>
        <w:t>第八节 </w:t>
      </w:r>
      <w:r>
        <w:rPr>
          <w:spacing w:val="18"/>
        </w:rPr>
        <w:t> </w:t>
      </w:r>
      <w:r>
        <w:rPr/>
        <w:t>董事、监事、高级管理人员和员工情况</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pict>
          <v:shape style="position:absolute;margin-left:471.583008pt;margin-top:36.793621pt;width:63.6pt;height:50.9pt;mso-position-horizontal-relative:page;mso-position-vertical-relative:paragraph;z-index:-682216" type="#_x0000_t202" filled="false" stroked="false">
            <v:textbox inset="0,0,0,0">
              <w:txbxContent>
                <w:p>
                  <w:pPr>
                    <w:spacing w:line="240" w:lineRule="auto" w:before="0"/>
                    <w:rPr>
                      <w:rFonts w:ascii="Microsoft JhengHei" w:hAnsi="Microsoft JhengHei" w:cs="Microsoft JhengHei" w:eastAsia="Microsoft JhengHei" w:hint="default"/>
                      <w:b/>
                      <w:bCs/>
                      <w:sz w:val="18"/>
                      <w:szCs w:val="18"/>
                    </w:rPr>
                  </w:pPr>
                </w:p>
                <w:p>
                  <w:pPr>
                    <w:spacing w:line="240" w:lineRule="auto" w:before="12"/>
                    <w:rPr>
                      <w:rFonts w:ascii="Microsoft JhengHei" w:hAnsi="Microsoft JhengHei" w:cs="Microsoft JhengHei" w:eastAsia="Microsoft JhengHei" w:hint="default"/>
                      <w:b/>
                      <w:bCs/>
                      <w:sz w:val="11"/>
                      <w:szCs w:val="1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t>一、董事、监事和高级管理人员持股变动</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7"/>
        <w:gridCol w:w="797"/>
        <w:gridCol w:w="797"/>
        <w:gridCol w:w="800"/>
        <w:gridCol w:w="797"/>
        <w:gridCol w:w="799"/>
        <w:gridCol w:w="797"/>
        <w:gridCol w:w="799"/>
        <w:gridCol w:w="797"/>
      </w:tblGrid>
      <w:tr>
        <w:trPr>
          <w:trHeight w:val="102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13" w:right="34" w:hanging="181"/>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35" w:firstLine="9"/>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林伟章</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董事、董 事长兼董 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黄仕群</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黄逸贤</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陈惠板</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林伟亮</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林桐波</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黄仕昭</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郑伟华</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乔新睿</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郑昕</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董事会秘 书、副总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4"/>
        <w:rPr>
          <w:rFonts w:ascii="Microsoft JhengHei" w:hAnsi="Microsoft JhengHei" w:cs="Microsoft JhengHei" w:eastAsia="Microsoft JhengHei" w:hint="default"/>
          <w:b/>
          <w:bCs/>
          <w:sz w:val="17"/>
          <w:szCs w:val="17"/>
        </w:rPr>
      </w:pPr>
    </w:p>
    <w:p>
      <w:pPr>
        <w:pStyle w:val="Heading2"/>
        <w:spacing w:line="367" w:lineRule="exact"/>
        <w:ind w:right="102"/>
        <w:jc w:val="left"/>
        <w:rPr>
          <w:b w:val="0"/>
          <w:bCs w:val="0"/>
        </w:rPr>
      </w:pPr>
      <w:r>
        <w:rPr/>
        <w:t>二、公司董事、监事、高级管理人员变动情况</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1329"/>
        <w:gridCol w:w="1330"/>
        <w:gridCol w:w="1332"/>
        <w:gridCol w:w="1330"/>
        <w:gridCol w:w="4246"/>
      </w:tblGrid>
      <w:tr>
        <w:trPr>
          <w:trHeight w:val="401"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林伟亮</w:t>
            </w:r>
          </w:p>
        </w:tc>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3" w:hRule="exact"/>
        </w:trPr>
        <w:tc>
          <w:tcPr>
            <w:tcW w:w="13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郑昕</w:t>
            </w:r>
          </w:p>
        </w:tc>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3" w:right="34"/>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both"/>
        <w:rPr>
          <w:b w:val="0"/>
          <w:bCs w:val="0"/>
        </w:rPr>
      </w:pPr>
      <w:r>
        <w:rPr/>
        <w:t>三、任职情况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pStyle w:val="BodyText"/>
        <w:spacing w:line="249" w:lineRule="auto" w:before="27"/>
        <w:ind w:left="573" w:right="102" w:firstLine="2"/>
        <w:jc w:val="left"/>
      </w:pPr>
      <w:r>
        <w:rPr>
          <w:rFonts w:ascii="Microsoft JhengHei" w:hAnsi="Microsoft JhengHei" w:cs="Microsoft JhengHei" w:eastAsia="Microsoft JhengHei" w:hint="default"/>
          <w:b/>
          <w:bCs/>
        </w:rPr>
        <w:t>（一）现任董事</w:t>
      </w:r>
      <w:r>
        <w:rPr>
          <w:rFonts w:ascii="Microsoft JhengHei" w:hAnsi="Microsoft JhengHei" w:cs="Microsoft JhengHei" w:eastAsia="Microsoft JhengHei" w:hint="default"/>
          <w:b/>
          <w:bCs/>
          <w:spacing w:val="-47"/>
        </w:rPr>
        <w:t> </w:t>
      </w:r>
      <w:r>
        <w:rPr>
          <w:spacing w:val="-2"/>
        </w:rPr>
        <w:t>林伟章，男，</w:t>
      </w:r>
      <w:r>
        <w:rPr>
          <w:rFonts w:ascii="Times New Roman" w:hAnsi="Times New Roman" w:cs="Times New Roman" w:eastAsia="Times New Roman" w:hint="default"/>
          <w:spacing w:val="-2"/>
        </w:rPr>
        <w:t>1974</w:t>
      </w:r>
      <w:r>
        <w:rPr>
          <w:spacing w:val="-2"/>
        </w:rPr>
        <w:t>年出生，中国国籍，无境外永久居留权。中共党员，在职本科学历。林伟章先生是</w:t>
      </w:r>
    </w:p>
    <w:p>
      <w:pPr>
        <w:pStyle w:val="BodyText"/>
        <w:spacing w:line="273" w:lineRule="auto" w:before="12"/>
        <w:ind w:right="206"/>
        <w:jc w:val="both"/>
      </w:pPr>
      <w:r>
        <w:rPr>
          <w:spacing w:val="-2"/>
        </w:rPr>
        <w:t>本公司的主要创立者之一、实际控制人，现任本公司董事长，并担任广东省青年联合会常委、广东省玩具</w:t>
      </w:r>
      <w:r>
        <w:rPr>
          <w:spacing w:val="-47"/>
        </w:rPr>
        <w:t> </w:t>
      </w:r>
      <w:r>
        <w:rPr>
          <w:spacing w:val="-47"/>
        </w:rPr>
      </w:r>
      <w:r>
        <w:rPr>
          <w:spacing w:val="-2"/>
        </w:rPr>
        <w:t>协会副会长、广东省小额贷款公司协会副会长、汕头市小额贷款融资担保协会会长、汕头市青年企业家协</w:t>
      </w:r>
      <w:r>
        <w:rPr>
          <w:spacing w:val="-43"/>
        </w:rPr>
        <w:t> </w:t>
      </w:r>
      <w:r>
        <w:rPr>
          <w:spacing w:val="-43"/>
        </w:rPr>
      </w:r>
      <w:r>
        <w:rPr>
          <w:spacing w:val="-2"/>
        </w:rPr>
        <w:t>会副会长、广东省汕头市人大代表、深圳汕头商会名誉会长、义乌澄海商会名誉会长、广东潮安县政协委</w:t>
      </w:r>
      <w:r>
        <w:rPr>
          <w:spacing w:val="-50"/>
        </w:rPr>
        <w:t> </w:t>
      </w:r>
      <w:r>
        <w:rPr>
          <w:spacing w:val="-50"/>
        </w:rPr>
      </w:r>
      <w:r>
        <w:rPr/>
        <w:t>员等职，具备</w:t>
      </w:r>
      <w:r>
        <w:rPr>
          <w:rFonts w:ascii="Times New Roman" w:hAnsi="Times New Roman" w:cs="Times New Roman" w:eastAsia="Times New Roman" w:hint="default"/>
        </w:rPr>
        <w:t>24</w:t>
      </w:r>
      <w:r>
        <w:rPr/>
        <w:t>年的玩具行业从业经验。公司第一、第二届董事会董事。</w:t>
      </w:r>
    </w:p>
    <w:p>
      <w:pPr>
        <w:pStyle w:val="BodyText"/>
        <w:spacing w:line="264" w:lineRule="auto"/>
        <w:ind w:right="184" w:firstLine="420"/>
        <w:jc w:val="right"/>
      </w:pPr>
      <w:r>
        <w:rPr>
          <w:spacing w:val="-2"/>
        </w:rPr>
        <w:t>黄仕群，男，</w:t>
      </w:r>
      <w:r>
        <w:rPr>
          <w:rFonts w:ascii="Times New Roman" w:hAnsi="Times New Roman" w:cs="Times New Roman" w:eastAsia="Times New Roman" w:hint="default"/>
          <w:spacing w:val="-2"/>
        </w:rPr>
        <w:t>1963</w:t>
      </w:r>
      <w:r>
        <w:rPr>
          <w:spacing w:val="-2"/>
        </w:rPr>
        <w:t>年出生，中国国籍，无境外永久居留权。本科学历，毕业于北京地质大学。黄仕群</w:t>
      </w:r>
      <w:r>
        <w:rPr>
          <w:w w:val="100"/>
        </w:rPr>
        <w:t> </w:t>
      </w:r>
      <w:r>
        <w:rPr>
          <w:spacing w:val="-2"/>
        </w:rPr>
        <w:t>先生是本公司主要创立者之一、实际控制人，并长期主管公司采购、生产、财务等工作，现任本公司董事</w:t>
      </w:r>
      <w:r>
        <w:rPr>
          <w:spacing w:val="-87"/>
        </w:rPr>
        <w:t> </w:t>
      </w:r>
      <w:r>
        <w:rPr>
          <w:spacing w:val="-87"/>
        </w:rPr>
      </w:r>
      <w:r>
        <w:rPr>
          <w:spacing w:val="-2"/>
        </w:rPr>
        <w:t>兼总经理，并担任群興玩具（香港）有限公司执行董事，澄海工商联合会副会长、澄海青年企业家联合会</w:t>
      </w:r>
      <w:r>
        <w:rPr>
          <w:spacing w:val="-87"/>
        </w:rPr>
        <w:t> </w:t>
      </w:r>
      <w:r>
        <w:rPr>
          <w:spacing w:val="-87"/>
        </w:rPr>
      </w:r>
      <w:r>
        <w:rPr>
          <w:spacing w:val="-2"/>
        </w:rPr>
        <w:t>名誉会长、汕头市澄海区政协常委等职。具备</w:t>
      </w:r>
      <w:r>
        <w:rPr>
          <w:rFonts w:ascii="Times New Roman" w:hAnsi="Times New Roman" w:cs="Times New Roman" w:eastAsia="Times New Roman" w:hint="default"/>
          <w:spacing w:val="-2"/>
        </w:rPr>
        <w:t>23</w:t>
      </w:r>
      <w:r>
        <w:rPr>
          <w:spacing w:val="-2"/>
        </w:rPr>
        <w:t>年的玩具行业从业经验。公司第一、第二届董事会董事。</w:t>
      </w:r>
      <w:r>
        <w:rPr>
          <w:spacing w:val="-47"/>
        </w:rPr>
        <w:t> </w:t>
      </w:r>
      <w:r>
        <w:rPr>
          <w:spacing w:val="-47"/>
        </w:rPr>
      </w:r>
      <w:r>
        <w:rPr>
          <w:spacing w:val="-2"/>
        </w:rPr>
        <w:t>黄逸贤，男，</w:t>
      </w:r>
      <w:r>
        <w:rPr>
          <w:rFonts w:ascii="Times New Roman" w:hAnsi="Times New Roman" w:cs="Times New Roman" w:eastAsia="Times New Roman" w:hint="default"/>
          <w:spacing w:val="-2"/>
        </w:rPr>
        <w:t>1972</w:t>
      </w:r>
      <w:r>
        <w:rPr>
          <w:spacing w:val="-2"/>
        </w:rPr>
        <w:t>年出生，中国国籍，无境外永久居留权。本科学历。</w:t>
      </w:r>
      <w:r>
        <w:rPr>
          <w:rFonts w:ascii="Times New Roman" w:hAnsi="Times New Roman" w:cs="Times New Roman" w:eastAsia="Times New Roman" w:hint="default"/>
          <w:spacing w:val="-2"/>
        </w:rPr>
        <w:t>1996</w:t>
      </w:r>
      <w:r>
        <w:rPr>
          <w:spacing w:val="-2"/>
        </w:rPr>
        <w:t>年加入本公司，历任公司</w:t>
      </w:r>
      <w:r>
        <w:rPr>
          <w:w w:val="100"/>
        </w:rPr>
        <w:t> </w:t>
      </w:r>
      <w:r>
        <w:rPr>
          <w:spacing w:val="-2"/>
        </w:rPr>
        <w:t>采购部经理、生产部经理、副总经理，现任公司董事，主管公司生产、行政及人力资源管理等工作。高级</w:t>
      </w:r>
      <w:r>
        <w:rPr>
          <w:spacing w:val="-85"/>
        </w:rPr>
        <w:t> </w:t>
      </w:r>
      <w:r>
        <w:rPr>
          <w:spacing w:val="-85"/>
        </w:rPr>
      </w:r>
      <w:r>
        <w:rPr>
          <w:spacing w:val="-2"/>
        </w:rPr>
        <w:t>玩具设计师，国家认证认可监督委员会强制性产品认证技术专家组成员，具备</w:t>
      </w:r>
      <w:r>
        <w:rPr>
          <w:rFonts w:ascii="Times New Roman" w:hAnsi="Times New Roman" w:cs="Times New Roman" w:eastAsia="Times New Roman" w:hint="default"/>
          <w:spacing w:val="-2"/>
        </w:rPr>
        <w:t>23</w:t>
      </w:r>
      <w:r>
        <w:rPr>
          <w:spacing w:val="-2"/>
        </w:rPr>
        <w:t>年的玩具行业从业经验。</w:t>
      </w:r>
    </w:p>
    <w:p>
      <w:pPr>
        <w:pStyle w:val="BodyText"/>
        <w:spacing w:line="273" w:lineRule="auto"/>
        <w:ind w:left="573" w:right="102" w:hanging="421"/>
        <w:jc w:val="left"/>
      </w:pPr>
      <w:r>
        <w:rPr/>
        <w:t>公司第一、第二届董事会董事。</w:t>
      </w:r>
      <w:r>
        <w:rPr>
          <w:w w:val="100"/>
        </w:rPr>
        <w:t> </w:t>
      </w:r>
      <w:r>
        <w:rPr>
          <w:spacing w:val="-2"/>
        </w:rPr>
        <w:t>陈惠板，男，</w:t>
      </w:r>
      <w:r>
        <w:rPr>
          <w:rFonts w:ascii="Times New Roman" w:hAnsi="Times New Roman" w:cs="Times New Roman" w:eastAsia="Times New Roman" w:hint="default"/>
          <w:spacing w:val="-2"/>
        </w:rPr>
        <w:t>1973</w:t>
      </w:r>
      <w:r>
        <w:rPr>
          <w:spacing w:val="-2"/>
        </w:rPr>
        <w:t>年出生，中国国籍，无境外永久居留权。本科学历，毕业于华南农业大学。现任本</w:t>
      </w:r>
    </w:p>
    <w:p>
      <w:pPr>
        <w:pStyle w:val="BodyText"/>
        <w:spacing w:line="273" w:lineRule="auto"/>
        <w:ind w:right="206"/>
        <w:jc w:val="both"/>
      </w:pPr>
      <w:r>
        <w:rPr>
          <w:spacing w:val="-2"/>
        </w:rPr>
        <w:t>公司副总经理，曾任职汕头市中联建会计师事务所有限公司，汕头海信发展有限公司任财务总监。公司第</w:t>
      </w:r>
      <w:r>
        <w:rPr>
          <w:spacing w:val="-45"/>
        </w:rPr>
        <w:t> </w:t>
      </w:r>
      <w:r>
        <w:rPr>
          <w:spacing w:val="-45"/>
        </w:rPr>
      </w:r>
      <w:r>
        <w:rPr/>
        <w:t>二届董事会董事。</w:t>
      </w:r>
    </w:p>
    <w:p>
      <w:pPr>
        <w:pStyle w:val="BodyText"/>
        <w:spacing w:line="266" w:lineRule="auto" w:before="7"/>
        <w:ind w:right="206" w:firstLine="420"/>
        <w:jc w:val="both"/>
      </w:pPr>
      <w:r>
        <w:rPr>
          <w:spacing w:val="-2"/>
        </w:rPr>
        <w:t>蔡友杰，男，</w:t>
      </w:r>
      <w:r>
        <w:rPr>
          <w:rFonts w:ascii="Times New Roman" w:hAnsi="Times New Roman" w:cs="Times New Roman" w:eastAsia="Times New Roman" w:hint="default"/>
          <w:spacing w:val="-2"/>
        </w:rPr>
        <w:t>1964</w:t>
      </w:r>
      <w:r>
        <w:rPr>
          <w:spacing w:val="-2"/>
        </w:rPr>
        <w:t>年出生，中国国籍，无境外永久居留权。中共党员，中山大学</w:t>
      </w:r>
      <w:r>
        <w:rPr>
          <w:rFonts w:ascii="Times New Roman" w:hAnsi="Times New Roman" w:cs="Times New Roman" w:eastAsia="Times New Roman" w:hint="default"/>
          <w:spacing w:val="-2"/>
        </w:rPr>
        <w:t>EMBA</w:t>
      </w:r>
      <w:r>
        <w:rPr>
          <w:spacing w:val="-2"/>
        </w:rPr>
        <w:t>，会计师，中</w:t>
      </w:r>
      <w:r>
        <w:rPr>
          <w:w w:val="100"/>
        </w:rPr>
        <w:t> </w:t>
      </w:r>
      <w:r>
        <w:rPr>
          <w:spacing w:val="-2"/>
        </w:rPr>
        <w:t>国注册会计师。现任本公司独立董事，并兼任汕头市丰业会计师事务所副主任会计师，汕头市澄海区青年</w:t>
      </w:r>
      <w:r>
        <w:rPr>
          <w:spacing w:val="-44"/>
        </w:rPr>
        <w:t> </w:t>
      </w:r>
      <w:r>
        <w:rPr>
          <w:spacing w:val="-44"/>
        </w:rPr>
      </w:r>
      <w:r>
        <w:rPr/>
        <w:t>企业家协会理事。公司第一、第二届董事会独立董事。</w:t>
      </w:r>
    </w:p>
    <w:p>
      <w:pPr>
        <w:pStyle w:val="BodyText"/>
        <w:spacing w:line="266" w:lineRule="auto" w:before="14"/>
        <w:ind w:right="102" w:firstLine="420"/>
        <w:jc w:val="left"/>
      </w:pPr>
      <w:r>
        <w:rPr>
          <w:spacing w:val="-2"/>
        </w:rPr>
        <w:t>金连文，男，</w:t>
      </w:r>
      <w:r>
        <w:rPr>
          <w:rFonts w:ascii="Times New Roman" w:hAnsi="Times New Roman" w:cs="Times New Roman" w:eastAsia="Times New Roman" w:hint="default"/>
          <w:spacing w:val="-2"/>
        </w:rPr>
        <w:t>1968</w:t>
      </w:r>
      <w:r>
        <w:rPr>
          <w:spacing w:val="-2"/>
        </w:rPr>
        <w:t>年出生，中国国籍，无境外永久居留权。博士学历，教授，博士生导师。现任本公</w:t>
      </w:r>
      <w:r>
        <w:rPr>
          <w:w w:val="100"/>
        </w:rPr>
        <w:t> </w:t>
      </w:r>
      <w:r>
        <w:rPr>
          <w:spacing w:val="-2"/>
        </w:rPr>
        <w:t>司独立董事，并兼任华南理工大学电子与信息学院信息工程系主任，广东省图像图形学会常务理事，微软</w:t>
      </w:r>
      <w:r>
        <w:rPr>
          <w:spacing w:val="-43"/>
        </w:rPr>
        <w:t> </w:t>
      </w:r>
      <w:r>
        <w:rPr>
          <w:spacing w:val="-43"/>
        </w:rPr>
      </w:r>
      <w:r>
        <w:rPr>
          <w:spacing w:val="-5"/>
        </w:rPr>
        <w:t>技术俱乐部顾问，中国图象图形学学会理事，新浪微博社区专家委员会委员。曾获广东省科技进步一等奖、 </w:t>
      </w:r>
      <w:r>
        <w:rPr>
          <w:spacing w:val="-5"/>
        </w:rPr>
      </w:r>
      <w:r>
        <w:rPr/>
        <w:t>教育部新世纪优秀人才支持计划等奖励。公司第一、第二届董事会独立董事。</w:t>
      </w:r>
    </w:p>
    <w:p>
      <w:pPr>
        <w:pStyle w:val="BodyText"/>
        <w:spacing w:line="240" w:lineRule="auto" w:before="14"/>
        <w:ind w:left="573" w:right="102"/>
        <w:jc w:val="left"/>
      </w:pPr>
      <w:r>
        <w:rPr/>
        <w:t>王文璧，男，</w:t>
      </w:r>
      <w:r>
        <w:rPr>
          <w:rFonts w:ascii="Times New Roman" w:hAnsi="Times New Roman" w:cs="Times New Roman" w:eastAsia="Times New Roman" w:hint="default"/>
        </w:rPr>
        <w:t>1964</w:t>
      </w:r>
      <w:r>
        <w:rPr/>
        <w:t>年出生，中国国籍，无境外永久居留权。大专学历。现任本公司独立董事，并兼任</w:t>
      </w:r>
    </w:p>
    <w:p>
      <w:pPr>
        <w:pStyle w:val="BodyText"/>
        <w:spacing w:line="273" w:lineRule="auto" w:before="21"/>
        <w:ind w:right="206"/>
        <w:jc w:val="both"/>
      </w:pPr>
      <w:r>
        <w:rPr>
          <w:spacing w:val="-2"/>
        </w:rPr>
        <w:t>《玩具世界》杂志社社长兼总编辑，汕头市启明星文化产业有限公司董事长，中国工艺美术协会玩具专业</w:t>
      </w:r>
      <w:r>
        <w:rPr>
          <w:spacing w:val="-44"/>
        </w:rPr>
        <w:t> </w:t>
      </w:r>
      <w:r>
        <w:rPr>
          <w:spacing w:val="-44"/>
        </w:rPr>
      </w:r>
      <w:r>
        <w:rPr/>
        <w:t>委员会副主任，汕头市澄海区玩具协会副秘书长等职。公司第一、第二届董事会独立董事。</w:t>
      </w:r>
    </w:p>
    <w:p>
      <w:pPr>
        <w:pStyle w:val="BodyText"/>
        <w:spacing w:line="312" w:lineRule="exact" w:before="3"/>
        <w:ind w:left="573" w:right="102" w:firstLine="2"/>
        <w:jc w:val="left"/>
      </w:pPr>
      <w:r>
        <w:rPr>
          <w:rFonts w:ascii="Microsoft JhengHei" w:hAnsi="Microsoft JhengHei" w:cs="Microsoft JhengHei" w:eastAsia="Microsoft JhengHei" w:hint="default"/>
          <w:b/>
          <w:bCs/>
        </w:rPr>
        <w:t>（二）现任监事</w:t>
      </w:r>
      <w:r>
        <w:rPr>
          <w:rFonts w:ascii="Microsoft JhengHei" w:hAnsi="Microsoft JhengHei" w:cs="Microsoft JhengHei" w:eastAsia="Microsoft JhengHei" w:hint="default"/>
          <w:b/>
          <w:bCs/>
          <w:spacing w:val="-47"/>
        </w:rPr>
        <w:t> </w:t>
      </w:r>
      <w:r>
        <w:rPr>
          <w:spacing w:val="-2"/>
        </w:rPr>
        <w:t>林桐波，男，</w:t>
      </w:r>
      <w:r>
        <w:rPr>
          <w:rFonts w:ascii="Times New Roman" w:hAnsi="Times New Roman" w:cs="Times New Roman" w:eastAsia="Times New Roman" w:hint="default"/>
          <w:spacing w:val="-2"/>
        </w:rPr>
        <w:t>1975</w:t>
      </w:r>
      <w:r>
        <w:rPr>
          <w:spacing w:val="-2"/>
        </w:rPr>
        <w:t>年出生，中国国籍，无境外永久居留权。高中学历。</w:t>
      </w:r>
      <w:r>
        <w:rPr>
          <w:rFonts w:ascii="Times New Roman" w:hAnsi="Times New Roman" w:cs="Times New Roman" w:eastAsia="Times New Roman" w:hint="default"/>
          <w:spacing w:val="-2"/>
        </w:rPr>
        <w:t>1996</w:t>
      </w:r>
      <w:r>
        <w:rPr>
          <w:spacing w:val="-2"/>
        </w:rPr>
        <w:t>年加入本公司从事销售部</w:t>
      </w:r>
    </w:p>
    <w:p>
      <w:pPr>
        <w:pStyle w:val="BodyText"/>
        <w:spacing w:line="256" w:lineRule="auto" w:before="4"/>
        <w:ind w:right="211"/>
        <w:jc w:val="both"/>
      </w:pPr>
      <w:r>
        <w:rPr>
          <w:spacing w:val="-2"/>
        </w:rPr>
        <w:t>工作，自</w:t>
      </w:r>
      <w:r>
        <w:rPr>
          <w:rFonts w:ascii="Times New Roman" w:hAnsi="Times New Roman" w:cs="Times New Roman" w:eastAsia="Times New Roman" w:hint="default"/>
          <w:spacing w:val="-2"/>
        </w:rPr>
        <w:t>2001</w:t>
      </w:r>
      <w:r>
        <w:rPr>
          <w:spacing w:val="-2"/>
        </w:rPr>
        <w:t>年开始负责公司销售部业务，现任本公司监事会主席，市场营销部经理。具备</w:t>
      </w:r>
      <w:r>
        <w:rPr>
          <w:rFonts w:ascii="Times New Roman" w:hAnsi="Times New Roman" w:cs="Times New Roman" w:eastAsia="Times New Roman" w:hint="default"/>
          <w:spacing w:val="-2"/>
        </w:rPr>
        <w:t>18</w:t>
      </w:r>
      <w:r>
        <w:rPr>
          <w:spacing w:val="-2"/>
        </w:rPr>
        <w:t>年的玩具行</w:t>
      </w:r>
      <w:r>
        <w:rPr>
          <w:spacing w:val="-43"/>
        </w:rPr>
        <w:t> </w:t>
      </w:r>
      <w:r>
        <w:rPr>
          <w:spacing w:val="-43"/>
        </w:rPr>
      </w:r>
      <w:r>
        <w:rPr/>
        <w:t>业从业经验。公司第一、第二届监事会监事。</w:t>
      </w:r>
    </w:p>
    <w:p>
      <w:pPr>
        <w:pStyle w:val="BodyText"/>
        <w:spacing w:line="240" w:lineRule="auto" w:before="22"/>
        <w:ind w:left="573" w:right="102"/>
        <w:jc w:val="left"/>
      </w:pPr>
      <w:r>
        <w:rPr/>
        <w:t>黄仕昭，男，</w:t>
      </w:r>
      <w:r>
        <w:rPr>
          <w:rFonts w:ascii="Times New Roman" w:hAnsi="Times New Roman" w:cs="Times New Roman" w:eastAsia="Times New Roman" w:hint="default"/>
        </w:rPr>
        <w:t>1960</w:t>
      </w:r>
      <w:r>
        <w:rPr/>
        <w:t>年出生，中国国籍，无境外永久居留权。现任本公司监事，具备</w:t>
      </w:r>
      <w:r>
        <w:rPr>
          <w:rFonts w:ascii="Times New Roman" w:hAnsi="Times New Roman" w:cs="Times New Roman" w:eastAsia="Times New Roman" w:hint="default"/>
        </w:rPr>
        <w:t>18</w:t>
      </w:r>
      <w:r>
        <w:rPr/>
        <w:t>年的玩具行业从</w:t>
      </w:r>
    </w:p>
    <w:p>
      <w:pPr>
        <w:spacing w:after="0" w:line="240"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BodyText"/>
        <w:spacing w:line="273" w:lineRule="auto" w:before="36"/>
        <w:ind w:left="573" w:right="0" w:hanging="421"/>
        <w:jc w:val="left"/>
      </w:pPr>
      <w:r>
        <w:rPr/>
        <w:t>业经验。公司第一、第二届监事会监事。</w:t>
      </w:r>
      <w:r>
        <w:rPr>
          <w:w w:val="100"/>
        </w:rPr>
        <w:t> </w:t>
      </w:r>
      <w:r>
        <w:rPr>
          <w:spacing w:val="-2"/>
        </w:rPr>
        <w:t>郑伟华，男，</w:t>
      </w:r>
      <w:r>
        <w:rPr>
          <w:rFonts w:ascii="Times New Roman" w:hAnsi="Times New Roman" w:cs="Times New Roman" w:eastAsia="Times New Roman" w:hint="default"/>
          <w:spacing w:val="-2"/>
        </w:rPr>
        <w:t>1978</w:t>
      </w:r>
      <w:r>
        <w:rPr>
          <w:spacing w:val="-2"/>
        </w:rPr>
        <w:t>年出生，中国国籍，无境外永久居留权。</w:t>
      </w:r>
      <w:r>
        <w:rPr>
          <w:rFonts w:ascii="Times New Roman" w:hAnsi="Times New Roman" w:cs="Times New Roman" w:eastAsia="Times New Roman" w:hint="default"/>
          <w:spacing w:val="-2"/>
        </w:rPr>
        <w:t>1997</w:t>
      </w:r>
      <w:r>
        <w:rPr>
          <w:spacing w:val="-2"/>
        </w:rPr>
        <w:t>年加入本公司负责生产管理部工作，</w:t>
      </w:r>
    </w:p>
    <w:p>
      <w:pPr>
        <w:pStyle w:val="BodyText"/>
        <w:spacing w:line="257" w:lineRule="exact"/>
        <w:ind w:right="0"/>
        <w:jc w:val="left"/>
      </w:pPr>
      <w:r>
        <w:rPr/>
        <w:t>现任本公司生产管理部经理，具备</w:t>
      </w:r>
      <w:r>
        <w:rPr>
          <w:rFonts w:ascii="Times New Roman" w:hAnsi="Times New Roman" w:cs="Times New Roman" w:eastAsia="Times New Roman" w:hint="default"/>
        </w:rPr>
        <w:t>18</w:t>
      </w:r>
      <w:r>
        <w:rPr/>
        <w:t>年的玩具生产管理经验。公司第二届监事会监事。</w:t>
      </w:r>
    </w:p>
    <w:p>
      <w:pPr>
        <w:pStyle w:val="BodyText"/>
        <w:spacing w:line="312" w:lineRule="exact" w:before="39"/>
        <w:ind w:left="573" w:right="1674" w:firstLine="2"/>
        <w:jc w:val="left"/>
      </w:pPr>
      <w:r>
        <w:rPr>
          <w:rFonts w:ascii="Microsoft JhengHei" w:hAnsi="Microsoft JhengHei" w:cs="Microsoft JhengHei" w:eastAsia="Microsoft JhengHei" w:hint="default"/>
          <w:b/>
          <w:bCs/>
        </w:rPr>
        <w:t>（三）现任高级管理人员</w:t>
      </w:r>
      <w:r>
        <w:rPr>
          <w:rFonts w:ascii="Microsoft JhengHei" w:hAnsi="Microsoft JhengHei" w:cs="Microsoft JhengHei" w:eastAsia="Microsoft JhengHei" w:hint="default"/>
          <w:b/>
          <w:bCs/>
          <w:spacing w:val="-45"/>
        </w:rPr>
        <w:t> </w:t>
      </w:r>
      <w:r>
        <w:rPr>
          <w:rFonts w:ascii="Microsoft JhengHei" w:hAnsi="Microsoft JhengHei" w:cs="Microsoft JhengHei" w:eastAsia="Microsoft JhengHei" w:hint="default"/>
          <w:b/>
          <w:bCs/>
          <w:spacing w:val="-45"/>
        </w:rPr>
      </w:r>
      <w:r>
        <w:rPr/>
        <w:t>黄仕群，现任公司董事兼总经理，具体情况参见</w:t>
      </w:r>
      <w:r>
        <w:rPr>
          <w:rFonts w:ascii="Times New Roman" w:hAnsi="Times New Roman" w:cs="Times New Roman" w:eastAsia="Times New Roman" w:hint="default"/>
        </w:rPr>
        <w:t>“</w:t>
      </w:r>
      <w:r>
        <w:rPr/>
        <w:t>（一）现任董事</w:t>
      </w:r>
      <w:r>
        <w:rPr>
          <w:rFonts w:ascii="Times New Roman" w:hAnsi="Times New Roman" w:cs="Times New Roman" w:eastAsia="Times New Roman" w:hint="default"/>
        </w:rPr>
        <w:t>”</w:t>
      </w:r>
      <w:r>
        <w:rPr/>
        <w:t>。</w:t>
      </w:r>
      <w:r>
        <w:rPr>
          <w:w w:val="100"/>
        </w:rPr>
        <w:t> </w:t>
      </w:r>
      <w:r>
        <w:rPr>
          <w:spacing w:val="-2"/>
        </w:rPr>
        <w:t>黄逸贤，现任公司董事兼副总经理，具体情况参见</w:t>
      </w:r>
      <w:r>
        <w:rPr>
          <w:rFonts w:ascii="Times New Roman" w:hAnsi="Times New Roman" w:cs="Times New Roman" w:eastAsia="Times New Roman" w:hint="default"/>
          <w:spacing w:val="-2"/>
        </w:rPr>
        <w:t>“</w:t>
      </w:r>
      <w:r>
        <w:rPr>
          <w:spacing w:val="-2"/>
        </w:rPr>
        <w:t>（一）现任董事</w:t>
      </w:r>
      <w:r>
        <w:rPr>
          <w:rFonts w:ascii="Times New Roman" w:hAnsi="Times New Roman" w:cs="Times New Roman" w:eastAsia="Times New Roman" w:hint="default"/>
          <w:spacing w:val="-2"/>
        </w:rPr>
        <w:t>”</w:t>
      </w:r>
      <w:r>
        <w:rPr>
          <w:spacing w:val="-2"/>
        </w:rPr>
        <w:t>。</w:t>
      </w:r>
    </w:p>
    <w:p>
      <w:pPr>
        <w:pStyle w:val="BodyText"/>
        <w:spacing w:line="264" w:lineRule="auto" w:before="4"/>
        <w:ind w:right="146" w:firstLine="420"/>
        <w:jc w:val="both"/>
      </w:pPr>
      <w:r>
        <w:rPr>
          <w:spacing w:val="-2"/>
        </w:rPr>
        <w:t>乔新睿，男，</w:t>
      </w:r>
      <w:r>
        <w:rPr>
          <w:rFonts w:ascii="Times New Roman" w:hAnsi="Times New Roman" w:cs="Times New Roman" w:eastAsia="Times New Roman" w:hint="default"/>
          <w:spacing w:val="-2"/>
        </w:rPr>
        <w:t>1977</w:t>
      </w:r>
      <w:r>
        <w:rPr>
          <w:spacing w:val="-2"/>
        </w:rPr>
        <w:t>年出生，中国国籍，无境外永久居留权。本科学历，毕业于中南财经政法大学。现</w:t>
      </w:r>
      <w:r>
        <w:rPr>
          <w:w w:val="100"/>
        </w:rPr>
        <w:t> </w:t>
      </w:r>
      <w:r>
        <w:rPr>
          <w:spacing w:val="-2"/>
        </w:rPr>
        <w:t>任本公司财务总监，曾任职广东美的电器股份有限公司财务管理中心，广东嘉应制药股份有限公司财务经</w:t>
      </w:r>
      <w:r>
        <w:rPr>
          <w:spacing w:val="-42"/>
        </w:rPr>
        <w:t> </w:t>
      </w:r>
      <w:r>
        <w:rPr>
          <w:spacing w:val="-42"/>
        </w:rPr>
      </w:r>
      <w:r>
        <w:rPr/>
        <w:t>理。</w:t>
      </w:r>
    </w:p>
    <w:p>
      <w:pPr>
        <w:pStyle w:val="BodyText"/>
        <w:spacing w:line="240" w:lineRule="auto" w:before="16"/>
        <w:ind w:left="573" w:right="0"/>
        <w:jc w:val="left"/>
      </w:pPr>
      <w:r>
        <w:rPr/>
        <w:t>陈惠板，现任公司董事兼副总经理，具体情况参见</w:t>
      </w:r>
      <w:r>
        <w:rPr>
          <w:rFonts w:ascii="Times New Roman" w:hAnsi="Times New Roman" w:cs="Times New Roman" w:eastAsia="Times New Roman" w:hint="default"/>
        </w:rPr>
        <w:t>“</w:t>
      </w:r>
      <w:r>
        <w:rPr/>
        <w:t>（一）现任董事</w:t>
      </w:r>
      <w:r>
        <w:rPr>
          <w:rFonts w:ascii="Times New Roman" w:hAnsi="Times New Roman" w:cs="Times New Roman" w:eastAsia="Times New Roman" w:hint="default"/>
        </w:rPr>
        <w:t>”</w:t>
      </w:r>
      <w:r>
        <w:rPr/>
        <w:t>。</w:t>
      </w:r>
    </w:p>
    <w:p>
      <w:pPr>
        <w:spacing w:before="83"/>
        <w:ind w:left="152"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16"/>
        <w:gridCol w:w="3231"/>
        <w:gridCol w:w="1078"/>
        <w:gridCol w:w="1212"/>
        <w:gridCol w:w="1347"/>
        <w:gridCol w:w="1486"/>
      </w:tblGrid>
      <w:tr>
        <w:trPr>
          <w:trHeight w:val="714" w:hRule="exact"/>
        </w:trPr>
        <w:tc>
          <w:tcPr>
            <w:tcW w:w="1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4" w:right="82"/>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6" w:right="10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林伟章</w:t>
            </w:r>
          </w:p>
        </w:tc>
        <w:tc>
          <w:tcPr>
            <w:tcW w:w="323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广东群兴投资有限公司</w:t>
            </w:r>
          </w:p>
        </w:tc>
        <w:tc>
          <w:tcPr>
            <w:tcW w:w="10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黄仕群</w:t>
            </w:r>
          </w:p>
        </w:tc>
        <w:tc>
          <w:tcPr>
            <w:tcW w:w="323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广东群兴投资有限公司</w:t>
            </w:r>
          </w:p>
        </w:tc>
        <w:tc>
          <w:tcPr>
            <w:tcW w:w="10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33"/>
        <w:gridCol w:w="3277"/>
        <w:gridCol w:w="1092"/>
        <w:gridCol w:w="1229"/>
        <w:gridCol w:w="1361"/>
        <w:gridCol w:w="1375"/>
      </w:tblGrid>
      <w:tr>
        <w:trPr>
          <w:trHeight w:val="708" w:hRule="exact"/>
        </w:trPr>
        <w:tc>
          <w:tcPr>
            <w:tcW w:w="1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20"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林伟章</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3" w:right="182"/>
              <w:jc w:val="left"/>
              <w:rPr>
                <w:rFonts w:ascii="宋体" w:hAnsi="宋体" w:cs="宋体" w:eastAsia="宋体" w:hint="default"/>
                <w:sz w:val="18"/>
                <w:szCs w:val="18"/>
              </w:rPr>
            </w:pPr>
            <w:r>
              <w:rPr>
                <w:rFonts w:ascii="宋体" w:hAnsi="宋体" w:cs="宋体" w:eastAsia="宋体" w:hint="default"/>
                <w:sz w:val="18"/>
                <w:szCs w:val="18"/>
              </w:rPr>
              <w:t>汕头市澄海区兴信小额贷款股份有限公 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林伟章</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广东兴信融资担保股份有限公司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林伟章</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汕头市群兴房地产有限公司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林伟章</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广东粤科融资租赁有限公司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林伟章</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深圳市前海鼎辉投资管理有限公司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黄仕群</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汕头市澄海区兴信小额贷款股份有限公 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黄仕群</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广东兴信融资担保股份有限公司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黄仕群</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汕头市群兴房地产有限公司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黄仕群</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群興玩具（香港）有限公司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3"/>
        <w:gridCol w:w="3277"/>
        <w:gridCol w:w="1092"/>
        <w:gridCol w:w="1229"/>
        <w:gridCol w:w="1361"/>
        <w:gridCol w:w="1375"/>
      </w:tblGrid>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蔡友杰</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汕头市丰业会计师事务所</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副主任会计 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蔡友杰</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汕头市澄海区青年企业家协会</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蔡友杰</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汕头市澄海职业技术学校</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会计专业指 导委员会副 主任</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金连文</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华南理工大学</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金连文</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广东省图像图形学会</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金连文</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广东省图像图形学会</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副理事长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金连文</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微软技术俱乐部</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金连文</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中国图象图形学学会</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金连文</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中国人工智能学会</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模式识别专 委会委员</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金连文</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新浪微博社区</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0"/>
              <w:ind w:left="24" w:right="156"/>
              <w:jc w:val="left"/>
              <w:rPr>
                <w:rFonts w:ascii="宋体" w:hAnsi="宋体" w:cs="宋体" w:eastAsia="宋体" w:hint="default"/>
                <w:sz w:val="18"/>
                <w:szCs w:val="18"/>
              </w:rPr>
            </w:pPr>
            <w:r>
              <w:rPr>
                <w:rFonts w:ascii="宋体" w:hAnsi="宋体" w:cs="宋体" w:eastAsia="宋体" w:hint="default"/>
                <w:sz w:val="18"/>
                <w:szCs w:val="18"/>
              </w:rPr>
              <w:t>专家委员会 委员</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王文璧</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汕头市启明星文化产业有限公司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王文璧</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《玩具世界》杂志社</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社长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乔新睿</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广东粤科融资租赁有限公司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乔新睿</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深圳市前海鼎辉投资管理有限公司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pStyle w:val="BodyText"/>
        <w:spacing w:line="273" w:lineRule="auto" w:before="96"/>
        <w:ind w:right="146" w:firstLine="420"/>
        <w:jc w:val="both"/>
      </w:pPr>
      <w:r>
        <w:rPr>
          <w:spacing w:val="-2"/>
        </w:rPr>
        <w:t>公司董事、监事、高级管理人员的报酬决策程序、报酬确定依据：公司董事会薪酬与考核委员会提出</w:t>
      </w:r>
      <w:r>
        <w:rPr>
          <w:w w:val="100"/>
        </w:rPr>
        <w:t> </w:t>
      </w:r>
      <w:r>
        <w:rPr>
          <w:spacing w:val="-2"/>
        </w:rPr>
        <w:t>的公司董事、监事的薪酬方案，须报经董事会同意并提交股东大会审议通过后方可实施；公司其他高级管</w:t>
      </w:r>
      <w:r>
        <w:rPr>
          <w:spacing w:val="-43"/>
        </w:rPr>
        <w:t> </w:t>
      </w:r>
      <w:r>
        <w:rPr>
          <w:spacing w:val="-43"/>
        </w:rPr>
      </w:r>
      <w:r>
        <w:rPr>
          <w:spacing w:val="-2"/>
        </w:rPr>
        <w:t>理人员的薪酬分配方案须报董事会批准后方可实施。公司现行的薪酬方案经第一届董事会第十二次会议和</w:t>
      </w:r>
      <w:r>
        <w:rPr>
          <w:spacing w:val="-42"/>
        </w:rPr>
        <w:t> </w:t>
      </w:r>
      <w:r>
        <w:rPr>
          <w:spacing w:val="-42"/>
        </w:rPr>
      </w:r>
      <w:r>
        <w:rPr/>
        <w:t>公司</w:t>
      </w:r>
      <w:r>
        <w:rPr>
          <w:rFonts w:ascii="宋体" w:hAnsi="宋体" w:cs="宋体" w:eastAsia="宋体" w:hint="default"/>
        </w:rPr>
        <w:t>2011</w:t>
      </w:r>
      <w:r>
        <w:rPr/>
        <w:t>年年度股东大会审议确定。</w:t>
      </w:r>
    </w:p>
    <w:p>
      <w:pPr>
        <w:spacing w:before="6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林伟章</w:t>
            </w:r>
          </w:p>
        </w:tc>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董事、董事长兼 董秘</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黄仕群</w:t>
            </w:r>
          </w:p>
        </w:tc>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黄逸贤</w:t>
            </w:r>
          </w:p>
        </w:tc>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陈惠板</w:t>
            </w:r>
          </w:p>
        </w:tc>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蔡友杰</w:t>
            </w:r>
          </w:p>
        </w:tc>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王文璧</w:t>
            </w:r>
          </w:p>
        </w:tc>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金连文</w:t>
            </w:r>
          </w:p>
        </w:tc>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林桐波</w:t>
            </w:r>
          </w:p>
        </w:tc>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郑伟华</w:t>
            </w:r>
          </w:p>
        </w:tc>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黄仕昭</w:t>
            </w:r>
          </w:p>
        </w:tc>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乔新睿</w:t>
            </w:r>
          </w:p>
        </w:tc>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126.6</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五、公司员工情况</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ind w:left="573" w:right="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日，公司共有员工</w:t>
      </w:r>
      <w:r>
        <w:rPr>
          <w:rFonts w:ascii="Times New Roman" w:hAnsi="Times New Roman" w:cs="Times New Roman" w:eastAsia="Times New Roman" w:hint="default"/>
        </w:rPr>
        <w:t>779</w:t>
      </w:r>
      <w:r>
        <w:rPr/>
        <w:t>人，公司人员结构具体情况如下：</w:t>
      </w:r>
    </w:p>
    <w:p>
      <w:pPr>
        <w:pStyle w:val="BodyText"/>
        <w:spacing w:line="240" w:lineRule="auto" w:before="21"/>
        <w:ind w:left="573" w:right="0"/>
        <w:jc w:val="left"/>
      </w:pPr>
      <w:r>
        <w:rPr>
          <w:rFonts w:ascii="Times New Roman" w:hAnsi="Times New Roman" w:cs="Times New Roman" w:eastAsia="Times New Roman" w:hint="default"/>
        </w:rPr>
        <w:t>1</w:t>
      </w:r>
      <w:r>
        <w:rPr/>
        <w:t>、员工专业结构情况</w:t>
      </w:r>
    </w:p>
    <w:p>
      <w:pPr>
        <w:spacing w:line="240" w:lineRule="auto" w:before="8"/>
        <w:rPr>
          <w:rFonts w:ascii="宋体" w:hAnsi="宋体" w:cs="宋体" w:eastAsia="宋体" w:hint="default"/>
          <w:sz w:val="3"/>
          <w:szCs w:val="3"/>
        </w:rPr>
      </w:pPr>
    </w:p>
    <w:tbl>
      <w:tblPr>
        <w:tblW w:w="0" w:type="auto"/>
        <w:jc w:val="left"/>
        <w:tblInd w:w="164" w:type="dxa"/>
        <w:tblLayout w:type="fixed"/>
        <w:tblCellMar>
          <w:top w:w="0" w:type="dxa"/>
          <w:left w:w="0" w:type="dxa"/>
          <w:bottom w:w="0" w:type="dxa"/>
          <w:right w:w="0" w:type="dxa"/>
        </w:tblCellMar>
        <w:tblLook w:val="01E0"/>
      </w:tblPr>
      <w:tblGrid>
        <w:gridCol w:w="2795"/>
        <w:gridCol w:w="2796"/>
        <w:gridCol w:w="2794"/>
      </w:tblGrid>
      <w:tr>
        <w:trPr>
          <w:trHeight w:val="414" w:hRule="exact"/>
        </w:trPr>
        <w:tc>
          <w:tcPr>
            <w:tcW w:w="27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2" w:right="0"/>
              <w:jc w:val="left"/>
              <w:rPr>
                <w:rFonts w:ascii="宋体" w:hAnsi="宋体" w:cs="宋体" w:eastAsia="宋体" w:hint="default"/>
                <w:sz w:val="18"/>
                <w:szCs w:val="18"/>
              </w:rPr>
            </w:pPr>
            <w:r>
              <w:rPr>
                <w:rFonts w:ascii="宋体" w:hAnsi="宋体" w:cs="宋体" w:eastAsia="宋体" w:hint="default"/>
                <w:sz w:val="18"/>
                <w:szCs w:val="18"/>
              </w:rPr>
              <w:t>分工</w:t>
            </w:r>
          </w:p>
        </w:tc>
        <w:tc>
          <w:tcPr>
            <w:tcW w:w="2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4"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27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2" w:right="0"/>
              <w:jc w:val="left"/>
              <w:rPr>
                <w:rFonts w:ascii="宋体" w:hAnsi="宋体" w:cs="宋体" w:eastAsia="宋体" w:hint="default"/>
                <w:sz w:val="18"/>
                <w:szCs w:val="18"/>
              </w:rPr>
            </w:pPr>
            <w:r>
              <w:rPr>
                <w:rFonts w:ascii="宋体" w:hAnsi="宋体" w:cs="宋体" w:eastAsia="宋体" w:hint="default"/>
                <w:sz w:val="18"/>
                <w:szCs w:val="18"/>
              </w:rPr>
              <w:t>占员工总数的比例（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7" w:hRule="exact"/>
        </w:trPr>
        <w:tc>
          <w:tcPr>
            <w:tcW w:w="27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研发技术人员</w:t>
            </w:r>
          </w:p>
        </w:tc>
        <w:tc>
          <w:tcPr>
            <w:tcW w:w="279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8"/>
              <w:ind w:left="4" w:right="0"/>
              <w:jc w:val="left"/>
              <w:rPr>
                <w:rFonts w:ascii="Times New Roman" w:hAnsi="Times New Roman" w:cs="Times New Roman" w:eastAsia="Times New Roman" w:hint="default"/>
                <w:sz w:val="18"/>
                <w:szCs w:val="18"/>
              </w:rPr>
            </w:pPr>
            <w:r>
              <w:rPr>
                <w:rFonts w:ascii="Times New Roman"/>
                <w:sz w:val="18"/>
              </w:rPr>
              <w:t>88</w:t>
            </w:r>
          </w:p>
        </w:tc>
        <w:tc>
          <w:tcPr>
            <w:tcW w:w="279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7"/>
              <w:ind w:left="2" w:right="0"/>
              <w:jc w:val="left"/>
              <w:rPr>
                <w:rFonts w:ascii="Times New Roman" w:hAnsi="Times New Roman" w:cs="Times New Roman" w:eastAsia="Times New Roman" w:hint="default"/>
                <w:sz w:val="18"/>
                <w:szCs w:val="18"/>
              </w:rPr>
            </w:pPr>
            <w:r>
              <w:rPr>
                <w:rFonts w:ascii="Times New Roman"/>
                <w:sz w:val="18"/>
              </w:rPr>
              <w:t>11.30%</w:t>
            </w:r>
          </w:p>
        </w:tc>
      </w:tr>
      <w:tr>
        <w:trPr>
          <w:trHeight w:val="428" w:hRule="exact"/>
        </w:trPr>
        <w:tc>
          <w:tcPr>
            <w:tcW w:w="27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34</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Times New Roman" w:hAnsi="Times New Roman" w:cs="Times New Roman" w:eastAsia="Times New Roman" w:hint="default"/>
                <w:sz w:val="18"/>
                <w:szCs w:val="18"/>
              </w:rPr>
            </w:pPr>
            <w:r>
              <w:rPr>
                <w:rFonts w:ascii="Times New Roman"/>
                <w:sz w:val="18"/>
              </w:rPr>
              <w:t>4.36%</w:t>
            </w:r>
          </w:p>
        </w:tc>
      </w:tr>
      <w:tr>
        <w:trPr>
          <w:trHeight w:val="427" w:hRule="exact"/>
        </w:trPr>
        <w:tc>
          <w:tcPr>
            <w:tcW w:w="27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567</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72.79%</w:t>
            </w:r>
          </w:p>
        </w:tc>
      </w:tr>
      <w:tr>
        <w:trPr>
          <w:trHeight w:val="427" w:hRule="exact"/>
        </w:trPr>
        <w:tc>
          <w:tcPr>
            <w:tcW w:w="27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管理及行政人员</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90</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11.55%</w:t>
            </w:r>
          </w:p>
        </w:tc>
      </w:tr>
      <w:tr>
        <w:trPr>
          <w:trHeight w:val="427" w:hRule="exact"/>
        </w:trPr>
        <w:tc>
          <w:tcPr>
            <w:tcW w:w="27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779</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spacing w:line="4339" w:lineRule="exact"/>
        <w:ind w:left="153"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3894372" cy="275539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4" cstate="print"/>
                    <a:stretch>
                      <a:fillRect/>
                    </a:stretch>
                  </pic:blipFill>
                  <pic:spPr>
                    <a:xfrm>
                      <a:off x="0" y="0"/>
                      <a:ext cx="3894372" cy="2755392"/>
                    </a:xfrm>
                    <a:prstGeom prst="rect">
                      <a:avLst/>
                    </a:prstGeom>
                  </pic:spPr>
                </pic:pic>
              </a:graphicData>
            </a:graphic>
          </wp:inline>
        </w:drawing>
      </w:r>
      <w:r>
        <w:rPr>
          <w:rFonts w:ascii="宋体" w:hAnsi="宋体" w:cs="宋体" w:eastAsia="宋体" w:hint="default"/>
          <w:position w:val="-86"/>
          <w:sz w:val="20"/>
          <w:szCs w:val="20"/>
        </w:rPr>
      </w:r>
    </w:p>
    <w:p>
      <w:pPr>
        <w:spacing w:line="240" w:lineRule="auto" w:before="4"/>
        <w:rPr>
          <w:rFonts w:ascii="宋体" w:hAnsi="宋体" w:cs="宋体" w:eastAsia="宋体" w:hint="default"/>
          <w:sz w:val="21"/>
          <w:szCs w:val="21"/>
        </w:rPr>
      </w:pPr>
    </w:p>
    <w:p>
      <w:pPr>
        <w:pStyle w:val="BodyText"/>
        <w:spacing w:line="240" w:lineRule="auto" w:before="36"/>
        <w:ind w:left="573" w:right="0"/>
        <w:jc w:val="left"/>
      </w:pPr>
      <w:r>
        <w:rPr>
          <w:rFonts w:ascii="Times New Roman" w:hAnsi="Times New Roman" w:cs="Times New Roman" w:eastAsia="Times New Roman" w:hint="default"/>
        </w:rPr>
        <w:t>2</w:t>
      </w:r>
      <w:r>
        <w:rPr/>
        <w:t>、员工受教育程度情况</w:t>
      </w:r>
    </w:p>
    <w:p>
      <w:pPr>
        <w:spacing w:line="240" w:lineRule="auto" w:before="12"/>
        <w:rPr>
          <w:rFonts w:ascii="宋体" w:hAnsi="宋体" w:cs="宋体" w:eastAsia="宋体" w:hint="default"/>
          <w:sz w:val="2"/>
          <w:szCs w:val="2"/>
        </w:rPr>
      </w:pPr>
    </w:p>
    <w:tbl>
      <w:tblPr>
        <w:tblW w:w="0" w:type="auto"/>
        <w:jc w:val="left"/>
        <w:tblInd w:w="164" w:type="dxa"/>
        <w:tblLayout w:type="fixed"/>
        <w:tblCellMar>
          <w:top w:w="0" w:type="dxa"/>
          <w:left w:w="0" w:type="dxa"/>
          <w:bottom w:w="0" w:type="dxa"/>
          <w:right w:w="0" w:type="dxa"/>
        </w:tblCellMar>
        <w:tblLook w:val="01E0"/>
      </w:tblPr>
      <w:tblGrid>
        <w:gridCol w:w="2787"/>
        <w:gridCol w:w="2789"/>
        <w:gridCol w:w="2789"/>
      </w:tblGrid>
      <w:tr>
        <w:trPr>
          <w:trHeight w:val="422" w:hRule="exact"/>
        </w:trPr>
        <w:tc>
          <w:tcPr>
            <w:tcW w:w="27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2" w:right="0"/>
              <w:jc w:val="left"/>
              <w:rPr>
                <w:rFonts w:ascii="宋体" w:hAnsi="宋体" w:cs="宋体" w:eastAsia="宋体" w:hint="default"/>
                <w:sz w:val="18"/>
                <w:szCs w:val="18"/>
              </w:rPr>
            </w:pPr>
            <w:r>
              <w:rPr>
                <w:rFonts w:ascii="宋体" w:hAnsi="宋体" w:cs="宋体" w:eastAsia="宋体" w:hint="default"/>
                <w:sz w:val="18"/>
                <w:szCs w:val="18"/>
              </w:rPr>
              <w:t>学历</w:t>
            </w:r>
          </w:p>
        </w:tc>
        <w:tc>
          <w:tcPr>
            <w:tcW w:w="27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27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2" w:right="0"/>
              <w:jc w:val="left"/>
              <w:rPr>
                <w:rFonts w:ascii="宋体" w:hAnsi="宋体" w:cs="宋体" w:eastAsia="宋体" w:hint="default"/>
                <w:sz w:val="18"/>
                <w:szCs w:val="18"/>
              </w:rPr>
            </w:pPr>
            <w:r>
              <w:rPr>
                <w:rFonts w:ascii="宋体" w:hAnsi="宋体" w:cs="宋体" w:eastAsia="宋体" w:hint="default"/>
                <w:sz w:val="18"/>
                <w:szCs w:val="18"/>
              </w:rPr>
              <w:t>占员工总数的比例（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7" w:hRule="exact"/>
        </w:trPr>
        <w:tc>
          <w:tcPr>
            <w:tcW w:w="27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硕士、本科及大专</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239</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30.68%</w:t>
            </w:r>
          </w:p>
        </w:tc>
      </w:tr>
      <w:tr>
        <w:trPr>
          <w:trHeight w:val="427" w:hRule="exact"/>
        </w:trPr>
        <w:tc>
          <w:tcPr>
            <w:tcW w:w="27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高中及中专</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203</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26.06%</w:t>
            </w:r>
          </w:p>
        </w:tc>
      </w:tr>
      <w:tr>
        <w:trPr>
          <w:trHeight w:val="428" w:hRule="exact"/>
        </w:trPr>
        <w:tc>
          <w:tcPr>
            <w:tcW w:w="27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高中以下</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337</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Times New Roman" w:hAnsi="Times New Roman" w:cs="Times New Roman" w:eastAsia="Times New Roman" w:hint="default"/>
                <w:sz w:val="18"/>
                <w:szCs w:val="18"/>
              </w:rPr>
            </w:pPr>
            <w:r>
              <w:rPr>
                <w:rFonts w:ascii="Times New Roman"/>
                <w:sz w:val="18"/>
              </w:rPr>
              <w:t>43.26%</w:t>
            </w:r>
          </w:p>
        </w:tc>
      </w:tr>
      <w:tr>
        <w:trPr>
          <w:trHeight w:val="427" w:hRule="exact"/>
        </w:trPr>
        <w:tc>
          <w:tcPr>
            <w:tcW w:w="27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779</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1"/>
        <w:rPr>
          <w:rFonts w:ascii="宋体" w:hAnsi="宋体" w:cs="宋体" w:eastAsia="宋体" w:hint="default"/>
          <w:sz w:val="24"/>
          <w:szCs w:val="24"/>
        </w:rPr>
      </w:pPr>
    </w:p>
    <w:p>
      <w:pPr>
        <w:spacing w:line="4339" w:lineRule="exact"/>
        <w:ind w:left="153"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584276" cy="2755392"/>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5" cstate="print"/>
                    <a:stretch>
                      <a:fillRect/>
                    </a:stretch>
                  </pic:blipFill>
                  <pic:spPr>
                    <a:xfrm>
                      <a:off x="0" y="0"/>
                      <a:ext cx="4584276" cy="2755392"/>
                    </a:xfrm>
                    <a:prstGeom prst="rect">
                      <a:avLst/>
                    </a:prstGeom>
                  </pic:spPr>
                </pic:pic>
              </a:graphicData>
            </a:graphic>
          </wp:inline>
        </w:drawing>
      </w:r>
      <w:r>
        <w:rPr>
          <w:rFonts w:ascii="宋体" w:hAnsi="宋体" w:cs="宋体" w:eastAsia="宋体" w:hint="default"/>
          <w:position w:val="-86"/>
          <w:sz w:val="20"/>
          <w:szCs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before="36"/>
        <w:ind w:left="573" w:right="0"/>
        <w:jc w:val="left"/>
      </w:pPr>
      <w:r>
        <w:rPr>
          <w:rFonts w:ascii="Times New Roman" w:hAnsi="Times New Roman" w:cs="Times New Roman" w:eastAsia="Times New Roman" w:hint="default"/>
        </w:rPr>
        <w:t>3</w:t>
      </w:r>
      <w:r>
        <w:rPr/>
        <w:t>、员工年龄分布情况</w:t>
      </w:r>
    </w:p>
    <w:p>
      <w:pPr>
        <w:spacing w:line="240" w:lineRule="auto" w:before="7"/>
        <w:rPr>
          <w:rFonts w:ascii="宋体" w:hAnsi="宋体" w:cs="宋体" w:eastAsia="宋体" w:hint="default"/>
          <w:sz w:val="3"/>
          <w:szCs w:val="3"/>
        </w:rPr>
      </w:pPr>
    </w:p>
    <w:tbl>
      <w:tblPr>
        <w:tblW w:w="0" w:type="auto"/>
        <w:jc w:val="left"/>
        <w:tblInd w:w="164" w:type="dxa"/>
        <w:tblLayout w:type="fixed"/>
        <w:tblCellMar>
          <w:top w:w="0" w:type="dxa"/>
          <w:left w:w="0" w:type="dxa"/>
          <w:bottom w:w="0" w:type="dxa"/>
          <w:right w:w="0" w:type="dxa"/>
        </w:tblCellMar>
        <w:tblLook w:val="01E0"/>
      </w:tblPr>
      <w:tblGrid>
        <w:gridCol w:w="2807"/>
        <w:gridCol w:w="2806"/>
        <w:gridCol w:w="2806"/>
      </w:tblGrid>
      <w:tr>
        <w:trPr>
          <w:trHeight w:val="415" w:hRule="exact"/>
        </w:trPr>
        <w:tc>
          <w:tcPr>
            <w:tcW w:w="28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6"/>
              <w:ind w:left="2" w:right="0"/>
              <w:jc w:val="left"/>
              <w:rPr>
                <w:rFonts w:ascii="宋体" w:hAnsi="宋体" w:cs="宋体" w:eastAsia="宋体" w:hint="default"/>
                <w:sz w:val="18"/>
                <w:szCs w:val="18"/>
              </w:rPr>
            </w:pPr>
            <w:r>
              <w:rPr>
                <w:rFonts w:ascii="宋体" w:hAnsi="宋体" w:cs="宋体" w:eastAsia="宋体" w:hint="default"/>
                <w:sz w:val="18"/>
                <w:szCs w:val="18"/>
              </w:rPr>
              <w:t>年龄区间</w:t>
            </w:r>
          </w:p>
        </w:tc>
        <w:tc>
          <w:tcPr>
            <w:tcW w:w="2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6"/>
              <w:ind w:left="2"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2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6"/>
              <w:ind w:left="2" w:right="0"/>
              <w:jc w:val="left"/>
              <w:rPr>
                <w:rFonts w:ascii="宋体" w:hAnsi="宋体" w:cs="宋体" w:eastAsia="宋体" w:hint="default"/>
                <w:sz w:val="18"/>
                <w:szCs w:val="18"/>
              </w:rPr>
            </w:pPr>
            <w:r>
              <w:rPr>
                <w:rFonts w:ascii="宋体" w:hAnsi="宋体" w:cs="宋体" w:eastAsia="宋体" w:hint="default"/>
                <w:sz w:val="18"/>
                <w:szCs w:val="18"/>
              </w:rPr>
              <w:t>占员工总数的比例（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7" w:hRule="exact"/>
        </w:trPr>
        <w:tc>
          <w:tcPr>
            <w:tcW w:w="28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岁以下</w:t>
            </w:r>
          </w:p>
        </w:tc>
        <w:tc>
          <w:tcPr>
            <w:tcW w:w="280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6"/>
              <w:ind w:left="2" w:right="0"/>
              <w:jc w:val="left"/>
              <w:rPr>
                <w:rFonts w:ascii="Times New Roman" w:hAnsi="Times New Roman" w:cs="Times New Roman" w:eastAsia="Times New Roman" w:hint="default"/>
                <w:sz w:val="18"/>
                <w:szCs w:val="18"/>
              </w:rPr>
            </w:pPr>
            <w:r>
              <w:rPr>
                <w:rFonts w:ascii="Times New Roman"/>
                <w:sz w:val="18"/>
              </w:rPr>
              <w:t>475</w:t>
            </w:r>
          </w:p>
        </w:tc>
        <w:tc>
          <w:tcPr>
            <w:tcW w:w="280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left="2" w:right="0"/>
              <w:jc w:val="left"/>
              <w:rPr>
                <w:rFonts w:ascii="Times New Roman" w:hAnsi="Times New Roman" w:cs="Times New Roman" w:eastAsia="Times New Roman" w:hint="default"/>
                <w:sz w:val="18"/>
                <w:szCs w:val="18"/>
              </w:rPr>
            </w:pPr>
            <w:r>
              <w:rPr>
                <w:rFonts w:ascii="Times New Roman"/>
                <w:sz w:val="18"/>
              </w:rPr>
              <w:t>60.98%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4" w:type="dxa"/>
        <w:tblLayout w:type="fixed"/>
        <w:tblCellMar>
          <w:top w:w="0" w:type="dxa"/>
          <w:left w:w="0" w:type="dxa"/>
          <w:bottom w:w="0" w:type="dxa"/>
          <w:right w:w="0" w:type="dxa"/>
        </w:tblCellMar>
        <w:tblLook w:val="01E0"/>
      </w:tblPr>
      <w:tblGrid>
        <w:gridCol w:w="2807"/>
        <w:gridCol w:w="2806"/>
        <w:gridCol w:w="2806"/>
      </w:tblGrid>
      <w:tr>
        <w:trPr>
          <w:trHeight w:val="428" w:hRule="exact"/>
        </w:trPr>
        <w:tc>
          <w:tcPr>
            <w:tcW w:w="28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r>
              <w:rPr>
                <w:rFonts w:ascii="宋体" w:hAnsi="宋体" w:cs="宋体" w:eastAsia="宋体" w:hint="default"/>
                <w:sz w:val="18"/>
                <w:szCs w:val="18"/>
              </w:rPr>
              <w:t>岁</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Times New Roman" w:hAnsi="Times New Roman" w:cs="Times New Roman" w:eastAsia="Times New Roman" w:hint="default"/>
                <w:sz w:val="18"/>
                <w:szCs w:val="18"/>
              </w:rPr>
            </w:pPr>
            <w:r>
              <w:rPr>
                <w:rFonts w:ascii="Times New Roman"/>
                <w:sz w:val="18"/>
              </w:rPr>
              <w:t>183</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Times New Roman" w:hAnsi="Times New Roman" w:cs="Times New Roman" w:eastAsia="Times New Roman" w:hint="default"/>
                <w:sz w:val="18"/>
                <w:szCs w:val="18"/>
              </w:rPr>
            </w:pPr>
            <w:r>
              <w:rPr>
                <w:rFonts w:ascii="Times New Roman"/>
                <w:sz w:val="18"/>
              </w:rPr>
              <w:t>23.49%</w:t>
            </w:r>
          </w:p>
        </w:tc>
      </w:tr>
      <w:tr>
        <w:trPr>
          <w:trHeight w:val="427" w:hRule="exact"/>
        </w:trPr>
        <w:tc>
          <w:tcPr>
            <w:tcW w:w="28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r>
              <w:rPr>
                <w:rFonts w:ascii="宋体" w:hAnsi="宋体" w:cs="宋体" w:eastAsia="宋体" w:hint="default"/>
                <w:sz w:val="18"/>
                <w:szCs w:val="18"/>
              </w:rPr>
              <w:t>岁</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101</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12.97%</w:t>
            </w:r>
          </w:p>
        </w:tc>
      </w:tr>
      <w:tr>
        <w:trPr>
          <w:trHeight w:val="427" w:hRule="exact"/>
        </w:trPr>
        <w:tc>
          <w:tcPr>
            <w:tcW w:w="28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w:t>
            </w:r>
            <w:r>
              <w:rPr>
                <w:rFonts w:ascii="宋体" w:hAnsi="宋体" w:cs="宋体" w:eastAsia="宋体" w:hint="default"/>
                <w:sz w:val="18"/>
                <w:szCs w:val="18"/>
              </w:rPr>
              <w:t>岁以上</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2.57%</w:t>
            </w:r>
          </w:p>
        </w:tc>
      </w:tr>
      <w:tr>
        <w:trPr>
          <w:trHeight w:val="427" w:hRule="exact"/>
        </w:trPr>
        <w:tc>
          <w:tcPr>
            <w:tcW w:w="28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779</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2"/>
        <w:rPr>
          <w:rFonts w:ascii="宋体" w:hAnsi="宋体" w:cs="宋体" w:eastAsia="宋体" w:hint="default"/>
          <w:sz w:val="24"/>
          <w:szCs w:val="24"/>
        </w:rPr>
      </w:pPr>
    </w:p>
    <w:p>
      <w:pPr>
        <w:spacing w:line="4339" w:lineRule="exact"/>
        <w:ind w:left="153"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584276" cy="2755392"/>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6" cstate="print"/>
                    <a:stretch>
                      <a:fillRect/>
                    </a:stretch>
                  </pic:blipFill>
                  <pic:spPr>
                    <a:xfrm>
                      <a:off x="0" y="0"/>
                      <a:ext cx="4584276" cy="2755392"/>
                    </a:xfrm>
                    <a:prstGeom prst="rect">
                      <a:avLst/>
                    </a:prstGeom>
                  </pic:spPr>
                </pic:pic>
              </a:graphicData>
            </a:graphic>
          </wp:inline>
        </w:drawing>
      </w:r>
      <w:r>
        <w:rPr>
          <w:rFonts w:ascii="宋体" w:hAnsi="宋体" w:cs="宋体" w:eastAsia="宋体" w:hint="default"/>
          <w:position w:val="-86"/>
          <w:sz w:val="20"/>
          <w:szCs w:val="20"/>
        </w:rPr>
      </w:r>
    </w:p>
    <w:p>
      <w:pPr>
        <w:pStyle w:val="BodyText"/>
        <w:spacing w:line="273" w:lineRule="auto" w:before="3"/>
        <w:ind w:right="0" w:firstLine="420"/>
        <w:jc w:val="left"/>
      </w:pPr>
      <w:r>
        <w:rPr>
          <w:spacing w:val="-2"/>
        </w:rPr>
        <w:t>公司按照国家规定，为职工个人交纳了养老保险金、医疗保险金、失业保险金、工伤保险金和生育保</w:t>
      </w:r>
      <w:r>
        <w:rPr>
          <w:w w:val="100"/>
        </w:rPr>
        <w:t> </w:t>
      </w:r>
      <w:r>
        <w:rPr/>
        <w:t>险金等。</w:t>
      </w:r>
    </w:p>
    <w:p>
      <w:pPr>
        <w:spacing w:line="240" w:lineRule="auto" w:before="2"/>
        <w:rPr>
          <w:rFonts w:ascii="宋体" w:hAnsi="宋体" w:cs="宋体" w:eastAsia="宋体" w:hint="default"/>
          <w:sz w:val="29"/>
          <w:szCs w:val="2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企业薪酬成本情况</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6"/>
        <w:gridCol w:w="5845"/>
      </w:tblGrid>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5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779</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当期总体薪酬发生额（万元）</w:t>
            </w:r>
          </w:p>
        </w:tc>
        <w:tc>
          <w:tcPr>
            <w:tcW w:w="5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3862.54</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总体薪酬占当期营业收入比例</w:t>
            </w:r>
          </w:p>
        </w:tc>
        <w:tc>
          <w:tcPr>
            <w:tcW w:w="5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12.09%</w:t>
            </w:r>
          </w:p>
        </w:tc>
      </w:tr>
      <w:tr>
        <w:trPr>
          <w:trHeight w:val="404"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高管人均薪酬金额（万元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p>
        </w:tc>
        <w:tc>
          <w:tcPr>
            <w:tcW w:w="5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11.51</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所有员工人均薪酬金额（万元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p>
        </w:tc>
        <w:tc>
          <w:tcPr>
            <w:tcW w:w="5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429" w:right="3485"/>
        <w:jc w:val="center"/>
        <w:rPr>
          <w:b w:val="0"/>
          <w:bCs w:val="0"/>
        </w:rPr>
      </w:pPr>
      <w:bookmarkStart w:name="_bookmark8" w:id="9"/>
      <w:bookmarkEnd w:id="9"/>
      <w:r>
        <w:rPr>
          <w:b w:val="0"/>
          <w:bCs w:val="0"/>
        </w:rPr>
      </w:r>
      <w:r>
        <w:rPr/>
        <w:t>第九节 </w:t>
      </w:r>
      <w:r>
        <w:rPr>
          <w:spacing w:val="9"/>
        </w:rPr>
        <w:t> </w:t>
      </w:r>
      <w:r>
        <w:rPr/>
        <w:t>公司治理</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both"/>
        <w:rPr>
          <w:b w:val="0"/>
          <w:bCs w:val="0"/>
        </w:rPr>
      </w:pPr>
      <w:r>
        <w:rPr/>
        <w:t>一、公司治理的基本状况</w:t>
      </w:r>
      <w:r>
        <w:rPr>
          <w:b w:val="0"/>
          <w:bCs w:val="0"/>
        </w:rPr>
      </w:r>
    </w:p>
    <w:p>
      <w:pPr>
        <w:spacing w:line="240" w:lineRule="auto" w:before="0"/>
        <w:rPr>
          <w:rFonts w:ascii="Microsoft JhengHei" w:hAnsi="Microsoft JhengHei" w:cs="Microsoft JhengHei" w:eastAsia="Microsoft JhengHei" w:hint="default"/>
          <w:b/>
          <w:bCs/>
          <w:sz w:val="17"/>
          <w:szCs w:val="17"/>
        </w:rPr>
      </w:pPr>
    </w:p>
    <w:p>
      <w:pPr>
        <w:pStyle w:val="BodyText"/>
        <w:spacing w:line="273" w:lineRule="auto"/>
        <w:ind w:right="185" w:firstLine="420"/>
        <w:jc w:val="both"/>
      </w:pPr>
      <w:r>
        <w:rPr>
          <w:spacing w:val="-2"/>
        </w:rPr>
        <w:t>报告期内，公司严格按照《公司法》、《证券法》、《上市公司治理准则》、《深圳证券交易所股票</w:t>
      </w:r>
      <w:r>
        <w:rPr>
          <w:w w:val="100"/>
        </w:rPr>
        <w:t> </w:t>
      </w:r>
      <w:r>
        <w:rPr>
          <w:spacing w:val="-2"/>
        </w:rPr>
        <w:t>上市规则》和中国证监会有关法律法规等的要求，规范运作，不断完善公司法人治理结构，建立了较为完</w:t>
      </w:r>
      <w:r>
        <w:rPr>
          <w:spacing w:val="-50"/>
        </w:rPr>
        <w:t> </w:t>
      </w:r>
      <w:r>
        <w:rPr>
          <w:spacing w:val="-50"/>
        </w:rPr>
      </w:r>
      <w:r>
        <w:rPr>
          <w:spacing w:val="-2"/>
        </w:rPr>
        <w:t>备的公司治理及内部控制规章制度，同时根据监管部门的最新要求，及时对制度进行修订和完善。报告期</w:t>
      </w:r>
      <w:r>
        <w:rPr>
          <w:spacing w:val="-45"/>
        </w:rPr>
        <w:t> </w:t>
      </w:r>
      <w:r>
        <w:rPr>
          <w:spacing w:val="-45"/>
        </w:rPr>
      </w:r>
      <w:r>
        <w:rPr>
          <w:spacing w:val="-2"/>
        </w:rPr>
        <w:t>内，公司修订了《公司章程》、《股东大会议事规则》，提高了公司规范运作管理水平。截至报告期末，</w:t>
      </w:r>
      <w:r>
        <w:rPr>
          <w:spacing w:val="-21"/>
        </w:rPr>
        <w:t> </w:t>
      </w:r>
      <w:r>
        <w:rPr>
          <w:spacing w:val="-21"/>
        </w:rPr>
      </w:r>
      <w:r>
        <w:rPr/>
        <w:t>公司治理实际情况符合中国证监会发布的有关上市公司治理的规范性文件的要求。</w:t>
      </w:r>
    </w:p>
    <w:p>
      <w:pPr>
        <w:pStyle w:val="BodyText"/>
        <w:spacing w:line="273" w:lineRule="auto" w:before="7"/>
        <w:ind w:left="573" w:right="102"/>
        <w:jc w:val="left"/>
      </w:pPr>
      <w:r>
        <w:rPr/>
        <w:t>（一）关于股东与股东大会</w:t>
      </w:r>
      <w:r>
        <w:rPr>
          <w:w w:val="100"/>
        </w:rPr>
        <w:t> </w:t>
      </w:r>
      <w:r>
        <w:rPr>
          <w:spacing w:val="-2"/>
        </w:rPr>
        <w:t>公司严格按照《上市公司股东大会规则》、《公司章程》和公司《股东大会议事规则》等的规定和要</w:t>
      </w:r>
    </w:p>
    <w:p>
      <w:pPr>
        <w:pStyle w:val="BodyText"/>
        <w:spacing w:line="273" w:lineRule="auto" w:before="7"/>
        <w:ind w:right="207"/>
        <w:jc w:val="both"/>
      </w:pPr>
      <w:r>
        <w:rPr>
          <w:spacing w:val="-2"/>
        </w:rPr>
        <w:t>求，召集、召开股东大会，能够确保所有股东享有平等地位，充分行使自己的权利。报告期内召开的股东</w:t>
      </w:r>
      <w:r>
        <w:rPr>
          <w:spacing w:val="-43"/>
        </w:rPr>
        <w:t> </w:t>
      </w:r>
      <w:r>
        <w:rPr>
          <w:spacing w:val="-43"/>
        </w:rPr>
      </w:r>
      <w:r>
        <w:rPr/>
        <w:t>大会均由董事会召集召开，并邀请见证律师进行现场见证。</w:t>
      </w:r>
    </w:p>
    <w:p>
      <w:pPr>
        <w:pStyle w:val="BodyText"/>
        <w:spacing w:line="273" w:lineRule="auto" w:before="7"/>
        <w:ind w:left="573" w:right="102"/>
        <w:jc w:val="left"/>
      </w:pPr>
      <w:r>
        <w:rPr/>
        <w:t>（二）关于公司与控股股东</w:t>
      </w:r>
      <w:r>
        <w:rPr>
          <w:w w:val="100"/>
        </w:rPr>
        <w:t> </w:t>
      </w:r>
      <w:r>
        <w:rPr>
          <w:spacing w:val="-2"/>
        </w:rPr>
        <w:t>公司控股股东能够严格按照《公司法》、《证券法》、《深圳证券交易所股票上市规则》、《深圳证</w:t>
      </w:r>
    </w:p>
    <w:p>
      <w:pPr>
        <w:pStyle w:val="BodyText"/>
        <w:spacing w:line="273" w:lineRule="auto" w:before="7"/>
        <w:ind w:right="185"/>
        <w:jc w:val="both"/>
      </w:pPr>
      <w:r>
        <w:rPr>
          <w:spacing w:val="-2"/>
        </w:rPr>
        <w:t>券交易所中小企业板上市公司规范运作指引》、《公司章程》和《控股股东、实际控制人行为规范》的规</w:t>
      </w:r>
      <w:r>
        <w:rPr>
          <w:spacing w:val="-44"/>
        </w:rPr>
        <w:t> </w:t>
      </w:r>
      <w:r>
        <w:rPr>
          <w:spacing w:val="-44"/>
        </w:rPr>
      </w:r>
      <w:r>
        <w:rPr>
          <w:spacing w:val="-2"/>
        </w:rPr>
        <w:t>定和要求，规范控股股东行为。公司控股股东广东群兴投资有限公司，为境内非国有法人，通过股东大会</w:t>
      </w:r>
      <w:r>
        <w:rPr>
          <w:spacing w:val="-50"/>
        </w:rPr>
        <w:t> </w:t>
      </w:r>
      <w:r>
        <w:rPr>
          <w:spacing w:val="-50"/>
        </w:rPr>
      </w:r>
      <w:r>
        <w:rPr>
          <w:spacing w:val="-2"/>
        </w:rPr>
        <w:t>行使股东权利，并承担相应义务，没有超越公司股东大会直接或间接干预公司的决策和经营活动的行为。</w:t>
      </w:r>
      <w:r>
        <w:rPr>
          <w:spacing w:val="-21"/>
        </w:rPr>
        <w:t> </w:t>
      </w:r>
      <w:r>
        <w:rPr>
          <w:spacing w:val="-21"/>
        </w:rPr>
      </w:r>
      <w:r>
        <w:rPr>
          <w:spacing w:val="-2"/>
        </w:rPr>
        <w:t>公司拥有独立完整的业务和自主经营能力，在业务、资产、人员、财务、机构等方面独立于控股股东，公</w:t>
      </w:r>
      <w:r>
        <w:rPr>
          <w:spacing w:val="-45"/>
        </w:rPr>
        <w:t> </w:t>
      </w:r>
      <w:r>
        <w:rPr>
          <w:spacing w:val="-45"/>
        </w:rPr>
      </w:r>
      <w:r>
        <w:rPr/>
        <w:t>司董事会、监事会和内部机构独立运作。公司实际控制人不存在损害公司及其他股东利益的情况。</w:t>
      </w:r>
    </w:p>
    <w:p>
      <w:pPr>
        <w:pStyle w:val="BodyText"/>
        <w:spacing w:line="273" w:lineRule="auto" w:before="7"/>
        <w:ind w:left="573" w:right="102"/>
        <w:jc w:val="left"/>
      </w:pPr>
      <w:r>
        <w:rPr/>
        <w:t>（三）关于董事与董事会</w:t>
      </w:r>
      <w:r>
        <w:rPr>
          <w:w w:val="100"/>
        </w:rPr>
        <w:t> </w:t>
      </w:r>
      <w:r>
        <w:rPr>
          <w:spacing w:val="-2"/>
        </w:rPr>
        <w:t>公司董事会严格按照《公司法》、《证券法》、《深圳证券交易所股票上市规则》、《深圳证券交易</w:t>
      </w:r>
    </w:p>
    <w:p>
      <w:pPr>
        <w:pStyle w:val="BodyText"/>
        <w:spacing w:line="273" w:lineRule="auto" w:before="7"/>
        <w:ind w:right="206"/>
        <w:jc w:val="both"/>
      </w:pPr>
      <w:r>
        <w:rPr>
          <w:spacing w:val="-2"/>
        </w:rPr>
        <w:t>所中小企业板上市公司规范运作指引》、《公司章程》、《董事会议事规则》、《独立董事工作制度》等</w:t>
      </w:r>
      <w:r>
        <w:rPr>
          <w:spacing w:val="-44"/>
        </w:rPr>
        <w:t> </w:t>
      </w:r>
      <w:r>
        <w:rPr>
          <w:spacing w:val="-44"/>
        </w:rPr>
      </w:r>
      <w:r>
        <w:rPr>
          <w:spacing w:val="-2"/>
        </w:rPr>
        <w:t>相关规定召集召开董事会，公司董事按时出席董事会及股东大会，勤勉尽责，认真审议各项议案并对公司</w:t>
      </w:r>
      <w:r>
        <w:rPr>
          <w:spacing w:val="-45"/>
        </w:rPr>
        <w:t> </w:t>
      </w:r>
      <w:r>
        <w:rPr>
          <w:spacing w:val="-45"/>
        </w:rPr>
      </w:r>
      <w:r>
        <w:rPr>
          <w:spacing w:val="-2"/>
        </w:rPr>
        <w:t>重大事项做出科学、合理决策。公司严格按照《公司法》和《公司章程》等规定的董事选聘程序以累积投</w:t>
      </w:r>
      <w:r>
        <w:rPr>
          <w:spacing w:val="-42"/>
        </w:rPr>
        <w:t> </w:t>
      </w:r>
      <w:r>
        <w:rPr>
          <w:spacing w:val="-42"/>
        </w:rPr>
      </w:r>
      <w:r>
        <w:rPr>
          <w:spacing w:val="-2"/>
        </w:rPr>
        <w:t>票制方式选举董事，董事会成员的构成符合法律法规的要求。公司独立董事独立履行职责，对公司重大事</w:t>
      </w:r>
      <w:r>
        <w:rPr>
          <w:spacing w:val="-44"/>
        </w:rPr>
        <w:t> </w:t>
      </w:r>
      <w:r>
        <w:rPr>
          <w:spacing w:val="-44"/>
        </w:rPr>
      </w:r>
      <w:r>
        <w:rPr>
          <w:spacing w:val="-2"/>
        </w:rPr>
        <w:t>项发表独立意见，切实维护公司利益和股东权益，尤其关注中小股东的合法权益不受损害，独立董事在公</w:t>
      </w:r>
      <w:r>
        <w:rPr>
          <w:spacing w:val="-44"/>
        </w:rPr>
        <w:t> </w:t>
      </w:r>
      <w:r>
        <w:rPr>
          <w:spacing w:val="-44"/>
        </w:rPr>
      </w:r>
      <w:r>
        <w:rPr>
          <w:spacing w:val="-2"/>
        </w:rPr>
        <w:t>司重大决策以及投资方面发挥了重要作用。公司董事会设立了审计委员会、战略委员会、提名委员会、薪</w:t>
      </w:r>
      <w:r>
        <w:rPr>
          <w:spacing w:val="-47"/>
        </w:rPr>
        <w:t> </w:t>
      </w:r>
      <w:r>
        <w:rPr>
          <w:spacing w:val="-47"/>
        </w:rPr>
      </w:r>
      <w:r>
        <w:rPr>
          <w:spacing w:val="-2"/>
        </w:rPr>
        <w:t>酬与考核委员会四个专门委员会，在促进公司规范运作、健康持续发展等方面发挥了重要的作用。未出现</w:t>
      </w:r>
      <w:r>
        <w:rPr>
          <w:spacing w:val="-44"/>
        </w:rPr>
        <w:t> </w:t>
      </w:r>
      <w:r>
        <w:rPr>
          <w:spacing w:val="-44"/>
        </w:rPr>
      </w:r>
      <w:r>
        <w:rPr/>
        <w:t>越权行使股东大会权利的行为，也未出现越权干预监事会运作和经营管理层的行为。</w:t>
      </w:r>
    </w:p>
    <w:p>
      <w:pPr>
        <w:pStyle w:val="BodyText"/>
        <w:spacing w:line="273" w:lineRule="auto" w:before="7"/>
        <w:ind w:left="573" w:right="102"/>
        <w:jc w:val="left"/>
      </w:pPr>
      <w:r>
        <w:rPr/>
        <w:t>（四）关于监事与监事会</w:t>
      </w:r>
      <w:r>
        <w:rPr>
          <w:w w:val="100"/>
        </w:rPr>
        <w:t> </w:t>
      </w:r>
      <w:r>
        <w:rPr>
          <w:spacing w:val="-2"/>
        </w:rPr>
        <w:t>公司严格按照法律、法规及《公司章程》、《股东大会议事规则》、《监事会议事规则》等的规定产</w:t>
      </w:r>
    </w:p>
    <w:p>
      <w:pPr>
        <w:pStyle w:val="BodyText"/>
        <w:spacing w:line="273" w:lineRule="auto" w:before="7"/>
        <w:ind w:right="207"/>
        <w:jc w:val="both"/>
      </w:pPr>
      <w:r>
        <w:rPr>
          <w:spacing w:val="-2"/>
        </w:rPr>
        <w:t>生监事，公司监事会的人数及人员构成符合法律、法规和《公司章程》的要求，监事会现有三名监事，其</w:t>
      </w:r>
      <w:r>
        <w:rPr>
          <w:spacing w:val="-45"/>
        </w:rPr>
        <w:t> </w:t>
      </w:r>
      <w:r>
        <w:rPr>
          <w:spacing w:val="-45"/>
        </w:rPr>
      </w:r>
      <w:r>
        <w:rPr>
          <w:spacing w:val="-2"/>
        </w:rPr>
        <w:t>中职工代表监事二人。公司全体监事能够按照法律、法规和《监事会议事规则》等的要求，从保护股东利</w:t>
      </w:r>
      <w:r>
        <w:rPr>
          <w:spacing w:val="-43"/>
        </w:rPr>
        <w:t> </w:t>
      </w:r>
      <w:r>
        <w:rPr>
          <w:spacing w:val="-43"/>
        </w:rPr>
      </w:r>
      <w:r>
        <w:rPr>
          <w:spacing w:val="-2"/>
        </w:rPr>
        <w:t>益出发，认真履行自己的职责，对公司重大事项、财务状况以及公司董事、经理和其他高级管理人员履行</w:t>
      </w:r>
      <w:r>
        <w:rPr>
          <w:spacing w:val="-46"/>
        </w:rPr>
        <w:t> </w:t>
      </w:r>
      <w:r>
        <w:rPr>
          <w:spacing w:val="-46"/>
        </w:rPr>
      </w:r>
      <w:r>
        <w:rPr/>
        <w:t>职责的合法合规性进行监督，忠实、勤勉地维护公司及股东的合法权益。</w:t>
      </w:r>
    </w:p>
    <w:p>
      <w:pPr>
        <w:pStyle w:val="BodyText"/>
        <w:spacing w:line="273" w:lineRule="auto" w:before="7"/>
        <w:ind w:left="573" w:right="102"/>
        <w:jc w:val="left"/>
      </w:pPr>
      <w:r>
        <w:rPr/>
        <w:t>（五）关于信息披露</w:t>
      </w:r>
      <w:r>
        <w:rPr>
          <w:w w:val="100"/>
        </w:rPr>
        <w:t> </w:t>
      </w:r>
      <w:r>
        <w:rPr>
          <w:spacing w:val="-2"/>
        </w:rPr>
        <w:t>公司指定董事会秘书具体负责信息披露工作、接待投资者的来访和咨询，严格按照监管部门颁布的制</w:t>
      </w:r>
    </w:p>
    <w:p>
      <w:pPr>
        <w:pStyle w:val="BodyText"/>
        <w:spacing w:line="273" w:lineRule="auto" w:before="8"/>
        <w:ind w:right="102"/>
        <w:jc w:val="left"/>
      </w:pPr>
      <w:r>
        <w:rPr/>
        <w:t>度法规和公司制定的《信息披露事务管理制度》、《重大信息内部报告制度》和《投资者关系管理制度》</w:t>
      </w:r>
      <w:r>
        <w:rPr>
          <w:w w:val="100"/>
        </w:rPr>
        <w:t> </w:t>
      </w:r>
      <w:r>
        <w:rPr>
          <w:spacing w:val="-2"/>
        </w:rPr>
        <w:t>等有关规定，加强信息披露事务管理，依法认真履行信息披露义务。公司指定《中国证劵报》、《上海证</w:t>
      </w:r>
      <w:r>
        <w:rPr>
          <w:spacing w:val="-50"/>
        </w:rPr>
        <w:t> </w:t>
      </w:r>
      <w:r>
        <w:rPr>
          <w:spacing w:val="-50"/>
        </w:rPr>
      </w:r>
      <w:r>
        <w:rPr>
          <w:spacing w:val="-2"/>
        </w:rPr>
        <w:t>券报》、《证券时报》和巨潮资讯网（</w:t>
      </w:r>
      <w:hyperlink r:id="rId11">
        <w:r>
          <w:rPr>
            <w:rFonts w:ascii="宋体" w:hAnsi="宋体" w:cs="宋体" w:eastAsia="宋体" w:hint="default"/>
            <w:spacing w:val="-2"/>
          </w:rPr>
          <w:t>www.cninfo.com.cn</w:t>
        </w:r>
      </w:hyperlink>
      <w:r>
        <w:rPr>
          <w:spacing w:val="-2"/>
        </w:rPr>
        <w:t>）为公司信息披露的报纸及网站，真实、完整、</w:t>
      </w:r>
      <w:r>
        <w:rPr>
          <w:spacing w:val="-31"/>
        </w:rPr>
        <w:t> </w:t>
      </w:r>
      <w:r>
        <w:rPr>
          <w:spacing w:val="-31"/>
        </w:rPr>
      </w:r>
      <w:r>
        <w:rPr/>
        <w:t>准确、公平、及时地披露有关信息，确保公司所有股东公平地获得公司相关信息。</w:t>
      </w:r>
    </w:p>
    <w:p>
      <w:pPr>
        <w:spacing w:after="0" w:line="273"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BodyText"/>
        <w:spacing w:line="273" w:lineRule="auto" w:before="36"/>
        <w:ind w:left="573" w:right="102"/>
        <w:jc w:val="left"/>
      </w:pPr>
      <w:r>
        <w:rPr/>
        <w:t>（六）投资者关系管理</w:t>
      </w:r>
      <w:r>
        <w:rPr>
          <w:w w:val="100"/>
        </w:rPr>
        <w:t> </w:t>
      </w:r>
      <w:r>
        <w:rPr>
          <w:spacing w:val="-2"/>
        </w:rPr>
        <w:t>公司重视投资者关系管理工作，指定董事会秘书为投资者关系管理负责人，公司董事会办公室作为投</w:t>
      </w:r>
    </w:p>
    <w:p>
      <w:pPr>
        <w:pStyle w:val="BodyText"/>
        <w:spacing w:line="273" w:lineRule="auto" w:before="7"/>
        <w:ind w:right="102"/>
        <w:jc w:val="left"/>
      </w:pPr>
      <w:r>
        <w:rPr>
          <w:spacing w:val="-2"/>
        </w:rPr>
        <w:t>资者关系管理的具体实施机构，协助实施投资者关系的日常管理工作，包括投资者来访接待工作、股东大</w:t>
      </w:r>
      <w:r>
        <w:rPr>
          <w:spacing w:val="-44"/>
        </w:rPr>
        <w:t> </w:t>
      </w:r>
      <w:r>
        <w:rPr>
          <w:spacing w:val="-44"/>
        </w:rPr>
      </w:r>
      <w:r>
        <w:rPr/>
        <w:t>会的安排组织工作、投资者关系互动平台答疑工作等。</w:t>
      </w:r>
    </w:p>
    <w:p>
      <w:pPr>
        <w:pStyle w:val="BodyText"/>
        <w:spacing w:line="273" w:lineRule="auto" w:before="7"/>
        <w:ind w:left="573" w:right="102"/>
        <w:jc w:val="left"/>
      </w:pPr>
      <w:r>
        <w:rPr/>
        <w:t>（七）关于利益相关者</w:t>
      </w:r>
      <w:r>
        <w:rPr>
          <w:w w:val="100"/>
        </w:rPr>
        <w:t> </w:t>
      </w:r>
      <w:r>
        <w:rPr>
          <w:spacing w:val="-2"/>
        </w:rPr>
        <w:t>公司充分尊重和维护利益相关者的合法利益，实现社会、股东、公司、员工等各方利益的协调平衡，</w:t>
      </w:r>
    </w:p>
    <w:p>
      <w:pPr>
        <w:pStyle w:val="BodyText"/>
        <w:spacing w:line="240" w:lineRule="auto" w:before="7"/>
        <w:ind w:right="102"/>
        <w:jc w:val="left"/>
      </w:pPr>
      <w:r>
        <w:rPr/>
        <w:t>加强与各方建立良好的合作关系，共同推动公司健康、持续地发展。</w:t>
      </w:r>
    </w:p>
    <w:p>
      <w:pPr>
        <w:spacing w:before="98"/>
        <w:ind w:left="152" w:right="102"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5"/>
        <w:ind w:left="152" w:right="2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9"/>
        <w:rPr>
          <w:rFonts w:ascii="宋体" w:hAnsi="宋体" w:cs="宋体" w:eastAsia="宋体" w:hint="default"/>
          <w:sz w:val="13"/>
          <w:szCs w:val="13"/>
        </w:rPr>
      </w:pPr>
    </w:p>
    <w:p>
      <w:pPr>
        <w:pStyle w:val="Heading2"/>
        <w:spacing w:line="240" w:lineRule="auto"/>
        <w:ind w:right="102"/>
        <w:jc w:val="left"/>
        <w:rPr>
          <w:b w:val="0"/>
          <w:bCs w:val="0"/>
        </w:rPr>
      </w:pPr>
      <w:r>
        <w:rPr/>
        <w:t>二、公司相对于控股股东在业务、人员、资产、机构、财务等方面的独立情况</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73" w:lineRule="auto"/>
        <w:ind w:right="206" w:firstLine="420"/>
        <w:jc w:val="both"/>
      </w:pPr>
      <w:r>
        <w:rPr>
          <w:spacing w:val="-2"/>
        </w:rPr>
        <w:t>公司与控股股东在业务、人员、资产、机构、财务等方面完全分开，具有独立完整的业务及自主经营</w:t>
      </w:r>
      <w:r>
        <w:rPr>
          <w:w w:val="100"/>
        </w:rPr>
        <w:t> </w:t>
      </w:r>
      <w:r>
        <w:rPr/>
        <w:t>能力。</w:t>
      </w:r>
    </w:p>
    <w:p>
      <w:pPr>
        <w:pStyle w:val="BodyText"/>
        <w:spacing w:line="273" w:lineRule="auto" w:before="7"/>
        <w:ind w:left="573" w:right="102"/>
        <w:jc w:val="left"/>
      </w:pPr>
      <w:r>
        <w:rPr>
          <w:rFonts w:ascii="宋体" w:hAnsi="宋体" w:cs="宋体" w:eastAsia="宋体" w:hint="default"/>
        </w:rPr>
        <w:t>1</w:t>
      </w:r>
      <w:r>
        <w:rPr/>
        <w:t>、业务独立：</w:t>
      </w:r>
      <w:r>
        <w:rPr>
          <w:w w:val="100"/>
        </w:rPr>
        <w:t> </w:t>
      </w:r>
      <w:r>
        <w:rPr>
          <w:spacing w:val="-3"/>
        </w:rPr>
        <w:t>公司业务结构完整，自主独立经营，不依赖于控股股东或其他任何关联方，与控股股东、实际控制人</w:t>
      </w:r>
    </w:p>
    <w:p>
      <w:pPr>
        <w:pStyle w:val="BodyText"/>
        <w:spacing w:line="273" w:lineRule="auto" w:before="7"/>
        <w:ind w:right="102"/>
        <w:jc w:val="left"/>
      </w:pPr>
      <w:r>
        <w:rPr>
          <w:spacing w:val="-2"/>
        </w:rPr>
        <w:t>及其控制的其他企业间不存在同业竞争或者显失公平的关联交易，也不存在控股股东直接或间接干预公司</w:t>
      </w:r>
      <w:r>
        <w:rPr>
          <w:spacing w:val="-43"/>
        </w:rPr>
        <w:t> </w:t>
      </w:r>
      <w:r>
        <w:rPr>
          <w:spacing w:val="-43"/>
        </w:rPr>
      </w:r>
      <w:r>
        <w:rPr/>
        <w:t>经营运作的情形。</w:t>
      </w:r>
    </w:p>
    <w:p>
      <w:pPr>
        <w:pStyle w:val="BodyText"/>
        <w:spacing w:line="273" w:lineRule="auto" w:before="7"/>
        <w:ind w:left="573" w:right="102"/>
        <w:jc w:val="left"/>
      </w:pPr>
      <w:r>
        <w:rPr>
          <w:rFonts w:ascii="宋体" w:hAnsi="宋体" w:cs="宋体" w:eastAsia="宋体" w:hint="default"/>
        </w:rPr>
        <w:t>2</w:t>
      </w:r>
      <w:r>
        <w:rPr/>
        <w:t>、人员独立：</w:t>
      </w:r>
      <w:r>
        <w:rPr>
          <w:w w:val="100"/>
        </w:rPr>
        <w:t> </w:t>
      </w:r>
      <w:r>
        <w:rPr>
          <w:spacing w:val="-2"/>
        </w:rPr>
        <w:t>公司在劳动、人事及工资等方面均完全独立于控股股东。公司董事长、总经理、副总经理、董事会秘</w:t>
      </w:r>
    </w:p>
    <w:p>
      <w:pPr>
        <w:pStyle w:val="BodyText"/>
        <w:spacing w:line="273" w:lineRule="auto" w:before="7"/>
        <w:ind w:left="573" w:right="102" w:hanging="421"/>
        <w:jc w:val="left"/>
      </w:pPr>
      <w:r>
        <w:rPr/>
        <w:t>书、财务负责人等人员均在公司领取薪酬，未在控股股东及其下属企业担任董事、监事以外的任何职务。</w:t>
      </w:r>
      <w:r>
        <w:rPr>
          <w:w w:val="100"/>
        </w:rPr>
        <w:t> </w:t>
      </w:r>
      <w:r>
        <w:rPr>
          <w:rFonts w:ascii="宋体" w:hAnsi="宋体" w:cs="宋体" w:eastAsia="宋体" w:hint="default"/>
        </w:rPr>
        <w:t>3</w:t>
      </w:r>
      <w:r>
        <w:rPr/>
        <w:t>、资产独立：</w:t>
      </w:r>
      <w:r>
        <w:rPr>
          <w:w w:val="100"/>
        </w:rPr>
        <w:t> </w:t>
      </w:r>
      <w:r>
        <w:rPr>
          <w:spacing w:val="-5"/>
        </w:rPr>
        <w:t>公司目前拥有的资产产权清晰，生产经营场所独立，对所有资产拥有完全的控制支配权，不存在资产、</w:t>
      </w:r>
    </w:p>
    <w:p>
      <w:pPr>
        <w:pStyle w:val="BodyText"/>
        <w:spacing w:line="273" w:lineRule="auto" w:before="7"/>
        <w:ind w:left="573" w:right="1194" w:hanging="421"/>
        <w:jc w:val="left"/>
      </w:pPr>
      <w:r>
        <w:rPr>
          <w:spacing w:val="-2"/>
        </w:rPr>
        <w:t>资金被控股股东违规占用的情况，也不存在以资产为各股东的债务提供担保的情况。</w:t>
      </w:r>
      <w:r>
        <w:rPr>
          <w:spacing w:val="-35"/>
        </w:rPr>
        <w:t> </w:t>
      </w:r>
      <w:r>
        <w:rPr>
          <w:spacing w:val="-35"/>
        </w:rPr>
      </w:r>
      <w:r>
        <w:rPr>
          <w:rFonts w:ascii="宋体" w:hAnsi="宋体" w:cs="宋体" w:eastAsia="宋体" w:hint="default"/>
        </w:rPr>
        <w:t>4</w:t>
      </w:r>
      <w:r>
        <w:rPr/>
        <w:t>、机构独立：</w:t>
      </w:r>
    </w:p>
    <w:p>
      <w:pPr>
        <w:pStyle w:val="BodyText"/>
        <w:spacing w:line="273" w:lineRule="auto" w:before="7"/>
        <w:ind w:right="184" w:firstLine="420"/>
        <w:jc w:val="both"/>
      </w:pPr>
      <w:r>
        <w:rPr>
          <w:spacing w:val="-2"/>
        </w:rPr>
        <w:t>公司通过股东大会、董事会、监事会、独立董事及各专门委员会制度，强化权力制衡机制，形成了有</w:t>
      </w:r>
      <w:r>
        <w:rPr>
          <w:w w:val="100"/>
        </w:rPr>
        <w:t> </w:t>
      </w:r>
      <w:r>
        <w:rPr>
          <w:spacing w:val="-2"/>
        </w:rPr>
        <w:t>效的法人治理结构。在内部机构设置上，公司建立了适应自身发展需要的组织机构，明确了各机构职能，</w:t>
      </w:r>
      <w:r>
        <w:rPr>
          <w:spacing w:val="-21"/>
        </w:rPr>
        <w:t> </w:t>
      </w:r>
      <w:r>
        <w:rPr>
          <w:spacing w:val="-21"/>
        </w:rPr>
      </w:r>
      <w:r>
        <w:rPr>
          <w:spacing w:val="-2"/>
        </w:rPr>
        <w:t>定员定岗，并制定了相应的内部管理与控制制度。公司各职能部门均独立履行其职能，独立开展生产经营</w:t>
      </w:r>
      <w:r>
        <w:rPr>
          <w:spacing w:val="-44"/>
        </w:rPr>
        <w:t> </w:t>
      </w:r>
      <w:r>
        <w:rPr>
          <w:spacing w:val="-44"/>
        </w:rPr>
      </w:r>
      <w:r>
        <w:rPr/>
        <w:t>活动，不存在受实际控制人、股东或关联方干预之情形。</w:t>
      </w:r>
    </w:p>
    <w:p>
      <w:pPr>
        <w:pStyle w:val="BodyText"/>
        <w:spacing w:line="273" w:lineRule="auto" w:before="8"/>
        <w:ind w:right="216" w:firstLine="420"/>
        <w:jc w:val="both"/>
      </w:pPr>
      <w:r>
        <w:rPr>
          <w:rFonts w:ascii="宋体" w:hAnsi="宋体" w:cs="宋体" w:eastAsia="宋体" w:hint="default"/>
        </w:rPr>
        <w:t>5</w:t>
      </w:r>
      <w:r>
        <w:rPr/>
        <w:t>、财务独立：公司设有独立的财务会计部门，配备独立的财务会计人员，建立了独立的会计核算体</w:t>
      </w:r>
      <w:r>
        <w:rPr>
          <w:w w:val="100"/>
        </w:rPr>
        <w:t> </w:t>
      </w:r>
      <w:r>
        <w:rPr/>
        <w:t>系和财务管理制度，独立进行财务决策；公司独立开设银行账户，独立纳税。</w:t>
      </w:r>
    </w:p>
    <w:p>
      <w:pPr>
        <w:spacing w:line="240" w:lineRule="auto" w:before="10"/>
        <w:rPr>
          <w:rFonts w:ascii="宋体" w:hAnsi="宋体" w:cs="宋体" w:eastAsia="宋体" w:hint="default"/>
          <w:sz w:val="15"/>
          <w:szCs w:val="15"/>
        </w:rPr>
      </w:pPr>
    </w:p>
    <w:p>
      <w:pPr>
        <w:pStyle w:val="Heading2"/>
        <w:spacing w:line="240" w:lineRule="auto"/>
        <w:ind w:right="102"/>
        <w:jc w:val="left"/>
        <w:rPr>
          <w:b w:val="0"/>
          <w:bCs w:val="0"/>
        </w:rPr>
      </w:pPr>
      <w:r>
        <w:rPr/>
        <w:t>三、同业竞争情况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spacing w:before="0"/>
        <w:ind w:left="152"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102"/>
        <w:jc w:val="left"/>
        <w:rPr>
          <w:b w:val="0"/>
          <w:bCs w:val="0"/>
        </w:rPr>
      </w:pPr>
      <w:r>
        <w:rPr/>
        <w:t>四、报告期内召开的年度股东大会和临时股东大会的有关情况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102"/>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3"/>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74"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7">
              <w:r>
                <w:rPr>
                  <w:rFonts w:ascii="Times New Roman" w:hAnsi="Times New Roman" w:cs="Times New Roman" w:eastAsia="Times New Roman" w:hint="default"/>
                  <w:sz w:val="18"/>
                  <w:szCs w:val="18"/>
                </w:rPr>
                <w:t>www.cninfo.com.</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2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1299"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8"/>
              <w:ind w:left="24" w:right="17"/>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cn</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年年度股 东大会决议公告》</w:t>
            </w:r>
          </w:p>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2015-019</w:t>
            </w:r>
            <w:r>
              <w:rPr>
                <w:rFonts w:ascii="宋体" w:hAnsi="宋体" w:cs="宋体" w:eastAsia="宋体" w:hint="default"/>
                <w:sz w:val="18"/>
                <w:szCs w:val="18"/>
              </w:rPr>
              <w:t>）</w:t>
            </w:r>
          </w:p>
        </w:tc>
      </w:tr>
      <w:tr>
        <w:trPr>
          <w:trHeight w:val="1961"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300" w:lineRule="auto"/>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9" w:lineRule="auto" w:before="76"/>
              <w:ind w:left="24" w:right="17"/>
              <w:jc w:val="left"/>
              <w:rPr>
                <w:rFonts w:ascii="宋体" w:hAnsi="宋体" w:cs="宋体" w:eastAsia="宋体" w:hint="default"/>
                <w:sz w:val="18"/>
                <w:szCs w:val="18"/>
              </w:rPr>
            </w:pPr>
            <w:r>
              <w:rPr>
                <w:rFonts w:ascii="宋体" w:hAnsi="宋体" w:cs="宋体" w:eastAsia="宋体" w:hint="default"/>
                <w:sz w:val="18"/>
                <w:szCs w:val="18"/>
              </w:rPr>
              <w:t>（</w:t>
            </w:r>
            <w:hyperlink r:id="rId17">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5"/>
                <w:sz w:val="18"/>
                <w:szCs w:val="18"/>
              </w:rPr>
              <w:t>cn</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 临时股东大会决议 </w:t>
            </w:r>
            <w:r>
              <w:rPr>
                <w:rFonts w:ascii="宋体" w:hAnsi="宋体" w:cs="宋体" w:eastAsia="宋体" w:hint="default"/>
                <w:spacing w:val="-11"/>
                <w:sz w:val="18"/>
                <w:szCs w:val="18"/>
              </w:rPr>
              <w:t>公告》（公告编号：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2015-038</w:t>
            </w:r>
            <w:r>
              <w:rPr>
                <w:rFonts w:ascii="宋体" w:hAnsi="宋体" w:cs="宋体" w:eastAsia="宋体" w:hint="default"/>
                <w:sz w:val="18"/>
                <w:szCs w:val="18"/>
              </w:rPr>
              <w:t>）</w:t>
            </w:r>
          </w:p>
        </w:tc>
      </w:tr>
      <w:tr>
        <w:trPr>
          <w:trHeight w:val="1964"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300" w:lineRule="auto"/>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9" w:lineRule="auto" w:before="76"/>
              <w:ind w:left="24" w:right="17"/>
              <w:jc w:val="left"/>
              <w:rPr>
                <w:rFonts w:ascii="宋体" w:hAnsi="宋体" w:cs="宋体" w:eastAsia="宋体" w:hint="default"/>
                <w:sz w:val="18"/>
                <w:szCs w:val="18"/>
              </w:rPr>
            </w:pPr>
            <w:r>
              <w:rPr>
                <w:rFonts w:ascii="宋体" w:hAnsi="宋体" w:cs="宋体" w:eastAsia="宋体" w:hint="default"/>
                <w:sz w:val="18"/>
                <w:szCs w:val="18"/>
              </w:rPr>
              <w:t>（</w:t>
            </w:r>
            <w:hyperlink r:id="rId17">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5"/>
                <w:sz w:val="18"/>
                <w:szCs w:val="18"/>
              </w:rPr>
              <w:t>cn</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年第二次 临时股东大会决议 </w:t>
            </w:r>
            <w:r>
              <w:rPr>
                <w:rFonts w:ascii="宋体" w:hAnsi="宋体" w:cs="宋体" w:eastAsia="宋体" w:hint="default"/>
                <w:spacing w:val="-11"/>
                <w:sz w:val="18"/>
                <w:szCs w:val="18"/>
              </w:rPr>
              <w:t>公告》（公告编号：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2015-052</w:t>
            </w:r>
            <w:r>
              <w:rPr>
                <w:rFonts w:ascii="宋体" w:hAnsi="宋体" w:cs="宋体" w:eastAsia="宋体" w:hint="default"/>
                <w:sz w:val="18"/>
                <w:szCs w:val="18"/>
              </w:rPr>
              <w:t>）</w:t>
            </w:r>
          </w:p>
        </w:tc>
      </w:tr>
      <w:tr>
        <w:trPr>
          <w:trHeight w:val="1961"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300" w:lineRule="auto"/>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9" w:lineRule="auto" w:before="76"/>
              <w:ind w:left="24" w:right="17"/>
              <w:jc w:val="left"/>
              <w:rPr>
                <w:rFonts w:ascii="宋体" w:hAnsi="宋体" w:cs="宋体" w:eastAsia="宋体" w:hint="default"/>
                <w:sz w:val="18"/>
                <w:szCs w:val="18"/>
              </w:rPr>
            </w:pPr>
            <w:r>
              <w:rPr>
                <w:rFonts w:ascii="宋体" w:hAnsi="宋体" w:cs="宋体" w:eastAsia="宋体" w:hint="default"/>
                <w:sz w:val="18"/>
                <w:szCs w:val="18"/>
              </w:rPr>
              <w:t>（</w:t>
            </w:r>
            <w:hyperlink r:id="rId17">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5"/>
                <w:sz w:val="18"/>
                <w:szCs w:val="18"/>
              </w:rPr>
              <w:t>cn</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年第三次 临时股东大会决议 </w:t>
            </w:r>
            <w:r>
              <w:rPr>
                <w:rFonts w:ascii="宋体" w:hAnsi="宋体" w:cs="宋体" w:eastAsia="宋体" w:hint="default"/>
                <w:spacing w:val="-11"/>
                <w:sz w:val="18"/>
                <w:szCs w:val="18"/>
              </w:rPr>
              <w:t>公告》（公告编号：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2015-095</w:t>
            </w:r>
            <w:r>
              <w:rPr>
                <w:rFonts w:ascii="宋体" w:hAnsi="宋体" w:cs="宋体" w:eastAsia="宋体" w:hint="default"/>
                <w:sz w:val="18"/>
                <w:szCs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机构投资者情况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机构投资者名称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出任董事人数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股东大会参与次数</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蔡友杰</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金连文</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6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王文璧</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102"/>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102"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5"/>
        <w:ind w:left="152" w:right="6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4"/>
        <w:rPr>
          <w:rFonts w:ascii="宋体" w:hAnsi="宋体" w:cs="宋体" w:eastAsia="宋体" w:hint="default"/>
          <w:sz w:val="16"/>
          <w:szCs w:val="16"/>
        </w:rPr>
      </w:pPr>
    </w:p>
    <w:p>
      <w:pPr>
        <w:pStyle w:val="Heading3"/>
        <w:spacing w:line="240" w:lineRule="auto"/>
        <w:ind w:right="102"/>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102"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7"/>
        <w:ind w:left="152" w:right="5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独立董事对公司有关建议被采纳或未被采纳的说明</w:t>
      </w:r>
    </w:p>
    <w:p>
      <w:pPr>
        <w:spacing w:line="316" w:lineRule="auto" w:before="39"/>
        <w:ind w:left="152" w:right="102" w:firstLine="0"/>
        <w:jc w:val="left"/>
        <w:rPr>
          <w:rFonts w:ascii="宋体" w:hAnsi="宋体" w:cs="宋体" w:eastAsia="宋体" w:hint="default"/>
          <w:sz w:val="18"/>
          <w:szCs w:val="18"/>
        </w:rPr>
      </w:pPr>
      <w:r>
        <w:rPr>
          <w:rFonts w:ascii="宋体" w:hAnsi="宋体" w:cs="宋体" w:eastAsia="宋体" w:hint="default"/>
          <w:spacing w:val="-4"/>
          <w:sz w:val="18"/>
          <w:szCs w:val="18"/>
        </w:rPr>
        <w:t>独立董事利用参加董事会和股东大会的机会，结合各自在审计、法律、投资等方面的专长，就公司重要投资、重大资产重组、</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内部风险控制及财务管理等事项提出了建议或意见，公司结合自身实际情况予以采纳。</w:t>
      </w:r>
    </w:p>
    <w:p>
      <w:pPr>
        <w:spacing w:line="240" w:lineRule="auto" w:before="0"/>
        <w:rPr>
          <w:rFonts w:ascii="宋体" w:hAnsi="宋体" w:cs="宋体" w:eastAsia="宋体" w:hint="default"/>
          <w:sz w:val="15"/>
          <w:szCs w:val="15"/>
        </w:rPr>
      </w:pPr>
    </w:p>
    <w:p>
      <w:pPr>
        <w:pStyle w:val="Heading2"/>
        <w:spacing w:line="240" w:lineRule="auto"/>
        <w:ind w:right="102"/>
        <w:jc w:val="left"/>
        <w:rPr>
          <w:b w:val="0"/>
          <w:bCs w:val="0"/>
        </w:rPr>
      </w:pPr>
      <w:r>
        <w:rPr/>
        <w:t>六、董事会下设专门委员会在报告期内履行职责情况</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73" w:lineRule="auto"/>
        <w:ind w:left="573" w:right="102"/>
        <w:jc w:val="left"/>
      </w:pPr>
      <w:r>
        <w:rPr/>
        <w:t>（一）战略委员会的履职情况</w:t>
      </w:r>
      <w:r>
        <w:rPr>
          <w:w w:val="100"/>
        </w:rPr>
        <w:t> </w:t>
      </w:r>
      <w:r>
        <w:rPr>
          <w:spacing w:val="-5"/>
        </w:rPr>
        <w:t>报告期内，公司董事会战略委员会勤勉尽责履行职责，对公司战略规划进行了研究，召开了一次会议，</w:t>
      </w:r>
    </w:p>
    <w:p>
      <w:pPr>
        <w:pStyle w:val="BodyText"/>
        <w:spacing w:line="273" w:lineRule="auto" w:before="7"/>
        <w:ind w:right="102"/>
        <w:jc w:val="left"/>
      </w:pPr>
      <w:r>
        <w:rPr>
          <w:spacing w:val="-7"/>
        </w:rPr>
        <w:t>通过对宏观经营环境、行业发展趋势的深入研究，结合公司的实际经营情况和发展需要，审议并通过了《关</w:t>
      </w:r>
      <w:r>
        <w:rPr>
          <w:spacing w:val="-21"/>
        </w:rPr>
        <w:t> </w:t>
      </w:r>
      <w:r>
        <w:rPr>
          <w:spacing w:val="-21"/>
        </w:rPr>
      </w:r>
      <w:r>
        <w:rPr/>
        <w:t>于筹划重大资产重组事项及授权董事长办理筹划期间相关事项的议案》。</w:t>
      </w:r>
    </w:p>
    <w:p>
      <w:pPr>
        <w:pStyle w:val="BodyText"/>
        <w:spacing w:line="273" w:lineRule="auto" w:before="8"/>
        <w:ind w:left="573" w:right="102"/>
        <w:jc w:val="left"/>
      </w:pPr>
      <w:r>
        <w:rPr/>
        <w:t>（二）审计委员会的履职情况</w:t>
      </w:r>
      <w:r>
        <w:rPr>
          <w:w w:val="100"/>
        </w:rPr>
        <w:t> </w:t>
      </w:r>
      <w:r>
        <w:rPr>
          <w:spacing w:val="-2"/>
        </w:rPr>
        <w:t>报告期内，公司董事会审计委员会根据《公司法》、《证券法》、《上市公司治理准则》、《审计委</w:t>
      </w:r>
    </w:p>
    <w:p>
      <w:pPr>
        <w:pStyle w:val="BodyText"/>
        <w:spacing w:line="273" w:lineRule="auto" w:before="7"/>
        <w:ind w:right="102"/>
        <w:jc w:val="left"/>
      </w:pPr>
      <w:r>
        <w:rPr>
          <w:spacing w:val="-2"/>
        </w:rPr>
        <w:t>员会工作细则》及《董事会审计委员会年报工作制度》等有关规定，积极履行职责。报告期内审计委员会</w:t>
      </w:r>
      <w:r>
        <w:rPr>
          <w:spacing w:val="-43"/>
        </w:rPr>
        <w:t> </w:t>
      </w:r>
      <w:r>
        <w:rPr>
          <w:spacing w:val="-43"/>
        </w:rPr>
      </w:r>
      <w:r>
        <w:rPr>
          <w:spacing w:val="-2"/>
        </w:rPr>
        <w:t>召开了六次会议，审核了公司</w:t>
      </w:r>
      <w:r>
        <w:rPr>
          <w:rFonts w:ascii="宋体" w:hAnsi="宋体" w:cs="宋体" w:eastAsia="宋体" w:hint="default"/>
          <w:spacing w:val="-2"/>
        </w:rPr>
        <w:t>2015</w:t>
      </w:r>
      <w:r>
        <w:rPr>
          <w:spacing w:val="-2"/>
        </w:rPr>
        <w:t>年的相关财务报告，审查了公司内部控制制度及执行情况，认真听取了</w:t>
      </w:r>
      <w:r>
        <w:rPr>
          <w:spacing w:val="-41"/>
        </w:rPr>
        <w:t> </w:t>
      </w:r>
      <w:r>
        <w:rPr>
          <w:spacing w:val="-41"/>
        </w:rPr>
      </w:r>
      <w:r>
        <w:rPr>
          <w:spacing w:val="-2"/>
        </w:rPr>
        <w:t>公司内审部门</w:t>
      </w:r>
      <w:r>
        <w:rPr>
          <w:rFonts w:ascii="宋体" w:hAnsi="宋体" w:cs="宋体" w:eastAsia="宋体" w:hint="default"/>
          <w:spacing w:val="-2"/>
        </w:rPr>
        <w:t>2015</w:t>
      </w:r>
      <w:r>
        <w:rPr>
          <w:spacing w:val="-2"/>
        </w:rPr>
        <w:t>年内审工作报告及</w:t>
      </w:r>
      <w:r>
        <w:rPr>
          <w:rFonts w:ascii="宋体" w:hAnsi="宋体" w:cs="宋体" w:eastAsia="宋体" w:hint="default"/>
          <w:spacing w:val="-2"/>
        </w:rPr>
        <w:t>2016</w:t>
      </w:r>
      <w:r>
        <w:rPr>
          <w:spacing w:val="-2"/>
        </w:rPr>
        <w:t>年内审工作计划，审核了公司所有重要的会计政策，督促和指导</w:t>
      </w:r>
      <w:r>
        <w:rPr>
          <w:spacing w:val="-37"/>
        </w:rPr>
        <w:t> </w:t>
      </w:r>
      <w:r>
        <w:rPr>
          <w:spacing w:val="-37"/>
        </w:rPr>
      </w:r>
      <w:r>
        <w:rPr>
          <w:spacing w:val="2"/>
        </w:rPr>
        <w:t>审计部对公司财务管理运行情况进行定期和不定期的检查和评估，委员会认为公司内控制度体系符合法</w:t>
      </w:r>
      <w:r>
        <w:rPr>
          <w:spacing w:val="-30"/>
        </w:rPr>
        <w:t> </w:t>
      </w:r>
      <w:r>
        <w:rPr>
          <w:spacing w:val="-30"/>
        </w:rPr>
      </w:r>
      <w:r>
        <w:rPr>
          <w:spacing w:val="-5"/>
        </w:rPr>
        <w:t>律、法规及《公司章程》的要求，适应当前公司生产经营实际情况的需要，并能够得到有效的执行。同时，</w:t>
      </w:r>
      <w:r>
        <w:rPr>
          <w:spacing w:val="-6"/>
        </w:rPr>
        <w:t> </w:t>
      </w:r>
      <w:r>
        <w:rPr>
          <w:spacing w:val="-6"/>
        </w:rPr>
      </w:r>
      <w:r>
        <w:rPr/>
        <w:t>审计委员会还就下列事项展开工作：</w:t>
      </w:r>
    </w:p>
    <w:p>
      <w:pPr>
        <w:pStyle w:val="BodyText"/>
        <w:spacing w:line="240" w:lineRule="auto" w:before="7"/>
        <w:ind w:left="573" w:right="102"/>
        <w:jc w:val="left"/>
      </w:pPr>
      <w:r>
        <w:rPr/>
        <w:t>（</w:t>
      </w:r>
      <w:r>
        <w:rPr>
          <w:rFonts w:ascii="宋体" w:hAnsi="宋体" w:cs="宋体" w:eastAsia="宋体" w:hint="default"/>
        </w:rPr>
        <w:t>1</w:t>
      </w:r>
      <w:r>
        <w:rPr/>
        <w:t>）审计委员会在年度审计工作中，对公司编制的年度财务报表进行审阅并出具书面审核意见；</w:t>
      </w:r>
    </w:p>
    <w:p>
      <w:pPr>
        <w:pStyle w:val="BodyText"/>
        <w:spacing w:line="273" w:lineRule="auto" w:before="37"/>
        <w:ind w:right="102" w:firstLine="420"/>
        <w:jc w:val="left"/>
      </w:pPr>
      <w:r>
        <w:rPr>
          <w:spacing w:val="-2"/>
        </w:rPr>
        <w:t>（</w:t>
      </w:r>
      <w:r>
        <w:rPr>
          <w:rFonts w:ascii="宋体" w:hAnsi="宋体" w:cs="宋体" w:eastAsia="宋体" w:hint="default"/>
          <w:spacing w:val="-2"/>
        </w:rPr>
        <w:t>2</w:t>
      </w:r>
      <w:r>
        <w:rPr>
          <w:spacing w:val="-2"/>
        </w:rPr>
        <w:t>）与会计师事务所就公司年报审计进行沟通和交流并不定期督促会计师事务所如期出具审计报告，</w:t>
      </w:r>
      <w:r>
        <w:rPr>
          <w:w w:val="100"/>
        </w:rPr>
        <w:t> </w:t>
      </w:r>
      <w:r>
        <w:rPr/>
        <w:t>对</w:t>
      </w:r>
      <w:r>
        <w:rPr>
          <w:rFonts w:ascii="宋体" w:hAnsi="宋体" w:cs="宋体" w:eastAsia="宋体" w:hint="default"/>
        </w:rPr>
        <w:t>2015</w:t>
      </w:r>
      <w:r>
        <w:rPr/>
        <w:t>年年度财务报告的编制工作进行了全程跟踪督促；</w:t>
      </w:r>
    </w:p>
    <w:p>
      <w:pPr>
        <w:pStyle w:val="BodyText"/>
        <w:spacing w:line="240" w:lineRule="auto" w:before="7"/>
        <w:ind w:left="573" w:right="102"/>
        <w:jc w:val="left"/>
      </w:pPr>
      <w:r>
        <w:rPr/>
        <w:t>（</w:t>
      </w:r>
      <w:r>
        <w:rPr>
          <w:rFonts w:ascii="宋体" w:hAnsi="宋体" w:cs="宋体" w:eastAsia="宋体" w:hint="default"/>
        </w:rPr>
        <w:t>3</w:t>
      </w:r>
      <w:r>
        <w:rPr/>
        <w:t>）就年度审计过程中发现的问题进行了沟通和交流；</w:t>
      </w:r>
    </w:p>
    <w:p>
      <w:pPr>
        <w:pStyle w:val="BodyText"/>
        <w:spacing w:line="240" w:lineRule="auto" w:before="37"/>
        <w:ind w:left="573" w:right="102"/>
        <w:jc w:val="left"/>
      </w:pPr>
      <w:r>
        <w:rPr/>
        <w:t>（</w:t>
      </w:r>
      <w:r>
        <w:rPr>
          <w:rFonts w:ascii="宋体" w:hAnsi="宋体" w:cs="宋体" w:eastAsia="宋体" w:hint="default"/>
        </w:rPr>
        <w:t>4</w:t>
      </w:r>
      <w:r>
        <w:rPr/>
        <w:t>）对会计师事务所的工作进行客观的评价并向董事会提续聘议案；</w:t>
      </w:r>
    </w:p>
    <w:p>
      <w:pPr>
        <w:pStyle w:val="BodyText"/>
        <w:spacing w:line="273" w:lineRule="auto" w:before="37"/>
        <w:ind w:right="102" w:firstLine="420"/>
        <w:jc w:val="left"/>
      </w:pPr>
      <w:r>
        <w:rPr/>
        <w:t>（</w:t>
      </w:r>
      <w:r>
        <w:rPr>
          <w:rFonts w:ascii="宋体" w:hAnsi="宋体" w:cs="宋体" w:eastAsia="宋体" w:hint="default"/>
        </w:rPr>
        <w:t>5</w:t>
      </w:r>
      <w:r>
        <w:rPr/>
        <w:t>）根据公司</w:t>
      </w:r>
      <w:r>
        <w:rPr>
          <w:rFonts w:ascii="宋体" w:hAnsi="宋体" w:cs="宋体" w:eastAsia="宋体" w:hint="default"/>
        </w:rPr>
        <w:t>2015</w:t>
      </w:r>
      <w:r>
        <w:rPr/>
        <w:t>年度审计的工作计划，从公司实际出发，认真审议《关于改聘</w:t>
      </w:r>
      <w:r>
        <w:rPr>
          <w:rFonts w:ascii="宋体" w:hAnsi="宋体" w:cs="宋体" w:eastAsia="宋体" w:hint="default"/>
        </w:rPr>
        <w:t>2015</w:t>
      </w:r>
      <w:r>
        <w:rPr/>
        <w:t>年度审计机构</w:t>
      </w:r>
      <w:r>
        <w:rPr>
          <w:w w:val="100"/>
        </w:rPr>
        <w:t> </w:t>
      </w:r>
      <w:r>
        <w:rPr/>
        <w:t>的议案》并向董事会提交议案。</w:t>
      </w:r>
    </w:p>
    <w:p>
      <w:pPr>
        <w:pStyle w:val="BodyText"/>
        <w:spacing w:line="273" w:lineRule="auto" w:before="7"/>
        <w:ind w:left="573" w:right="102"/>
        <w:jc w:val="left"/>
      </w:pPr>
      <w:r>
        <w:rPr/>
        <w:t>（三）薪酬与考核委员会的履职情况</w:t>
      </w:r>
      <w:r>
        <w:rPr>
          <w:w w:val="100"/>
        </w:rPr>
        <w:t> </w:t>
      </w:r>
      <w:r>
        <w:rPr>
          <w:spacing w:val="-2"/>
        </w:rPr>
        <w:t>报告期内，公司董事会薪酬与考核委员会按照《公司章程》、《董事会薪酬与考核委员会工作细则》</w:t>
      </w:r>
    </w:p>
    <w:p>
      <w:pPr>
        <w:pStyle w:val="BodyText"/>
        <w:spacing w:line="273" w:lineRule="auto" w:before="7"/>
        <w:ind w:right="206"/>
        <w:jc w:val="both"/>
      </w:pPr>
      <w:r>
        <w:rPr>
          <w:spacing w:val="-2"/>
        </w:rPr>
        <w:t>等相关规定规范运作，对公司</w:t>
      </w:r>
      <w:r>
        <w:rPr>
          <w:rFonts w:ascii="宋体" w:hAnsi="宋体" w:cs="宋体" w:eastAsia="宋体" w:hint="default"/>
          <w:spacing w:val="-2"/>
        </w:rPr>
        <w:t>2015</w:t>
      </w:r>
      <w:r>
        <w:rPr>
          <w:spacing w:val="-2"/>
        </w:rPr>
        <w:t>年度董事薪酬、公司高级管理人员薪酬、年度公司高管薪酬发放情况等</w:t>
      </w:r>
      <w:r>
        <w:rPr>
          <w:spacing w:val="-40"/>
        </w:rPr>
        <w:t> </w:t>
      </w:r>
      <w:r>
        <w:rPr>
          <w:spacing w:val="-40"/>
        </w:rPr>
      </w:r>
      <w:r>
        <w:rPr>
          <w:spacing w:val="-2"/>
        </w:rPr>
        <w:t>提出了意见和建议。薪酬与考核委员会认真审查了公司</w:t>
      </w:r>
      <w:r>
        <w:rPr>
          <w:rFonts w:ascii="宋体" w:hAnsi="宋体" w:cs="宋体" w:eastAsia="宋体" w:hint="default"/>
          <w:spacing w:val="-2"/>
        </w:rPr>
        <w:t>2015</w:t>
      </w:r>
      <w:r>
        <w:rPr>
          <w:spacing w:val="-2"/>
        </w:rPr>
        <w:t>年年度报告中董事、监事和高级管理人员的薪</w:t>
      </w:r>
      <w:r>
        <w:rPr>
          <w:spacing w:val="-40"/>
        </w:rPr>
        <w:t> </w:t>
      </w:r>
      <w:r>
        <w:rPr>
          <w:spacing w:val="-40"/>
        </w:rPr>
      </w:r>
      <w:r>
        <w:rPr>
          <w:spacing w:val="-2"/>
        </w:rPr>
        <w:t>酬与津贴，认为公司董事、监事和高级管理人员的薪酬标准符合公司薪资的规定，公司</w:t>
      </w:r>
      <w:r>
        <w:rPr>
          <w:rFonts w:ascii="宋体" w:hAnsi="宋体" w:cs="宋体" w:eastAsia="宋体" w:hint="default"/>
          <w:spacing w:val="-2"/>
        </w:rPr>
        <w:t>2015</w:t>
      </w:r>
      <w:r>
        <w:rPr>
          <w:spacing w:val="-2"/>
        </w:rPr>
        <w:t>年年度报告中</w:t>
      </w:r>
      <w:r>
        <w:rPr>
          <w:spacing w:val="-42"/>
        </w:rPr>
        <w:t> </w:t>
      </w:r>
      <w:r>
        <w:rPr>
          <w:spacing w:val="-42"/>
        </w:rPr>
      </w:r>
      <w:r>
        <w:rPr/>
        <w:t>所披露的董事、监事和高级管理人员的薪酬真实、准确。</w:t>
      </w:r>
    </w:p>
    <w:p>
      <w:pPr>
        <w:pStyle w:val="BodyText"/>
        <w:spacing w:line="273" w:lineRule="auto" w:before="7"/>
        <w:ind w:left="573" w:right="102"/>
        <w:jc w:val="left"/>
      </w:pPr>
      <w:r>
        <w:rPr/>
        <w:t>（四）提名委员会的履职情况</w:t>
      </w:r>
      <w:r>
        <w:rPr>
          <w:w w:val="100"/>
        </w:rPr>
        <w:t> </w:t>
      </w:r>
      <w:r>
        <w:rPr>
          <w:spacing w:val="-2"/>
        </w:rPr>
        <w:t>报告期内，公司董事会提名委员会召开一次会议，依照法律、法规以及《公司章程》、公司《董事会</w:t>
      </w:r>
    </w:p>
    <w:p>
      <w:pPr>
        <w:pStyle w:val="BodyText"/>
        <w:spacing w:line="240" w:lineRule="auto" w:before="7"/>
        <w:ind w:right="102"/>
        <w:jc w:val="left"/>
      </w:pPr>
      <w:r>
        <w:rPr/>
        <w:t>提名委员会工作细则》的规定，勤勉履行职责，对公司董事会成员以及公司经营层主要管理人员任职等事</w:t>
      </w:r>
    </w:p>
    <w:p>
      <w:pPr>
        <w:spacing w:after="0" w:line="240"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BodyText"/>
        <w:spacing w:line="240" w:lineRule="auto" w:before="36"/>
        <w:ind w:right="102"/>
        <w:jc w:val="left"/>
      </w:pPr>
      <w:r>
        <w:rPr/>
        <w:t>项符合《公司法》及国家有关法律、法规规定的任职资格进行审核并提交公司董事会审议。</w:t>
      </w:r>
    </w:p>
    <w:p>
      <w:pPr>
        <w:spacing w:line="240" w:lineRule="auto" w:before="13"/>
        <w:rPr>
          <w:rFonts w:ascii="宋体" w:hAnsi="宋体" w:cs="宋体" w:eastAsia="宋体" w:hint="default"/>
          <w:sz w:val="17"/>
          <w:szCs w:val="17"/>
        </w:rPr>
      </w:pPr>
    </w:p>
    <w:p>
      <w:pPr>
        <w:pStyle w:val="Heading2"/>
        <w:spacing w:line="240" w:lineRule="auto"/>
        <w:ind w:right="102"/>
        <w:jc w:val="left"/>
        <w:rPr>
          <w:b w:val="0"/>
          <w:bCs w:val="0"/>
        </w:rPr>
      </w:pPr>
      <w:r>
        <w:rPr/>
        <w:t>七、监事会工作情况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102"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5"/>
        <w:ind w:left="152" w:right="6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监事会对报告期内的监督事项无异议。</w:t>
      </w:r>
    </w:p>
    <w:p>
      <w:pPr>
        <w:spacing w:line="240" w:lineRule="auto" w:before="8"/>
        <w:rPr>
          <w:rFonts w:ascii="宋体" w:hAnsi="宋体" w:cs="宋体" w:eastAsia="宋体" w:hint="default"/>
          <w:sz w:val="13"/>
          <w:szCs w:val="13"/>
        </w:rPr>
      </w:pPr>
    </w:p>
    <w:p>
      <w:pPr>
        <w:pStyle w:val="Heading2"/>
        <w:spacing w:line="240" w:lineRule="auto"/>
        <w:ind w:right="102"/>
        <w:jc w:val="left"/>
        <w:rPr>
          <w:b w:val="0"/>
          <w:bCs w:val="0"/>
        </w:rPr>
      </w:pPr>
      <w:r>
        <w:rPr/>
        <w:t>八、高级管理人员的考评及激励情况</w:t>
      </w:r>
      <w:r>
        <w:rPr>
          <w:b w:val="0"/>
          <w:bCs w:val="0"/>
        </w:rPr>
      </w:r>
    </w:p>
    <w:p>
      <w:pPr>
        <w:spacing w:line="240" w:lineRule="auto" w:before="1"/>
        <w:rPr>
          <w:rFonts w:ascii="Microsoft JhengHei" w:hAnsi="Microsoft JhengHei" w:cs="Microsoft JhengHei" w:eastAsia="Microsoft JhengHei" w:hint="default"/>
          <w:b/>
          <w:bCs/>
          <w:sz w:val="17"/>
          <w:szCs w:val="17"/>
        </w:rPr>
      </w:pPr>
    </w:p>
    <w:p>
      <w:pPr>
        <w:pStyle w:val="BodyText"/>
        <w:spacing w:line="273" w:lineRule="auto"/>
        <w:ind w:right="102" w:firstLine="420"/>
        <w:jc w:val="left"/>
      </w:pPr>
      <w:r>
        <w:rPr>
          <w:spacing w:val="-5"/>
        </w:rPr>
        <w:t>报告期内，本公司高级管理人员能够严格按照《公司法》、《公司章程》等法律法规，认真履行职责。</w:t>
      </w:r>
      <w:r>
        <w:rPr>
          <w:w w:val="100"/>
        </w:rPr>
        <w:t> </w:t>
      </w:r>
      <w:r>
        <w:rPr>
          <w:spacing w:val="-2"/>
        </w:rPr>
        <w:t>公司董事会设立了薪酬与考核委员会，公司高级管理人员直接对董事会负责，接受董事会的考核，以公司</w:t>
      </w:r>
      <w:r>
        <w:rPr>
          <w:spacing w:val="-43"/>
        </w:rPr>
        <w:t> </w:t>
      </w:r>
      <w:r>
        <w:rPr>
          <w:spacing w:val="-43"/>
        </w:rPr>
      </w:r>
      <w:r>
        <w:rPr>
          <w:spacing w:val="-2"/>
        </w:rPr>
        <w:t>规范化管理及经营效益完成情况为基础，明确责任。董事会薪酬与考核委员会具体审议高级管理人员的薪</w:t>
      </w:r>
      <w:r>
        <w:rPr>
          <w:spacing w:val="-43"/>
        </w:rPr>
        <w:t> </w:t>
      </w:r>
      <w:r>
        <w:rPr>
          <w:spacing w:val="-43"/>
        </w:rPr>
      </w:r>
      <w:r>
        <w:rPr>
          <w:spacing w:val="-2"/>
        </w:rPr>
        <w:t>酬奖励方案，根据公司实际经营完成情况以及高级管理人员的工作绩效，对高级管理人员进行年度绩效考</w:t>
      </w:r>
      <w:r>
        <w:rPr>
          <w:spacing w:val="-44"/>
        </w:rPr>
        <w:t> </w:t>
      </w:r>
      <w:r>
        <w:rPr>
          <w:spacing w:val="-44"/>
        </w:rPr>
      </w:r>
      <w:r>
        <w:rPr/>
        <w:t>核，并监督薪酬制度执行情况。</w:t>
      </w:r>
    </w:p>
    <w:p>
      <w:pPr>
        <w:spacing w:line="240" w:lineRule="auto" w:before="10"/>
        <w:rPr>
          <w:rFonts w:ascii="宋体" w:hAnsi="宋体" w:cs="宋体" w:eastAsia="宋体" w:hint="default"/>
          <w:sz w:val="15"/>
          <w:szCs w:val="15"/>
        </w:rPr>
      </w:pPr>
    </w:p>
    <w:p>
      <w:pPr>
        <w:pStyle w:val="Heading2"/>
        <w:spacing w:line="240" w:lineRule="auto"/>
        <w:ind w:right="102"/>
        <w:jc w:val="left"/>
        <w:rPr>
          <w:b w:val="0"/>
          <w:bCs w:val="0"/>
        </w:rPr>
      </w:pPr>
      <w:r>
        <w:rPr/>
        <w:t>九、内部控制评价报告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102"/>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spacing w:before="0"/>
        <w:ind w:left="152"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21"/>
          <w:szCs w:val="21"/>
        </w:rPr>
      </w:pPr>
    </w:p>
    <w:p>
      <w:pPr>
        <w:pStyle w:val="Heading3"/>
        <w:spacing w:line="240" w:lineRule="auto"/>
        <w:ind w:right="102"/>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95"/>
        <w:gridCol w:w="3322"/>
        <w:gridCol w:w="3053"/>
      </w:tblGrid>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161"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6375" w:type="dxa"/>
            <w:gridSpan w:val="2"/>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《广东群兴玩具股份有限公司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日的巨潮网资讯</w:t>
            </w:r>
            <w:r>
              <w:rPr>
                <w:rFonts w:ascii="宋体" w:hAnsi="宋体" w:cs="宋体" w:eastAsia="宋体" w:hint="default"/>
                <w:spacing w:val="-2"/>
                <w:sz w:val="18"/>
                <w:szCs w:val="18"/>
              </w:rPr>
              <w:t>（</w:t>
            </w:r>
            <w:hyperlink r:id="rId11">
              <w:r>
                <w:rPr>
                  <w:rFonts w:ascii="Times New Roman" w:hAnsi="Times New Roman" w:cs="Times New Roman" w:eastAsia="Times New Roman" w:hint="default"/>
                  <w:spacing w:val="1"/>
                  <w:sz w:val="18"/>
                  <w:szCs w:val="18"/>
                </w:rPr>
                <w:t>h</w:t>
              </w:r>
              <w:r>
                <w:rPr>
                  <w:rFonts w:ascii="Times New Roman" w:hAnsi="Times New Roman" w:cs="Times New Roman" w:eastAsia="Times New Roman" w:hint="default"/>
                  <w:sz w:val="18"/>
                  <w:szCs w:val="18"/>
                </w:rPr>
                <w:t>t</w:t>
              </w:r>
              <w:r>
                <w:rPr>
                  <w:rFonts w:ascii="Times New Roman" w:hAnsi="Times New Roman" w:cs="Times New Roman" w:eastAsia="Times New Roman" w:hint="default"/>
                  <w:spacing w:val="-2"/>
                  <w:sz w:val="18"/>
                  <w:szCs w:val="18"/>
                </w:rPr>
                <w:t>t</w:t>
              </w:r>
              <w:r>
                <w:rPr>
                  <w:rFonts w:ascii="Times New Roman" w:hAnsi="Times New Roman" w:cs="Times New Roman" w:eastAsia="Times New Roman" w:hint="default"/>
                  <w:spacing w:val="1"/>
                  <w:sz w:val="18"/>
                  <w:szCs w:val="18"/>
                </w:rPr>
                <w:t>p</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3"/>
                  <w:w w:val="99"/>
                  <w:sz w:val="18"/>
                  <w:szCs w:val="18"/>
                </w:rPr>
                <w:t>w</w:t>
              </w:r>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6"/>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2"/>
                  <w:sz w:val="18"/>
                  <w:szCs w:val="18"/>
                </w:rPr>
                <w:t>n</w:t>
              </w:r>
            </w:hyperlink>
            <w:r>
              <w:rPr>
                <w:rFonts w:ascii="宋体" w:hAnsi="宋体" w:cs="宋体" w:eastAsia="宋体" w:hint="default"/>
                <w:spacing w:val="-92"/>
                <w:sz w:val="18"/>
                <w:szCs w:val="18"/>
              </w:rPr>
              <w:t>）。</w:t>
            </w:r>
            <w:r>
              <w:rPr>
                <w:rFonts w:ascii="宋体" w:hAnsi="宋体" w:cs="宋体" w:eastAsia="宋体" w:hint="default"/>
                <w:sz w:val="18"/>
                <w:szCs w:val="18"/>
              </w:rPr>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gridSpan w:val="2"/>
            <w:vMerge/>
            <w:tcBorders>
              <w:left w:val="single" w:sz="4" w:space="0" w:color="000000"/>
              <w:right w:val="single" w:sz="4" w:space="0" w:color="000000"/>
            </w:tcBorders>
            <w:shd w:val="clear" w:color="auto" w:fill="C6ECCC"/>
          </w:tcPr>
          <w:p>
            <w:pPr/>
          </w:p>
        </w:tc>
      </w:tr>
      <w:tr>
        <w:trPr>
          <w:trHeight w:val="161"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6375" w:type="dxa"/>
            <w:gridSpan w:val="2"/>
            <w:vMerge/>
            <w:tcBorders>
              <w:left w:val="single" w:sz="4" w:space="0" w:color="000000"/>
              <w:bottom w:val="single" w:sz="4" w:space="0" w:color="000000"/>
              <w:right w:val="single" w:sz="4" w:space="0" w:color="000000"/>
            </w:tcBorders>
            <w:shd w:val="clear" w:color="auto" w:fill="C6ECCC"/>
          </w:tcPr>
          <w:p>
            <w:pP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234"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4" w:space="0" w:color="000000"/>
              <w:right w:val="single" w:sz="4" w:space="0" w:color="000000"/>
            </w:tcBorders>
            <w:shd w:val="clear" w:color="auto" w:fill="C6ECCC"/>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）重大缺陷：①公司控制环境无效；②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公司董事、监事和高级管理人员舞弊；③ 注册会计师发现当期财务报表存在重大错 报，而公司内部控制在运行过程中未能发 现该错报；④公司审计委员会和审计部对 </w:t>
            </w:r>
            <w:r>
              <w:rPr>
                <w:rFonts w:ascii="宋体" w:hAnsi="宋体" w:cs="宋体" w:eastAsia="宋体" w:hint="default"/>
                <w:spacing w:val="-5"/>
                <w:sz w:val="18"/>
                <w:szCs w:val="18"/>
              </w:rPr>
              <w:t>内部控制的监督无效。（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）重要缺陷：①</w:t>
            </w:r>
            <w:r>
              <w:rPr>
                <w:rFonts w:ascii="宋体" w:hAnsi="宋体" w:cs="宋体" w:eastAsia="宋体" w:hint="default"/>
                <w:spacing w:val="-86"/>
                <w:sz w:val="18"/>
                <w:szCs w:val="18"/>
              </w:rPr>
              <w:t> </w:t>
            </w:r>
            <w:r>
              <w:rPr>
                <w:rFonts w:ascii="宋体" w:hAnsi="宋体" w:cs="宋体" w:eastAsia="宋体" w:hint="default"/>
                <w:sz w:val="18"/>
                <w:szCs w:val="18"/>
              </w:rPr>
              <w:t>未按照公认会计准则选择和应用会计政 策；②反舞弊程序和控制无效；③财务报 告过程中出现单独或多项缺陷，虽然未达</w:t>
            </w:r>
          </w:p>
        </w:tc>
        <w:tc>
          <w:tcPr>
            <w:tcW w:w="3053" w:type="dxa"/>
            <w:vMerge w:val="restart"/>
            <w:tcBorders>
              <w:top w:val="single" w:sz="4" w:space="0" w:color="000000"/>
              <w:left w:val="single" w:sz="4" w:space="0" w:color="000000"/>
              <w:right w:val="single" w:sz="4" w:space="0" w:color="000000"/>
            </w:tcBorders>
            <w:shd w:val="clear" w:color="auto" w:fill="C6ECCC"/>
          </w:tcPr>
          <w:p>
            <w:pPr>
              <w:pStyle w:val="TableParagraph"/>
              <w:spacing w:line="314" w:lineRule="auto" w:before="49"/>
              <w:ind w:left="26" w:right="1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）重大缺陷：①违反国家法律、法 </w:t>
            </w:r>
            <w:r>
              <w:rPr>
                <w:rFonts w:ascii="宋体" w:hAnsi="宋体" w:cs="宋体" w:eastAsia="宋体" w:hint="default"/>
                <w:spacing w:val="-4"/>
                <w:sz w:val="18"/>
                <w:szCs w:val="18"/>
              </w:rPr>
              <w:t>规或规范性文件；②决策程序不科学导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致重大决策失误；③重要业务制度性缺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失或系统性失效；④重大或重要缺陷不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能得到有效整改；⑤安全、环保事故对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sz w:val="18"/>
                <w:szCs w:val="18"/>
              </w:rPr>
              <w:t>公司造成重大负面影响的情形。（</w:t>
            </w: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）重</w:t>
            </w:r>
            <w:r>
              <w:rPr>
                <w:rFonts w:ascii="宋体" w:hAnsi="宋体" w:cs="宋体" w:eastAsia="宋体" w:hint="default"/>
                <w:spacing w:val="-82"/>
                <w:sz w:val="18"/>
                <w:szCs w:val="18"/>
              </w:rPr>
              <w:t> </w:t>
            </w:r>
            <w:r>
              <w:rPr>
                <w:rFonts w:ascii="宋体" w:hAnsi="宋体" w:cs="宋体" w:eastAsia="宋体" w:hint="default"/>
                <w:spacing w:val="-4"/>
                <w:sz w:val="18"/>
                <w:szCs w:val="18"/>
              </w:rPr>
              <w:t>要缺陷：①重要业务制度或系统存在的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缺陷；②内部控制内部监督发现的重要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缺陷未及时整改；③重要业务系统运转</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2" w:type="dxa"/>
            <w:vMerge/>
            <w:tcBorders>
              <w:left w:val="single" w:sz="4" w:space="0" w:color="000000"/>
              <w:right w:val="single" w:sz="4" w:space="0" w:color="000000"/>
            </w:tcBorders>
            <w:shd w:val="clear" w:color="auto" w:fill="C6ECCC"/>
          </w:tcPr>
          <w:p>
            <w:pPr/>
          </w:p>
        </w:tc>
        <w:tc>
          <w:tcPr>
            <w:tcW w:w="3053" w:type="dxa"/>
            <w:vMerge/>
            <w:tcBorders>
              <w:left w:val="single" w:sz="4" w:space="0" w:color="000000"/>
              <w:right w:val="single" w:sz="4" w:space="0" w:color="000000"/>
            </w:tcBorders>
            <w:shd w:val="clear" w:color="auto" w:fill="C6ECCC"/>
          </w:tcPr>
          <w:p>
            <w:pPr/>
          </w:p>
        </w:tc>
      </w:tr>
      <w:tr>
        <w:trPr>
          <w:trHeight w:val="1234"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4" w:space="0" w:color="000000"/>
              <w:bottom w:val="single" w:sz="4" w:space="0" w:color="000000"/>
              <w:right w:val="single" w:sz="4" w:space="0" w:color="000000"/>
            </w:tcBorders>
            <w:shd w:val="clear" w:color="auto" w:fill="C6ECCC"/>
          </w:tcPr>
          <w:p>
            <w:pPr/>
          </w:p>
        </w:tc>
        <w:tc>
          <w:tcPr>
            <w:tcW w:w="3053" w:type="dxa"/>
            <w:vMerge/>
            <w:tcBorders>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745" w:footer="979" w:top="1060" w:bottom="1160" w:left="980" w:right="92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9" w:type="dxa"/>
        <w:tblLayout w:type="fixed"/>
        <w:tblCellMar>
          <w:top w:w="0" w:type="dxa"/>
          <w:left w:w="0" w:type="dxa"/>
          <w:bottom w:w="0" w:type="dxa"/>
          <w:right w:w="0" w:type="dxa"/>
        </w:tblCellMar>
        <w:tblLook w:val="01E0"/>
      </w:tblPr>
      <w:tblGrid>
        <w:gridCol w:w="3194"/>
        <w:gridCol w:w="3322"/>
        <w:gridCol w:w="3053"/>
      </w:tblGrid>
      <w:tr>
        <w:trPr>
          <w:trHeight w:val="129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8"/>
              <w:ind w:left="24" w:right="47"/>
              <w:jc w:val="both"/>
              <w:rPr>
                <w:rFonts w:ascii="宋体" w:hAnsi="宋体" w:cs="宋体" w:eastAsia="宋体" w:hint="default"/>
                <w:sz w:val="18"/>
                <w:szCs w:val="18"/>
              </w:rPr>
            </w:pPr>
            <w:r>
              <w:rPr>
                <w:rFonts w:ascii="宋体" w:hAnsi="宋体" w:cs="宋体" w:eastAsia="宋体" w:hint="default"/>
                <w:sz w:val="18"/>
                <w:szCs w:val="18"/>
              </w:rPr>
              <w:t>到重大缺陷认定标准，但影响到财务报告 </w:t>
            </w:r>
            <w:r>
              <w:rPr>
                <w:rFonts w:ascii="宋体" w:hAnsi="宋体" w:cs="宋体" w:eastAsia="宋体" w:hint="default"/>
                <w:spacing w:val="-5"/>
                <w:sz w:val="18"/>
                <w:szCs w:val="18"/>
              </w:rPr>
              <w:t>的真实、准确目标。（</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）一般缺陷：未构</w:t>
            </w:r>
            <w:r>
              <w:rPr>
                <w:rFonts w:ascii="宋体" w:hAnsi="宋体" w:cs="宋体" w:eastAsia="宋体" w:hint="default"/>
                <w:spacing w:val="-86"/>
                <w:sz w:val="18"/>
                <w:szCs w:val="18"/>
              </w:rPr>
              <w:t> </w:t>
            </w:r>
            <w:r>
              <w:rPr>
                <w:rFonts w:ascii="宋体" w:hAnsi="宋体" w:cs="宋体" w:eastAsia="宋体" w:hint="default"/>
                <w:sz w:val="18"/>
                <w:szCs w:val="18"/>
              </w:rPr>
              <w:t>成重大缺陷、重要缺陷标准的其他内部控 制缺陷。</w:t>
            </w:r>
          </w:p>
        </w:tc>
        <w:tc>
          <w:tcPr>
            <w:tcW w:w="30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8"/>
              <w:ind w:left="26" w:right="19"/>
              <w:jc w:val="left"/>
              <w:rPr>
                <w:rFonts w:ascii="宋体" w:hAnsi="宋体" w:cs="宋体" w:eastAsia="宋体" w:hint="default"/>
                <w:sz w:val="18"/>
                <w:szCs w:val="18"/>
              </w:rPr>
            </w:pPr>
            <w:r>
              <w:rPr>
                <w:rFonts w:ascii="宋体" w:hAnsi="宋体" w:cs="宋体" w:eastAsia="宋体" w:hint="default"/>
                <w:spacing w:val="-9"/>
                <w:sz w:val="18"/>
                <w:szCs w:val="18"/>
              </w:rPr>
              <w:t>效率低下。（</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）一般缺陷：一般业务制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度或系统存在缺陷。</w:t>
            </w:r>
          </w:p>
        </w:tc>
      </w:tr>
      <w:tr>
        <w:trPr>
          <w:trHeight w:val="320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）重大缺陷：①报金额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2.5%</w:t>
            </w:r>
            <w:r>
              <w:rPr>
                <w:rFonts w:ascii="宋体" w:hAnsi="宋体" w:cs="宋体" w:eastAsia="宋体" w:hint="default"/>
                <w:sz w:val="18"/>
                <w:szCs w:val="18"/>
              </w:rPr>
              <w:t>；②报金额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主营业务收入的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；③ </w:t>
            </w:r>
            <w:r>
              <w:rPr>
                <w:rFonts w:ascii="宋体" w:hAnsi="宋体" w:cs="宋体" w:eastAsia="宋体" w:hint="default"/>
                <w:spacing w:val="-1"/>
                <w:w w:val="100"/>
                <w:sz w:val="18"/>
                <w:szCs w:val="18"/>
              </w:rPr>
              <w:t>报金额</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利润总额的</w:t>
            </w:r>
            <w:r>
              <w:rPr>
                <w:rFonts w:ascii="宋体" w:hAnsi="宋体" w:cs="宋体" w:eastAsia="宋体" w:hint="default"/>
                <w:spacing w:val="-29"/>
                <w:w w:val="100"/>
                <w:sz w:val="18"/>
                <w:szCs w:val="18"/>
              </w:rPr>
              <w:t> </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）重要缺陷：</w:t>
            </w:r>
          </w:p>
          <w:p>
            <w:pPr>
              <w:pStyle w:val="TableParagraph"/>
              <w:spacing w:line="300" w:lineRule="auto" w:before="13"/>
              <w:ind w:left="24" w:right="19"/>
              <w:jc w:val="left"/>
              <w:rPr>
                <w:rFonts w:ascii="宋体" w:hAnsi="宋体" w:cs="宋体" w:eastAsia="宋体" w:hint="default"/>
                <w:sz w:val="18"/>
                <w:szCs w:val="18"/>
              </w:rPr>
            </w:pPr>
            <w:r>
              <w:rPr>
                <w:rFonts w:ascii="宋体" w:hAnsi="宋体" w:cs="宋体" w:eastAsia="宋体" w:hint="default"/>
                <w:sz w:val="18"/>
                <w:szCs w:val="18"/>
              </w:rPr>
              <w:t>①资产总额的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错报金额＜资产总额的 </w:t>
            </w:r>
            <w:r>
              <w:rPr>
                <w:rFonts w:ascii="Times New Roman" w:hAnsi="Times New Roman" w:cs="Times New Roman" w:eastAsia="Times New Roman" w:hint="default"/>
                <w:sz w:val="18"/>
                <w:szCs w:val="18"/>
              </w:rPr>
              <w:t>2.5%</w:t>
            </w:r>
            <w:r>
              <w:rPr>
                <w:rFonts w:ascii="宋体" w:hAnsi="宋体" w:cs="宋体" w:eastAsia="宋体" w:hint="default"/>
                <w:sz w:val="18"/>
                <w:szCs w:val="18"/>
              </w:rPr>
              <w:t>；②营业收入的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错报金额＜主营 业务收入的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；③利润总额的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 金额＜利润总额的</w:t>
            </w:r>
            <w:r>
              <w:rPr>
                <w:rFonts w:ascii="宋体" w:hAnsi="宋体" w:cs="宋体" w:eastAsia="宋体" w:hint="default"/>
                <w:spacing w:val="-39"/>
                <w:sz w:val="18"/>
                <w:szCs w:val="18"/>
              </w:rPr>
              <w:t> </w:t>
            </w:r>
            <w:r>
              <w:rPr>
                <w:rFonts w:ascii="Times New Roman" w:hAnsi="Times New Roman" w:cs="Times New Roman" w:eastAsia="Times New Roman" w:hint="default"/>
                <w:spacing w:val="-15"/>
                <w:sz w:val="18"/>
                <w:szCs w:val="18"/>
              </w:rPr>
              <w:t>5%</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3</w:t>
            </w:r>
            <w:r>
              <w:rPr>
                <w:rFonts w:ascii="宋体" w:hAnsi="宋体" w:cs="宋体" w:eastAsia="宋体" w:hint="default"/>
                <w:spacing w:val="-15"/>
                <w:sz w:val="18"/>
                <w:szCs w:val="18"/>
              </w:rPr>
              <w:t>）一般缺陷：①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错报金额＜资产总额的</w:t>
            </w:r>
            <w:r>
              <w:rPr>
                <w:rFonts w:ascii="宋体" w:hAnsi="宋体" w:cs="宋体" w:eastAsia="宋体" w:hint="default"/>
                <w:spacing w:val="-44"/>
                <w:sz w:val="18"/>
                <w:szCs w:val="18"/>
              </w:rPr>
              <w:t> </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；②错报金额＜</w:t>
            </w:r>
            <w:r>
              <w:rPr>
                <w:rFonts w:ascii="宋体" w:hAnsi="宋体" w:cs="宋体" w:eastAsia="宋体" w:hint="default"/>
                <w:sz w:val="18"/>
                <w:szCs w:val="18"/>
              </w:rPr>
              <w:t> 主营业务收入的</w:t>
            </w:r>
            <w:r>
              <w:rPr>
                <w:rFonts w:ascii="宋体" w:hAnsi="宋体" w:cs="宋体" w:eastAsia="宋体" w:hint="default"/>
                <w:spacing w:val="-43"/>
                <w:sz w:val="18"/>
                <w:szCs w:val="18"/>
              </w:rPr>
              <w:t> </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；③错报金额＜利润总</w:t>
            </w:r>
            <w:r>
              <w:rPr>
                <w:rFonts w:ascii="宋体" w:hAnsi="宋体" w:cs="宋体" w:eastAsia="宋体" w:hint="default"/>
                <w:sz w:val="18"/>
                <w:szCs w:val="18"/>
              </w:rPr>
              <w:t>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0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1"/>
                <w:szCs w:val="11"/>
              </w:rPr>
            </w:pPr>
          </w:p>
          <w:p>
            <w:pPr>
              <w:pStyle w:val="TableParagraph"/>
              <w:spacing w:line="316" w:lineRule="auto"/>
              <w:ind w:left="26" w:right="135"/>
              <w:jc w:val="both"/>
              <w:rPr>
                <w:rFonts w:ascii="宋体" w:hAnsi="宋体" w:cs="宋体" w:eastAsia="宋体" w:hint="default"/>
                <w:sz w:val="18"/>
                <w:szCs w:val="18"/>
              </w:rPr>
            </w:pPr>
            <w:r>
              <w:rPr>
                <w:rFonts w:ascii="宋体" w:hAnsi="宋体" w:cs="宋体" w:eastAsia="宋体" w:hint="default"/>
                <w:sz w:val="18"/>
                <w:szCs w:val="18"/>
              </w:rPr>
              <w:t>非财务报告内部控制缺陷评价的定量 标准参照财务报告内部控制缺陷评价 的定量标准执行。</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十、内部控制审计报告或鉴证报告</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right="2792"/>
        <w:jc w:val="center"/>
        <w:rPr>
          <w:b w:val="0"/>
          <w:bCs w:val="0"/>
        </w:rPr>
      </w:pPr>
      <w:bookmarkStart w:name="_bookmark9" w:id="10"/>
      <w:bookmarkEnd w:id="10"/>
      <w:r>
        <w:rPr>
          <w:b w:val="0"/>
          <w:bCs w:val="0"/>
        </w:rPr>
      </w:r>
      <w:r>
        <w:rPr/>
        <w:t>第十节 </w:t>
      </w:r>
      <w:r>
        <w:rPr>
          <w:spacing w:val="9"/>
        </w:rPr>
        <w:t> </w:t>
      </w:r>
      <w:r>
        <w:rPr/>
        <w:t>财务报告</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一、审计报告</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[2016]001775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陈瑜星、方建新</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6"/>
        <w:rPr>
          <w:rFonts w:ascii="Microsoft JhengHei" w:hAnsi="Microsoft JhengHei" w:cs="Microsoft JhengHei" w:eastAsia="Microsoft JhengHei" w:hint="default"/>
          <w:b/>
          <w:bCs/>
          <w:sz w:val="17"/>
          <w:szCs w:val="17"/>
        </w:rPr>
      </w:pPr>
    </w:p>
    <w:p>
      <w:pPr>
        <w:pStyle w:val="Heading3"/>
        <w:spacing w:line="240" w:lineRule="auto"/>
        <w:ind w:right="0"/>
        <w:jc w:val="left"/>
        <w:rPr>
          <w:b w:val="0"/>
          <w:bCs w:val="0"/>
        </w:rPr>
      </w:pPr>
      <w:r>
        <w:rPr>
          <w:spacing w:val="-1"/>
        </w:rPr>
        <w:t>广东群兴玩具股份有限公司全体股东：</w:t>
      </w:r>
      <w:r>
        <w:rPr>
          <w:b w:val="0"/>
          <w:bCs w:val="0"/>
          <w:spacing w:val="-1"/>
        </w:rPr>
      </w:r>
    </w:p>
    <w:p>
      <w:pPr>
        <w:spacing w:before="49"/>
        <w:ind w:left="15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审计报告正文</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739" w:space="541"/>
            <w:col w:w="5670"/>
          </w:cols>
        </w:sectPr>
      </w:pPr>
    </w:p>
    <w:p>
      <w:pPr>
        <w:spacing w:line="240" w:lineRule="auto" w:before="1"/>
        <w:rPr>
          <w:rFonts w:ascii="宋体" w:hAnsi="宋体" w:cs="宋体" w:eastAsia="宋体" w:hint="default"/>
          <w:sz w:val="22"/>
          <w:szCs w:val="22"/>
        </w:rPr>
      </w:pPr>
    </w:p>
    <w:p>
      <w:pPr>
        <w:pStyle w:val="BodyText"/>
        <w:spacing w:line="256" w:lineRule="auto" w:before="36"/>
        <w:ind w:right="0" w:firstLine="458"/>
        <w:jc w:val="left"/>
      </w:pPr>
      <w:r>
        <w:rPr>
          <w:spacing w:val="-3"/>
        </w:rPr>
        <w:t>我们审计了后附的广东群兴玩具股份有限公司（以下简称</w:t>
      </w:r>
      <w:r>
        <w:rPr>
          <w:rFonts w:ascii="Times New Roman" w:hAnsi="Times New Roman" w:cs="Times New Roman" w:eastAsia="Times New Roman" w:hint="default"/>
          <w:spacing w:val="-3"/>
        </w:rPr>
        <w:t>“</w:t>
      </w:r>
      <w:r>
        <w:rPr>
          <w:spacing w:val="-3"/>
        </w:rPr>
        <w:t>群兴玩具</w:t>
      </w:r>
      <w:r>
        <w:rPr>
          <w:rFonts w:ascii="Times New Roman" w:hAnsi="Times New Roman" w:cs="Times New Roman" w:eastAsia="Times New Roman" w:hint="default"/>
          <w:spacing w:val="-3"/>
        </w:rPr>
        <w:t>”</w:t>
      </w:r>
      <w:r>
        <w:rPr>
          <w:spacing w:val="-3"/>
        </w:rPr>
        <w:t>）财务报表，包括</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rFonts w:ascii="Times New Roman" w:hAnsi="Times New Roman" w:cs="Times New Roman" w:eastAsia="Times New Roman" w:hint="default"/>
          <w:spacing w:val="-3"/>
          <w:w w:val="100"/>
        </w:rPr>
        <w:t> </w:t>
      </w:r>
      <w:r>
        <w:rPr/>
        <w:t>日合并及母公司的资产负债表，</w:t>
      </w:r>
      <w:r>
        <w:rPr>
          <w:spacing w:val="-25"/>
        </w:rPr>
        <w:t> </w:t>
      </w:r>
      <w:r>
        <w:rPr>
          <w:rFonts w:ascii="Times New Roman" w:hAnsi="Times New Roman" w:cs="Times New Roman" w:eastAsia="Times New Roman" w:hint="default"/>
        </w:rPr>
        <w:t>2015</w:t>
      </w:r>
      <w:r>
        <w:rPr/>
        <w:t>年度合并及母公司的利润表、合并及母公司股东权益变动表和合并</w:t>
      </w:r>
      <w:r>
        <w:rPr>
          <w:w w:val="100"/>
        </w:rPr>
        <w:t> </w:t>
      </w:r>
      <w:r>
        <w:rPr/>
        <w:t>及母公司现金流量表以及财务报表附注。</w:t>
      </w:r>
    </w:p>
    <w:p>
      <w:pPr>
        <w:spacing w:line="240" w:lineRule="auto" w:before="6"/>
        <w:rPr>
          <w:rFonts w:ascii="宋体" w:hAnsi="宋体" w:cs="宋体" w:eastAsia="宋体" w:hint="default"/>
          <w:sz w:val="20"/>
          <w:szCs w:val="20"/>
        </w:rPr>
      </w:pPr>
    </w:p>
    <w:p>
      <w:pPr>
        <w:spacing w:line="249" w:lineRule="auto" w:before="0"/>
        <w:ind w:left="611"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一、管理层对财务报表的责任</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2"/>
          <w:sz w:val="21"/>
          <w:szCs w:val="21"/>
        </w:rPr>
        <w:t>编制和公允列报财务报表是群兴玩具管理层的责任。这种责任包括：（</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）按照企业会计准则的规定</w:t>
      </w:r>
    </w:p>
    <w:p>
      <w:pPr>
        <w:pStyle w:val="BodyText"/>
        <w:spacing w:line="256" w:lineRule="auto" w:before="12"/>
        <w:ind w:right="0"/>
        <w:jc w:val="left"/>
      </w:pPr>
      <w:r>
        <w:rPr>
          <w:spacing w:val="-2"/>
        </w:rPr>
        <w:t>编制财务报表，并使其实现公允反映；（</w:t>
      </w:r>
      <w:r>
        <w:rPr>
          <w:rFonts w:ascii="Times New Roman" w:hAnsi="Times New Roman" w:cs="Times New Roman" w:eastAsia="Times New Roman" w:hint="default"/>
          <w:spacing w:val="-2"/>
        </w:rPr>
        <w:t>2</w:t>
      </w:r>
      <w:r>
        <w:rPr>
          <w:spacing w:val="-2"/>
        </w:rPr>
        <w:t>）设计、执行和维护必要的内部控制，以使财务报表不存在由</w:t>
      </w:r>
      <w:r>
        <w:rPr>
          <w:spacing w:val="-21"/>
        </w:rPr>
        <w:t> </w:t>
      </w:r>
      <w:r>
        <w:rPr>
          <w:spacing w:val="-21"/>
        </w:rPr>
      </w:r>
      <w:r>
        <w:rPr/>
        <w:t>于舞弊或错误而导致的重大错报。</w:t>
      </w:r>
    </w:p>
    <w:p>
      <w:pPr>
        <w:spacing w:line="240" w:lineRule="auto" w:before="6"/>
        <w:rPr>
          <w:rFonts w:ascii="宋体" w:hAnsi="宋体" w:cs="宋体" w:eastAsia="宋体" w:hint="default"/>
          <w:sz w:val="20"/>
          <w:szCs w:val="20"/>
        </w:rPr>
      </w:pPr>
    </w:p>
    <w:p>
      <w:pPr>
        <w:pStyle w:val="BodyText"/>
        <w:spacing w:line="249" w:lineRule="auto"/>
        <w:ind w:left="611" w:right="0"/>
        <w:jc w:val="left"/>
      </w:pPr>
      <w:r>
        <w:rPr>
          <w:rFonts w:ascii="Microsoft JhengHei" w:hAnsi="Microsoft JhengHei" w:cs="Microsoft JhengHei" w:eastAsia="Microsoft JhengHei" w:hint="default"/>
          <w:b/>
          <w:bCs/>
        </w:rPr>
        <w:t>二、注册会计师的责任</w:t>
      </w:r>
      <w:r>
        <w:rPr>
          <w:rFonts w:ascii="Microsoft JhengHei" w:hAnsi="Microsoft JhengHei" w:cs="Microsoft JhengHei" w:eastAsia="Microsoft JhengHei" w:hint="default"/>
          <w:b/>
          <w:bCs/>
          <w:spacing w:val="-44"/>
        </w:rPr>
        <w:t> </w:t>
      </w:r>
      <w:r>
        <w:rPr>
          <w:rFonts w:ascii="Microsoft JhengHei" w:hAnsi="Microsoft JhengHei" w:cs="Microsoft JhengHei" w:eastAsia="Microsoft JhengHei" w:hint="default"/>
          <w:b/>
          <w:bCs/>
          <w:spacing w:val="-44"/>
        </w:rPr>
      </w:r>
      <w:r>
        <w:rPr>
          <w:spacing w:val="-3"/>
        </w:rPr>
        <w:t>我们的责任是在执行审计工作的基础上对财务报表发表审计意见。我们按照中国注册会计师审计准则</w:t>
      </w:r>
    </w:p>
    <w:p>
      <w:pPr>
        <w:pStyle w:val="BodyText"/>
        <w:spacing w:line="273" w:lineRule="auto" w:before="28"/>
        <w:ind w:right="0"/>
        <w:jc w:val="left"/>
      </w:pPr>
      <w:r>
        <w:rPr>
          <w:spacing w:val="-2"/>
        </w:rPr>
        <w:t>的规定执行了审计工作。中国注册会计师审计准则要求我们遵守中国注册会计师职业道德守则，计划和执</w:t>
      </w:r>
      <w:r>
        <w:rPr>
          <w:spacing w:val="-42"/>
        </w:rPr>
        <w:t> </w:t>
      </w:r>
      <w:r>
        <w:rPr>
          <w:spacing w:val="-42"/>
        </w:rPr>
      </w:r>
      <w:r>
        <w:rPr/>
        <w:t>行审计工作以对财务报表是否不存在重大错报获取合理保证。</w:t>
      </w:r>
    </w:p>
    <w:p>
      <w:pPr>
        <w:pStyle w:val="BodyText"/>
        <w:spacing w:line="273" w:lineRule="auto" w:before="7"/>
        <w:ind w:right="146" w:firstLine="458"/>
        <w:jc w:val="both"/>
      </w:pPr>
      <w:r>
        <w:rPr>
          <w:spacing w:val="-3"/>
        </w:rPr>
        <w:t>审计工作涉及实施审计程序，以获取有关财务报表金额和披露的审计证据。选择的审计程序取决于注</w:t>
      </w:r>
      <w:r>
        <w:rPr>
          <w:w w:val="100"/>
        </w:rPr>
        <w:t> </w:t>
      </w:r>
      <w:r>
        <w:rPr>
          <w:spacing w:val="-2"/>
        </w:rPr>
        <w:t>册会计师的判断，包括对由于舞弊或错误导致的财务报表重大错报风险的评估。在进行风险评估时，注册</w:t>
      </w:r>
      <w:r>
        <w:rPr>
          <w:spacing w:val="-43"/>
        </w:rPr>
        <w:t> </w:t>
      </w:r>
      <w:r>
        <w:rPr>
          <w:spacing w:val="-43"/>
        </w:rPr>
      </w:r>
      <w:r>
        <w:rPr>
          <w:spacing w:val="-2"/>
        </w:rPr>
        <w:t>会计师考虑与财务报表编制和公允列报相关的内部控制，以设计恰当的审计程序，但目的并非对内部控制</w:t>
      </w:r>
      <w:r>
        <w:rPr>
          <w:spacing w:val="-42"/>
        </w:rPr>
        <w:t> </w:t>
      </w:r>
      <w:r>
        <w:rPr>
          <w:spacing w:val="-42"/>
        </w:rPr>
      </w:r>
      <w:r>
        <w:rPr>
          <w:spacing w:val="-2"/>
        </w:rPr>
        <w:t>的有效性发表意见。审计工作还包括评价管理层选用会计政策的恰当性和做出会计估计的合理性，以及评</w:t>
      </w:r>
      <w:r>
        <w:rPr>
          <w:spacing w:val="-43"/>
        </w:rPr>
        <w:t> </w:t>
      </w:r>
      <w:r>
        <w:rPr>
          <w:spacing w:val="-43"/>
        </w:rPr>
      </w:r>
      <w:r>
        <w:rPr/>
        <w:t>价财务报表的总体列报。</w:t>
      </w:r>
    </w:p>
    <w:p>
      <w:pPr>
        <w:pStyle w:val="BodyText"/>
        <w:spacing w:line="240" w:lineRule="auto" w:before="7"/>
        <w:ind w:left="611" w:right="0"/>
        <w:jc w:val="left"/>
      </w:pPr>
      <w:r>
        <w:rPr/>
        <w:t>我们相信，我们获取的审计证据是充分、适当的，为发表审计意见提供了基础。</w:t>
      </w:r>
    </w:p>
    <w:p>
      <w:pPr>
        <w:spacing w:line="240" w:lineRule="auto" w:before="8"/>
        <w:rPr>
          <w:rFonts w:ascii="宋体" w:hAnsi="宋体" w:cs="宋体" w:eastAsia="宋体" w:hint="default"/>
          <w:sz w:val="21"/>
          <w:szCs w:val="21"/>
        </w:rPr>
      </w:pPr>
    </w:p>
    <w:p>
      <w:pPr>
        <w:pStyle w:val="BodyText"/>
        <w:spacing w:line="249" w:lineRule="auto"/>
        <w:ind w:left="611" w:right="0"/>
        <w:jc w:val="left"/>
      </w:pPr>
      <w:r>
        <w:rPr>
          <w:rFonts w:ascii="Microsoft JhengHei" w:hAnsi="Microsoft JhengHei" w:cs="Microsoft JhengHei" w:eastAsia="Microsoft JhengHei" w:hint="default"/>
          <w:b/>
          <w:bCs/>
        </w:rPr>
        <w:t>三、审计意见</w:t>
      </w:r>
      <w:r>
        <w:rPr>
          <w:rFonts w:ascii="Microsoft JhengHei" w:hAnsi="Microsoft JhengHei" w:cs="Microsoft JhengHei" w:eastAsia="Microsoft JhengHei" w:hint="default"/>
          <w:b/>
          <w:bCs/>
          <w:spacing w:val="-46"/>
        </w:rPr>
        <w:t> </w:t>
      </w:r>
      <w:r>
        <w:rPr>
          <w:spacing w:val="-2"/>
        </w:rPr>
        <w:t>我们认为，群兴玩具财务报表在所有重大方面按照企业会计准则的规定编制，公允反映了群兴玩具</w:t>
      </w:r>
    </w:p>
    <w:p>
      <w:pPr>
        <w:pStyle w:val="BodyText"/>
        <w:spacing w:line="240" w:lineRule="auto" w:before="28"/>
        <w:ind w:left="573" w:right="0" w:hanging="421"/>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日合并及母公司财务状况以及</w:t>
      </w:r>
      <w:r>
        <w:rPr>
          <w:rFonts w:ascii="Times New Roman" w:hAnsi="Times New Roman" w:cs="Times New Roman" w:eastAsia="Times New Roman" w:hint="default"/>
        </w:rPr>
        <w:t>2015</w:t>
      </w:r>
      <w:r>
        <w:rPr/>
        <w:t>年度合并及母公司经营成果和现金流量。</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BodyText"/>
        <w:tabs>
          <w:tab w:pos="5616" w:val="left" w:leader="none"/>
        </w:tabs>
        <w:spacing w:line="256" w:lineRule="auto"/>
        <w:ind w:left="1413" w:right="2016" w:hanging="840"/>
        <w:jc w:val="left"/>
      </w:pPr>
      <w:r>
        <w:rPr>
          <w:spacing w:val="-2"/>
        </w:rPr>
        <w:t>大华会计师事务所</w:t>
      </w:r>
      <w:r>
        <w:rPr>
          <w:rFonts w:ascii="Times New Roman" w:hAnsi="Times New Roman" w:cs="Times New Roman" w:eastAsia="Times New Roman" w:hint="default"/>
          <w:spacing w:val="-2"/>
        </w:rPr>
        <w:t>(</w:t>
      </w:r>
      <w:r>
        <w:rPr>
          <w:spacing w:val="-2"/>
        </w:rPr>
        <w:t>特殊普通合伙</w:t>
      </w:r>
      <w:r>
        <w:rPr>
          <w:rFonts w:ascii="Times New Roman" w:hAnsi="Times New Roman" w:cs="Times New Roman" w:eastAsia="Times New Roman" w:hint="default"/>
          <w:spacing w:val="-2"/>
        </w:rPr>
        <w:t>)</w:t>
        <w:tab/>
      </w:r>
      <w:r>
        <w:rPr>
          <w:spacing w:val="-2"/>
        </w:rPr>
        <w:t>中国注册会计师：陈瑜星</w:t>
      </w:r>
      <w:r>
        <w:rPr>
          <w:spacing w:val="-85"/>
        </w:rPr>
        <w:t> </w:t>
      </w:r>
      <w:r>
        <w:rPr>
          <w:spacing w:val="-85"/>
        </w:rPr>
      </w:r>
      <w:r>
        <w:rPr/>
        <w:t>中国</w:t>
      </w:r>
      <w:r>
        <w:rPr>
          <w:rFonts w:ascii="Times New Roman" w:hAnsi="Times New Roman" w:cs="Times New Roman" w:eastAsia="Times New Roman" w:hint="default"/>
        </w:rPr>
        <w:t>•</w:t>
      </w:r>
      <w:r>
        <w:rPr/>
        <w:t>北京</w:t>
      </w:r>
    </w:p>
    <w:p>
      <w:pPr>
        <w:pStyle w:val="BodyText"/>
        <w:spacing w:line="240" w:lineRule="auto" w:before="5"/>
        <w:ind w:left="5614" w:right="0"/>
        <w:jc w:val="left"/>
      </w:pPr>
      <w:r>
        <w:rPr/>
        <w:t>中国注册会计师：方建新</w:t>
      </w:r>
    </w:p>
    <w:p>
      <w:pPr>
        <w:spacing w:after="0" w:line="240" w:lineRule="auto"/>
        <w:jc w:val="left"/>
        <w:sectPr>
          <w:type w:val="continuous"/>
          <w:pgSz w:w="11910" w:h="16840"/>
          <w:pgMar w:top="1060" w:bottom="1160" w:left="98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BodyText"/>
        <w:spacing w:line="240" w:lineRule="auto" w:before="36"/>
        <w:ind w:left="5614" w:right="0"/>
        <w:jc w:val="left"/>
      </w:pPr>
      <w:r>
        <w:rPr/>
        <w:t>二〇一六年二月二十六日</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2"/>
        <w:spacing w:line="367" w:lineRule="exact"/>
        <w:ind w:right="0"/>
        <w:jc w:val="left"/>
        <w:rPr>
          <w:b w:val="0"/>
          <w:bCs w:val="0"/>
        </w:rPr>
      </w:pPr>
      <w:r>
        <w:rPr/>
        <w:t>二、财务报表</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98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编制单位：广东群兴玩具股份有限公司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3" w:equalWidth="0">
            <w:col w:w="3213" w:space="863"/>
            <w:col w:w="1642" w:space="3202"/>
            <w:col w:w="103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134,324,626.24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89,942,323.40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104,114,829.82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130,546,354.94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1,611,803.29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16,106,673.26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716,365.13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5,561,417.60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67,799,436.13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82,489,530.74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1,429,085.95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2,311,573.18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309,996,146.56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326,957,873.12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138,668,812.03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128,428,471.10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405,602,123.21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419,614,270.27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101,844,413.16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103,272,650.57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1,038,345.12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1,038,345.12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845,552.38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613,559.50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1,359,109.60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714,789.00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6,742,765.32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651,827,594.40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660,455,611.98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961,823,740.96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987,413,485.10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5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728,166.40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20,497,414.35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29,443,595.74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657,791.11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1,835,523.12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5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2,107,171.31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2,628,970.31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2,681,154.41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3,459,653.94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5,145,690.00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75,130.48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61,089,221.18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82,171,039.99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1,901,051.34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2,037,653.82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4,060,320.00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5,961,371.34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2,037,653.82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67,050,592.52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84,208,693.81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588,720,000.00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267,600,000.00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153,717,414.13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474,837,414.13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34,077.42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-107,886.38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26,907,459.72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24,504,787.92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125,394,197.17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136,370,475.62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894,773,148.44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903,204,791.29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894,773,148.44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903,204,791.29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961,823,740.96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987,413,485.10</w:t>
            </w:r>
          </w:p>
        </w:tc>
      </w:tr>
    </w:tbl>
    <w:p>
      <w:pPr>
        <w:spacing w:line="240" w:lineRule="auto" w:before="11"/>
        <w:rPr>
          <w:rFonts w:ascii="Times New Roman" w:hAnsi="Times New Roman" w:cs="Times New Roman" w:eastAsia="Times New Roman" w:hint="default"/>
          <w:sz w:val="22"/>
          <w:szCs w:val="22"/>
        </w:rPr>
      </w:pPr>
    </w:p>
    <w:p>
      <w:pPr>
        <w:tabs>
          <w:tab w:pos="3667" w:val="left" w:leader="none"/>
          <w:tab w:pos="7899"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法定代表人：林伟章</w:t>
        <w:tab/>
      </w:r>
      <w:r>
        <w:rPr>
          <w:rFonts w:ascii="宋体" w:hAnsi="宋体" w:cs="宋体" w:eastAsia="宋体" w:hint="default"/>
          <w:spacing w:val="-1"/>
          <w:sz w:val="18"/>
          <w:szCs w:val="18"/>
        </w:rPr>
        <w:t>主管会计工作负责人：乔新睿</w:t>
        <w:tab/>
      </w:r>
      <w:r>
        <w:rPr>
          <w:rFonts w:ascii="宋体" w:hAnsi="宋体" w:cs="宋体" w:eastAsia="宋体" w:hint="default"/>
          <w:sz w:val="18"/>
          <w:szCs w:val="18"/>
        </w:rPr>
        <w:t>会计机构负责人：陈轲</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129,511,708.59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86,160,783.19</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104,114,829.82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130,546,354.94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1,611,803.29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16,106,673.26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102,766,169.48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105,139,681.41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67,799,436.13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82,489,530.74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1,429,085.95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2,311,573.18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407,233,033.26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422,754,596.72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192,414,861.03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182,174,520.10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341,251,823.28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351,412,072.66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29,567,863.54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30,498,020.88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845,552.38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613,559.50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1,359,109.60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714,789.00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6,742,765.32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567,908,448.73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572,186,488.56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975,141,481.99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994,941,085.28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728,166.40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19,042,622.35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23,836,203.74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657,791.11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1,835,523.12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2,103,671.31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2,625,970.31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2,599,866.41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3,378,365.94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5,145,690.00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75,130.48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59,549,641.18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76,479,359.99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1,901,051.34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2,037,653.82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1,901,051.34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2,037,653.82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61,450,692.52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78,517,013.81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588,720,000.00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267,600,000.00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153,717,414.13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474,837,414.13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26,907,459.72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24,504,787.92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144,345,915.62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149,481,869.42</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913,690,789.47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916,424,071.47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975,141,481.99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994,941,085.28</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319,383,875.01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404,163,124.81</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319,383,875.01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404,163,124.81</w:t>
            </w: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77.860001pt;margin-top:581.73999pt;width:193.15pt;height:19.6pt;mso-position-horizontal-relative:page;mso-position-vertical-relative:page;z-index:-68219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r>
        <w:rPr/>
        <w:pict>
          <v:group style="position:absolute;margin-left:211.009995pt;margin-top:461.109985pt;width:160pt;height:19.6pt;mso-position-horizontal-relative:page;mso-position-vertical-relative:page;z-index:-682168" coordorigin="4220,9222" coordsize="3200,392">
            <v:group style="position:absolute;left:7398;top:9222;width:22;height:392" coordorigin="7398,9222" coordsize="22,392">
              <v:shape style="position:absolute;left:7398;top:9222;width:22;height:392" coordorigin="7398,9222" coordsize="22,392" path="m7398,9613l7420,9613,7420,9222,7398,9222,7398,9613xe" filled="true" fillcolor="#ffffff" stroked="false">
                <v:path arrowok="t"/>
                <v:fill type="solid"/>
              </v:shape>
            </v:group>
            <v:group style="position:absolute;left:4220;top:9222;width:22;height:392" coordorigin="4220,9222" coordsize="22,392">
              <v:shape style="position:absolute;left:4220;top:9222;width:22;height:392" coordorigin="4220,9222" coordsize="22,392" path="m4220,9613l4242,9613,4242,9222,4220,9222,4220,9613xe" filled="true" fillcolor="#ffffff" stroked="false">
                <v:path arrowok="t"/>
                <v:fill type="solid"/>
              </v:shape>
            </v:group>
            <v:group style="position:absolute;left:4242;top:9222;width:3157;height:392" coordorigin="4242,9222" coordsize="3157,392">
              <v:shape style="position:absolute;left:4242;top:9222;width:3157;height:392" coordorigin="4242,9222" coordsize="3157,392" path="m4242,9613l7398,9613,7398,9222,4242,9222,4242,961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79"/>
        <w:gridCol w:w="1106"/>
        <w:gridCol w:w="2105"/>
        <w:gridCol w:w="3277"/>
      </w:tblGrid>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312,667,019.60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391,210,880.00</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52" w:right="0"/>
              <w:jc w:val="left"/>
              <w:rPr>
                <w:rFonts w:ascii="Times New Roman" w:hAnsi="Times New Roman" w:cs="Times New Roman" w:eastAsia="Times New Roman" w:hint="default"/>
                <w:sz w:val="18"/>
                <w:szCs w:val="18"/>
              </w:rPr>
            </w:pPr>
            <w:r>
              <w:rPr>
                <w:rFonts w:ascii="Times New Roman"/>
                <w:sz w:val="18"/>
              </w:rPr>
              <w:t>249,452,332.05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319,771,959.92</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2,450,478.78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2,615,128.98</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12,356,972.72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14,866,476.03</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51,844,371.33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51,656,274.01</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-2,955,862.46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1,200,109.65</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-481,272.82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1,100,931.41</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728,166.40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-840,366.40</w:t>
            </w:r>
          </w:p>
        </w:tc>
      </w:tr>
      <w:tr>
        <w:trPr>
          <w:trHeight w:val="716"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9,755,782.13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4,927,681.08</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10,240,340.93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4,428,471.10</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3"/>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17,200,803.94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17,039,559.49</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3,787,728.44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721,146.82</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5,248.08</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641,146.43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120,073.97</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41,146.00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9,301.97</w:t>
            </w:r>
          </w:p>
        </w:tc>
      </w:tr>
      <w:tr>
        <w:trPr>
          <w:trHeight w:val="403" w:hRule="exact"/>
        </w:trPr>
        <w:tc>
          <w:tcPr>
            <w:tcW w:w="307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1106" w:type="dxa"/>
            <w:tcBorders>
              <w:top w:val="single" w:sz="4" w:space="0" w:color="000000"/>
              <w:left w:val="single" w:sz="13" w:space="0" w:color="FFFFFF"/>
              <w:bottom w:val="single" w:sz="4" w:space="0" w:color="000000"/>
              <w:right w:val="nil" w:sz="6" w:space="0" w:color="auto"/>
            </w:tcBorders>
          </w:tcPr>
          <w:p>
            <w:pPr/>
          </w:p>
        </w:tc>
        <w:tc>
          <w:tcPr>
            <w:tcW w:w="210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3"/>
              <w:ind w:left="1042" w:right="0"/>
              <w:jc w:val="left"/>
              <w:rPr>
                <w:rFonts w:ascii="Times New Roman" w:hAnsi="Times New Roman" w:cs="Times New Roman" w:eastAsia="Times New Roman" w:hint="default"/>
                <w:sz w:val="18"/>
                <w:szCs w:val="18"/>
              </w:rPr>
            </w:pPr>
            <w:r>
              <w:rPr>
                <w:rFonts w:ascii="Times New Roman"/>
                <w:sz w:val="18"/>
              </w:rPr>
              <w:t>20,347,385.95</w:t>
            </w:r>
          </w:p>
        </w:tc>
        <w:tc>
          <w:tcPr>
            <w:tcW w:w="3277"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17,640,632.34</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2,160,992.60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2,774,765.47</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18,186,393.35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14,865,866.87</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18,186,393.35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14,865,866.87</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141,963.80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8,507.43</w:t>
            </w:r>
          </w:p>
        </w:tc>
      </w:tr>
      <w:tr>
        <w:trPr>
          <w:trHeight w:val="716"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6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141,963.80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8,507.43</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20"/>
              <w:jc w:val="righ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36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firstLine="341"/>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141,963.80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8,507.43</w:t>
            </w:r>
          </w:p>
        </w:tc>
      </w:tr>
      <w:tr>
        <w:trPr>
          <w:trHeight w:val="102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141,963.80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8,507.43</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18,328,357.15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14,874,374.30</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18,328,357.15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14,874,374.30</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0.0309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0.0253</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0.0309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0.0253</w:t>
            </w:r>
          </w:p>
        </w:tc>
      </w:tr>
    </w:tbl>
    <w:p>
      <w:pPr>
        <w:tabs>
          <w:tab w:pos="3667" w:val="left" w:leader="none"/>
          <w:tab w:pos="7899" w:val="left" w:leader="none"/>
        </w:tabs>
        <w:spacing w:line="588" w:lineRule="auto" w:before="49"/>
        <w:ind w:left="152" w:right="244"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 </w:t>
      </w:r>
      <w:r>
        <w:rPr>
          <w:rFonts w:ascii="宋体" w:hAnsi="宋体" w:cs="宋体" w:eastAsia="宋体" w:hint="default"/>
          <w:spacing w:val="-3"/>
          <w:sz w:val="18"/>
          <w:szCs w:val="18"/>
        </w:rPr>
        <w:t>元。 </w:t>
      </w:r>
      <w:r>
        <w:rPr>
          <w:rFonts w:ascii="宋体" w:hAnsi="宋体" w:cs="宋体" w:eastAsia="宋体" w:hint="default"/>
          <w:sz w:val="18"/>
          <w:szCs w:val="18"/>
        </w:rPr>
        <w:t>法定代表人：林伟章</w:t>
        <w:tab/>
      </w:r>
      <w:r>
        <w:rPr>
          <w:rFonts w:ascii="宋体" w:hAnsi="宋体" w:cs="宋体" w:eastAsia="宋体" w:hint="default"/>
          <w:spacing w:val="-1"/>
          <w:sz w:val="18"/>
          <w:szCs w:val="18"/>
        </w:rPr>
        <w:t>主管会计工作负责人：乔新睿</w:t>
        <w:tab/>
      </w:r>
      <w:r>
        <w:rPr>
          <w:rFonts w:ascii="宋体" w:hAnsi="宋体" w:cs="宋体" w:eastAsia="宋体" w:hint="default"/>
          <w:sz w:val="18"/>
          <w:szCs w:val="18"/>
        </w:rPr>
        <w:t>会计机构负责人：陈轲</w:t>
      </w:r>
    </w:p>
    <w:p>
      <w:pPr>
        <w:pStyle w:val="Heading3"/>
        <w:spacing w:line="240" w:lineRule="auto" w:before="28"/>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319,383,875.01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404,163,124.81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249,452,332.05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319,771,959.92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2,450,478.78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2,615,128.98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12,356,972.72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14,866,476.03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46,004,566.45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45,841,007.59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-2,956,382.23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1,195,180.27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-481,272.82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1,100,931.41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728,166.40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-840,366.40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9,755,782.13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4,927,681.08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9,864,498.74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4,428,471.10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23,041,128.59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22,859,755.29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3,787,728.44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721,146.82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5,248.08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641,146.43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120,073.97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41,146.00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26,187,710.60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23,460,828.14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2,160,992.60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2,774,765.47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24,026,718.00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20,686,062.67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2"/>
              <w:ind w:left="22"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24,026,718.00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20,686,062.67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0.0408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0.0351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0.0408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0.0351</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381,339,800.44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389,266,870.52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6,186,869.57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10,794,429.66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4,520,599.87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4,136,136.85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392,047,269.88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404,197,437.03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211,973,820.66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334,401,144.11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39,151,895.65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45,398,659.28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9,498,234.21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10,245,799.71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30,782,667.54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20,249,529.76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291,406,618.06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410,295,132.86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100,640,651.82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-6,097,695.83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662,364.38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956,800.00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1,115,230.00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1,584,095.00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2,072,030.00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170,255,459.38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11,998,878.44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48,545,060.99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292,000,000.00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2,990.55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4,294,312.98</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14,501,868.99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344,839,373.97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-12,429,838.99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-174,583,914.59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pacing w:val="-1"/>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51"/>
              <w:jc w:val="right"/>
              <w:rPr>
                <w:rFonts w:ascii="宋体" w:hAnsi="宋体" w:cs="宋体" w:eastAsia="宋体" w:hint="default"/>
                <w:sz w:val="18"/>
                <w:szCs w:val="18"/>
              </w:rPr>
            </w:pPr>
            <w:r>
              <w:rPr>
                <w:rFonts w:ascii="宋体" w:hAnsi="宋体" w:cs="宋体" w:eastAsia="宋体" w:hint="default"/>
                <w:sz w:val="18"/>
                <w:szCs w:val="18"/>
              </w:rPr>
              <w:t>分配股利、利润或偿付利息支付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28,858,234.34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16,060,123.54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36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72,858,234.34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56,060,123.54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-42,858,234.34</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27,939,876.46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141,963.80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16,916.26</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45,494,542.29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-152,724,817.70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88,830,083.95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241,554,901.65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134,324,626.24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88,830,083.95</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pacing w:val="-1"/>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381,339,801.75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389,730,076.46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6,186,869.57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10,794,429.66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4,516,167.65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4,134,487.03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392,042,838.97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404,658,993.15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211,973,820.66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334,401,144.11</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39,106,982.37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45,359,898.32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9,190,244.77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9,936,541.87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33,155,123.99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20,883,762.18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293,426,171.79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410,581,346.48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98,616,667.18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-5,922,353.33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662,364.38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685,400.00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9,000.00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1,115,230.00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1,584,095.00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1,800,630.00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170,255,459.38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10,592,907.44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48,290,197.91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2,990.55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4,294,312.98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13,095,897.99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344,584,510.89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-11,295,267.99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-174,329,051.51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28,858,234.34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16,060,123.54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72,858,234.34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56,060,123.54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-42,858,234.34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27,939,876.46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44,463,164.85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-152,311,528.38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85,048,543.74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237,360,072.12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129,511,708.59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85,048,543.74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0"/>
        <w:gridCol w:w="530"/>
        <w:gridCol w:w="665"/>
        <w:gridCol w:w="665"/>
        <w:gridCol w:w="665"/>
        <w:gridCol w:w="665"/>
        <w:gridCol w:w="665"/>
        <w:gridCol w:w="665"/>
        <w:gridCol w:w="665"/>
        <w:gridCol w:w="665"/>
        <w:gridCol w:w="660"/>
      </w:tblGrid>
      <w:tr>
        <w:trPr>
          <w:trHeight w:val="403"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1" w:hRule="exact"/>
        </w:trPr>
        <w:tc>
          <w:tcPr>
            <w:tcW w:w="1437"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319" w:lineRule="auto"/>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4"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48" w:right="57"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713"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70" w:right="80"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0"/>
        <w:gridCol w:w="530"/>
        <w:gridCol w:w="665"/>
        <w:gridCol w:w="665"/>
        <w:gridCol w:w="665"/>
        <w:gridCol w:w="665"/>
        <w:gridCol w:w="665"/>
        <w:gridCol w:w="665"/>
        <w:gridCol w:w="665"/>
        <w:gridCol w:w="665"/>
        <w:gridCol w:w="660"/>
      </w:tblGrid>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267,60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474,837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,414.13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-107,88</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6.38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24,504,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787.92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136,370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,475.62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903,204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,791.29</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267,60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474,837</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,414.13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-107,88</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6.38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24,504,</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787.92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136,370</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,475.62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903,204</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,791.29</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321,12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141,963</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2,402,6</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71.80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-10,976,</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278.45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-8,431,6</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42.85</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left"/>
              <w:rPr>
                <w:rFonts w:ascii="Times New Roman" w:hAnsi="Times New Roman" w:cs="Times New Roman" w:eastAsia="Times New Roman" w:hint="default"/>
                <w:sz w:val="18"/>
                <w:szCs w:val="18"/>
              </w:rPr>
            </w:pPr>
            <w:r>
              <w:rPr>
                <w:rFonts w:ascii="Times New Roman"/>
                <w:sz w:val="18"/>
              </w:rPr>
              <w:t>141,963</w:t>
            </w:r>
          </w:p>
          <w:p>
            <w:pPr>
              <w:pStyle w:val="TableParagraph"/>
              <w:spacing w:line="240" w:lineRule="auto" w:before="102"/>
              <w:ind w:left="408" w:right="0"/>
              <w:jc w:val="left"/>
              <w:rPr>
                <w:rFonts w:ascii="Times New Roman" w:hAnsi="Times New Roman" w:cs="Times New Roman" w:eastAsia="Times New Roman" w:hint="default"/>
                <w:sz w:val="18"/>
                <w:szCs w:val="18"/>
              </w:rPr>
            </w:pPr>
            <w:r>
              <w:rPr>
                <w:rFonts w:ascii="Times New Roman"/>
                <w:sz w:val="18"/>
              </w:rPr>
              <w:t>.80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18,186,</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393.35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18,328,</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357.15</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2,402,6</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71.80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-29,162,</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671.80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-26,760,</w:t>
            </w:r>
          </w:p>
          <w:p>
            <w:pPr>
              <w:pStyle w:val="TableParagraph"/>
              <w:spacing w:line="240" w:lineRule="auto" w:before="102"/>
              <w:ind w:left="108" w:right="0"/>
              <w:jc w:val="center"/>
              <w:rPr>
                <w:rFonts w:ascii="Times New Roman" w:hAnsi="Times New Roman" w:cs="Times New Roman" w:eastAsia="Times New Roman" w:hint="default"/>
                <w:sz w:val="18"/>
                <w:szCs w:val="18"/>
              </w:rPr>
            </w:pPr>
            <w:r>
              <w:rPr>
                <w:rFonts w:ascii="Times New Roman"/>
                <w:sz w:val="18"/>
              </w:rPr>
              <w:t>000.00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2,402,6</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71.80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-2,402,6</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71.80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-26,760,</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-26,760,</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000.00</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5" w:right="0"/>
              <w:jc w:val="left"/>
              <w:rPr>
                <w:rFonts w:ascii="Times New Roman" w:hAnsi="Times New Roman" w:cs="Times New Roman" w:eastAsia="Times New Roman" w:hint="default"/>
                <w:sz w:val="18"/>
                <w:szCs w:val="18"/>
              </w:rPr>
            </w:pPr>
            <w:r>
              <w:rPr>
                <w:rFonts w:ascii="Times New Roman"/>
                <w:sz w:val="18"/>
              </w:rPr>
              <w:t>321,12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6" w:right="0"/>
              <w:jc w:val="left"/>
              <w:rPr>
                <w:rFonts w:ascii="Times New Roman" w:hAnsi="Times New Roman" w:cs="Times New Roman" w:eastAsia="Times New Roman" w:hint="default"/>
                <w:sz w:val="18"/>
                <w:szCs w:val="18"/>
              </w:rPr>
            </w:pPr>
            <w:r>
              <w:rPr>
                <w:rFonts w:ascii="Times New Roman"/>
                <w:sz w:val="18"/>
              </w:rPr>
              <w:t>-321,12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0"/>
        <w:gridCol w:w="530"/>
        <w:gridCol w:w="665"/>
        <w:gridCol w:w="665"/>
        <w:gridCol w:w="665"/>
        <w:gridCol w:w="665"/>
        <w:gridCol w:w="665"/>
        <w:gridCol w:w="665"/>
        <w:gridCol w:w="665"/>
        <w:gridCol w:w="665"/>
        <w:gridCol w:w="660"/>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321,12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588,72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153,717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,414.13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34,077.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26,907,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459.72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125,394</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,197.17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894,773</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,148.44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1"/>
        <w:gridCol w:w="530"/>
        <w:gridCol w:w="533"/>
        <w:gridCol w:w="662"/>
        <w:gridCol w:w="665"/>
        <w:gridCol w:w="667"/>
        <w:gridCol w:w="665"/>
        <w:gridCol w:w="662"/>
        <w:gridCol w:w="665"/>
        <w:gridCol w:w="679"/>
        <w:gridCol w:w="653"/>
        <w:gridCol w:w="658"/>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4" w:lineRule="auto"/>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48" w:right="57"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60"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713"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9"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267,60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474,837</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,414.13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-116,39</w:t>
            </w:r>
          </w:p>
          <w:p>
            <w:pPr>
              <w:pStyle w:val="TableParagraph"/>
              <w:spacing w:line="240" w:lineRule="auto" w:before="102"/>
              <w:ind w:left="321" w:right="0"/>
              <w:jc w:val="left"/>
              <w:rPr>
                <w:rFonts w:ascii="Times New Roman" w:hAnsi="Times New Roman" w:cs="Times New Roman" w:eastAsia="Times New Roman" w:hint="default"/>
                <w:sz w:val="18"/>
                <w:szCs w:val="18"/>
              </w:rPr>
            </w:pPr>
            <w:r>
              <w:rPr>
                <w:rFonts w:ascii="Times New Roman"/>
                <w:sz w:val="18"/>
              </w:rPr>
              <w:t>3.81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22,436,</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181.65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136,953</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,215.02</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901,710</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,416.99</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267,60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474,837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,414.13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-116,39</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3.81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22,436,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181.65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136,953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,215.02</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901,710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,416.99</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24" w:right="21"/>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8,507.4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2,068,6</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06.27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-582,73</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9.40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5" w:right="0"/>
              <w:jc w:val="center"/>
              <w:rPr>
                <w:rFonts w:ascii="Times New Roman" w:hAnsi="Times New Roman" w:cs="Times New Roman" w:eastAsia="Times New Roman" w:hint="default"/>
                <w:sz w:val="18"/>
                <w:szCs w:val="18"/>
              </w:rPr>
            </w:pPr>
            <w:r>
              <w:rPr>
                <w:rFonts w:ascii="Times New Roman"/>
                <w:sz w:val="18"/>
              </w:rPr>
              <w:t>1,494,3</w:t>
            </w:r>
          </w:p>
          <w:p>
            <w:pPr>
              <w:pStyle w:val="TableParagraph"/>
              <w:spacing w:line="240" w:lineRule="auto" w:before="102"/>
              <w:ind w:left="200" w:right="0"/>
              <w:jc w:val="center"/>
              <w:rPr>
                <w:rFonts w:ascii="Times New Roman" w:hAnsi="Times New Roman" w:cs="Times New Roman" w:eastAsia="Times New Roman" w:hint="default"/>
                <w:sz w:val="18"/>
                <w:szCs w:val="18"/>
              </w:rPr>
            </w:pPr>
            <w:r>
              <w:rPr>
                <w:rFonts w:ascii="Times New Roman"/>
                <w:sz w:val="18"/>
              </w:rPr>
              <w:t>74.30</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1"/>
        <w:gridCol w:w="530"/>
        <w:gridCol w:w="533"/>
        <w:gridCol w:w="662"/>
        <w:gridCol w:w="665"/>
        <w:gridCol w:w="667"/>
        <w:gridCol w:w="665"/>
        <w:gridCol w:w="662"/>
        <w:gridCol w:w="665"/>
        <w:gridCol w:w="679"/>
        <w:gridCol w:w="653"/>
        <w:gridCol w:w="658"/>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14,865,</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866.87</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14,874,</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374.30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2,068,6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06.27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-15,448,</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606.27</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-13,380,</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2,068,6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06.27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-2,068,6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06.27</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-13,380,</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-13,380,</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267,60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474,837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,414.13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-107,88</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6.38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24,504,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787.92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136,370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,475.62</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903,204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,791.29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3"/>
        <w:rPr>
          <w:rFonts w:ascii="Times New Roman" w:hAnsi="Times New Roman" w:cs="Times New Roman" w:eastAsia="Times New Roman" w:hint="default"/>
          <w:sz w:val="28"/>
          <w:szCs w:val="28"/>
        </w:rPr>
      </w:pPr>
    </w:p>
    <w:p>
      <w:pPr>
        <w:pStyle w:val="Heading3"/>
        <w:spacing w:line="335" w:lineRule="exact"/>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800"/>
        <w:gridCol w:w="797"/>
        <w:gridCol w:w="677"/>
        <w:gridCol w:w="78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267,600,</w:t>
            </w:r>
          </w:p>
          <w:p>
            <w:pPr>
              <w:pStyle w:val="TableParagraph"/>
              <w:spacing w:line="240" w:lineRule="auto" w:before="102"/>
              <w:ind w:left="14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474,837,4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14.13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24,504,78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7.92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149,481</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,869.42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916,424,0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71.47</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267,600,</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474,837,4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14.13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24,504,78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7.92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149,481</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,869.42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916,424,0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71.47</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321,120,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-321,120,</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2,402,671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-5,135,9</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53.80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-2,733,28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2.00</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24,026,</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718.00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24,026,71</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8.00</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2,402,671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-29,162,</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671.80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-26,760,0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2,402,671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-2,402,6</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71.80</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-26,760,</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-26,760,0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321,120,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-321,120,</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321,120,</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-321,120,</w:t>
            </w:r>
          </w:p>
          <w:p>
            <w:pPr>
              <w:pStyle w:val="TableParagraph"/>
              <w:spacing w:line="240" w:lineRule="auto" w:before="102"/>
              <w:ind w:left="249"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588,720,</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153,717,4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14.13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26,907,45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9.72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144,345</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,915.62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913,690,7</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89.47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800"/>
        <w:gridCol w:w="797"/>
        <w:gridCol w:w="677"/>
        <w:gridCol w:w="780"/>
      </w:tblGrid>
      <w:tr>
        <w:trPr>
          <w:trHeight w:val="404"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3"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267,600,</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474,837,4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14.13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22,436,18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1.65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144,244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,413.02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909,118,0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08.80</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267,600,</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474,837,4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14.13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22,436,18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1.65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144,244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,413.02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909,118,0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08.80</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2,068,606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5,237,4</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56.40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7,306,062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.67</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20,686,</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062.67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20,686,06</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2.67</w:t>
            </w: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2,068,606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-15,448,</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606.27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-13,380,0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2,068,606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-2,068,6</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06.27</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-13,380,</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-13,380,0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267,600,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474,837,4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14.13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24,504,78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7.92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149,481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,869.42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916,424,0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71.47</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三、公司基本情况</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56" w:lineRule="auto"/>
        <w:ind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公司注册地、组织形式和总部地址</w:t>
      </w:r>
      <w:r>
        <w:rPr>
          <w:w w:val="100"/>
        </w:rPr>
        <w:t> </w:t>
      </w:r>
      <w:r>
        <w:rPr>
          <w:spacing w:val="-5"/>
        </w:rPr>
        <w:t>广东群兴玩具股份有限公司（以下简称</w:t>
      </w:r>
      <w:r>
        <w:rPr>
          <w:rFonts w:ascii="Times New Roman" w:hAnsi="Times New Roman" w:cs="Times New Roman" w:eastAsia="Times New Roman" w:hint="default"/>
          <w:spacing w:val="-5"/>
        </w:rPr>
        <w:t>“</w:t>
      </w:r>
      <w:r>
        <w:rPr>
          <w:spacing w:val="-5"/>
        </w:rPr>
        <w:t>本公司</w:t>
      </w:r>
      <w:r>
        <w:rPr>
          <w:rFonts w:ascii="Times New Roman" w:hAnsi="Times New Roman" w:cs="Times New Roman" w:eastAsia="Times New Roman" w:hint="default"/>
          <w:spacing w:val="-5"/>
        </w:rPr>
        <w:t>”</w:t>
      </w:r>
      <w:r>
        <w:rPr>
          <w:spacing w:val="-5"/>
        </w:rPr>
        <w:t>或</w:t>
      </w:r>
      <w:r>
        <w:rPr>
          <w:rFonts w:ascii="Times New Roman" w:hAnsi="Times New Roman" w:cs="Times New Roman" w:eastAsia="Times New Roman" w:hint="default"/>
          <w:spacing w:val="-5"/>
        </w:rPr>
        <w:t>“</w:t>
      </w:r>
      <w:r>
        <w:rPr>
          <w:spacing w:val="-5"/>
        </w:rPr>
        <w:t>公司</w:t>
      </w:r>
      <w:r>
        <w:rPr>
          <w:rFonts w:ascii="Times New Roman" w:hAnsi="Times New Roman" w:cs="Times New Roman" w:eastAsia="Times New Roman" w:hint="default"/>
          <w:spacing w:val="-5"/>
        </w:rPr>
        <w:t>”</w:t>
      </w:r>
      <w:r>
        <w:rPr>
          <w:spacing w:val="-5"/>
        </w:rPr>
        <w:t>），前身为</w:t>
      </w:r>
      <w:r>
        <w:rPr>
          <w:rFonts w:ascii="Times New Roman" w:hAnsi="Times New Roman" w:cs="Times New Roman" w:eastAsia="Times New Roman" w:hint="default"/>
          <w:spacing w:val="-5"/>
        </w:rPr>
        <w:t>“</w:t>
      </w:r>
      <w:r>
        <w:rPr>
          <w:spacing w:val="-5"/>
        </w:rPr>
        <w:t>澄海市运达计量器具厂</w:t>
      </w:r>
      <w:r>
        <w:rPr>
          <w:rFonts w:ascii="Times New Roman" w:hAnsi="Times New Roman" w:cs="Times New Roman" w:eastAsia="Times New Roman" w:hint="default"/>
          <w:spacing w:val="-5"/>
        </w:rPr>
        <w:t>”</w:t>
      </w:r>
      <w:r>
        <w:rPr>
          <w:spacing w:val="-5"/>
        </w:rPr>
        <w:t>，成立于</w:t>
      </w:r>
      <w:r>
        <w:rPr>
          <w:rFonts w:ascii="Times New Roman" w:hAnsi="Times New Roman" w:cs="Times New Roman" w:eastAsia="Times New Roman" w:hint="default"/>
          <w:spacing w:val="-5"/>
        </w:rPr>
        <w:t>1996</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w:t>
      </w:r>
      <w:r>
        <w:rPr>
          <w:spacing w:val="-2"/>
        </w:rPr>
        <w:t>日，系由澄海市澄华街道城西工贸管理站（以下简称</w:t>
      </w:r>
      <w:r>
        <w:rPr>
          <w:rFonts w:ascii="Times New Roman" w:hAnsi="Times New Roman" w:cs="Times New Roman" w:eastAsia="Times New Roman" w:hint="default"/>
          <w:spacing w:val="-2"/>
        </w:rPr>
        <w:t>“</w:t>
      </w:r>
      <w:r>
        <w:rPr>
          <w:spacing w:val="-2"/>
        </w:rPr>
        <w:t>工贸管理站</w:t>
      </w:r>
      <w:r>
        <w:rPr>
          <w:rFonts w:ascii="Times New Roman" w:hAnsi="Times New Roman" w:cs="Times New Roman" w:eastAsia="Times New Roman" w:hint="default"/>
          <w:spacing w:val="-2"/>
        </w:rPr>
        <w:t>”</w:t>
      </w:r>
      <w:r>
        <w:rPr>
          <w:spacing w:val="-2"/>
        </w:rPr>
        <w:t>）出资组建，成立时注册资本为</w:t>
      </w:r>
      <w:r>
        <w:rPr>
          <w:spacing w:val="-15"/>
        </w:rPr>
        <w:t> </w:t>
      </w:r>
      <w:r>
        <w:rPr>
          <w:spacing w:val="-15"/>
        </w:rPr>
      </w:r>
      <w:r>
        <w:rPr/>
        <w:t>人民币</w:t>
      </w:r>
      <w:r>
        <w:rPr>
          <w:rFonts w:ascii="Times New Roman" w:hAnsi="Times New Roman" w:cs="Times New Roman" w:eastAsia="Times New Roman" w:hint="default"/>
        </w:rPr>
        <w:t>58</w:t>
      </w:r>
      <w:r>
        <w:rPr/>
        <w:t>万元，其中以实物作价出资</w:t>
      </w:r>
      <w:r>
        <w:rPr>
          <w:rFonts w:ascii="Times New Roman" w:hAnsi="Times New Roman" w:cs="Times New Roman" w:eastAsia="Times New Roman" w:hint="default"/>
        </w:rPr>
        <w:t>57</w:t>
      </w:r>
      <w:r>
        <w:rPr/>
        <w:t>万元，货币资金出资</w:t>
      </w:r>
      <w:r>
        <w:rPr>
          <w:rFonts w:ascii="Times New Roman" w:hAnsi="Times New Roman" w:cs="Times New Roman" w:eastAsia="Times New Roman" w:hint="default"/>
        </w:rPr>
        <w:t>1</w:t>
      </w:r>
      <w:r>
        <w:rPr/>
        <w:t>万元。上述注册资本业经澄海市审计师事务</w:t>
      </w:r>
      <w:r>
        <w:rPr>
          <w:spacing w:val="-23"/>
        </w:rPr>
        <w:t> </w:t>
      </w:r>
      <w:r>
        <w:rPr>
          <w:spacing w:val="-23"/>
        </w:rPr>
      </w:r>
      <w:r>
        <w:rPr/>
        <w:t>所澄审事验字</w:t>
      </w:r>
      <w:r>
        <w:rPr>
          <w:rFonts w:ascii="Times New Roman" w:hAnsi="Times New Roman" w:cs="Times New Roman" w:eastAsia="Times New Roman" w:hint="default"/>
        </w:rPr>
        <w:t>[1996]164</w:t>
      </w:r>
      <w:r>
        <w:rPr/>
        <w:t>号验资报告验证确认。</w:t>
      </w:r>
      <w:r>
        <w:rPr>
          <w:w w:val="100"/>
        </w:rPr>
        <w:t> </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日，根据澄海市澄华街道办事处澄华企改</w:t>
      </w:r>
      <w:r>
        <w:rPr>
          <w:rFonts w:ascii="Times New Roman" w:hAnsi="Times New Roman" w:cs="Times New Roman" w:eastAsia="Times New Roman" w:hint="default"/>
        </w:rPr>
        <w:t>[2002]001</w:t>
      </w:r>
      <w:r>
        <w:rPr/>
        <w:t>号批复，本公司实行脱钩改制。经企业行</w:t>
      </w:r>
      <w:r>
        <w:rPr>
          <w:spacing w:val="-57"/>
        </w:rPr>
        <w:t> </w:t>
      </w:r>
      <w:r>
        <w:rPr>
          <w:spacing w:val="-57"/>
        </w:rPr>
      </w:r>
      <w:r>
        <w:rPr>
          <w:spacing w:val="-2"/>
        </w:rPr>
        <w:t>政管理部门澄海市澄华街道经济技术发展办公室、澄海市澄华街道城西工贸管理站、澄海市澄华街道财政</w:t>
      </w:r>
    </w:p>
    <w:p>
      <w:pPr>
        <w:spacing w:after="0" w:line="256"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BodyText"/>
        <w:spacing w:line="261" w:lineRule="auto" w:before="36"/>
        <w:ind w:right="102"/>
        <w:jc w:val="left"/>
      </w:pPr>
      <w:r>
        <w:rPr/>
        <w:t>所及澄海市澄华街道办事处共同界定及确认：公司净资产</w:t>
      </w:r>
      <w:r>
        <w:rPr>
          <w:rFonts w:ascii="Times New Roman" w:hAnsi="Times New Roman" w:cs="Times New Roman" w:eastAsia="Times New Roman" w:hint="default"/>
        </w:rPr>
        <w:t>389</w:t>
      </w:r>
      <w:r>
        <w:rPr/>
        <w:t>万元归属于投资者林伟章、黄仕群所有，并</w:t>
      </w:r>
      <w:r>
        <w:rPr>
          <w:spacing w:val="-26"/>
        </w:rPr>
        <w:t> </w:t>
      </w:r>
      <w:r>
        <w:rPr>
          <w:spacing w:val="-26"/>
        </w:rPr>
      </w:r>
      <w:r>
        <w:rPr/>
        <w:t>同意企业改制设立为有限责任公司。</w:t>
      </w:r>
      <w:r>
        <w:rPr>
          <w:w w:val="100"/>
        </w:rPr>
        <w:t> </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15</w:t>
      </w:r>
      <w:r>
        <w:rPr>
          <w:spacing w:val="-2"/>
        </w:rPr>
        <w:t>日，根据公司股东会决议，本公司申请改制为有限公司，注册资本为人民币</w:t>
      </w:r>
      <w:r>
        <w:rPr>
          <w:rFonts w:ascii="Times New Roman" w:hAnsi="Times New Roman" w:cs="Times New Roman" w:eastAsia="Times New Roman" w:hint="default"/>
          <w:spacing w:val="-2"/>
        </w:rPr>
        <w:t>387</w:t>
      </w:r>
      <w:r>
        <w:rPr>
          <w:spacing w:val="-2"/>
        </w:rPr>
        <w:t>万，其中净资</w:t>
      </w:r>
      <w:r>
        <w:rPr>
          <w:spacing w:val="-40"/>
        </w:rPr>
        <w:t> </w:t>
      </w:r>
      <w:r>
        <w:rPr>
          <w:spacing w:val="-40"/>
        </w:rPr>
      </w:r>
      <w:r>
        <w:rPr>
          <w:spacing w:val="-2"/>
        </w:rPr>
        <w:t>产出资人民币</w:t>
      </w:r>
      <w:r>
        <w:rPr>
          <w:rFonts w:ascii="Times New Roman" w:hAnsi="Times New Roman" w:cs="Times New Roman" w:eastAsia="Times New Roman" w:hint="default"/>
          <w:spacing w:val="-2"/>
        </w:rPr>
        <w:t>200</w:t>
      </w:r>
      <w:r>
        <w:rPr>
          <w:spacing w:val="-2"/>
        </w:rPr>
        <w:t>万元（上述界定的剩余资产由投资者收回），货币资金出资</w:t>
      </w:r>
      <w:r>
        <w:rPr>
          <w:rFonts w:ascii="Times New Roman" w:hAnsi="Times New Roman" w:cs="Times New Roman" w:eastAsia="Times New Roman" w:hint="default"/>
          <w:spacing w:val="-2"/>
        </w:rPr>
        <w:t>187</w:t>
      </w:r>
      <w:r>
        <w:rPr>
          <w:spacing w:val="-2"/>
        </w:rPr>
        <w:t>万元。改制完成后，本公</w:t>
      </w:r>
      <w:r>
        <w:rPr>
          <w:spacing w:val="-41"/>
        </w:rPr>
        <w:t> </w:t>
      </w:r>
      <w:r>
        <w:rPr>
          <w:spacing w:val="-41"/>
        </w:rPr>
      </w:r>
      <w:r>
        <w:rPr>
          <w:spacing w:val="-4"/>
        </w:rPr>
        <w:t>司注册资本为人民币</w:t>
      </w:r>
      <w:r>
        <w:rPr>
          <w:rFonts w:ascii="Times New Roman" w:hAnsi="Times New Roman" w:cs="Times New Roman" w:eastAsia="Times New Roman" w:hint="default"/>
          <w:spacing w:val="-4"/>
        </w:rPr>
        <w:t>387</w:t>
      </w:r>
      <w:r>
        <w:rPr>
          <w:spacing w:val="-4"/>
        </w:rPr>
        <w:t>万元，其中林伟章出资人民币</w:t>
      </w:r>
      <w:r>
        <w:rPr>
          <w:rFonts w:ascii="Times New Roman" w:hAnsi="Times New Roman" w:cs="Times New Roman" w:eastAsia="Times New Roman" w:hint="default"/>
          <w:spacing w:val="-4"/>
        </w:rPr>
        <w:t>193.50</w:t>
      </w:r>
      <w:r>
        <w:rPr>
          <w:spacing w:val="-4"/>
        </w:rPr>
        <w:t>万元，以净资产出资</w:t>
      </w:r>
      <w:r>
        <w:rPr>
          <w:rFonts w:ascii="Times New Roman" w:hAnsi="Times New Roman" w:cs="Times New Roman" w:eastAsia="Times New Roman" w:hint="default"/>
          <w:spacing w:val="-4"/>
        </w:rPr>
        <w:t>100</w:t>
      </w:r>
      <w:r>
        <w:rPr>
          <w:spacing w:val="-4"/>
        </w:rPr>
        <w:t>万元，以货币出资</w:t>
      </w:r>
      <w:r>
        <w:rPr>
          <w:rFonts w:ascii="Times New Roman" w:hAnsi="Times New Roman" w:cs="Times New Roman" w:eastAsia="Times New Roman" w:hint="default"/>
          <w:spacing w:val="-4"/>
        </w:rPr>
        <w:t>93.5</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spacing w:val="-3"/>
        </w:rPr>
        <w:t>万元，占注册资本的</w:t>
      </w:r>
      <w:r>
        <w:rPr>
          <w:rFonts w:ascii="Times New Roman" w:hAnsi="Times New Roman" w:cs="Times New Roman" w:eastAsia="Times New Roman" w:hint="default"/>
          <w:spacing w:val="-3"/>
        </w:rPr>
        <w:t>50%</w:t>
      </w:r>
      <w:r>
        <w:rPr>
          <w:spacing w:val="-3"/>
        </w:rPr>
        <w:t>；黄仕群出资人民币</w:t>
      </w:r>
      <w:r>
        <w:rPr>
          <w:rFonts w:ascii="Times New Roman" w:hAnsi="Times New Roman" w:cs="Times New Roman" w:eastAsia="Times New Roman" w:hint="default"/>
          <w:spacing w:val="-3"/>
        </w:rPr>
        <w:t>193.5</w:t>
      </w:r>
      <w:r>
        <w:rPr>
          <w:spacing w:val="-3"/>
        </w:rPr>
        <w:t>万元，以净资产出资</w:t>
      </w:r>
      <w:r>
        <w:rPr>
          <w:rFonts w:ascii="Times New Roman" w:hAnsi="Times New Roman" w:cs="Times New Roman" w:eastAsia="Times New Roman" w:hint="default"/>
          <w:spacing w:val="-3"/>
        </w:rPr>
        <w:t>100</w:t>
      </w:r>
      <w:r>
        <w:rPr>
          <w:spacing w:val="-3"/>
        </w:rPr>
        <w:t>万元，以货币出资</w:t>
      </w:r>
      <w:r>
        <w:rPr>
          <w:rFonts w:ascii="Times New Roman" w:hAnsi="Times New Roman" w:cs="Times New Roman" w:eastAsia="Times New Roman" w:hint="default"/>
          <w:spacing w:val="-3"/>
        </w:rPr>
        <w:t>93.5</w:t>
      </w:r>
      <w:r>
        <w:rPr>
          <w:spacing w:val="-3"/>
        </w:rPr>
        <w:t>万元，占</w:t>
      </w:r>
      <w:r>
        <w:rPr>
          <w:spacing w:val="-47"/>
        </w:rPr>
        <w:t> </w:t>
      </w:r>
      <w:r>
        <w:rPr>
          <w:spacing w:val="-47"/>
        </w:rPr>
      </w:r>
      <w:r>
        <w:rPr>
          <w:spacing w:val="-4"/>
        </w:rPr>
        <w:t>注册资本的</w:t>
      </w:r>
      <w:r>
        <w:rPr>
          <w:rFonts w:ascii="Times New Roman" w:hAnsi="Times New Roman" w:cs="Times New Roman" w:eastAsia="Times New Roman" w:hint="default"/>
          <w:spacing w:val="-4"/>
        </w:rPr>
        <w:t>50%</w:t>
      </w:r>
      <w:r>
        <w:rPr>
          <w:spacing w:val="-4"/>
        </w:rPr>
        <w:t>。上述注册资本业经澄海市丰业会计师事务所有限公司澄丰会内验（</w:t>
      </w:r>
      <w:r>
        <w:rPr>
          <w:rFonts w:ascii="Times New Roman" w:hAnsi="Times New Roman" w:cs="Times New Roman" w:eastAsia="Times New Roman" w:hint="default"/>
          <w:spacing w:val="-4"/>
        </w:rPr>
        <w:t>2002</w:t>
      </w:r>
      <w:r>
        <w:rPr>
          <w:spacing w:val="-4"/>
        </w:rPr>
        <w:t>）第</w:t>
      </w:r>
      <w:r>
        <w:rPr>
          <w:rFonts w:ascii="Times New Roman" w:hAnsi="Times New Roman" w:cs="Times New Roman" w:eastAsia="Times New Roman" w:hint="default"/>
          <w:spacing w:val="-4"/>
        </w:rPr>
        <w:t>124</w:t>
      </w:r>
      <w:r>
        <w:rPr>
          <w:spacing w:val="-4"/>
        </w:rPr>
        <w:t>号验资报</w:t>
      </w:r>
      <w:r>
        <w:rPr>
          <w:spacing w:val="-9"/>
        </w:rPr>
        <w:t> </w:t>
      </w:r>
      <w:r>
        <w:rPr/>
        <w:t>告验证确认。</w:t>
      </w:r>
      <w:r>
        <w:rPr>
          <w:w w:val="100"/>
        </w:rPr>
        <w:t>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日，经原广东群兴玩具实业有限公司各股东发起人协议本公司改制变更为股份有限公司，通</w:t>
      </w:r>
      <w:r>
        <w:rPr>
          <w:spacing w:val="-28"/>
        </w:rPr>
        <w:t> </w:t>
      </w:r>
      <w:r>
        <w:rPr>
          <w:spacing w:val="-28"/>
        </w:rPr>
      </w:r>
      <w:r>
        <w:rPr/>
        <w:t>过对原广东群兴玩具实业有限公司经审计确认的截止</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日的净资产总额</w:t>
      </w:r>
      <w:r>
        <w:rPr>
          <w:rFonts w:ascii="Times New Roman" w:hAnsi="Times New Roman" w:cs="Times New Roman" w:eastAsia="Times New Roman" w:hint="default"/>
        </w:rPr>
        <w:t>128,939,663.01</w:t>
      </w:r>
      <w:r>
        <w:rPr/>
        <w:t>元按</w:t>
      </w:r>
      <w:r>
        <w:rPr>
          <w:rFonts w:ascii="Times New Roman" w:hAnsi="Times New Roman" w:cs="Times New Roman" w:eastAsia="Times New Roman" w:hint="default"/>
        </w:rPr>
        <w:t>1</w:t>
      </w:r>
      <w:r>
        <w:rPr/>
        <w:t>：</w:t>
      </w:r>
      <w:r>
        <w:rPr>
          <w:spacing w:val="-81"/>
        </w:rPr>
        <w:t> </w:t>
      </w:r>
      <w:r>
        <w:rPr>
          <w:rFonts w:ascii="Times New Roman" w:hAnsi="Times New Roman" w:cs="Times New Roman" w:eastAsia="Times New Roman" w:hint="default"/>
        </w:rPr>
        <w:t>0.7756</w:t>
      </w:r>
      <w:r>
        <w:rPr/>
        <w:t>折为</w:t>
      </w:r>
      <w:r>
        <w:rPr>
          <w:rFonts w:ascii="Times New Roman" w:hAnsi="Times New Roman" w:cs="Times New Roman" w:eastAsia="Times New Roman" w:hint="default"/>
        </w:rPr>
        <w:t>100,000,000.00</w:t>
      </w:r>
      <w:r>
        <w:rPr/>
        <w:t>股普通股，每股面值</w:t>
      </w:r>
      <w:r>
        <w:rPr>
          <w:rFonts w:ascii="Times New Roman" w:hAnsi="Times New Roman" w:cs="Times New Roman" w:eastAsia="Times New Roman" w:hint="default"/>
        </w:rPr>
        <w:t>1</w:t>
      </w:r>
      <w:r>
        <w:rPr/>
        <w:t>元，整体改制变更为股份有限公司。各股东所占股份比例</w:t>
      </w:r>
      <w:r>
        <w:rPr>
          <w:spacing w:val="-29"/>
        </w:rPr>
        <w:t> </w:t>
      </w:r>
      <w:r>
        <w:rPr>
          <w:spacing w:val="-29"/>
        </w:rPr>
      </w:r>
      <w:r>
        <w:rPr/>
        <w:t>保持不变。改制完成后，本公司注册为资本为人民币</w:t>
      </w:r>
      <w:r>
        <w:rPr>
          <w:rFonts w:ascii="Times New Roman" w:hAnsi="Times New Roman" w:cs="Times New Roman" w:eastAsia="Times New Roman" w:hint="default"/>
        </w:rPr>
        <w:t>100,000,000.00</w:t>
      </w:r>
      <w:r>
        <w:rPr/>
        <w:t>元</w:t>
      </w:r>
      <w:r>
        <w:rPr>
          <w:rFonts w:ascii="Times New Roman" w:hAnsi="Times New Roman" w:cs="Times New Roman" w:eastAsia="Times New Roman" w:hint="default"/>
        </w:rPr>
        <w:t>,</w:t>
      </w:r>
      <w:r>
        <w:rPr/>
        <w:t>并于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3</w:t>
      </w:r>
      <w:r>
        <w:rPr/>
        <w:t>日完成工商变更登</w:t>
      </w:r>
      <w:r>
        <w:rPr>
          <w:spacing w:val="-26"/>
        </w:rPr>
        <w:t> </w:t>
      </w:r>
      <w:r>
        <w:rPr>
          <w:spacing w:val="-26"/>
        </w:rPr>
      </w:r>
      <w:r>
        <w:rPr/>
        <w:t>记手续。</w:t>
      </w:r>
      <w:r>
        <w:rPr>
          <w:w w:val="100"/>
        </w:rPr>
        <w:t>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日，根据公司</w:t>
      </w:r>
      <w:r>
        <w:rPr>
          <w:rFonts w:ascii="Times New Roman" w:hAnsi="Times New Roman" w:cs="Times New Roman" w:eastAsia="Times New Roman" w:hint="default"/>
        </w:rPr>
        <w:t>2009</w:t>
      </w:r>
      <w:r>
        <w:rPr/>
        <w:t>年年度股东大会决议和修改后章程，并经中国证券监督管理委员会证监发</w:t>
      </w:r>
      <w:r>
        <w:rPr>
          <w:spacing w:val="-28"/>
        </w:rPr>
        <w:t> </w:t>
      </w:r>
      <w:r>
        <w:rPr>
          <w:spacing w:val="-28"/>
        </w:rPr>
      </w:r>
      <w:r>
        <w:rPr/>
        <w:t>行字［</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486</w:t>
      </w:r>
      <w:r>
        <w:rPr/>
        <w:t>号文《关于核准广东群兴玩具股份有限公司首次公开发行股票的通知》的核准，本公司</w:t>
      </w:r>
      <w:r>
        <w:rPr>
          <w:spacing w:val="-32"/>
        </w:rPr>
        <w:t> </w:t>
      </w:r>
      <w:r>
        <w:rPr>
          <w:spacing w:val="-32"/>
        </w:rPr>
      </w:r>
      <w:r>
        <w:rPr/>
        <w:t>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3,380</w:t>
      </w:r>
      <w:r>
        <w:rPr/>
        <w:t>万股，每股面值人民币</w:t>
      </w:r>
      <w:r>
        <w:rPr>
          <w:rFonts w:ascii="Times New Roman" w:hAnsi="Times New Roman" w:cs="Times New Roman" w:eastAsia="Times New Roman" w:hint="default"/>
        </w:rPr>
        <w:t>1.00</w:t>
      </w:r>
      <w:r>
        <w:rPr/>
        <w:t>元，合计人民币</w:t>
      </w:r>
      <w:r>
        <w:rPr>
          <w:rFonts w:ascii="Times New Roman" w:hAnsi="Times New Roman" w:cs="Times New Roman" w:eastAsia="Times New Roman" w:hint="default"/>
        </w:rPr>
        <w:t>3,380</w:t>
      </w:r>
      <w:r>
        <w:rPr/>
        <w:t>万元。发行完</w:t>
      </w:r>
      <w:r>
        <w:rPr>
          <w:w w:val="100"/>
        </w:rPr>
        <w:t> </w:t>
      </w:r>
      <w:r>
        <w:rPr/>
        <w:t>成后，本公司注册资本为人民币</w:t>
      </w:r>
      <w:r>
        <w:rPr>
          <w:rFonts w:ascii="Times New Roman" w:hAnsi="Times New Roman" w:cs="Times New Roman" w:eastAsia="Times New Roman" w:hint="default"/>
        </w:rPr>
        <w:t>13,380</w:t>
      </w:r>
      <w:r>
        <w:rPr/>
        <w:t>万元。</w:t>
      </w:r>
      <w:r>
        <w:rPr>
          <w:w w:val="100"/>
        </w:rPr>
        <w:t> </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4</w:t>
      </w:r>
      <w:r>
        <w:rPr>
          <w:spacing w:val="-3"/>
        </w:rPr>
        <w:t>月，根据公司</w:t>
      </w:r>
      <w:r>
        <w:rPr>
          <w:rFonts w:ascii="Times New Roman" w:hAnsi="Times New Roman" w:cs="Times New Roman" w:eastAsia="Times New Roman" w:hint="default"/>
          <w:spacing w:val="-3"/>
        </w:rPr>
        <w:t>2012</w:t>
      </w:r>
      <w:r>
        <w:rPr>
          <w:spacing w:val="-3"/>
        </w:rPr>
        <w:t>年年度股东大会决议，本公司以</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日股本</w:t>
      </w:r>
      <w:r>
        <w:rPr>
          <w:rFonts w:ascii="Times New Roman" w:hAnsi="Times New Roman" w:cs="Times New Roman" w:eastAsia="Times New Roman" w:hint="default"/>
          <w:spacing w:val="-3"/>
        </w:rPr>
        <w:t>13,380</w:t>
      </w:r>
      <w:r>
        <w:rPr>
          <w:spacing w:val="-3"/>
        </w:rPr>
        <w:t>万股为基数，以资本</w:t>
      </w:r>
      <w:r>
        <w:rPr>
          <w:spacing w:val="-18"/>
        </w:rPr>
        <w:t> </w:t>
      </w:r>
      <w:r>
        <w:rPr>
          <w:spacing w:val="-18"/>
        </w:rPr>
      </w:r>
      <w:r>
        <w:rPr>
          <w:spacing w:val="-3"/>
        </w:rPr>
        <w:t>公积向全体股东每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10</w:t>
      </w:r>
      <w:r>
        <w:rPr>
          <w:spacing w:val="-3"/>
        </w:rPr>
        <w:t>股，共转增</w:t>
      </w:r>
      <w:r>
        <w:rPr>
          <w:rFonts w:ascii="Times New Roman" w:hAnsi="Times New Roman" w:cs="Times New Roman" w:eastAsia="Times New Roman" w:hint="default"/>
          <w:spacing w:val="-3"/>
        </w:rPr>
        <w:t>13,380 </w:t>
      </w:r>
      <w:r>
        <w:rPr>
          <w:spacing w:val="-4"/>
        </w:rPr>
        <w:t>万股。转增完成后，本公司注册资本为人民币</w:t>
      </w:r>
      <w:r>
        <w:rPr>
          <w:rFonts w:ascii="Times New Roman" w:hAnsi="Times New Roman" w:cs="Times New Roman" w:eastAsia="Times New Roman" w:hint="default"/>
          <w:spacing w:val="-4"/>
        </w:rPr>
        <w:t>26,760</w:t>
      </w:r>
      <w:r>
        <w:rPr>
          <w:spacing w:val="-4"/>
        </w:rPr>
        <w:t>万元。</w:t>
      </w:r>
      <w:r>
        <w:rPr>
          <w:spacing w:val="-96"/>
        </w:rPr>
        <w:t> </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3</w:t>
      </w:r>
      <w:r>
        <w:rPr>
          <w:spacing w:val="-3"/>
        </w:rPr>
        <w:t>月，经公司召开的</w:t>
      </w:r>
      <w:r>
        <w:rPr>
          <w:rFonts w:ascii="Times New Roman" w:hAnsi="Times New Roman" w:cs="Times New Roman" w:eastAsia="Times New Roman" w:hint="default"/>
          <w:spacing w:val="-3"/>
        </w:rPr>
        <w:t>2014</w:t>
      </w:r>
      <w:r>
        <w:rPr>
          <w:spacing w:val="-3"/>
        </w:rPr>
        <w:t>年年度股东大会决议，以</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日公司总股本</w:t>
      </w:r>
      <w:r>
        <w:rPr>
          <w:rFonts w:ascii="Times New Roman" w:hAnsi="Times New Roman" w:cs="Times New Roman" w:eastAsia="Times New Roman" w:hint="default"/>
          <w:spacing w:val="-3"/>
        </w:rPr>
        <w:t>26,760</w:t>
      </w:r>
      <w:r>
        <w:rPr>
          <w:spacing w:val="-3"/>
        </w:rPr>
        <w:t>万股为基数，以</w:t>
      </w:r>
      <w:r>
        <w:rPr>
          <w:spacing w:val="-18"/>
        </w:rPr>
        <w:t> </w:t>
      </w:r>
      <w:r>
        <w:rPr>
          <w:spacing w:val="-18"/>
        </w:rPr>
      </w:r>
      <w:r>
        <w:rPr/>
        <w:t>资本公积金向全体股东每 </w:t>
      </w:r>
      <w:r>
        <w:rPr>
          <w:rFonts w:ascii="Times New Roman" w:hAnsi="Times New Roman" w:cs="Times New Roman" w:eastAsia="Times New Roman" w:hint="default"/>
        </w:rPr>
        <w:t>10 </w:t>
      </w:r>
      <w:r>
        <w:rPr/>
        <w:t>股转增 </w:t>
      </w:r>
      <w:r>
        <w:rPr>
          <w:rFonts w:ascii="Times New Roman" w:hAnsi="Times New Roman" w:cs="Times New Roman" w:eastAsia="Times New Roman" w:hint="default"/>
        </w:rPr>
        <w:t>12 </w:t>
      </w:r>
      <w:r>
        <w:rPr>
          <w:spacing w:val="-3"/>
        </w:rPr>
        <w:t>股，合计转增</w:t>
      </w:r>
      <w:r>
        <w:rPr>
          <w:rFonts w:ascii="Times New Roman" w:hAnsi="Times New Roman" w:cs="Times New Roman" w:eastAsia="Times New Roman" w:hint="default"/>
          <w:spacing w:val="-3"/>
        </w:rPr>
        <w:t>32,112</w:t>
      </w:r>
      <w:r>
        <w:rPr>
          <w:spacing w:val="-3"/>
        </w:rPr>
        <w:t>万股，转增后注册资本变更为</w:t>
      </w:r>
      <w:r>
        <w:rPr>
          <w:rFonts w:ascii="Times New Roman" w:hAnsi="Times New Roman" w:cs="Times New Roman" w:eastAsia="Times New Roman" w:hint="default"/>
          <w:spacing w:val="-3"/>
        </w:rPr>
        <w:t>58,872</w:t>
      </w:r>
      <w:r>
        <w:rPr>
          <w:spacing w:val="-3"/>
        </w:rPr>
        <w:t>万元，并</w:t>
      </w:r>
      <w:r>
        <w:rPr>
          <w:spacing w:val="-86"/>
        </w:rPr>
        <w:t> </w:t>
      </w:r>
      <w:r>
        <w:rPr>
          <w:spacing w:val="-86"/>
        </w:rPr>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07</w:t>
      </w:r>
      <w:r>
        <w:rPr/>
        <w:t>月</w:t>
      </w:r>
      <w:r>
        <w:rPr>
          <w:rFonts w:ascii="Times New Roman" w:hAnsi="Times New Roman" w:cs="Times New Roman" w:eastAsia="Times New Roman" w:hint="default"/>
        </w:rPr>
        <w:t>13</w:t>
      </w:r>
      <w:r>
        <w:rPr/>
        <w:t>日完成工商登记。</w:t>
      </w:r>
      <w:r>
        <w:rPr>
          <w:w w:val="100"/>
        </w:rPr>
        <w:t> </w:t>
      </w:r>
      <w:r>
        <w:rPr/>
        <w:t>本公司的法定代表人为林伟章，注册地址为广东省汕头市澄海区莱芜经济试验区莱美工业区。</w:t>
      </w:r>
      <w:r>
        <w:rPr>
          <w:w w:val="100"/>
        </w:rPr>
        <w:t> </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经营范围</w:t>
      </w:r>
      <w:r>
        <w:rPr>
          <w:w w:val="100"/>
        </w:rPr>
        <w:t> </w:t>
      </w:r>
      <w:r>
        <w:rPr>
          <w:spacing w:val="-2"/>
        </w:rPr>
        <w:t>许可经营项目：生产、加工、销售；玩具，塑料制品，五金制品；动漫软件设计、开发、制作；童车、手</w:t>
      </w:r>
      <w:r>
        <w:rPr>
          <w:spacing w:val="-46"/>
        </w:rPr>
        <w:t> </w:t>
      </w:r>
      <w:r>
        <w:rPr>
          <w:spacing w:val="-46"/>
        </w:rPr>
      </w:r>
      <w:r>
        <w:rPr>
          <w:spacing w:val="-2"/>
        </w:rPr>
        <w:t>推车、婴儿床、学步车、三轮车、婴儿车、行李车、自行车、电动车、摇篮车、摇椅、儿童摇床；废旧塑</w:t>
      </w:r>
      <w:r>
        <w:rPr>
          <w:spacing w:val="-45"/>
        </w:rPr>
        <w:t> </w:t>
      </w:r>
      <w:r>
        <w:rPr>
          <w:spacing w:val="-45"/>
        </w:rPr>
      </w:r>
      <w:r>
        <w:rPr>
          <w:spacing w:val="-2"/>
        </w:rPr>
        <w:t>料回收、加工；对高新科技项目、文化产业项目、文化休闲娱乐服务业、软件业、金融业、租赁和商务服</w:t>
      </w:r>
      <w:r>
        <w:rPr>
          <w:spacing w:val="-45"/>
        </w:rPr>
        <w:t> </w:t>
      </w:r>
      <w:r>
        <w:rPr>
          <w:spacing w:val="-45"/>
        </w:rPr>
      </w:r>
      <w:r>
        <w:rPr>
          <w:spacing w:val="-2"/>
        </w:rPr>
        <w:t>务业的投资；工业产品设计，多媒体和动漫技术的研发，电子信息技术的应用和开发，房屋租赁，机械设</w:t>
      </w:r>
      <w:r>
        <w:rPr>
          <w:spacing w:val="-43"/>
        </w:rPr>
        <w:t> </w:t>
      </w:r>
      <w:r>
        <w:rPr>
          <w:spacing w:val="-43"/>
        </w:rPr>
      </w:r>
      <w:r>
        <w:rPr>
          <w:spacing w:val="-4"/>
        </w:rPr>
        <w:t>备租赁，仪器仪表租赁；货物进出口、技术进出口。</w:t>
      </w:r>
      <w:r>
        <w:rPr>
          <w:rFonts w:ascii="Times New Roman" w:hAnsi="Times New Roman" w:cs="Times New Roman" w:eastAsia="Times New Roman" w:hint="default"/>
          <w:spacing w:val="-4"/>
        </w:rPr>
        <w:t>(</w:t>
      </w:r>
      <w:r>
        <w:rPr>
          <w:spacing w:val="-4"/>
        </w:rPr>
        <w:t>依法须经批准的项目，经相关部门批准后方可开展经</w:t>
      </w:r>
      <w:r>
        <w:rPr>
          <w:spacing w:val="-21"/>
        </w:rPr>
        <w:t> </w:t>
      </w:r>
      <w:r>
        <w:rPr>
          <w:spacing w:val="-21"/>
        </w:rPr>
      </w:r>
      <w:r>
        <w:rPr/>
        <w:t>营活动</w:t>
      </w:r>
      <w:r>
        <w:rPr>
          <w:rFonts w:ascii="Times New Roman" w:hAnsi="Times New Roman" w:cs="Times New Roman" w:eastAsia="Times New Roman" w:hint="default"/>
        </w:rPr>
        <w:t>)</w:t>
      </w:r>
      <w:r>
        <w:rPr/>
        <w:t>。</w:t>
      </w:r>
    </w:p>
    <w:p>
      <w:pPr>
        <w:pStyle w:val="BodyText"/>
        <w:spacing w:line="256" w:lineRule="auto" w:before="1"/>
        <w:ind w:right="102"/>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公司业务性质和主要经营活动</w:t>
      </w:r>
      <w:r>
        <w:rPr>
          <w:w w:val="100"/>
        </w:rPr>
        <w:t> </w:t>
      </w:r>
      <w:r>
        <w:rPr>
          <w:spacing w:val="-2"/>
        </w:rPr>
        <w:t>本公司主要产品包括电动车、童车、婴童玩具、电脑学习机、玩具手机等。</w:t>
      </w:r>
    </w:p>
    <w:p>
      <w:pPr>
        <w:pStyle w:val="BodyText"/>
        <w:spacing w:line="240" w:lineRule="auto" w:before="22"/>
        <w:ind w:left="573" w:right="102"/>
        <w:jc w:val="left"/>
      </w:pPr>
      <w:r>
        <w:rPr/>
        <w:t>本期纳入合并财务报表范围的主体共</w:t>
      </w:r>
      <w:r>
        <w:rPr>
          <w:rFonts w:ascii="Times New Roman" w:hAnsi="Times New Roman" w:cs="Times New Roman" w:eastAsia="Times New Roman" w:hint="default"/>
        </w:rPr>
        <w:t>2</w:t>
      </w:r>
      <w:r>
        <w:rPr/>
        <w:t>户，具体包括：</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512"/>
        <w:gridCol w:w="1260"/>
        <w:gridCol w:w="725"/>
        <w:gridCol w:w="1514"/>
        <w:gridCol w:w="1517"/>
      </w:tblGrid>
      <w:tr>
        <w:trPr>
          <w:trHeight w:val="355" w:hRule="exact"/>
        </w:trPr>
        <w:tc>
          <w:tcPr>
            <w:tcW w:w="35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70"/>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7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5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1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62"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汕头市童乐乐玩具有限公司（以下简称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童乐 乐玩具</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70"/>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86"/>
              <w:jc w:val="center"/>
              <w:rPr>
                <w:rFonts w:ascii="Times New Roman" w:hAnsi="Times New Roman" w:cs="Times New Roman" w:eastAsia="Times New Roman" w:hint="default"/>
                <w:sz w:val="18"/>
                <w:szCs w:val="18"/>
              </w:rPr>
            </w:pPr>
            <w:r>
              <w:rPr>
                <w:rFonts w:ascii="宋体" w:hAnsi="宋体" w:cs="宋体" w:eastAsia="宋体" w:hint="default"/>
                <w:spacing w:val="-9"/>
                <w:sz w:val="18"/>
                <w:szCs w:val="18"/>
              </w:rPr>
              <w:t>群兴（香港）有限公司（以下简称</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群兴香港</w:t>
            </w:r>
            <w:r>
              <w:rPr>
                <w:rFonts w:ascii="Times New Roman" w:hAnsi="Times New Roman" w:cs="Times New Roman" w:eastAsia="Times New Roman" w:hint="default"/>
                <w:spacing w:val="-9"/>
                <w:sz w:val="18"/>
                <w:szCs w:val="18"/>
              </w:rPr>
              <w:t>”</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09" w:right="170"/>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0"/>
                <w:sz w:val="18"/>
                <w:szCs w:val="18"/>
              </w:rPr>
              <w:t> </w:t>
            </w: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100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100</w:t>
            </w:r>
          </w:p>
        </w:tc>
      </w:tr>
    </w:tbl>
    <w:p>
      <w:pPr>
        <w:pStyle w:val="Heading2"/>
        <w:spacing w:line="301" w:lineRule="exact"/>
        <w:ind w:right="102"/>
        <w:jc w:val="left"/>
        <w:rPr>
          <w:b w:val="0"/>
          <w:bCs w:val="0"/>
        </w:rPr>
      </w:pPr>
      <w:r>
        <w:rPr/>
        <w:t>合并范围变更主体的具体信息详见</w:t>
      </w:r>
      <w:r>
        <w:rPr>
          <w:rFonts w:ascii="Times New Roman" w:hAnsi="Times New Roman" w:cs="Times New Roman" w:eastAsia="Times New Roman" w:hint="default"/>
        </w:rPr>
        <w:t>“</w:t>
      </w:r>
      <w:r>
        <w:rPr/>
        <w:t>附注八、合并范围的变更</w:t>
      </w:r>
      <w:r>
        <w:rPr>
          <w:rFonts w:ascii="Times New Roman" w:hAnsi="Times New Roman" w:cs="Times New Roman" w:eastAsia="Times New Roman" w:hint="default"/>
        </w:rPr>
        <w:t>”</w:t>
      </w:r>
      <w:r>
        <w:rPr/>
        <w:t>。</w:t>
      </w:r>
      <w:r>
        <w:rPr>
          <w:b w:val="0"/>
          <w:bCs w:val="0"/>
        </w:rPr>
      </w:r>
    </w:p>
    <w:p>
      <w:pPr>
        <w:pStyle w:val="Heading2"/>
        <w:spacing w:line="240" w:lineRule="auto" w:before="196"/>
        <w:ind w:right="102"/>
        <w:jc w:val="left"/>
        <w:rPr>
          <w:b w:val="0"/>
          <w:bCs w:val="0"/>
        </w:rPr>
      </w:pPr>
      <w:r>
        <w:rPr/>
        <w:t>四、财务报表的编制基础</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BodyText"/>
        <w:spacing w:line="446" w:lineRule="auto"/>
        <w:ind w:right="102"/>
        <w:jc w:val="left"/>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、编制基础</w:t>
      </w:r>
      <w:r>
        <w:rPr>
          <w:rFonts w:ascii="Microsoft JhengHei" w:hAnsi="Microsoft JhengHei" w:cs="Microsoft JhengHei" w:eastAsia="Microsoft JhengHei" w:hint="default"/>
          <w:b/>
          <w:bCs/>
          <w:spacing w:val="-46"/>
        </w:rPr>
        <w:t> </w:t>
      </w:r>
      <w:r>
        <w:rPr>
          <w:spacing w:val="-5"/>
        </w:rPr>
        <w:t>本公司以持续经营为基础，根据实际发生的交易和事项，按照财政部颁布的《企业会计准则</w:t>
      </w:r>
      <w:r>
        <w:rPr>
          <w:rFonts w:ascii="Times New Roman" w:hAnsi="Times New Roman" w:cs="Times New Roman" w:eastAsia="Times New Roman" w:hint="default"/>
          <w:spacing w:val="-5"/>
        </w:rPr>
        <w:t>——</w:t>
      </w:r>
      <w:r>
        <w:rPr>
          <w:spacing w:val="-5"/>
        </w:rPr>
        <w:t>基本准则》</w:t>
      </w:r>
    </w:p>
    <w:p>
      <w:pPr>
        <w:spacing w:after="0" w:line="446"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BodyText"/>
        <w:spacing w:line="256" w:lineRule="auto" w:before="36"/>
        <w:ind w:right="170"/>
        <w:jc w:val="both"/>
      </w:pPr>
      <w:r>
        <w:rPr>
          <w:spacing w:val="-2"/>
        </w:rPr>
        <w:t>和具体企业会计准则、企业会计准则应用指南、企业会计准则解释及其他相关规定</w:t>
      </w:r>
      <w:r>
        <w:rPr>
          <w:rFonts w:ascii="Times New Roman" w:hAnsi="Times New Roman" w:cs="Times New Roman" w:eastAsia="Times New Roman" w:hint="default"/>
          <w:spacing w:val="-2"/>
        </w:rPr>
        <w:t>(</w:t>
      </w:r>
      <w:r>
        <w:rPr>
          <w:spacing w:val="-2"/>
        </w:rPr>
        <w:t>以下合称</w:t>
      </w:r>
      <w:r>
        <w:rPr>
          <w:rFonts w:ascii="Times New Roman" w:hAnsi="Times New Roman" w:cs="Times New Roman" w:eastAsia="Times New Roman" w:hint="default"/>
          <w:spacing w:val="-2"/>
        </w:rPr>
        <w:t>“</w:t>
      </w:r>
      <w:r>
        <w:rPr>
          <w:spacing w:val="-2"/>
        </w:rPr>
        <w:t>企业会计准</w:t>
      </w:r>
      <w:r>
        <w:rPr>
          <w:spacing w:val="-18"/>
        </w:rPr>
        <w:t> </w:t>
      </w:r>
      <w:r>
        <w:rPr>
          <w:spacing w:val="-18"/>
        </w:rPr>
      </w:r>
      <w:r>
        <w:rPr>
          <w:spacing w:val="-2"/>
        </w:rPr>
        <w:t>则</w:t>
      </w:r>
      <w:r>
        <w:rPr>
          <w:rFonts w:ascii="Times New Roman" w:hAnsi="Times New Roman" w:cs="Times New Roman" w:eastAsia="Times New Roman" w:hint="default"/>
          <w:spacing w:val="-2"/>
        </w:rPr>
        <w:t>”)</w:t>
      </w:r>
      <w:r>
        <w:rPr>
          <w:spacing w:val="-2"/>
        </w:rPr>
        <w:t>进行确认和计量，在此基础上，结合中国证券监督管理委员会《公开发行证券的公司信息披露编报规</w:t>
      </w:r>
      <w:r>
        <w:rPr>
          <w:spacing w:val="-18"/>
        </w:rPr>
        <w:t> </w:t>
      </w:r>
      <w:r>
        <w:rPr>
          <w:spacing w:val="-18"/>
        </w:rPr>
      </w:r>
      <w:r>
        <w:rPr/>
        <w:t>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w:t>
      </w:r>
      <w:r>
        <w:rPr>
          <w:rFonts w:ascii="Times New Roman" w:hAnsi="Times New Roman" w:cs="Times New Roman" w:eastAsia="Times New Roman" w:hint="default"/>
        </w:rPr>
        <w:t>)</w:t>
      </w:r>
      <w:r>
        <w:rPr/>
        <w:t>的规定，编制财务报表。</w:t>
      </w:r>
    </w:p>
    <w:p>
      <w:pPr>
        <w:spacing w:line="240" w:lineRule="auto" w:before="3"/>
        <w:rPr>
          <w:rFonts w:ascii="宋体" w:hAnsi="宋体" w:cs="宋体" w:eastAsia="宋体" w:hint="default"/>
          <w:sz w:val="18"/>
          <w:szCs w:val="18"/>
        </w:rPr>
      </w:pPr>
    </w:p>
    <w:p>
      <w:pPr>
        <w:spacing w:line="434" w:lineRule="auto" w:before="0"/>
        <w:ind w:left="152" w:right="774"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、持续经营</w:t>
      </w:r>
      <w:r>
        <w:rPr>
          <w:rFonts w:ascii="Microsoft JhengHei" w:hAnsi="Microsoft JhengHei" w:cs="Microsoft JhengHei" w:eastAsia="Microsoft JhengHei" w:hint="default"/>
          <w:b/>
          <w:bCs/>
          <w:spacing w:val="-46"/>
          <w:sz w:val="21"/>
          <w:szCs w:val="21"/>
        </w:rPr>
        <w:t> </w:t>
      </w:r>
      <w:r>
        <w:rPr>
          <w:rFonts w:ascii="宋体" w:hAnsi="宋体" w:cs="宋体" w:eastAsia="宋体" w:hint="default"/>
          <w:spacing w:val="-2"/>
          <w:sz w:val="21"/>
          <w:szCs w:val="21"/>
        </w:rPr>
        <w:t>本公司自报告期末起</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个月不存在对本公司持续经营能力产生重大疑虑的事项或情况。</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Microsoft JhengHei" w:hAnsi="Microsoft JhengHei" w:cs="Microsoft JhengHei" w:eastAsia="Microsoft JhengHei" w:hint="default"/>
          <w:b/>
          <w:bCs/>
          <w:sz w:val="24"/>
          <w:szCs w:val="24"/>
        </w:rPr>
        <w:t>五、重要会计政策及会计估计</w:t>
      </w:r>
      <w:r>
        <w:rPr>
          <w:rFonts w:ascii="Microsoft JhengHei" w:hAnsi="Microsoft JhengHei" w:cs="Microsoft JhengHei" w:eastAsia="Microsoft JhengHei" w:hint="default"/>
          <w:sz w:val="24"/>
          <w:szCs w:val="24"/>
        </w:rPr>
      </w:r>
    </w:p>
    <w:p>
      <w:pPr>
        <w:spacing w:line="360" w:lineRule="auto" w:before="58"/>
        <w:ind w:left="152" w:right="2934"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 以下披露内容已涵盖了本公司根据实际生产经营特点制定的具体会计政策和会计估计。</w:t>
      </w:r>
    </w:p>
    <w:p>
      <w:pPr>
        <w:spacing w:line="240" w:lineRule="auto" w:before="3"/>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0"/>
        <w:rPr>
          <w:rFonts w:ascii="Microsoft JhengHei" w:hAnsi="Microsoft JhengHei" w:cs="Microsoft JhengHei" w:eastAsia="Microsoft JhengHei" w:hint="default"/>
          <w:b/>
          <w:bCs/>
          <w:sz w:val="18"/>
          <w:szCs w:val="18"/>
        </w:rPr>
      </w:pPr>
    </w:p>
    <w:p>
      <w:pPr>
        <w:pStyle w:val="BodyText"/>
        <w:spacing w:line="273" w:lineRule="auto"/>
        <w:ind w:right="0"/>
        <w:jc w:val="left"/>
      </w:pPr>
      <w:r>
        <w:rPr>
          <w:spacing w:val="-2"/>
        </w:rPr>
        <w:t>本公司所编制的财务报表符合企业会计准则的要求，真实、完整地反映了报告期公司的财务状况、经营成</w:t>
      </w:r>
      <w:r>
        <w:rPr>
          <w:spacing w:val="-44"/>
        </w:rPr>
        <w:t> </w:t>
      </w:r>
      <w:r>
        <w:rPr>
          <w:spacing w:val="-44"/>
        </w:rPr>
      </w:r>
      <w:r>
        <w:rPr/>
        <w:t>果、现金流量等有关信息。</w:t>
      </w:r>
    </w:p>
    <w:p>
      <w:pPr>
        <w:spacing w:line="240" w:lineRule="auto" w:before="5"/>
        <w:rPr>
          <w:rFonts w:ascii="宋体" w:hAnsi="宋体" w:cs="宋体" w:eastAsia="宋体" w:hint="default"/>
          <w:sz w:val="18"/>
          <w:szCs w:val="18"/>
        </w:rPr>
      </w:pPr>
    </w:p>
    <w:p>
      <w:pPr>
        <w:spacing w:line="448" w:lineRule="auto" w:before="0"/>
        <w:ind w:left="152" w:right="455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、会计期间</w:t>
      </w:r>
      <w:r>
        <w:rPr>
          <w:rFonts w:ascii="Microsoft JhengHei" w:hAnsi="Microsoft JhengHei" w:cs="Microsoft JhengHei" w:eastAsia="Microsoft JhengHei" w:hint="default"/>
          <w:b/>
          <w:bCs/>
          <w:spacing w:val="-46"/>
          <w:sz w:val="21"/>
          <w:szCs w:val="21"/>
        </w:rPr>
        <w:t> </w:t>
      </w:r>
      <w:r>
        <w:rPr>
          <w:rFonts w:ascii="宋体" w:hAnsi="宋体" w:cs="宋体" w:eastAsia="宋体" w:hint="default"/>
          <w:spacing w:val="-2"/>
          <w:sz w:val="21"/>
          <w:szCs w:val="21"/>
        </w:rPr>
        <w:t>自公历</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日至</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日止为一个会计年度。</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、营业周期</w:t>
      </w:r>
      <w:r>
        <w:rPr>
          <w:rFonts w:ascii="Microsoft JhengHei" w:hAnsi="Microsoft JhengHei" w:cs="Microsoft JhengHei" w:eastAsia="Microsoft JhengHei" w:hint="default"/>
          <w:sz w:val="21"/>
          <w:szCs w:val="21"/>
        </w:rPr>
      </w:r>
    </w:p>
    <w:p>
      <w:pPr>
        <w:pStyle w:val="BodyText"/>
        <w:spacing w:line="240" w:lineRule="auto" w:before="70"/>
        <w:ind w:right="0"/>
        <w:jc w:val="left"/>
      </w:pPr>
      <w:r>
        <w:rPr/>
        <w:t>本公司营业周期为</w:t>
      </w:r>
      <w:r>
        <w:rPr>
          <w:rFonts w:ascii="Times New Roman" w:hAnsi="Times New Roman" w:cs="Times New Roman" w:eastAsia="Times New Roman" w:hint="default"/>
        </w:rPr>
        <w:t>12</w:t>
      </w:r>
      <w:r>
        <w:rPr/>
        <w:t>个月。</w:t>
      </w:r>
    </w:p>
    <w:p>
      <w:pPr>
        <w:spacing w:line="590" w:lineRule="atLeast" w:before="30"/>
        <w:ind w:left="152" w:right="70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、记账本位币</w:t>
      </w:r>
      <w:r>
        <w:rPr>
          <w:rFonts w:ascii="Microsoft JhengHei" w:hAnsi="Microsoft JhengHei" w:cs="Microsoft JhengHei" w:eastAsia="Microsoft JhengHei" w:hint="default"/>
          <w:b/>
          <w:bCs/>
          <w:spacing w:val="-45"/>
          <w:sz w:val="21"/>
          <w:szCs w:val="21"/>
        </w:rPr>
        <w:t> </w:t>
      </w:r>
      <w:r>
        <w:rPr>
          <w:rFonts w:ascii="宋体" w:hAnsi="宋体" w:cs="宋体" w:eastAsia="宋体" w:hint="default"/>
          <w:spacing w:val="-2"/>
          <w:sz w:val="21"/>
          <w:szCs w:val="21"/>
        </w:rPr>
        <w:t>采用人民币为记账本位币。</w:t>
      </w:r>
    </w:p>
    <w:p>
      <w:pPr>
        <w:pStyle w:val="BodyText"/>
        <w:spacing w:line="240" w:lineRule="auto" w:before="37"/>
        <w:ind w:right="0"/>
        <w:jc w:val="left"/>
      </w:pPr>
      <w:r>
        <w:rPr/>
        <w:t>境外子公司以其经营所处的主要经济环境中的货币为记账本位币，编制财务报表时折算为人民币。</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3"/>
        <w:rPr>
          <w:rFonts w:ascii="Microsoft JhengHei" w:hAnsi="Microsoft JhengHei" w:cs="Microsoft JhengHei" w:eastAsia="Microsoft JhengHei" w:hint="default"/>
          <w:b/>
          <w:bCs/>
          <w:sz w:val="17"/>
          <w:szCs w:val="17"/>
        </w:rPr>
      </w:pPr>
    </w:p>
    <w:p>
      <w:pPr>
        <w:pStyle w:val="Heading3"/>
        <w:spacing w:line="312" w:lineRule="exact"/>
        <w:ind w:right="0"/>
        <w:jc w:val="left"/>
        <w:rPr>
          <w:b w:val="0"/>
          <w:bCs w:val="0"/>
        </w:rPr>
      </w:pPr>
      <w:r>
        <w:rPr/>
        <w:t>（</w:t>
      </w:r>
      <w:r>
        <w:rPr>
          <w:rFonts w:ascii="Times New Roman" w:hAnsi="Times New Roman" w:cs="Times New Roman" w:eastAsia="Times New Roman" w:hint="default"/>
        </w:rPr>
        <w:t>1</w:t>
      </w:r>
      <w:r>
        <w:rPr/>
        <w:t>）．分步实现企业合并过程中的各项交易的条款、条件以及经济影响符合以下一种或多种情况，将多</w:t>
      </w:r>
      <w:r>
        <w:rPr>
          <w:spacing w:val="26"/>
        </w:rPr>
        <w:t> </w:t>
      </w:r>
      <w:r>
        <w:rPr>
          <w:spacing w:val="26"/>
        </w:rPr>
      </w:r>
      <w:r>
        <w:rPr/>
        <w:t>次交易事项作为一揽子交易进行会计处理：</w:t>
      </w:r>
      <w:r>
        <w:rPr>
          <w:b w:val="0"/>
          <w:bCs w:val="0"/>
        </w:rPr>
      </w:r>
    </w:p>
    <w:p>
      <w:pPr>
        <w:pStyle w:val="BodyText"/>
        <w:spacing w:line="240" w:lineRule="auto" w:before="4"/>
        <w:ind w:right="0"/>
        <w:jc w:val="left"/>
      </w:pP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21"/>
        <w:ind w:right="0"/>
        <w:jc w:val="left"/>
      </w:pPr>
      <w:r>
        <w:rPr>
          <w:rFonts w:ascii="Times New Roman" w:hAnsi="Times New Roman" w:cs="Times New Roman" w:eastAsia="Times New Roman" w:hint="default"/>
        </w:rPr>
        <w:t>2</w:t>
      </w:r>
      <w:r>
        <w:rPr/>
        <w:t>）这些交易整体才能达成一项完整的商业结果；</w:t>
      </w:r>
    </w:p>
    <w:p>
      <w:pPr>
        <w:pStyle w:val="BodyText"/>
        <w:spacing w:line="240" w:lineRule="auto" w:before="21"/>
        <w:ind w:right="0"/>
        <w:jc w:val="left"/>
      </w:pPr>
      <w:r>
        <w:rPr>
          <w:rFonts w:ascii="Times New Roman" w:hAnsi="Times New Roman" w:cs="Times New Roman" w:eastAsia="Times New Roman" w:hint="default"/>
        </w:rPr>
        <w:t>3</w:t>
      </w:r>
      <w:r>
        <w:rPr/>
        <w:t>）一项交易的发生取决于其他至少一项交易的发生；</w:t>
      </w:r>
    </w:p>
    <w:p>
      <w:pPr>
        <w:pStyle w:val="BodyText"/>
        <w:spacing w:line="268" w:lineRule="exact" w:before="21"/>
        <w:ind w:right="0"/>
        <w:jc w:val="left"/>
      </w:pPr>
      <w:r>
        <w:rPr>
          <w:rFonts w:ascii="Times New Roman" w:hAnsi="Times New Roman" w:cs="Times New Roman" w:eastAsia="Times New Roman" w:hint="default"/>
        </w:rPr>
        <w:t>4</w:t>
      </w:r>
      <w:r>
        <w:rPr/>
        <w:t>）一项交易单独看是不经济的，但是和其他交易一并考虑时是经济的。</w:t>
      </w:r>
    </w:p>
    <w:p>
      <w:pPr>
        <w:pStyle w:val="Heading3"/>
        <w:spacing w:line="343" w:lineRule="exact"/>
        <w:ind w:right="0"/>
        <w:jc w:val="left"/>
        <w:rPr>
          <w:b w:val="0"/>
          <w:bCs w:val="0"/>
        </w:rPr>
      </w:pPr>
      <w:r>
        <w:rPr/>
        <w:t>（</w:t>
      </w:r>
      <w:r>
        <w:rPr>
          <w:rFonts w:ascii="Times New Roman" w:hAnsi="Times New Roman" w:cs="Times New Roman" w:eastAsia="Times New Roman" w:hint="default"/>
        </w:rPr>
        <w:t>2</w:t>
      </w:r>
      <w:r>
        <w:rPr/>
        <w:t>）．同一控制下的企业合并</w:t>
      </w:r>
      <w:r>
        <w:rPr>
          <w:b w:val="0"/>
          <w:bCs w:val="0"/>
        </w:rPr>
      </w:r>
    </w:p>
    <w:p>
      <w:pPr>
        <w:pStyle w:val="BodyText"/>
        <w:spacing w:line="268" w:lineRule="auto" w:before="13"/>
        <w:ind w:right="0"/>
        <w:jc w:val="left"/>
      </w:pPr>
      <w:r>
        <w:rPr>
          <w:rFonts w:ascii="Times New Roman" w:hAnsi="Times New Roman" w:cs="Times New Roman" w:eastAsia="Times New Roman" w:hint="default"/>
        </w:rPr>
        <w:t>1</w:t>
      </w:r>
      <w:r>
        <w:rPr/>
        <w:t>）个别财务报表</w:t>
      </w:r>
      <w:r>
        <w:rPr>
          <w:w w:val="100"/>
        </w:rPr>
        <w:t> </w:t>
      </w:r>
      <w:r>
        <w:rPr>
          <w:spacing w:val="-2"/>
        </w:rPr>
        <w:t>公司以支付现金、转让非现金资产、承担债务方式或以发行权益性证券作为合并对价的，在合并日按照被</w:t>
      </w:r>
      <w:r>
        <w:rPr>
          <w:spacing w:val="-44"/>
        </w:rPr>
        <w:t> </w:t>
      </w:r>
      <w:r>
        <w:rPr>
          <w:spacing w:val="-44"/>
        </w:rPr>
      </w:r>
      <w:r>
        <w:rPr>
          <w:spacing w:val="-2"/>
        </w:rPr>
        <w:t>合并方所有者权益在最终控制方合并财务报表中的账面价值的份额作为长期股权投资的初始投资成本。长</w:t>
      </w:r>
      <w:r>
        <w:rPr>
          <w:spacing w:val="-43"/>
        </w:rPr>
        <w:t> </w:t>
      </w:r>
      <w:r>
        <w:rPr>
          <w:spacing w:val="-43"/>
        </w:rPr>
      </w:r>
      <w:r>
        <w:rPr>
          <w:spacing w:val="-2"/>
        </w:rPr>
        <w:t>期股权投资初始投资成本与支付合并对价之间的差额，调整资本公积；资本公积不足冲减的，调整留存收</w:t>
      </w:r>
      <w:r>
        <w:rPr>
          <w:spacing w:val="-44"/>
        </w:rPr>
        <w:t> </w:t>
      </w:r>
      <w:r>
        <w:rPr>
          <w:spacing w:val="-44"/>
        </w:rPr>
      </w:r>
      <w:r>
        <w:rPr>
          <w:spacing w:val="-2"/>
        </w:rPr>
        <w:t>益。如果存在或有对价并需要确认预计负债或资产，该预计负债或资产金额与后续或有对价结算金额的差</w:t>
      </w:r>
    </w:p>
    <w:p>
      <w:pPr>
        <w:spacing w:after="0" w:line="268"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BodyText"/>
        <w:spacing w:line="273" w:lineRule="auto" w:before="36"/>
        <w:ind w:right="102"/>
        <w:jc w:val="left"/>
      </w:pPr>
      <w:r>
        <w:rPr/>
        <w:t>额，调整资本公积（资本溢价或股本溢价），资本公积不足的，调整留存收益。</w:t>
      </w:r>
      <w:r>
        <w:rPr>
          <w:w w:val="100"/>
        </w:rPr>
        <w:t> </w:t>
      </w:r>
      <w:r>
        <w:rPr>
          <w:spacing w:val="-2"/>
        </w:rPr>
        <w:t>对于通过多次交易最终实现企业合并的，属于一揽子交易的，将各项交易作为一项取得控制权的交易进行</w:t>
      </w:r>
      <w:r>
        <w:rPr>
          <w:spacing w:val="-42"/>
        </w:rPr>
        <w:t> </w:t>
      </w:r>
      <w:r>
        <w:rPr>
          <w:spacing w:val="-42"/>
        </w:rPr>
      </w:r>
      <w:r>
        <w:rPr>
          <w:spacing w:val="-2"/>
        </w:rPr>
        <w:t>会计处理；不属于一揽子交易的，在取得控制权日，长期股权投资初始投资成本，与达到合并前的长期股</w:t>
      </w:r>
      <w:r>
        <w:rPr>
          <w:spacing w:val="-50"/>
        </w:rPr>
        <w:t> </w:t>
      </w:r>
      <w:r>
        <w:rPr>
          <w:spacing w:val="-50"/>
        </w:rPr>
      </w:r>
      <w:r>
        <w:rPr>
          <w:spacing w:val="-2"/>
        </w:rPr>
        <w:t>权投资账面价值加上合并日进一步取得股份新支付对价的账面价值之和的差额，调整资本公积；资本公积</w:t>
      </w:r>
      <w:r>
        <w:rPr>
          <w:spacing w:val="-44"/>
        </w:rPr>
        <w:t> </w:t>
      </w:r>
      <w:r>
        <w:rPr>
          <w:spacing w:val="-44"/>
        </w:rPr>
      </w:r>
      <w:r>
        <w:rPr>
          <w:spacing w:val="-2"/>
        </w:rPr>
        <w:t>不足冲减的，调整留存收益。对于合并日之前持有的股权投资，因采用权益法核算或金融工具确认和计量</w:t>
      </w:r>
      <w:r>
        <w:rPr>
          <w:spacing w:val="-42"/>
        </w:rPr>
        <w:t> </w:t>
      </w:r>
      <w:r>
        <w:rPr>
          <w:spacing w:val="-42"/>
        </w:rPr>
      </w:r>
      <w:r>
        <w:rPr>
          <w:spacing w:val="-2"/>
        </w:rPr>
        <w:t>准则核算而确认的其他综合收益，暂不进行会计处理，直至处置该项投资时采用与被投资单位直接处置相</w:t>
      </w:r>
      <w:r>
        <w:rPr>
          <w:spacing w:val="-44"/>
        </w:rPr>
        <w:t> </w:t>
      </w:r>
      <w:r>
        <w:rPr>
          <w:spacing w:val="-44"/>
        </w:rPr>
      </w:r>
      <w:r>
        <w:rPr>
          <w:spacing w:val="-2"/>
        </w:rPr>
        <w:t>关资产或负债相同的基础进行会计处理；因采用权益法核算而确认的被投资单位净资产中除净损益、其他</w:t>
      </w:r>
      <w:r>
        <w:rPr>
          <w:spacing w:val="-42"/>
        </w:rPr>
        <w:t> </w:t>
      </w:r>
      <w:r>
        <w:rPr>
          <w:spacing w:val="-42"/>
        </w:rPr>
      </w:r>
      <w:r>
        <w:rPr>
          <w:spacing w:val="-5"/>
        </w:rPr>
        <w:t>综合收益和利润分配以外的所有者权益其他变动，暂不进行会计处理，直至处置该项投资时转入当期损益。</w:t>
      </w:r>
      <w:r>
        <w:rPr>
          <w:spacing w:val="-7"/>
        </w:rPr>
        <w:t> </w:t>
      </w:r>
      <w:r>
        <w:rPr>
          <w:spacing w:val="-7"/>
        </w:rPr>
      </w:r>
      <w:r>
        <w:rPr>
          <w:spacing w:val="-2"/>
        </w:rPr>
        <w:t>合并发生的各项直接相关费用，包括为进行合并而支付的审计费用、评估费用、法律服务费用等，于发生</w:t>
      </w:r>
      <w:r>
        <w:rPr>
          <w:spacing w:val="-47"/>
        </w:rPr>
        <w:t> </w:t>
      </w:r>
      <w:r>
        <w:rPr>
          <w:spacing w:val="-47"/>
        </w:rPr>
      </w:r>
      <w:r>
        <w:rPr>
          <w:spacing w:val="-2"/>
        </w:rPr>
        <w:t>时计入当期损益；与发行权益性工具作为合并对价直接相关的交易费用，冲减资本公积，资本公积不足冲</w:t>
      </w:r>
      <w:r>
        <w:rPr>
          <w:spacing w:val="-44"/>
        </w:rPr>
        <w:t> </w:t>
      </w:r>
      <w:r>
        <w:rPr>
          <w:spacing w:val="-44"/>
        </w:rPr>
      </w:r>
      <w:r>
        <w:rPr>
          <w:spacing w:val="-2"/>
        </w:rPr>
        <w:t>减的，依次冲减盈余公积和未分配利润；与发行债务性工具作为合并对价直接相关的交易费用，作为计入</w:t>
      </w:r>
      <w:r>
        <w:rPr>
          <w:spacing w:val="-44"/>
        </w:rPr>
        <w:t> </w:t>
      </w:r>
      <w:r>
        <w:rPr>
          <w:spacing w:val="-44"/>
        </w:rPr>
      </w:r>
      <w:r>
        <w:rPr/>
        <w:t>债务性工具的初始确认金额。</w:t>
      </w:r>
      <w:r>
        <w:rPr>
          <w:w w:val="100"/>
        </w:rPr>
        <w:t> </w:t>
      </w:r>
      <w:r>
        <w:rPr>
          <w:spacing w:val="-2"/>
        </w:rPr>
        <w:t>被合并方存在合并财务报表，则以合并日被合并方合并财务报表中归属于母公司的所有者权益为基础确定</w:t>
      </w:r>
      <w:r>
        <w:rPr>
          <w:spacing w:val="-43"/>
        </w:rPr>
        <w:t> </w:t>
      </w:r>
      <w:r>
        <w:rPr>
          <w:spacing w:val="-43"/>
        </w:rPr>
      </w:r>
      <w:r>
        <w:rPr/>
        <w:t>长期股权投资的初始投资成本。</w:t>
      </w:r>
    </w:p>
    <w:p>
      <w:pPr>
        <w:pStyle w:val="BodyText"/>
        <w:spacing w:line="271" w:lineRule="auto" w:before="7"/>
        <w:ind w:right="102"/>
        <w:jc w:val="left"/>
      </w:pPr>
      <w:r>
        <w:rPr>
          <w:rFonts w:ascii="Times New Roman" w:hAnsi="Times New Roman" w:cs="Times New Roman" w:eastAsia="Times New Roman" w:hint="default"/>
        </w:rPr>
        <w:t>2</w:t>
      </w:r>
      <w:r>
        <w:rPr/>
        <w:t>）合并财务报表</w:t>
      </w:r>
      <w:r>
        <w:rPr>
          <w:w w:val="100"/>
        </w:rPr>
        <w:t> </w:t>
      </w:r>
      <w:r>
        <w:rPr>
          <w:spacing w:val="-2"/>
        </w:rPr>
        <w:t>合并方在企业合并中取得的资产和负债，按照合并日在被合并方所有者权益在最终控制方合并财务报表中</w:t>
      </w:r>
      <w:r>
        <w:rPr>
          <w:spacing w:val="-43"/>
        </w:rPr>
        <w:t> </w:t>
      </w:r>
      <w:r>
        <w:rPr>
          <w:spacing w:val="-43"/>
        </w:rPr>
      </w:r>
      <w:r>
        <w:rPr/>
        <w:t>的账面价值计量。</w:t>
      </w:r>
      <w:r>
        <w:rPr>
          <w:w w:val="100"/>
        </w:rPr>
        <w:t> </w:t>
      </w:r>
      <w:r>
        <w:rPr>
          <w:spacing w:val="-2"/>
        </w:rPr>
        <w:t>对于通过多次交易最终实现企业合并的，属于一揽子交易的，将各项交易作为一项取得控制权的交易进行</w:t>
      </w:r>
      <w:r>
        <w:rPr>
          <w:spacing w:val="-42"/>
        </w:rPr>
        <w:t> </w:t>
      </w:r>
      <w:r>
        <w:rPr>
          <w:spacing w:val="-42"/>
        </w:rPr>
      </w:r>
      <w:r>
        <w:rPr>
          <w:spacing w:val="-2"/>
        </w:rPr>
        <w:t>会计处理；不属于一揽子交易的，合并方在达到合并之前持有的长期股权投资，在取得日与合并方与被合</w:t>
      </w:r>
      <w:r>
        <w:rPr>
          <w:spacing w:val="-43"/>
        </w:rPr>
        <w:t> </w:t>
      </w:r>
      <w:r>
        <w:rPr>
          <w:spacing w:val="-43"/>
        </w:rPr>
      </w:r>
      <w:r>
        <w:rPr>
          <w:spacing w:val="-2"/>
        </w:rPr>
        <w:t>并方同处于同一方最终控制之日孰晚日与合并日之间已确认有关损益、其他综合收益和其他所有者权益变</w:t>
      </w:r>
      <w:r>
        <w:rPr>
          <w:spacing w:val="-43"/>
        </w:rPr>
        <w:t> </w:t>
      </w:r>
      <w:r>
        <w:rPr>
          <w:spacing w:val="-43"/>
        </w:rPr>
      </w:r>
      <w:r>
        <w:rPr/>
        <w:t>动，分别冲减比较报表期间的期初留存收益或当期损益。</w:t>
      </w:r>
      <w:r>
        <w:rPr>
          <w:w w:val="100"/>
        </w:rPr>
        <w:t> </w:t>
      </w:r>
      <w:r>
        <w:rPr>
          <w:spacing w:val="-2"/>
        </w:rPr>
        <w:t>被合并各方采用的会计政策与本公司不一致的，本公司在合并日按照本公司会计政策进行调整，在此基础</w:t>
      </w:r>
      <w:r>
        <w:rPr>
          <w:spacing w:val="-43"/>
        </w:rPr>
        <w:t> </w:t>
      </w:r>
      <w:r>
        <w:rPr>
          <w:spacing w:val="-43"/>
        </w:rPr>
      </w:r>
      <w:r>
        <w:rPr/>
        <w:t>上按照企业会计准则规定确认。</w:t>
      </w:r>
    </w:p>
    <w:p>
      <w:pPr>
        <w:pStyle w:val="BodyText"/>
        <w:spacing w:line="312" w:lineRule="exact" w:before="5"/>
        <w:ind w:right="102"/>
        <w:jc w:val="left"/>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3</w:t>
      </w:r>
      <w:r>
        <w:rPr>
          <w:rFonts w:ascii="Microsoft JhengHei" w:hAnsi="Microsoft JhengHei" w:cs="Microsoft JhengHei" w:eastAsia="Microsoft JhengHei" w:hint="default"/>
          <w:b/>
          <w:bCs/>
        </w:rPr>
        <w:t>）．非同一控制下的企业合并</w:t>
      </w:r>
      <w:r>
        <w:rPr>
          <w:rFonts w:ascii="Microsoft JhengHei" w:hAnsi="Microsoft JhengHei" w:cs="Microsoft JhengHei" w:eastAsia="Microsoft JhengHei" w:hint="default"/>
          <w:b/>
          <w:bCs/>
          <w:spacing w:val="-43"/>
        </w:rPr>
        <w:t> </w:t>
      </w:r>
      <w:r>
        <w:rPr>
          <w:rFonts w:ascii="Microsoft JhengHei" w:hAnsi="Microsoft JhengHei" w:cs="Microsoft JhengHei" w:eastAsia="Microsoft JhengHei" w:hint="default"/>
          <w:b/>
          <w:bCs/>
          <w:spacing w:val="-43"/>
        </w:rPr>
      </w:r>
      <w:r>
        <w:rPr>
          <w:spacing w:val="-2"/>
        </w:rPr>
        <w:t>对于非同一控制下的企业合并，合并成本为本公司在购买日为取得对被购买方的控制权而付出的资产、发</w:t>
      </w:r>
      <w:r>
        <w:rPr>
          <w:spacing w:val="-43"/>
        </w:rPr>
        <w:t> </w:t>
      </w:r>
      <w:r>
        <w:rPr>
          <w:spacing w:val="-43"/>
        </w:rPr>
      </w:r>
      <w:r>
        <w:rPr>
          <w:spacing w:val="-2"/>
        </w:rPr>
        <w:t>生或承担的负债以及发行的权益性工具或债务性工具的公允价值。在合并合同中对可能影响合并成本的未</w:t>
      </w:r>
      <w:r>
        <w:rPr>
          <w:spacing w:val="-43"/>
        </w:rPr>
        <w:t> </w:t>
      </w:r>
      <w:r>
        <w:rPr>
          <w:spacing w:val="-43"/>
        </w:rPr>
      </w:r>
      <w:r>
        <w:rPr>
          <w:spacing w:val="-2"/>
        </w:rPr>
        <w:t>来事项作出约定的，购买日如果估计未来事项很可能发生并且对合并成本的影响金额能够可靠计量的，也</w:t>
      </w:r>
      <w:r>
        <w:rPr>
          <w:spacing w:val="-43"/>
        </w:rPr>
        <w:t> </w:t>
      </w:r>
      <w:r>
        <w:rPr>
          <w:spacing w:val="-43"/>
        </w:rPr>
      </w:r>
      <w:r>
        <w:rPr/>
        <w:t>计入合并成本。</w:t>
      </w:r>
      <w:r>
        <w:rPr>
          <w:spacing w:val="-103"/>
        </w:rPr>
        <w:t> </w:t>
      </w:r>
      <w:r>
        <w:rPr>
          <w:spacing w:val="-103"/>
        </w:rPr>
      </w:r>
      <w:r>
        <w:rPr>
          <w:spacing w:val="-2"/>
        </w:rPr>
        <w:t>本公司为进行企业合并发生的审计、法律服务、评估咨询等中介费用以及其他相关管理费用，于发生时计</w:t>
      </w:r>
      <w:r>
        <w:rPr>
          <w:spacing w:val="-44"/>
        </w:rPr>
        <w:t> </w:t>
      </w:r>
      <w:r>
        <w:rPr>
          <w:spacing w:val="-44"/>
        </w:rPr>
      </w:r>
      <w:r>
        <w:rPr>
          <w:spacing w:val="-2"/>
        </w:rPr>
        <w:t>入当期损益；本公司作为合并对价发行的权益性工具或债务性工具的交易费用，计入权益性工具或债务性</w:t>
      </w:r>
    </w:p>
    <w:p>
      <w:pPr>
        <w:pStyle w:val="BodyText"/>
        <w:spacing w:line="273" w:lineRule="auto" w:before="5"/>
        <w:ind w:right="102"/>
        <w:jc w:val="left"/>
      </w:pPr>
      <w:r>
        <w:rPr/>
        <w:t>工具的初始确认金额。</w:t>
      </w:r>
      <w:r>
        <w:rPr>
          <w:w w:val="100"/>
        </w:rPr>
        <w:t> </w:t>
      </w:r>
      <w:r>
        <w:rPr>
          <w:spacing w:val="-2"/>
        </w:rPr>
        <w:t>本公司对合并成本大于合并中取得的被购买方可辨认净资产公允价值份额的差额，确认为商誉。本公司对</w:t>
      </w:r>
      <w:r>
        <w:rPr>
          <w:spacing w:val="-43"/>
        </w:rPr>
        <w:t> </w:t>
      </w:r>
      <w:r>
        <w:rPr>
          <w:spacing w:val="-43"/>
        </w:rPr>
      </w:r>
      <w:r>
        <w:rPr>
          <w:spacing w:val="-2"/>
        </w:rPr>
        <w:t>合并成本小于合并中取得的被购买方可辨认净资产公允价值份额的，经复核后合并成本仍小于合并中取得</w:t>
      </w:r>
      <w:r>
        <w:rPr>
          <w:spacing w:val="-43"/>
        </w:rPr>
        <w:t> </w:t>
      </w:r>
      <w:r>
        <w:rPr>
          <w:spacing w:val="-43"/>
        </w:rPr>
      </w:r>
      <w:r>
        <w:rPr/>
        <w:t>的被购买方可辨认净资产公允价值份额的差额，计入当期损益。</w:t>
      </w:r>
      <w:r>
        <w:rPr>
          <w:w w:val="100"/>
        </w:rPr>
        <w:t> </w:t>
      </w:r>
      <w:r>
        <w:rPr>
          <w:spacing w:val="-2"/>
        </w:rPr>
        <w:t>通过多次交换交易分步实现的非同一控制下企业合并，属于一揽子交易的，将各项交易作为一项取得控制</w:t>
      </w:r>
      <w:r>
        <w:rPr>
          <w:spacing w:val="-43"/>
        </w:rPr>
        <w:t> </w:t>
      </w:r>
      <w:r>
        <w:rPr>
          <w:spacing w:val="-43"/>
        </w:rPr>
      </w:r>
      <w:r>
        <w:rPr/>
        <w:t>权的交易进行会计处理；不属于一揽子交易的，区分个别财务报表和合并财务报表进行相关会计处理：</w:t>
      </w:r>
    </w:p>
    <w:p>
      <w:pPr>
        <w:pStyle w:val="BodyText"/>
        <w:spacing w:line="271" w:lineRule="auto" w:before="7"/>
        <w:ind w:right="102"/>
        <w:jc w:val="left"/>
      </w:pPr>
      <w:r>
        <w:rPr>
          <w:spacing w:val="-4"/>
        </w:rPr>
        <w:t>（</w:t>
      </w:r>
      <w:r>
        <w:rPr>
          <w:rFonts w:ascii="Times New Roman" w:hAnsi="Times New Roman" w:cs="Times New Roman" w:eastAsia="Times New Roman" w:hint="default"/>
          <w:spacing w:val="-4"/>
        </w:rPr>
        <w:t>i</w:t>
      </w:r>
      <w:r>
        <w:rPr>
          <w:spacing w:val="-4"/>
        </w:rPr>
        <w:t>）在个别财务报表中，合并日之前持有的股权投资采用权益法核算的，以购买日之前所持被购买方的股</w:t>
      </w:r>
      <w:r>
        <w:rPr>
          <w:spacing w:val="-6"/>
        </w:rPr>
        <w:t> </w:t>
      </w:r>
      <w:r>
        <w:rPr>
          <w:spacing w:val="-6"/>
        </w:rPr>
      </w:r>
      <w:r>
        <w:rPr>
          <w:spacing w:val="-2"/>
        </w:rPr>
        <w:t>权投资的账面价值与购买日新增投资成本之和，作为该项投资的初始投资成本；购买日之前持有的股权投</w:t>
      </w:r>
      <w:r>
        <w:rPr>
          <w:spacing w:val="-44"/>
        </w:rPr>
        <w:t> </w:t>
      </w:r>
      <w:r>
        <w:rPr>
          <w:spacing w:val="-44"/>
        </w:rPr>
      </w:r>
      <w:r>
        <w:rPr>
          <w:spacing w:val="-2"/>
        </w:rPr>
        <w:t>资因采用权益法核算而确认的其他综合收益，在处置该项投资时采用与被投资单位直接处置相关资产或负</w:t>
      </w:r>
      <w:r>
        <w:rPr>
          <w:spacing w:val="-43"/>
        </w:rPr>
        <w:t> </w:t>
      </w:r>
      <w:r>
        <w:rPr>
          <w:spacing w:val="-43"/>
        </w:rPr>
      </w:r>
      <w:r>
        <w:rPr/>
        <w:t>债相同的基础进行会计处理。</w:t>
      </w:r>
      <w:r>
        <w:rPr>
          <w:w w:val="100"/>
        </w:rPr>
        <w:t> </w:t>
      </w:r>
      <w:r>
        <w:rPr>
          <w:spacing w:val="-2"/>
        </w:rPr>
        <w:t>合并日之前持有的股权投资采用金融工具确认和计量准则核算的，以该股权投资在合并日的公允价值加上</w:t>
      </w:r>
      <w:r>
        <w:rPr>
          <w:spacing w:val="-43"/>
        </w:rPr>
        <w:t> </w:t>
      </w:r>
      <w:r>
        <w:rPr>
          <w:spacing w:val="-43"/>
        </w:rPr>
      </w:r>
      <w:r>
        <w:rPr>
          <w:spacing w:val="-2"/>
        </w:rPr>
        <w:t>新增投资成本之和，作为合并日的初始投资成本。原持有股权的公允价值与账面价值之间的差额以及原计</w:t>
      </w:r>
      <w:r>
        <w:rPr>
          <w:spacing w:val="-42"/>
        </w:rPr>
        <w:t> </w:t>
      </w:r>
      <w:r>
        <w:rPr>
          <w:spacing w:val="-42"/>
        </w:rPr>
      </w:r>
      <w:r>
        <w:rPr/>
        <w:t>入其他综合收益的累计公允价值变动应全部转入合并日当期的投资收益。</w:t>
      </w:r>
    </w:p>
    <w:p>
      <w:pPr>
        <w:pStyle w:val="BodyText"/>
        <w:spacing w:line="240" w:lineRule="auto" w:before="10"/>
        <w:ind w:right="102"/>
        <w:jc w:val="left"/>
      </w:pPr>
      <w:r>
        <w:rPr/>
        <w:t>（</w:t>
      </w:r>
      <w:r>
        <w:rPr>
          <w:rFonts w:ascii="Times New Roman" w:hAnsi="Times New Roman" w:cs="Times New Roman" w:eastAsia="Times New Roman" w:hint="default"/>
        </w:rPr>
        <w:t>ii</w:t>
      </w:r>
      <w:r>
        <w:rPr/>
        <w:t>）在合并财务报表中，对于购买日之前持有的被购买方的股权，按照该股权在购买日的公允价值进行</w:t>
      </w:r>
    </w:p>
    <w:p>
      <w:pPr>
        <w:spacing w:after="0" w:line="240"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BodyText"/>
        <w:spacing w:line="273" w:lineRule="auto" w:before="36"/>
        <w:ind w:right="102"/>
        <w:jc w:val="left"/>
      </w:pPr>
      <w:r>
        <w:rPr>
          <w:spacing w:val="-2"/>
        </w:rPr>
        <w:t>重新计量，公允价值与其账面价值的差额计入当期投资收益；购买日之前持有的被购买方的股权涉及权益</w:t>
      </w:r>
      <w:r>
        <w:rPr>
          <w:spacing w:val="-42"/>
        </w:rPr>
        <w:t> </w:t>
      </w:r>
      <w:r>
        <w:rPr>
          <w:spacing w:val="-42"/>
        </w:rPr>
      </w:r>
      <w:r>
        <w:rPr/>
        <w:t>法核算下的其他综合收益等的，与其相关的其他综合收益等转为购买日所属当期投资收益。</w:t>
      </w:r>
    </w:p>
    <w:p>
      <w:pPr>
        <w:spacing w:line="240" w:lineRule="auto" w:before="5"/>
        <w:rPr>
          <w:rFonts w:ascii="宋体" w:hAnsi="宋体" w:cs="宋体" w:eastAsia="宋体" w:hint="default"/>
          <w:sz w:val="18"/>
          <w:szCs w:val="18"/>
        </w:rPr>
      </w:pPr>
    </w:p>
    <w:p>
      <w:pPr>
        <w:pStyle w:val="Heading3"/>
        <w:spacing w:line="240" w:lineRule="auto"/>
        <w:ind w:right="102"/>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73" w:lineRule="auto"/>
        <w:ind w:right="102"/>
        <w:jc w:val="left"/>
      </w:pPr>
      <w:r>
        <w:rPr>
          <w:spacing w:val="-2"/>
        </w:rPr>
        <w:t>本公司合并财务报表的合并范围以控制为基础确定，所有子公司（包括母公司所控制的单独主体）均纳入</w:t>
      </w:r>
      <w:r>
        <w:rPr>
          <w:spacing w:val="-44"/>
        </w:rPr>
        <w:t> </w:t>
      </w:r>
      <w:r>
        <w:rPr>
          <w:spacing w:val="-44"/>
        </w:rPr>
      </w:r>
      <w:r>
        <w:rPr/>
        <w:t>合并财务报表。</w:t>
      </w:r>
      <w:r>
        <w:rPr>
          <w:spacing w:val="-103"/>
        </w:rPr>
        <w:t> </w:t>
      </w:r>
      <w:r>
        <w:rPr>
          <w:spacing w:val="-103"/>
        </w:rPr>
      </w:r>
      <w:r>
        <w:rPr>
          <w:spacing w:val="-2"/>
        </w:rPr>
        <w:t>所有纳入合并财务报表合并范围的子公司所采用的会计政策、会计期间与本公司一致，如子公司采用的会</w:t>
      </w:r>
      <w:r>
        <w:rPr>
          <w:spacing w:val="-42"/>
        </w:rPr>
        <w:t> </w:t>
      </w:r>
      <w:r>
        <w:rPr>
          <w:spacing w:val="-42"/>
        </w:rPr>
      </w:r>
      <w:r>
        <w:rPr>
          <w:spacing w:val="-2"/>
        </w:rPr>
        <w:t>计政策、会计期间与本公司不一致的，在编制合并财务报表时，按本公司的会计政策、会计期间进行必要</w:t>
      </w:r>
      <w:r>
        <w:rPr>
          <w:spacing w:val="-50"/>
        </w:rPr>
        <w:t> </w:t>
      </w:r>
      <w:r>
        <w:rPr>
          <w:spacing w:val="-50"/>
        </w:rPr>
      </w:r>
      <w:r>
        <w:rPr/>
        <w:t>的调整。</w:t>
      </w:r>
    </w:p>
    <w:p>
      <w:pPr>
        <w:pStyle w:val="BodyText"/>
        <w:spacing w:line="273" w:lineRule="auto" w:before="8"/>
        <w:ind w:right="102"/>
        <w:jc w:val="left"/>
      </w:pPr>
      <w:r>
        <w:rPr/>
        <w:t>合并财务报表以本公司及子公司的财务报表为基础，根据其他有关资料由本公司编制。</w:t>
      </w:r>
      <w:r>
        <w:rPr>
          <w:w w:val="100"/>
        </w:rPr>
        <w:t> </w:t>
      </w:r>
      <w:r>
        <w:rPr/>
        <w:t>合并财务报表时抵销本公司与各子公司、各子公司相互之间发生的内部交易对合并资产负债表、合并利润</w:t>
      </w:r>
      <w:r>
        <w:rPr>
          <w:w w:val="100"/>
        </w:rPr>
        <w:t> </w:t>
      </w:r>
      <w:r>
        <w:rPr/>
        <w:t>表、合并现金流量表、合并股东权益变动表的影响。</w:t>
      </w:r>
      <w:r>
        <w:rPr>
          <w:w w:val="100"/>
        </w:rPr>
        <w:t> </w:t>
      </w:r>
      <w:r>
        <w:rPr/>
        <w:t>子公司少数股东分担的当期亏损超过了少数股东在该子公司期初所有者权益中所享有的份额的，其余额仍</w:t>
      </w:r>
      <w:r>
        <w:rPr>
          <w:w w:val="100"/>
        </w:rPr>
        <w:t> </w:t>
      </w:r>
      <w:r>
        <w:rPr/>
        <w:t>应当冲减少数股东权益。</w:t>
      </w:r>
      <w:r>
        <w:rPr>
          <w:w w:val="100"/>
        </w:rPr>
        <w:t> </w:t>
      </w:r>
      <w:r>
        <w:rPr/>
        <w:t>在报告期内，若因同一控制下企业合并增加子公司以及业务的，则调整合并资产负债表的期初数；将子公</w:t>
      </w:r>
      <w:r>
        <w:rPr>
          <w:w w:val="100"/>
        </w:rPr>
        <w:t> </w:t>
      </w:r>
      <w:r>
        <w:rPr/>
        <w:t>司以及业务合并当期期初至报告期末的收入、费用、利润纳入合并利润表；将子公司以及业务合并当期期</w:t>
      </w:r>
      <w:r>
        <w:rPr>
          <w:w w:val="100"/>
        </w:rPr>
        <w:t> </w:t>
      </w:r>
      <w:r>
        <w:rPr/>
        <w:t>初至报告期末的现金流量纳入合并现金流量表。</w:t>
      </w:r>
      <w:r>
        <w:rPr>
          <w:w w:val="100"/>
        </w:rPr>
        <w:t> </w:t>
      </w:r>
      <w:r>
        <w:rPr/>
        <w:t>在报告期内，若因非同一控制下企业合并增加子公司以及业务的，则不调整合并资产负债表期初数；将子</w:t>
      </w:r>
      <w:r>
        <w:rPr>
          <w:w w:val="100"/>
        </w:rPr>
        <w:t> </w:t>
      </w:r>
      <w:r>
        <w:rPr>
          <w:spacing w:val="-2"/>
        </w:rPr>
        <w:t>公司以及业务自购买日至报告期末的收入、费用、利润纳入合并利润表；该子公司以及业务自购买日至报</w:t>
      </w:r>
      <w:r>
        <w:rPr>
          <w:spacing w:val="-44"/>
        </w:rPr>
        <w:t> </w:t>
      </w:r>
      <w:r>
        <w:rPr>
          <w:spacing w:val="-44"/>
        </w:rPr>
      </w:r>
      <w:r>
        <w:rPr/>
        <w:t>告期末的现金流量纳入合并现金流量表。</w:t>
      </w:r>
      <w:r>
        <w:rPr>
          <w:w w:val="100"/>
        </w:rPr>
        <w:t> </w:t>
      </w:r>
      <w:r>
        <w:rPr>
          <w:spacing w:val="-2"/>
        </w:rPr>
        <w:t>在报告期内，本公司处置子公司以及业务，则该子公司以及业务期初至处置日的收入、费用、利润纳入合</w:t>
      </w:r>
      <w:r>
        <w:rPr>
          <w:spacing w:val="-47"/>
        </w:rPr>
        <w:t> </w:t>
      </w:r>
      <w:r>
        <w:rPr>
          <w:spacing w:val="-47"/>
        </w:rPr>
      </w:r>
      <w:r>
        <w:rPr/>
        <w:t>并利润表；该子公司以及业务期初至处置日的现金流量纳入合并现金流量表。</w:t>
      </w:r>
      <w:r>
        <w:rPr>
          <w:w w:val="100"/>
        </w:rPr>
        <w:t> </w:t>
      </w:r>
      <w:r>
        <w:rPr>
          <w:spacing w:val="-5"/>
        </w:rPr>
        <w:t>本公司因处置部分股权投资或其他原因丧失了对原有子公司控制权的，在合并财务报表中，对于剩余股权，</w:t>
      </w:r>
      <w:r>
        <w:rPr>
          <w:spacing w:val="-6"/>
        </w:rPr>
        <w:t> </w:t>
      </w:r>
      <w:r>
        <w:rPr>
          <w:spacing w:val="-6"/>
        </w:rPr>
      </w:r>
      <w:r>
        <w:rPr/>
        <w:t>按照其在丧失控制权日的公允价值进行重新计量。处置股权取得的对价与剩余股权公允价值之和，减去按</w:t>
      </w:r>
      <w:r>
        <w:rPr>
          <w:w w:val="100"/>
        </w:rPr>
        <w:t> </w:t>
      </w:r>
      <w:r>
        <w:rPr/>
        <w:t>原持股比例计算应享有原有子公司自购买日开始持续计算的净资产的份额之间的差额，计入丧失控制权当</w:t>
      </w:r>
      <w:r>
        <w:rPr>
          <w:w w:val="100"/>
        </w:rPr>
        <w:t> </w:t>
      </w:r>
      <w:r>
        <w:rPr/>
        <w:t>期的投资收益。与原有子公司股权投资相关的其他综合收益，应当在丧失控制权时转为当期投资收益。</w:t>
      </w:r>
    </w:p>
    <w:p>
      <w:pPr>
        <w:spacing w:line="590" w:lineRule="atLeast" w:before="16"/>
        <w:ind w:left="152" w:right="5874"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7</w:t>
      </w:r>
      <w:r>
        <w:rPr>
          <w:rFonts w:ascii="Microsoft JhengHei" w:hAnsi="Microsoft JhengHei" w:cs="Microsoft JhengHei" w:eastAsia="Microsoft JhengHei" w:hint="default"/>
          <w:b/>
          <w:bCs/>
          <w:spacing w:val="-1"/>
          <w:sz w:val="21"/>
          <w:szCs w:val="21"/>
        </w:rPr>
        <w:t>、合营安排分类及共同经营会计处理方法</w:t>
      </w:r>
      <w:r>
        <w:rPr>
          <w:rFonts w:ascii="Microsoft JhengHei" w:hAnsi="Microsoft JhengHei" w:cs="Microsoft JhengHei" w:eastAsia="Microsoft JhengHei" w:hint="default"/>
          <w:b/>
          <w:bCs/>
          <w:spacing w:val="-18"/>
          <w:sz w:val="21"/>
          <w:szCs w:val="21"/>
        </w:rPr>
        <w:t> </w:t>
      </w:r>
      <w:r>
        <w:rPr>
          <w:rFonts w:ascii="Microsoft JhengHei" w:hAnsi="Microsoft JhengHei" w:cs="Microsoft JhengHei" w:eastAsia="Microsoft JhengHei" w:hint="default"/>
          <w:b/>
          <w:bCs/>
          <w:spacing w:val="-18"/>
          <w:sz w:val="21"/>
          <w:szCs w:val="21"/>
        </w:rPr>
      </w:r>
      <w:r>
        <w:rPr>
          <w:rFonts w:ascii="宋体" w:hAnsi="宋体" w:cs="宋体" w:eastAsia="宋体" w:hint="default"/>
          <w:sz w:val="21"/>
          <w:szCs w:val="21"/>
        </w:rPr>
        <w:t>合营安排分为共同经营和合营企业。</w:t>
      </w:r>
    </w:p>
    <w:p>
      <w:pPr>
        <w:pStyle w:val="BodyText"/>
        <w:spacing w:line="273" w:lineRule="auto" w:before="37"/>
        <w:ind w:right="102"/>
        <w:jc w:val="left"/>
      </w:pPr>
      <w:r>
        <w:rPr/>
        <w:t>当本公司是合营安排的合营方，享有该安排相关资产且承担该安排相关负债时，为共同经营。</w:t>
      </w:r>
      <w:r>
        <w:rPr>
          <w:w w:val="100"/>
        </w:rPr>
        <w:t> </w:t>
      </w:r>
      <w:r>
        <w:rPr>
          <w:spacing w:val="-2"/>
        </w:rPr>
        <w:t>本公司确认与共同经营中利益份额相关的下列项目，并按照相关企业会计准则的规定进行会计处理：</w:t>
      </w:r>
    </w:p>
    <w:p>
      <w:pPr>
        <w:pStyle w:val="BodyText"/>
        <w:spacing w:line="240" w:lineRule="auto" w:before="7"/>
        <w:ind w:right="102"/>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21"/>
        <w:ind w:right="102"/>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21"/>
        <w:ind w:right="102"/>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21"/>
        <w:ind w:right="102"/>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290" w:lineRule="auto" w:before="21"/>
        <w:ind w:right="102"/>
        <w:jc w:val="left"/>
      </w:pPr>
      <w:r>
        <w:rPr>
          <w:spacing w:val="-2"/>
        </w:rPr>
        <w:t>（</w:t>
      </w:r>
      <w:r>
        <w:rPr>
          <w:rFonts w:ascii="Times New Roman" w:hAnsi="Times New Roman" w:cs="Times New Roman" w:eastAsia="Times New Roman" w:hint="default"/>
          <w:spacing w:val="-2"/>
        </w:rPr>
        <w:t>5</w:t>
      </w:r>
      <w:r>
        <w:rPr>
          <w:spacing w:val="-2"/>
        </w:rPr>
        <w:t>）确认单独所发生的费用，以及按本公司份额确认共同经营发生的费用。</w:t>
      </w:r>
      <w:r>
        <w:rPr>
          <w:spacing w:val="-42"/>
        </w:rPr>
        <w:t> </w:t>
      </w:r>
      <w:r>
        <w:rPr>
          <w:spacing w:val="-42"/>
        </w:rPr>
      </w:r>
      <w:r>
        <w:rPr/>
        <w:t>本公司对合营企业投资的会计政策见本附注</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15"/>
          <w:szCs w:val="15"/>
        </w:rPr>
      </w:pPr>
    </w:p>
    <w:p>
      <w:pPr>
        <w:pStyle w:val="Heading3"/>
        <w:spacing w:line="240" w:lineRule="auto"/>
        <w:ind w:right="102"/>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73" w:lineRule="auto"/>
        <w:ind w:right="102"/>
        <w:jc w:val="left"/>
      </w:pPr>
      <w:r>
        <w:rPr>
          <w:spacing w:val="-7"/>
        </w:rPr>
        <w:t>在编制现金流量表时，将本公司库存现金以及可以随时用于支付的存款确认为现金。将同时具备期限短（一</w:t>
      </w:r>
      <w:r>
        <w:rPr>
          <w:spacing w:val="-20"/>
        </w:rPr>
        <w:t> </w:t>
      </w:r>
      <w:r>
        <w:rPr>
          <w:spacing w:val="-20"/>
        </w:rPr>
      </w:r>
      <w:r>
        <w:rPr>
          <w:spacing w:val="-2"/>
        </w:rPr>
        <w:t>般从购买日起，三个月内到期）、流动性强、易于转换为已知金额的现金、价值变动风险很小四个条件的</w:t>
      </w:r>
    </w:p>
    <w:p>
      <w:pPr>
        <w:spacing w:after="0" w:line="273"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BodyText"/>
        <w:spacing w:line="240" w:lineRule="auto" w:before="36"/>
        <w:ind w:right="102"/>
        <w:jc w:val="left"/>
      </w:pPr>
      <w:r>
        <w:rPr/>
        <w:t>投资，确定为现金等价物。</w:t>
      </w:r>
    </w:p>
    <w:p>
      <w:pPr>
        <w:pStyle w:val="Heading3"/>
        <w:spacing w:line="610" w:lineRule="atLeast" w:before="26"/>
        <w:ind w:right="7209"/>
        <w:jc w:val="left"/>
        <w:rPr>
          <w:b w:val="0"/>
          <w:bCs w:val="0"/>
        </w:rPr>
      </w:pPr>
      <w:r>
        <w:rPr>
          <w:rFonts w:ascii="Times New Roman" w:hAnsi="Times New Roman" w:cs="Times New Roman" w:eastAsia="Times New Roman" w:hint="default"/>
        </w:rPr>
        <w:t>9</w:t>
      </w:r>
      <w:r>
        <w:rPr/>
        <w:t>、外币业务和外币报表折算</w:t>
      </w:r>
      <w:r>
        <w:rPr>
          <w:spacing w:val="-44"/>
        </w:rPr>
        <w:t> </w:t>
      </w:r>
      <w:r>
        <w:rPr>
          <w:spacing w:val="-44"/>
        </w:rPr>
      </w:r>
      <w:r>
        <w:rPr>
          <w:rFonts w:ascii="Times New Roman" w:hAnsi="Times New Roman" w:cs="Times New Roman" w:eastAsia="Times New Roman" w:hint="default"/>
        </w:rPr>
        <w:t>A.</w:t>
      </w:r>
      <w:r>
        <w:rPr/>
        <w:t>外币业务</w:t>
      </w:r>
      <w:r>
        <w:rPr>
          <w:b w:val="0"/>
          <w:bCs w:val="0"/>
        </w:rPr>
      </w:r>
    </w:p>
    <w:p>
      <w:pPr>
        <w:pStyle w:val="BodyText"/>
        <w:spacing w:line="273" w:lineRule="auto" w:before="13"/>
        <w:ind w:right="102"/>
        <w:jc w:val="left"/>
      </w:pPr>
      <w:r>
        <w:rPr/>
        <w:t>外币业务交易在初始确认时，采用交易发生日的即期汇率作为折算汇率折合成人民币记账。</w:t>
      </w:r>
      <w:r>
        <w:rPr>
          <w:w w:val="100"/>
        </w:rPr>
        <w:t> </w:t>
      </w:r>
      <w:r>
        <w:rPr>
          <w:spacing w:val="-2"/>
        </w:rPr>
        <w:t>资产负债表日，外币货币性项目按资产负债表日即期汇率折算，由此产生的汇兑差额，除属于与购建符合</w:t>
      </w:r>
      <w:r>
        <w:rPr>
          <w:spacing w:val="-44"/>
        </w:rPr>
        <w:t> </w:t>
      </w:r>
      <w:r>
        <w:rPr>
          <w:spacing w:val="-44"/>
        </w:rPr>
      </w:r>
      <w:r>
        <w:rPr>
          <w:spacing w:val="-2"/>
        </w:rPr>
        <w:t>资本化条件的资产相关的外币专门借款产生的汇兑差额按照借款费用资本化的原则处理外，均计入当期损</w:t>
      </w:r>
      <w:r>
        <w:rPr>
          <w:spacing w:val="-43"/>
        </w:rPr>
        <w:t> </w:t>
      </w:r>
      <w:r>
        <w:rPr>
          <w:spacing w:val="-43"/>
        </w:rPr>
      </w:r>
      <w:r>
        <w:rPr>
          <w:spacing w:val="-5"/>
        </w:rPr>
        <w:t>益。以历史成本计量的外币非货币性项目，仍采用交易发生日的即期汇率折算，不改变其记账本位币金额。</w:t>
      </w:r>
      <w:r>
        <w:rPr>
          <w:spacing w:val="-9"/>
        </w:rPr>
        <w:t> </w:t>
      </w:r>
      <w:r>
        <w:rPr>
          <w:spacing w:val="-9"/>
        </w:rPr>
      </w:r>
      <w:r>
        <w:rPr>
          <w:spacing w:val="-2"/>
        </w:rPr>
        <w:t>以公允价值计量的外币非货币性项目，采用公允价值确定日的即期汇率折算，由此产生的汇兑差额作为公</w:t>
      </w:r>
      <w:r>
        <w:rPr>
          <w:spacing w:val="-44"/>
        </w:rPr>
        <w:t> </w:t>
      </w:r>
      <w:r>
        <w:rPr>
          <w:spacing w:val="-44"/>
        </w:rPr>
      </w:r>
      <w:r>
        <w:rPr>
          <w:spacing w:val="-5"/>
        </w:rPr>
        <w:t>允价值变动损益计入当期损益。如属于可供出售外币非货币性项目的，形成的汇兑差额计入其他综合收益。</w:t>
      </w:r>
    </w:p>
    <w:p>
      <w:pPr>
        <w:pStyle w:val="BodyText"/>
        <w:spacing w:line="312" w:lineRule="exact" w:before="3"/>
        <w:ind w:right="102"/>
        <w:jc w:val="left"/>
      </w:pPr>
      <w:r>
        <w:rPr>
          <w:rFonts w:ascii="Times New Roman" w:hAnsi="Times New Roman" w:cs="Times New Roman" w:eastAsia="Times New Roman" w:hint="default"/>
          <w:b/>
          <w:bCs/>
        </w:rPr>
        <w:t>B.</w:t>
      </w:r>
      <w:r>
        <w:rPr>
          <w:rFonts w:ascii="Microsoft JhengHei" w:hAnsi="Microsoft JhengHei" w:cs="Microsoft JhengHei" w:eastAsia="Microsoft JhengHei" w:hint="default"/>
          <w:b/>
          <w:bCs/>
        </w:rPr>
        <w:t>外币财务报表的折算</w:t>
      </w:r>
      <w:r>
        <w:rPr>
          <w:rFonts w:ascii="Microsoft JhengHei" w:hAnsi="Microsoft JhengHei" w:cs="Microsoft JhengHei" w:eastAsia="Microsoft JhengHei" w:hint="default"/>
          <w:b/>
          <w:bCs/>
          <w:spacing w:val="-43"/>
        </w:rPr>
        <w:t>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w:t>
      </w:r>
      <w:r>
        <w:rPr>
          <w:spacing w:val="-18"/>
        </w:rPr>
        <w:t> </w:t>
      </w:r>
      <w:r>
        <w:rPr>
          <w:spacing w:val="-2"/>
        </w:rPr>
        <w:t>目外，其他项目采用发生时的即期汇率折算。利润表中的收入和费用项目，采用交易发生日的即期汇率折</w:t>
      </w:r>
      <w:r>
        <w:rPr>
          <w:spacing w:val="-43"/>
        </w:rPr>
        <w:t> </w:t>
      </w:r>
      <w:r>
        <w:rPr>
          <w:spacing w:val="-43"/>
        </w:rPr>
      </w:r>
      <w:r>
        <w:rPr/>
        <w:t>算。按照上述折算产生的外币财务报表折算差额计入其他综合收益。</w:t>
      </w:r>
      <w:r>
        <w:rPr>
          <w:w w:val="100"/>
        </w:rPr>
        <w:t> </w:t>
      </w:r>
      <w:r>
        <w:rPr>
          <w:spacing w:val="-2"/>
        </w:rPr>
        <w:t>处置境外经营时，将资产负债表中其他综合收益项目中列示的、与该境外经营相关的外币财务报表折算差</w:t>
      </w:r>
      <w:r>
        <w:rPr>
          <w:spacing w:val="-44"/>
        </w:rPr>
        <w:t> </w:t>
      </w:r>
      <w:r>
        <w:rPr>
          <w:spacing w:val="-44"/>
        </w:rPr>
      </w:r>
      <w:r>
        <w:rPr>
          <w:spacing w:val="-2"/>
        </w:rPr>
        <w:t>额，自其他综合收益项目转入处置当期损益；部分处置境外经营的，按处置的比例计算处置部分的外币财</w:t>
      </w:r>
      <w:r>
        <w:rPr>
          <w:spacing w:val="-43"/>
        </w:rPr>
        <w:t> </w:t>
      </w:r>
      <w:r>
        <w:rPr>
          <w:spacing w:val="-43"/>
        </w:rPr>
      </w:r>
      <w:r>
        <w:rPr/>
        <w:t>务报表折算差额，转入处置当期损益。</w:t>
      </w:r>
    </w:p>
    <w:p>
      <w:pPr>
        <w:spacing w:line="590" w:lineRule="atLeast" w:before="13"/>
        <w:ind w:left="152" w:right="42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Microsoft JhengHei" w:hAnsi="Microsoft JhengHei" w:cs="Microsoft JhengHei" w:eastAsia="Microsoft JhengHei" w:hint="default"/>
          <w:b/>
          <w:bCs/>
          <w:sz w:val="21"/>
          <w:szCs w:val="21"/>
        </w:rPr>
        <w:t>、金融工具</w:t>
      </w:r>
      <w:r>
        <w:rPr>
          <w:rFonts w:ascii="Microsoft JhengHei" w:hAnsi="Microsoft JhengHei" w:cs="Microsoft JhengHei" w:eastAsia="Microsoft JhengHei" w:hint="default"/>
          <w:b/>
          <w:bCs/>
          <w:spacing w:val="-48"/>
          <w:sz w:val="21"/>
          <w:szCs w:val="21"/>
        </w:rPr>
        <w:t> </w:t>
      </w:r>
      <w:r>
        <w:rPr>
          <w:rFonts w:ascii="宋体" w:hAnsi="宋体" w:cs="宋体" w:eastAsia="宋体" w:hint="default"/>
          <w:spacing w:val="-2"/>
          <w:sz w:val="21"/>
          <w:szCs w:val="21"/>
        </w:rPr>
        <w:t>金融工具包括金融资产、金融负债和权益工具。</w:t>
      </w:r>
    </w:p>
    <w:p>
      <w:pPr>
        <w:pStyle w:val="BodyText"/>
        <w:spacing w:line="312" w:lineRule="exact" w:before="33"/>
        <w:ind w:right="102"/>
        <w:jc w:val="left"/>
        <w:rPr>
          <w:rFonts w:ascii="Microsoft JhengHei" w:hAnsi="Microsoft JhengHei" w:cs="Microsoft JhengHei" w:eastAsia="Microsoft JhengHei" w:hint="default"/>
        </w:rPr>
      </w:pPr>
      <w:r>
        <w:rPr>
          <w:rFonts w:ascii="Times New Roman" w:hAnsi="Times New Roman" w:cs="Times New Roman" w:eastAsia="Times New Roman" w:hint="default"/>
          <w:b/>
          <w:bCs/>
        </w:rPr>
        <w:t>A.</w:t>
      </w:r>
      <w:r>
        <w:rPr>
          <w:rFonts w:ascii="Microsoft JhengHei" w:hAnsi="Microsoft JhengHei" w:cs="Microsoft JhengHei" w:eastAsia="Microsoft JhengHei" w:hint="default"/>
          <w:b/>
          <w:bCs/>
        </w:rPr>
        <w:t>金融工具的分类</w:t>
      </w:r>
      <w:r>
        <w:rPr>
          <w:rFonts w:ascii="Microsoft JhengHei" w:hAnsi="Microsoft JhengHei" w:cs="Microsoft JhengHei" w:eastAsia="Microsoft JhengHei" w:hint="default"/>
          <w:b/>
          <w:bCs/>
          <w:spacing w:val="-44"/>
        </w:rPr>
        <w:t> </w:t>
      </w:r>
      <w:r>
        <w:rPr>
          <w:spacing w:val="-2"/>
        </w:rPr>
        <w:t>管理层根据所发行金融工具的合同条款及其所反映的经济实质而非仅以法律形式，结合取得持有金融资产</w:t>
      </w:r>
      <w:r>
        <w:rPr>
          <w:spacing w:val="-43"/>
        </w:rPr>
        <w:t> </w:t>
      </w:r>
      <w:r>
        <w:rPr>
          <w:spacing w:val="-43"/>
        </w:rPr>
      </w:r>
      <w:r>
        <w:rPr>
          <w:spacing w:val="-2"/>
        </w:rPr>
        <w:t>和承担金融负债的目的，将金融资产和金融负债分为不同类别：以公允价值计量且其变动计入当期损益的</w:t>
      </w:r>
      <w:r>
        <w:rPr>
          <w:spacing w:val="-43"/>
        </w:rPr>
        <w:t> </w:t>
      </w:r>
      <w:r>
        <w:rPr>
          <w:spacing w:val="-43"/>
        </w:rPr>
      </w:r>
      <w:r>
        <w:rPr/>
        <w:t>金融资产（或金融负债）；持有至到期投资；应收款项；可供出售金融资产；其他金融负债等。</w:t>
      </w:r>
      <w:r>
        <w:rPr>
          <w:w w:val="100"/>
        </w:rPr>
        <w:t> </w:t>
      </w:r>
      <w:r>
        <w:rPr>
          <w:rFonts w:ascii="Times New Roman" w:hAnsi="Times New Roman" w:cs="Times New Roman" w:eastAsia="Times New Roman" w:hint="default"/>
          <w:b/>
          <w:bCs/>
        </w:rPr>
        <w:t>B.</w:t>
      </w:r>
      <w:r>
        <w:rPr>
          <w:rFonts w:ascii="Microsoft JhengHei" w:hAnsi="Microsoft JhengHei" w:cs="Microsoft JhengHei" w:eastAsia="Microsoft JhengHei" w:hint="default"/>
          <w:b/>
          <w:bCs/>
        </w:rPr>
        <w:t>金融工具的确认依据和计量方法</w:t>
      </w:r>
      <w:r>
        <w:rPr>
          <w:rFonts w:ascii="Microsoft JhengHei" w:hAnsi="Microsoft JhengHei" w:cs="Microsoft JhengHei" w:eastAsia="Microsoft JhengHei" w:hint="default"/>
        </w:rPr>
      </w:r>
    </w:p>
    <w:p>
      <w:pPr>
        <w:pStyle w:val="BodyText"/>
        <w:spacing w:line="268" w:lineRule="auto" w:before="4"/>
        <w:ind w:right="102"/>
        <w:jc w:val="left"/>
      </w:pPr>
      <w:r>
        <w:rPr/>
        <w:t>（</w:t>
      </w:r>
      <w:r>
        <w:rPr>
          <w:rFonts w:ascii="Times New Roman" w:hAnsi="Times New Roman" w:cs="Times New Roman" w:eastAsia="Times New Roman" w:hint="default"/>
        </w:rPr>
        <w:t>1</w:t>
      </w:r>
      <w:r>
        <w:rPr/>
        <w:t>）以公允价值计量且其变动计入当期损益的金融资产（金融负债）</w:t>
      </w:r>
      <w:r>
        <w:rPr>
          <w:w w:val="100"/>
        </w:rPr>
        <w:t> </w:t>
      </w:r>
      <w:r>
        <w:rPr>
          <w:spacing w:val="-2"/>
        </w:rPr>
        <w:t>以公允价值计量且其变动计入当期损益的金融资产或金融负债，包括交易性金融资产或金融负债和直接指</w:t>
      </w:r>
      <w:r>
        <w:rPr>
          <w:spacing w:val="-43"/>
        </w:rPr>
        <w:t> </w:t>
      </w:r>
      <w:r>
        <w:rPr>
          <w:spacing w:val="-43"/>
        </w:rPr>
      </w:r>
      <w:r>
        <w:rPr/>
        <w:t>定为以公允价值计量且其变动计入当期损益的金融资产或金融负债。</w:t>
      </w:r>
      <w:r>
        <w:rPr>
          <w:w w:val="100"/>
        </w:rPr>
        <w:t> </w:t>
      </w:r>
      <w:r>
        <w:rPr/>
        <w:t>交易性金融资产或金融负债是指满足下列条件之一的金融资产或金融负债：</w:t>
      </w:r>
      <w:r>
        <w:rPr>
          <w:w w:val="100"/>
        </w:rPr>
        <w:t> </w:t>
      </w:r>
      <w:r>
        <w:rPr>
          <w:rFonts w:ascii="Times New Roman" w:hAnsi="Times New Roman" w:cs="Times New Roman" w:eastAsia="Times New Roman" w:hint="default"/>
        </w:rPr>
        <w:t>1</w:t>
      </w:r>
      <w:r>
        <w:rPr/>
        <w:t>）取得该金融资产或金融负债的目的是为了在短期内出售、回购或赎回；</w:t>
      </w:r>
    </w:p>
    <w:p>
      <w:pPr>
        <w:pStyle w:val="BodyText"/>
        <w:spacing w:line="266" w:lineRule="auto"/>
        <w:ind w:right="102"/>
        <w:jc w:val="left"/>
      </w:pPr>
      <w:r>
        <w:rPr>
          <w:rFonts w:ascii="Times New Roman" w:hAnsi="Times New Roman" w:cs="Times New Roman" w:eastAsia="Times New Roman" w:hint="default"/>
        </w:rPr>
        <w:t>2</w:t>
      </w:r>
      <w:r>
        <w:rPr/>
        <w:t>）属于进行集中管理的可辨认金融工具组合的一部分，且有客观证据表明本公司近期采用短期获利方式</w:t>
      </w:r>
      <w:r>
        <w:rPr>
          <w:spacing w:val="-25"/>
        </w:rPr>
        <w:t> </w:t>
      </w:r>
      <w:r>
        <w:rPr>
          <w:spacing w:val="-25"/>
        </w:rPr>
      </w:r>
      <w:r>
        <w:rPr/>
        <w:t>对该组合进行管理；</w:t>
      </w:r>
      <w:r>
        <w:rPr>
          <w:w w:val="100"/>
        </w:rPr>
        <w:t> </w:t>
      </w:r>
      <w:r>
        <w:rPr>
          <w:rFonts w:ascii="Times New Roman" w:hAnsi="Times New Roman" w:cs="Times New Roman" w:eastAsia="Times New Roman" w:hint="default"/>
        </w:rPr>
        <w:t>3</w:t>
      </w:r>
      <w:r>
        <w:rPr/>
        <w:t>）属于衍生金融工具，但是被指定为有效套期工具的衍生工具、属于财务担保合同的衍生工具、与在活</w:t>
      </w:r>
      <w:r>
        <w:rPr>
          <w:spacing w:val="-25"/>
        </w:rPr>
        <w:t> </w:t>
      </w:r>
      <w:r>
        <w:rPr>
          <w:spacing w:val="-25"/>
        </w:rPr>
      </w:r>
      <w:r>
        <w:rPr>
          <w:spacing w:val="2"/>
        </w:rPr>
        <w:t>跃市场中没有报价且其公允价值不能可靠计量的权益工具投资挂钩并须通过交付该权益工具结算的衍生</w:t>
      </w:r>
      <w:r>
        <w:rPr>
          <w:spacing w:val="-30"/>
        </w:rPr>
        <w:t> </w:t>
      </w:r>
      <w:r>
        <w:rPr>
          <w:spacing w:val="-30"/>
        </w:rPr>
      </w:r>
      <w:r>
        <w:rPr/>
        <w:t>工具除外。</w:t>
      </w:r>
      <w:r>
        <w:rPr>
          <w:spacing w:val="-102"/>
        </w:rPr>
        <w:t> </w:t>
      </w:r>
      <w:r>
        <w:rPr>
          <w:spacing w:val="-102"/>
        </w:rPr>
      </w:r>
      <w:r>
        <w:rPr>
          <w:spacing w:val="-2"/>
        </w:rPr>
        <w:t>只有符合以下条件之一，金融资产或金融负债才可在初始计量时指定为以公允价值计量且其变动计入损益</w:t>
      </w:r>
      <w:r>
        <w:rPr>
          <w:spacing w:val="-43"/>
        </w:rPr>
        <w:t> </w:t>
      </w:r>
      <w:r>
        <w:rPr>
          <w:spacing w:val="-43"/>
        </w:rPr>
      </w:r>
      <w:r>
        <w:rPr/>
        <w:t>的金融资产或金融负债：</w:t>
      </w:r>
      <w:r>
        <w:rPr>
          <w:w w:val="100"/>
        </w:rPr>
        <w:t> </w:t>
      </w:r>
      <w:r>
        <w:rPr>
          <w:rFonts w:ascii="Times New Roman" w:hAnsi="Times New Roman" w:cs="Times New Roman" w:eastAsia="Times New Roman" w:hint="default"/>
        </w:rPr>
        <w:t>1</w:t>
      </w:r>
      <w:r>
        <w:rPr/>
        <w:t>）该项指定可以消除或明显减少由于金融资产或金融负债的计量基础不同所导致的相关利得或损失在确</w:t>
      </w:r>
      <w:r>
        <w:rPr>
          <w:spacing w:val="-25"/>
        </w:rPr>
        <w:t> </w:t>
      </w:r>
      <w:r>
        <w:rPr>
          <w:spacing w:val="-25"/>
        </w:rPr>
      </w:r>
      <w:r>
        <w:rPr/>
        <w:t>认或计量方面不一致的情况；</w:t>
      </w:r>
      <w:r>
        <w:rPr>
          <w:w w:val="100"/>
        </w:rPr>
        <w:t> </w:t>
      </w:r>
      <w:r>
        <w:rPr>
          <w:rFonts w:ascii="Times New Roman" w:hAnsi="Times New Roman" w:cs="Times New Roman" w:eastAsia="Times New Roman" w:hint="default"/>
        </w:rPr>
        <w:t>2</w:t>
      </w:r>
      <w:r>
        <w:rPr/>
        <w:t>）风险管理或投资策略的正式书面文件已载明，该金融资产组合、该金融负债组合、或该金融资产和金</w:t>
      </w:r>
      <w:r>
        <w:rPr>
          <w:spacing w:val="-25"/>
        </w:rPr>
        <w:t> </w:t>
      </w:r>
      <w:r>
        <w:rPr>
          <w:spacing w:val="-25"/>
        </w:rPr>
      </w:r>
      <w:r>
        <w:rPr/>
        <w:t>融负债组合，以公允价值为基础进行管理、评价并向关键管理人员报告；</w:t>
      </w:r>
      <w:r>
        <w:rPr>
          <w:w w:val="100"/>
        </w:rPr>
        <w:t> </w:t>
      </w:r>
      <w:r>
        <w:rPr>
          <w:rFonts w:ascii="Times New Roman" w:hAnsi="Times New Roman" w:cs="Times New Roman" w:eastAsia="Times New Roman" w:hint="default"/>
        </w:rPr>
        <w:t>3</w:t>
      </w:r>
      <w:r>
        <w:rPr/>
        <w:t>）包含一项或多项嵌入衍生工具的混合工具，除非嵌入衍生工具对混合工具的现金流量没有重大改变，</w:t>
      </w:r>
    </w:p>
    <w:p>
      <w:pPr>
        <w:spacing w:after="0" w:line="266"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BodyText"/>
        <w:spacing w:line="268" w:lineRule="auto" w:before="36"/>
        <w:ind w:right="0"/>
        <w:jc w:val="left"/>
      </w:pPr>
      <w:r>
        <w:rPr/>
        <w:t>或所嵌入的衍生工具明显不应当从相关混合工具中分拆；</w:t>
      </w:r>
      <w:r>
        <w:rPr>
          <w:w w:val="100"/>
        </w:rPr>
        <w:t> </w:t>
      </w:r>
      <w:r>
        <w:rPr>
          <w:rFonts w:ascii="Times New Roman" w:hAnsi="Times New Roman" w:cs="Times New Roman" w:eastAsia="Times New Roman" w:hint="default"/>
        </w:rPr>
        <w:t>4</w:t>
      </w:r>
      <w:r>
        <w:rPr/>
        <w:t>）包含需要分拆但无法在取得时或后续的资产负债表日对其进行单独计量的嵌入衍生工具的混合工具。</w:t>
      </w:r>
      <w:r>
        <w:rPr>
          <w:w w:val="100"/>
        </w:rPr>
        <w:t> </w:t>
      </w:r>
      <w:r>
        <w:rPr>
          <w:spacing w:val="-2"/>
        </w:rPr>
        <w:t>本公司对以公允价值计量且其变动计入当期损益的金融资产或金融负债，在取得时以公允价值（扣除已宣</w:t>
      </w:r>
      <w:r>
        <w:rPr>
          <w:spacing w:val="-44"/>
        </w:rPr>
        <w:t> </w:t>
      </w:r>
      <w:r>
        <w:rPr>
          <w:spacing w:val="-44"/>
        </w:rPr>
      </w:r>
      <w:r>
        <w:rPr>
          <w:spacing w:val="-2"/>
        </w:rPr>
        <w:t>告但尚未发放的现金股利或已到付息期但尚未领取的债券利息）作为初始确认金额，相关的交易费用计入</w:t>
      </w:r>
      <w:r>
        <w:rPr>
          <w:spacing w:val="-44"/>
        </w:rPr>
        <w:t> </w:t>
      </w:r>
      <w:r>
        <w:rPr>
          <w:spacing w:val="-44"/>
        </w:rPr>
      </w:r>
      <w:r>
        <w:rPr>
          <w:spacing w:val="-2"/>
        </w:rPr>
        <w:t>当期损益。持有期间将取得的利息或现金股利确认为投资收益，期末将公允价值变动计入当期损益。处置</w:t>
      </w:r>
      <w:r>
        <w:rPr>
          <w:spacing w:val="-43"/>
        </w:rPr>
        <w:t> </w:t>
      </w:r>
      <w:r>
        <w:rPr>
          <w:spacing w:val="-43"/>
        </w:rPr>
      </w:r>
      <w:r>
        <w:rPr/>
        <w:t>时，其公允价值与初始入账金额之间的差额确认为投资收益，同时调整公允价值变动损益。</w:t>
      </w:r>
    </w:p>
    <w:p>
      <w:pPr>
        <w:pStyle w:val="BodyText"/>
        <w:spacing w:line="268" w:lineRule="auto" w:before="12"/>
        <w:ind w:right="0"/>
        <w:jc w:val="left"/>
      </w:pPr>
      <w:r>
        <w:rPr/>
        <w:t>（</w:t>
      </w:r>
      <w:r>
        <w:rPr>
          <w:rFonts w:ascii="Times New Roman" w:hAnsi="Times New Roman" w:cs="Times New Roman" w:eastAsia="Times New Roman" w:hint="default"/>
        </w:rPr>
        <w:t>2</w:t>
      </w:r>
      <w:r>
        <w:rPr/>
        <w:t>）应收款项</w:t>
      </w:r>
      <w:r>
        <w:rPr>
          <w:w w:val="100"/>
        </w:rPr>
        <w:t> </w:t>
      </w:r>
      <w:r>
        <w:rPr>
          <w:spacing w:val="-2"/>
        </w:rPr>
        <w:t>本公司对外销售商品或提供劳务形成的应收债权，以及公司持有的其他企业的不包括在活跃市场上有报价</w:t>
      </w:r>
      <w:r>
        <w:rPr>
          <w:spacing w:val="-43"/>
        </w:rPr>
        <w:t> </w:t>
      </w:r>
      <w:r>
        <w:rPr>
          <w:spacing w:val="-43"/>
        </w:rPr>
      </w:r>
      <w:r>
        <w:rPr>
          <w:spacing w:val="-2"/>
        </w:rPr>
        <w:t>的债务工具的债权，包括应收账款、其他应收款、应收票据、预付账款、等，以向购货方应收的合同或协</w:t>
      </w:r>
      <w:r>
        <w:rPr>
          <w:spacing w:val="-42"/>
        </w:rPr>
        <w:t> </w:t>
      </w:r>
      <w:r>
        <w:rPr>
          <w:spacing w:val="-42"/>
        </w:rPr>
      </w:r>
      <w:r>
        <w:rPr/>
        <w:t>议价款作为初始确认金额；具有融资性质的，按其现值进行初始确认。</w:t>
      </w:r>
      <w:r>
        <w:rPr>
          <w:w w:val="100"/>
        </w:rPr>
        <w:t> </w:t>
      </w:r>
      <w:r>
        <w:rPr/>
        <w:t>收回或处置时，将取得的价款与该应收款项账面价值之间的差额计入当期损益。</w:t>
      </w:r>
    </w:p>
    <w:p>
      <w:pPr>
        <w:pStyle w:val="BodyText"/>
        <w:spacing w:line="271" w:lineRule="auto" w:before="12"/>
        <w:ind w:right="0"/>
        <w:jc w:val="left"/>
      </w:pPr>
      <w:r>
        <w:rPr/>
        <w:t>（</w:t>
      </w:r>
      <w:r>
        <w:rPr>
          <w:rFonts w:ascii="Times New Roman" w:hAnsi="Times New Roman" w:cs="Times New Roman" w:eastAsia="Times New Roman" w:hint="default"/>
        </w:rPr>
        <w:t>3</w:t>
      </w:r>
      <w:r>
        <w:rPr/>
        <w:t>）持有至到期投资</w:t>
      </w:r>
      <w:r>
        <w:rPr>
          <w:w w:val="100"/>
        </w:rPr>
        <w:t> </w:t>
      </w:r>
      <w:r>
        <w:rPr>
          <w:spacing w:val="-2"/>
        </w:rPr>
        <w:t>持有至到期投资是指到期日固定、回收金额固定或可确定，且本公司有明确意图和能力持有至到期的非衍</w:t>
      </w:r>
      <w:r>
        <w:rPr>
          <w:spacing w:val="-44"/>
        </w:rPr>
        <w:t> </w:t>
      </w:r>
      <w:r>
        <w:rPr>
          <w:spacing w:val="-44"/>
        </w:rPr>
      </w:r>
      <w:r>
        <w:rPr/>
        <w:t>生性金融资产。</w:t>
      </w:r>
      <w:r>
        <w:rPr>
          <w:spacing w:val="-103"/>
        </w:rPr>
        <w:t> </w:t>
      </w:r>
      <w:r>
        <w:rPr>
          <w:spacing w:val="-103"/>
        </w:rPr>
      </w:r>
      <w:r>
        <w:rPr>
          <w:spacing w:val="-2"/>
        </w:rPr>
        <w:t>本公司对持有至到期投资，在取得时按公允价值（扣除已到付息期但尚未领取的债券利息）和相关交易费</w:t>
      </w:r>
      <w:r>
        <w:rPr>
          <w:spacing w:val="-44"/>
        </w:rPr>
        <w:t> </w:t>
      </w:r>
      <w:r>
        <w:rPr>
          <w:spacing w:val="-44"/>
        </w:rPr>
      </w:r>
      <w:r>
        <w:rPr>
          <w:spacing w:val="-2"/>
        </w:rPr>
        <w:t>用之和作为初始确认金额。持有期间按照摊余成本和实际利率计算确认利息收入，计入投资收益。实际利</w:t>
      </w:r>
      <w:r>
        <w:rPr>
          <w:spacing w:val="-44"/>
        </w:rPr>
        <w:t> </w:t>
      </w:r>
      <w:r>
        <w:rPr>
          <w:spacing w:val="-44"/>
        </w:rPr>
      </w:r>
      <w:r>
        <w:rPr>
          <w:spacing w:val="-2"/>
        </w:rPr>
        <w:t>率在取得时确定，在该预期存续期间或适用的更短期间内保持不变。处置时，将所取得价款与该投资账面</w:t>
      </w:r>
      <w:r>
        <w:rPr>
          <w:spacing w:val="-45"/>
        </w:rPr>
        <w:t> </w:t>
      </w:r>
      <w:r>
        <w:rPr>
          <w:spacing w:val="-45"/>
        </w:rPr>
      </w:r>
      <w:r>
        <w:rPr/>
        <w:t>价值之间的差额计入投资收益。</w:t>
      </w:r>
      <w:r>
        <w:rPr>
          <w:w w:val="100"/>
        </w:rPr>
        <w:t> </w:t>
      </w:r>
      <w:r>
        <w:rPr>
          <w:spacing w:val="-2"/>
        </w:rPr>
        <w:t>如果持有至到期投资处置或重分类为其他类金融资产的金额，相对于本公司全部持有至到期投资在出售或</w:t>
      </w:r>
      <w:r>
        <w:rPr>
          <w:spacing w:val="-43"/>
        </w:rPr>
        <w:t> </w:t>
      </w:r>
      <w:r>
        <w:rPr>
          <w:spacing w:val="-43"/>
        </w:rPr>
      </w:r>
      <w:r>
        <w:rPr>
          <w:spacing w:val="-2"/>
        </w:rPr>
        <w:t>重分类前的总额较大，在处置或重分类后应立即将其剩余的持有至到期投资重分类为可供出售金融资产；</w:t>
      </w:r>
      <w:r>
        <w:rPr>
          <w:spacing w:val="-21"/>
        </w:rPr>
        <w:t> </w:t>
      </w:r>
      <w:r>
        <w:rPr>
          <w:spacing w:val="-21"/>
        </w:rPr>
      </w:r>
      <w:r>
        <w:rPr>
          <w:spacing w:val="-2"/>
        </w:rPr>
        <w:t>重分类日，该投资的账面价值与其公允价值之间的差额计入其他综合收益，在该可供出售金融资产发生减</w:t>
      </w:r>
      <w:r>
        <w:rPr>
          <w:spacing w:val="-42"/>
        </w:rPr>
        <w:t> </w:t>
      </w:r>
      <w:r>
        <w:rPr>
          <w:spacing w:val="-42"/>
        </w:rPr>
      </w:r>
      <w:r>
        <w:rPr/>
        <w:t>值或终止确认时转出，计入当期损益。但是，遇到下列情况可以除外：</w:t>
      </w:r>
      <w:r>
        <w:rPr>
          <w:w w:val="100"/>
        </w:rPr>
        <w:t> </w:t>
      </w:r>
      <w:r>
        <w:rPr>
          <w:rFonts w:ascii="Times New Roman" w:hAnsi="Times New Roman" w:cs="Times New Roman" w:eastAsia="Times New Roman" w:hint="default"/>
          <w:spacing w:val="-3"/>
        </w:rPr>
        <w:t>1</w:t>
      </w:r>
      <w:r>
        <w:rPr>
          <w:spacing w:val="-3"/>
        </w:rPr>
        <w:t>）出售日或重分类日距离该项投资到期日或赎回日较近</w:t>
      </w:r>
      <w:r>
        <w:rPr>
          <w:rFonts w:ascii="Times New Roman" w:hAnsi="Times New Roman" w:cs="Times New Roman" w:eastAsia="Times New Roman" w:hint="default"/>
          <w:spacing w:val="-3"/>
        </w:rPr>
        <w:t>(</w:t>
      </w:r>
      <w:r>
        <w:rPr>
          <w:spacing w:val="-3"/>
        </w:rPr>
        <w:t>如到期前三个月内</w:t>
      </w:r>
      <w:r>
        <w:rPr>
          <w:rFonts w:ascii="Times New Roman" w:hAnsi="Times New Roman" w:cs="Times New Roman" w:eastAsia="Times New Roman" w:hint="default"/>
          <w:spacing w:val="-3"/>
        </w:rPr>
        <w:t>)</w:t>
      </w:r>
      <w:r>
        <w:rPr>
          <w:spacing w:val="-3"/>
        </w:rPr>
        <w:t>，且市场利率变化对该项投资</w:t>
      </w:r>
      <w:r>
        <w:rPr>
          <w:spacing w:val="-30"/>
        </w:rPr>
        <w:t> </w:t>
      </w:r>
      <w:r>
        <w:rPr>
          <w:spacing w:val="-30"/>
        </w:rPr>
      </w:r>
      <w:r>
        <w:rPr/>
        <w:t>的公允价值没有显著影响。</w:t>
      </w:r>
    </w:p>
    <w:p>
      <w:pPr>
        <w:pStyle w:val="BodyText"/>
        <w:spacing w:line="240" w:lineRule="auto" w:before="10"/>
        <w:ind w:right="0"/>
        <w:jc w:val="left"/>
      </w:pPr>
      <w:r>
        <w:rPr>
          <w:rFonts w:ascii="Times New Roman" w:hAnsi="Times New Roman" w:cs="Times New Roman" w:eastAsia="Times New Roman" w:hint="default"/>
        </w:rPr>
        <w:t>2</w:t>
      </w:r>
      <w:r>
        <w:rPr/>
        <w:t>）根据合同约定的偿付方式，企业已收回几乎所有初始本金。</w:t>
      </w:r>
    </w:p>
    <w:p>
      <w:pPr>
        <w:pStyle w:val="BodyText"/>
        <w:spacing w:line="240" w:lineRule="auto" w:before="21"/>
        <w:ind w:right="0"/>
        <w:jc w:val="left"/>
      </w:pPr>
      <w:r>
        <w:rPr>
          <w:rFonts w:ascii="Times New Roman" w:hAnsi="Times New Roman" w:cs="Times New Roman" w:eastAsia="Times New Roman" w:hint="default"/>
        </w:rPr>
        <w:t>3</w:t>
      </w:r>
      <w:r>
        <w:rPr/>
        <w:t>）出售或重分类是由于企业无法控制、预期不会重复发生且难以合理预计的独立事件所引起。</w:t>
      </w:r>
    </w:p>
    <w:p>
      <w:pPr>
        <w:pStyle w:val="BodyText"/>
        <w:spacing w:line="271" w:lineRule="auto" w:before="21"/>
        <w:ind w:right="0"/>
        <w:jc w:val="left"/>
      </w:pPr>
      <w:r>
        <w:rPr/>
        <w:t>（</w:t>
      </w:r>
      <w:r>
        <w:rPr>
          <w:rFonts w:ascii="Times New Roman" w:hAnsi="Times New Roman" w:cs="Times New Roman" w:eastAsia="Times New Roman" w:hint="default"/>
        </w:rPr>
        <w:t>4</w:t>
      </w:r>
      <w:r>
        <w:rPr/>
        <w:t>）可供出售金融资产</w:t>
      </w:r>
      <w:r>
        <w:rPr>
          <w:w w:val="100"/>
        </w:rPr>
        <w:t> </w:t>
      </w:r>
      <w:r>
        <w:rPr>
          <w:spacing w:val="-2"/>
        </w:rPr>
        <w:t>可供出售金融资产，是指初始确认时即指定为可供出售的非衍生金融资产，以及除其他金融资产类别以外</w:t>
      </w:r>
      <w:r>
        <w:rPr>
          <w:spacing w:val="-42"/>
        </w:rPr>
        <w:t> </w:t>
      </w:r>
      <w:r>
        <w:rPr>
          <w:spacing w:val="-42"/>
        </w:rPr>
      </w:r>
      <w:r>
        <w:rPr/>
        <w:t>的金融资产。</w:t>
      </w:r>
      <w:r>
        <w:rPr>
          <w:w w:val="100"/>
        </w:rPr>
        <w:t> </w:t>
      </w:r>
      <w:r>
        <w:rPr>
          <w:spacing w:val="-2"/>
        </w:rPr>
        <w:t>本公司对可供出售金融资产，在取得时按公允价值（扣除已宣告但尚未发放的现金股利或已到付息期但尚</w:t>
      </w:r>
      <w:r>
        <w:rPr>
          <w:spacing w:val="-43"/>
        </w:rPr>
        <w:t> </w:t>
      </w:r>
      <w:r>
        <w:rPr>
          <w:spacing w:val="-43"/>
        </w:rPr>
      </w:r>
      <w:r>
        <w:rPr>
          <w:spacing w:val="-2"/>
        </w:rPr>
        <w:t>未领取的债券利息）和相关交易费用之和作为初始确认金额。持有期间将取得的利息或现金股利确认为投</w:t>
      </w:r>
      <w:r>
        <w:rPr>
          <w:spacing w:val="-42"/>
        </w:rPr>
        <w:t> </w:t>
      </w:r>
      <w:r>
        <w:rPr>
          <w:spacing w:val="-42"/>
        </w:rPr>
      </w:r>
      <w:r>
        <w:rPr>
          <w:spacing w:val="-2"/>
        </w:rPr>
        <w:t>资收益。可供出售金融资产的公允价值变动形成的利得或损失，除减值损失和外币货币性金融资产形成的</w:t>
      </w:r>
      <w:r>
        <w:rPr>
          <w:spacing w:val="-44"/>
        </w:rPr>
        <w:t> </w:t>
      </w:r>
      <w:r>
        <w:rPr>
          <w:spacing w:val="-44"/>
        </w:rPr>
      </w:r>
      <w:r>
        <w:rPr>
          <w:spacing w:val="-2"/>
        </w:rPr>
        <w:t>汇兑差额外，直接计入其他综合收益。处置可供出售金融资产时，将取得的价款与该金融资产账面价值之</w:t>
      </w:r>
      <w:r>
        <w:rPr>
          <w:spacing w:val="-42"/>
        </w:rPr>
        <w:t> </w:t>
      </w:r>
      <w:r>
        <w:rPr>
          <w:spacing w:val="-42"/>
        </w:rPr>
      </w:r>
      <w:r>
        <w:rPr>
          <w:spacing w:val="-2"/>
        </w:rPr>
        <w:t>间的差额，计入投资损益；同时，将原直接计入其他综合收益的公允价值变动累计额对应处置部分的金额</w:t>
      </w:r>
      <w:r>
        <w:rPr>
          <w:spacing w:val="-44"/>
        </w:rPr>
        <w:t> </w:t>
      </w:r>
      <w:r>
        <w:rPr>
          <w:spacing w:val="-44"/>
        </w:rPr>
      </w:r>
      <w:r>
        <w:rPr/>
        <w:t>转出，计入投资损益。</w:t>
      </w:r>
      <w:r>
        <w:rPr>
          <w:w w:val="100"/>
        </w:rPr>
        <w:t> </w:t>
      </w:r>
      <w:r>
        <w:rPr>
          <w:spacing w:val="-2"/>
        </w:rPr>
        <w:t>本公司对在活跃市场中没有报价且其公允价值不能可靠计量的权益工具投资，以及与该权益工具挂钩并须</w:t>
      </w:r>
      <w:r>
        <w:rPr>
          <w:spacing w:val="-43"/>
        </w:rPr>
        <w:t> </w:t>
      </w:r>
      <w:r>
        <w:rPr>
          <w:spacing w:val="-43"/>
        </w:rPr>
      </w:r>
      <w:r>
        <w:rPr/>
        <w:t>通过交付该权益工具结算的衍生金融资产，按照成本计量。</w:t>
      </w:r>
    </w:p>
    <w:p>
      <w:pPr>
        <w:spacing w:line="312" w:lineRule="exact" w:before="5"/>
        <w:ind w:left="152" w:right="774" w:firstLine="0"/>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）其他金融负债</w:t>
      </w:r>
      <w:r>
        <w:rPr>
          <w:rFonts w:ascii="宋体" w:hAnsi="宋体" w:cs="宋体" w:eastAsia="宋体" w:hint="default"/>
          <w:w w:val="100"/>
          <w:sz w:val="21"/>
          <w:szCs w:val="21"/>
        </w:rPr>
        <w:t> </w:t>
      </w:r>
      <w:r>
        <w:rPr>
          <w:rFonts w:ascii="宋体" w:hAnsi="宋体" w:cs="宋体" w:eastAsia="宋体" w:hint="default"/>
          <w:spacing w:val="-2"/>
          <w:sz w:val="21"/>
          <w:szCs w:val="21"/>
        </w:rPr>
        <w:t>按其公允价值和相关交易费用之和作为初始确认金额。采用摊余成本进行后续计量。</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Times New Roman" w:hAnsi="Times New Roman" w:cs="Times New Roman" w:eastAsia="Times New Roman" w:hint="default"/>
          <w:b/>
          <w:bCs/>
          <w:sz w:val="21"/>
          <w:szCs w:val="21"/>
        </w:rPr>
        <w:t>C.</w:t>
      </w:r>
      <w:r>
        <w:rPr>
          <w:rFonts w:ascii="Microsoft JhengHei" w:hAnsi="Microsoft JhengHei" w:cs="Microsoft JhengHei" w:eastAsia="Microsoft JhengHei" w:hint="default"/>
          <w:b/>
          <w:bCs/>
          <w:sz w:val="21"/>
          <w:szCs w:val="21"/>
        </w:rPr>
        <w:t>金融资产转移的确认依据和计量方法</w:t>
      </w:r>
      <w:r>
        <w:rPr>
          <w:rFonts w:ascii="Microsoft JhengHei" w:hAnsi="Microsoft JhengHei" w:cs="Microsoft JhengHei" w:eastAsia="Microsoft JhengHei" w:hint="default"/>
          <w:sz w:val="21"/>
          <w:szCs w:val="21"/>
        </w:rPr>
      </w:r>
    </w:p>
    <w:p>
      <w:pPr>
        <w:pStyle w:val="BodyText"/>
        <w:spacing w:line="273" w:lineRule="auto" w:before="4"/>
        <w:ind w:right="0"/>
        <w:jc w:val="left"/>
      </w:pPr>
      <w:r>
        <w:rPr>
          <w:spacing w:val="-2"/>
        </w:rPr>
        <w:t>公司发生金融资产转移时，如已将金融资产所有权上几乎所有的风险和报酬转移给转入方，则终止确认该</w:t>
      </w:r>
      <w:r>
        <w:rPr>
          <w:spacing w:val="-42"/>
        </w:rPr>
        <w:t> </w:t>
      </w:r>
      <w:r>
        <w:rPr>
          <w:spacing w:val="-42"/>
        </w:rPr>
      </w:r>
      <w:r>
        <w:rPr/>
        <w:t>金融资产；如保留了金融资产所有权上几乎所有的风险和报酬的，则不终止确认该金融资产。</w:t>
      </w:r>
      <w:r>
        <w:rPr>
          <w:w w:val="100"/>
        </w:rPr>
        <w:t> </w:t>
      </w:r>
      <w:r>
        <w:rPr>
          <w:spacing w:val="-2"/>
        </w:rPr>
        <w:t>在判断金融资产转移是否满足上述金融资产终止确认条件时，采用实质重于形式的原则。公司将金融资产</w:t>
      </w:r>
      <w:r>
        <w:rPr>
          <w:spacing w:val="-43"/>
        </w:rPr>
        <w:t> </w:t>
      </w:r>
      <w:r>
        <w:rPr>
          <w:spacing w:val="-43"/>
        </w:rPr>
      </w:r>
      <w:r>
        <w:rPr>
          <w:spacing w:val="-2"/>
        </w:rPr>
        <w:t>转移区分为金融资产整体转移和部分转移。金融资产整体转移满足终止确认条件的，将下列两项金额的差</w:t>
      </w:r>
    </w:p>
    <w:p>
      <w:pPr>
        <w:spacing w:after="0" w:line="273"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额计入当期损益：</w:t>
      </w:r>
    </w:p>
    <w:p>
      <w:pPr>
        <w:pStyle w:val="BodyText"/>
        <w:spacing w:line="240" w:lineRule="auto" w:before="37"/>
        <w:ind w:right="0"/>
        <w:jc w:val="left"/>
      </w:pPr>
      <w:r>
        <w:rPr/>
        <w:t>（</w:t>
      </w:r>
      <w:r>
        <w:rPr>
          <w:rFonts w:ascii="Times New Roman" w:hAnsi="Times New Roman" w:cs="Times New Roman" w:eastAsia="Times New Roman" w:hint="default"/>
        </w:rPr>
        <w:t>1</w:t>
      </w:r>
      <w:r>
        <w:rPr/>
        <w:t>）所转移金融资产的账面价值；</w:t>
      </w:r>
    </w:p>
    <w:p>
      <w:pPr>
        <w:pStyle w:val="BodyText"/>
        <w:spacing w:line="266" w:lineRule="auto" w:before="21"/>
        <w:ind w:right="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w:t>
      </w:r>
      <w:r>
        <w:rPr>
          <w:spacing w:val="-25"/>
        </w:rPr>
        <w:t> </w:t>
      </w:r>
      <w:r>
        <w:rPr>
          <w:spacing w:val="-25"/>
        </w:rPr>
      </w:r>
      <w:r>
        <w:rPr/>
        <w:t>供出售金融资产的情形）之和。</w:t>
      </w:r>
      <w:r>
        <w:rPr>
          <w:w w:val="100"/>
        </w:rPr>
        <w:t> </w:t>
      </w:r>
      <w:r>
        <w:rPr>
          <w:spacing w:val="-2"/>
        </w:rPr>
        <w:t>金融资产部分转移满足终止确认条件的，将所转移金融资产整体的账面价值，在终止确认部分和未终止确</w:t>
      </w:r>
      <w:r>
        <w:rPr>
          <w:spacing w:val="-43"/>
        </w:rPr>
        <w:t> </w:t>
      </w:r>
      <w:r>
        <w:rPr>
          <w:spacing w:val="-43"/>
        </w:rPr>
      </w:r>
      <w:r>
        <w:rPr/>
        <w:t>认部分之间，按照各自的相对公允价值进行分摊，并将下列两项金额的差额计入当期损益：</w:t>
      </w:r>
    </w:p>
    <w:p>
      <w:pPr>
        <w:pStyle w:val="BodyText"/>
        <w:spacing w:line="240" w:lineRule="auto" w:before="14"/>
        <w:ind w:right="0"/>
        <w:jc w:val="left"/>
      </w:pPr>
      <w:r>
        <w:rPr/>
        <w:t>（</w:t>
      </w:r>
      <w:r>
        <w:rPr>
          <w:rFonts w:ascii="Times New Roman" w:hAnsi="Times New Roman" w:cs="Times New Roman" w:eastAsia="Times New Roman" w:hint="default"/>
        </w:rPr>
        <w:t>1</w:t>
      </w:r>
      <w:r>
        <w:rPr/>
        <w:t>）终止确认部分的账面价值；</w:t>
      </w:r>
    </w:p>
    <w:p>
      <w:pPr>
        <w:pStyle w:val="BodyText"/>
        <w:spacing w:line="240" w:lineRule="auto" w:before="21"/>
        <w:ind w:right="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w:t>
      </w:r>
    </w:p>
    <w:p>
      <w:pPr>
        <w:pStyle w:val="BodyText"/>
        <w:spacing w:line="273" w:lineRule="auto" w:before="21"/>
        <w:ind w:right="0"/>
        <w:jc w:val="left"/>
      </w:pPr>
      <w:r>
        <w:rPr/>
        <w:t>（涉及转移的金融资产为可供出售金融资产的情形）之和。</w:t>
      </w:r>
      <w:r>
        <w:rPr>
          <w:w w:val="100"/>
        </w:rPr>
        <w:t> </w:t>
      </w:r>
      <w:r>
        <w:rPr>
          <w:spacing w:val="-2"/>
        </w:rPr>
        <w:t>金融资产转移不满足终止确认条件的，继续确认该金融资产，所收到的对价确认为一项金融负债。</w:t>
      </w:r>
    </w:p>
    <w:p>
      <w:pPr>
        <w:pStyle w:val="BodyText"/>
        <w:spacing w:line="312" w:lineRule="exact" w:before="4"/>
        <w:ind w:right="0"/>
        <w:jc w:val="left"/>
      </w:pPr>
      <w:r>
        <w:rPr>
          <w:rFonts w:ascii="Times New Roman" w:hAnsi="Times New Roman" w:cs="Times New Roman" w:eastAsia="Times New Roman" w:hint="default"/>
          <w:b/>
          <w:bCs/>
        </w:rPr>
        <w:t>D.</w:t>
      </w:r>
      <w:r>
        <w:rPr>
          <w:rFonts w:ascii="Microsoft JhengHei" w:hAnsi="Microsoft JhengHei" w:cs="Microsoft JhengHei" w:eastAsia="Microsoft JhengHei" w:hint="default"/>
          <w:b/>
          <w:bCs/>
        </w:rPr>
        <w:t>金融负债终止确认条件</w:t>
      </w:r>
      <w:r>
        <w:rPr>
          <w:rFonts w:ascii="Microsoft JhengHei" w:hAnsi="Microsoft JhengHei" w:cs="Microsoft JhengHei" w:eastAsia="Microsoft JhengHei" w:hint="default"/>
          <w:b/>
          <w:bCs/>
          <w:spacing w:val="-41"/>
        </w:rPr>
        <w:t> </w:t>
      </w:r>
      <w:r>
        <w:rPr>
          <w:spacing w:val="-2"/>
        </w:rPr>
        <w:t>金融负债的的现时义务全部或部分已经解除的，则终止确认该金融负债或其一部分；本公司若与债权人签</w:t>
      </w:r>
      <w:r>
        <w:rPr>
          <w:spacing w:val="-44"/>
        </w:rPr>
        <w:t> </w:t>
      </w:r>
      <w:r>
        <w:rPr>
          <w:spacing w:val="-44"/>
        </w:rPr>
      </w:r>
      <w:r>
        <w:rPr>
          <w:spacing w:val="-2"/>
        </w:rPr>
        <w:t>定协议，以承担新金融负债方式替换现存金融负债，且新金融负债与现存金融负债的合同条款实质上不同</w:t>
      </w:r>
      <w:r>
        <w:rPr>
          <w:spacing w:val="-44"/>
        </w:rPr>
        <w:t> </w:t>
      </w:r>
      <w:r>
        <w:rPr>
          <w:spacing w:val="-44"/>
        </w:rPr>
      </w:r>
      <w:r>
        <w:rPr/>
        <w:t>的，则终止确认现存金融负债，并同时确认新金融负债。</w:t>
      </w:r>
      <w:r>
        <w:rPr>
          <w:w w:val="100"/>
        </w:rPr>
        <w:t> </w:t>
      </w:r>
      <w:r>
        <w:rPr>
          <w:spacing w:val="-2"/>
        </w:rPr>
        <w:t>对现存金融负债全部或部分合同条款作出实质性修改的，则终止确认现存金融负债或其一部分，同时将修</w:t>
      </w:r>
      <w:r>
        <w:rPr>
          <w:spacing w:val="-42"/>
        </w:rPr>
        <w:t> </w:t>
      </w:r>
      <w:r>
        <w:rPr>
          <w:spacing w:val="-42"/>
        </w:rPr>
      </w:r>
      <w:r>
        <w:rPr/>
        <w:t>改条款后的金融负债确认为一项新金融负债。</w:t>
      </w:r>
      <w:r>
        <w:rPr>
          <w:w w:val="100"/>
        </w:rPr>
        <w:t> </w:t>
      </w:r>
      <w:r>
        <w:rPr>
          <w:spacing w:val="-2"/>
        </w:rPr>
        <w:t>金融负债全部或部分终止确认时，终止确认的金融负债账面价值与支付对价（包括转出的非现金资产或承</w:t>
      </w:r>
      <w:r>
        <w:rPr>
          <w:spacing w:val="-43"/>
        </w:rPr>
        <w:t> </w:t>
      </w:r>
      <w:r>
        <w:rPr>
          <w:spacing w:val="-43"/>
        </w:rPr>
      </w:r>
      <w:r>
        <w:rPr/>
        <w:t>担的新金融负债）之间的差额，计入当期损益。</w:t>
      </w:r>
      <w:r>
        <w:rPr>
          <w:w w:val="100"/>
        </w:rPr>
        <w:t> </w:t>
      </w:r>
      <w:r>
        <w:rPr>
          <w:spacing w:val="-2"/>
        </w:rPr>
        <w:t>本公司若回购部分金融负债的，在回购日按照继续确认部分与终止确认部分的相对公允价值，将该金融负</w:t>
      </w:r>
      <w:r>
        <w:rPr>
          <w:spacing w:val="-42"/>
        </w:rPr>
        <w:t> </w:t>
      </w:r>
      <w:r>
        <w:rPr>
          <w:spacing w:val="-42"/>
        </w:rPr>
      </w:r>
      <w:r>
        <w:rPr>
          <w:spacing w:val="-2"/>
        </w:rPr>
        <w:t>债整体的账面价值进行分配。分配给终止确认部分的账面价值与支付的对价（包括转出的非现金资产或承</w:t>
      </w:r>
    </w:p>
    <w:p>
      <w:pPr>
        <w:pStyle w:val="BodyText"/>
        <w:spacing w:line="260" w:lineRule="exact" w:before="4"/>
        <w:ind w:right="0"/>
        <w:jc w:val="left"/>
      </w:pPr>
      <w:r>
        <w:rPr/>
        <w:t>担的新金融负债）之间的差额，计入当期损益。</w:t>
      </w:r>
    </w:p>
    <w:p>
      <w:pPr>
        <w:pStyle w:val="BodyText"/>
        <w:spacing w:line="312" w:lineRule="exact" w:before="47"/>
        <w:ind w:right="0"/>
        <w:jc w:val="left"/>
      </w:pPr>
      <w:r>
        <w:rPr>
          <w:rFonts w:ascii="Times New Roman" w:hAnsi="Times New Roman" w:cs="Times New Roman" w:eastAsia="Times New Roman" w:hint="default"/>
          <w:b/>
          <w:bCs/>
        </w:rPr>
        <w:t>E.</w:t>
      </w:r>
      <w:r>
        <w:rPr>
          <w:rFonts w:ascii="Microsoft JhengHei" w:hAnsi="Microsoft JhengHei" w:cs="Microsoft JhengHei" w:eastAsia="Microsoft JhengHei" w:hint="default"/>
          <w:b/>
          <w:bCs/>
        </w:rPr>
        <w:t>金融资产和金融负债公允价值的确定方法</w:t>
      </w:r>
      <w:r>
        <w:rPr>
          <w:rFonts w:ascii="Microsoft JhengHei" w:hAnsi="Microsoft JhengHei" w:cs="Microsoft JhengHei" w:eastAsia="Microsoft JhengHei" w:hint="default"/>
          <w:b/>
          <w:bCs/>
          <w:spacing w:val="-35"/>
        </w:rPr>
        <w:t> </w:t>
      </w:r>
      <w:r>
        <w:rPr>
          <w:rFonts w:ascii="Microsoft JhengHei" w:hAnsi="Microsoft JhengHei" w:cs="Microsoft JhengHei" w:eastAsia="Microsoft JhengHei" w:hint="default"/>
          <w:b/>
          <w:bCs/>
          <w:spacing w:val="-35"/>
        </w:rPr>
      </w:r>
      <w:r>
        <w:rPr>
          <w:spacing w:val="-2"/>
        </w:rPr>
        <w:t>本公司采用公允价值计量的金融资产和金融负债存在活跃市场的金融资产或金融负债，以活跃市场的报价</w:t>
      </w:r>
      <w:r>
        <w:rPr>
          <w:spacing w:val="-43"/>
        </w:rPr>
        <w:t> </w:t>
      </w:r>
      <w:r>
        <w:rPr>
          <w:spacing w:val="-43"/>
        </w:rPr>
      </w:r>
      <w:r>
        <w:rPr>
          <w:spacing w:val="-2"/>
        </w:rPr>
        <w:t>确定其公允价值；不存在活跃市场的金融资产或金融负债，采用估值技术（包括参考熟悉情况并自愿交易</w:t>
      </w:r>
      <w:r>
        <w:rPr>
          <w:spacing w:val="-43"/>
        </w:rPr>
        <w:t> </w:t>
      </w:r>
      <w:r>
        <w:rPr>
          <w:spacing w:val="-43"/>
        </w:rPr>
      </w:r>
      <w:r>
        <w:rPr>
          <w:spacing w:val="-2"/>
        </w:rPr>
        <w:t>的各方最近进行的市场交易中使用的价格、参照实质上相同的其他金融工具的当前公允价值、现金流量折</w:t>
      </w:r>
      <w:r>
        <w:rPr>
          <w:spacing w:val="-44"/>
        </w:rPr>
        <w:t> </w:t>
      </w:r>
      <w:r>
        <w:rPr>
          <w:spacing w:val="-44"/>
        </w:rPr>
      </w:r>
      <w:r>
        <w:rPr>
          <w:spacing w:val="-2"/>
        </w:rPr>
        <w:t>现法和期权定价模型等）确定其公允价值；初始取得或衍生的金融资产或承担的金融负债，以市场交易价</w:t>
      </w:r>
      <w:r>
        <w:rPr>
          <w:spacing w:val="-43"/>
        </w:rPr>
        <w:t> </w:t>
      </w:r>
      <w:r>
        <w:rPr>
          <w:spacing w:val="-43"/>
        </w:rPr>
      </w:r>
      <w:r>
        <w:rPr/>
        <w:t>格作为确定其公允价值的基础。</w:t>
      </w:r>
    </w:p>
    <w:p>
      <w:pPr>
        <w:spacing w:line="312" w:lineRule="exact"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F.</w:t>
      </w:r>
      <w:r>
        <w:rPr>
          <w:rFonts w:ascii="Microsoft JhengHei" w:hAnsi="Microsoft JhengHei" w:cs="Microsoft JhengHei" w:eastAsia="Microsoft JhengHei" w:hint="default"/>
          <w:b/>
          <w:bCs/>
          <w:sz w:val="21"/>
          <w:szCs w:val="21"/>
        </w:rPr>
        <w:t>金融资产（不含应收款项）减值准备计提</w:t>
      </w:r>
      <w:r>
        <w:rPr>
          <w:rFonts w:ascii="Microsoft JhengHei" w:hAnsi="Microsoft JhengHei" w:cs="Microsoft JhengHei" w:eastAsia="Microsoft JhengHei" w:hint="default"/>
          <w:b/>
          <w:bCs/>
          <w:spacing w:val="-35"/>
          <w:sz w:val="21"/>
          <w:szCs w:val="21"/>
        </w:rPr>
        <w:t> </w:t>
      </w:r>
      <w:r>
        <w:rPr>
          <w:rFonts w:ascii="Microsoft JhengHei" w:hAnsi="Microsoft JhengHei" w:cs="Microsoft JhengHei" w:eastAsia="Microsoft JhengHei" w:hint="default"/>
          <w:b/>
          <w:bCs/>
          <w:spacing w:val="-35"/>
          <w:sz w:val="21"/>
          <w:szCs w:val="21"/>
        </w:rPr>
      </w:r>
      <w:r>
        <w:rPr>
          <w:rFonts w:ascii="宋体" w:hAnsi="宋体" w:cs="宋体" w:eastAsia="宋体" w:hint="default"/>
          <w:spacing w:val="-2"/>
          <w:sz w:val="21"/>
          <w:szCs w:val="21"/>
        </w:rPr>
        <w:t>资产负债表日对以公允价值计量且其变动计入当期损益的金融资产以外的金融资产的账面价值进行检查，</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如有客观证据表明该金融资产发生减值的，计提减值准备。</w:t>
      </w:r>
    </w:p>
    <w:p>
      <w:pPr>
        <w:pStyle w:val="BodyText"/>
        <w:spacing w:line="240" w:lineRule="auto" w:before="5"/>
        <w:ind w:right="0"/>
        <w:jc w:val="left"/>
      </w:pPr>
      <w:r>
        <w:rPr/>
        <w:t>金融资产发生减值的客观证据，包括但不限于：</w:t>
      </w:r>
    </w:p>
    <w:p>
      <w:pPr>
        <w:pStyle w:val="BodyText"/>
        <w:spacing w:line="240" w:lineRule="auto" w:before="37"/>
        <w:ind w:right="0"/>
        <w:jc w:val="left"/>
      </w:pPr>
      <w:r>
        <w:rPr/>
        <w:t>（</w:t>
      </w:r>
      <w:r>
        <w:rPr>
          <w:rFonts w:ascii="Times New Roman" w:hAnsi="Times New Roman" w:cs="Times New Roman" w:eastAsia="Times New Roman" w:hint="default"/>
        </w:rPr>
        <w:t>1</w:t>
      </w:r>
      <w:r>
        <w:rPr/>
        <w:t>）发行方或债务人发生严重财务困难；</w:t>
      </w:r>
    </w:p>
    <w:p>
      <w:pPr>
        <w:pStyle w:val="BodyText"/>
        <w:spacing w:line="240" w:lineRule="auto" w:before="21"/>
        <w:ind w:right="0"/>
        <w:jc w:val="left"/>
      </w:pPr>
      <w:r>
        <w:rPr/>
        <w:t>（</w:t>
      </w:r>
      <w:r>
        <w:rPr>
          <w:rFonts w:ascii="Times New Roman" w:hAnsi="Times New Roman" w:cs="Times New Roman" w:eastAsia="Times New Roman" w:hint="default"/>
        </w:rPr>
        <w:t>2</w:t>
      </w:r>
      <w:r>
        <w:rPr/>
        <w:t>）债务人违反了合同条款，如偿付利息或本金发生违约或逾期等；</w:t>
      </w:r>
    </w:p>
    <w:p>
      <w:pPr>
        <w:pStyle w:val="BodyText"/>
        <w:spacing w:line="240" w:lineRule="auto" w:before="21"/>
        <w:ind w:right="0"/>
        <w:jc w:val="left"/>
      </w:pPr>
      <w:r>
        <w:rPr/>
        <w:t>（</w:t>
      </w:r>
      <w:r>
        <w:rPr>
          <w:rFonts w:ascii="Times New Roman" w:hAnsi="Times New Roman" w:cs="Times New Roman" w:eastAsia="Times New Roman" w:hint="default"/>
        </w:rPr>
        <w:t>3</w:t>
      </w:r>
      <w:r>
        <w:rPr/>
        <w:t>）债权人出于经济或法律等方面因素的考虑，对发生财务困难的债务人作出让步；</w:t>
      </w:r>
    </w:p>
    <w:p>
      <w:pPr>
        <w:pStyle w:val="BodyText"/>
        <w:spacing w:line="240" w:lineRule="auto" w:before="21"/>
        <w:ind w:right="0"/>
        <w:jc w:val="left"/>
      </w:pPr>
      <w:r>
        <w:rPr/>
        <w:t>（</w:t>
      </w:r>
      <w:r>
        <w:rPr>
          <w:rFonts w:ascii="Times New Roman" w:hAnsi="Times New Roman" w:cs="Times New Roman" w:eastAsia="Times New Roman" w:hint="default"/>
        </w:rPr>
        <w:t>4</w:t>
      </w:r>
      <w:r>
        <w:rPr/>
        <w:t>）债务人很可能倒闭或进行其他财务重组；</w:t>
      </w:r>
    </w:p>
    <w:p>
      <w:pPr>
        <w:pStyle w:val="BodyText"/>
        <w:spacing w:line="240" w:lineRule="auto" w:before="21"/>
        <w:ind w:right="0"/>
        <w:jc w:val="left"/>
      </w:pPr>
      <w:r>
        <w:rPr/>
        <w:t>（</w:t>
      </w:r>
      <w:r>
        <w:rPr>
          <w:rFonts w:ascii="Times New Roman" w:hAnsi="Times New Roman" w:cs="Times New Roman" w:eastAsia="Times New Roman" w:hint="default"/>
        </w:rPr>
        <w:t>5</w:t>
      </w:r>
      <w:r>
        <w:rPr/>
        <w:t>）因发行方发生重大财务困难，该金融资产无法在活跃市场继续交易；</w:t>
      </w:r>
    </w:p>
    <w:p>
      <w:pPr>
        <w:pStyle w:val="BodyText"/>
        <w:spacing w:line="266" w:lineRule="auto" w:before="21"/>
        <w:ind w:right="146"/>
        <w:jc w:val="both"/>
      </w:pPr>
      <w:r>
        <w:rPr/>
        <w:t>（</w:t>
      </w:r>
      <w:r>
        <w:rPr>
          <w:rFonts w:ascii="Times New Roman" w:hAnsi="Times New Roman" w:cs="Times New Roman" w:eastAsia="Times New Roman" w:hint="default"/>
        </w:rPr>
        <w:t>6</w:t>
      </w:r>
      <w:r>
        <w:rPr/>
        <w:t>）无法辨认一组金融资产中的某项资产的现金流量是否已经减少，但根据公开的数据对其进行总体评</w:t>
      </w:r>
      <w:r>
        <w:rPr>
          <w:spacing w:val="-25"/>
        </w:rPr>
        <w:t> </w:t>
      </w:r>
      <w:r>
        <w:rPr>
          <w:spacing w:val="-25"/>
        </w:rPr>
      </w:r>
      <w:r>
        <w:rPr>
          <w:spacing w:val="-2"/>
        </w:rPr>
        <w:t>价后发现，该组金融资产自初始确认以来的预计未来现金流量确已减少且可计量，如该组金融资产的债务</w:t>
      </w:r>
      <w:r>
        <w:rPr>
          <w:spacing w:val="-42"/>
        </w:rPr>
        <w:t> </w:t>
      </w:r>
      <w:r>
        <w:rPr>
          <w:spacing w:val="-42"/>
        </w:rPr>
      </w:r>
      <w:r>
        <w:rPr>
          <w:spacing w:val="-2"/>
        </w:rPr>
        <w:t>人支付能力逐步恶化，或债务人所在国家或地区失业率提高、担保物在其所在地区的价格明显下降、所处</w:t>
      </w:r>
      <w:r>
        <w:rPr>
          <w:spacing w:val="-44"/>
        </w:rPr>
        <w:t> </w:t>
      </w:r>
      <w:r>
        <w:rPr>
          <w:spacing w:val="-44"/>
        </w:rPr>
      </w:r>
      <w:r>
        <w:rPr/>
        <w:t>行业不景气等；</w:t>
      </w:r>
    </w:p>
    <w:p>
      <w:pPr>
        <w:pStyle w:val="BodyText"/>
        <w:spacing w:line="256" w:lineRule="auto" w:before="14"/>
        <w:ind w:right="0"/>
        <w:jc w:val="left"/>
      </w:pPr>
      <w:r>
        <w:rPr/>
        <w:t>（</w:t>
      </w:r>
      <w:r>
        <w:rPr>
          <w:rFonts w:ascii="Times New Roman" w:hAnsi="Times New Roman" w:cs="Times New Roman" w:eastAsia="Times New Roman" w:hint="default"/>
        </w:rPr>
        <w:t>7</w:t>
      </w:r>
      <w:r>
        <w:rPr/>
        <w:t>）权益工具发行方经营所处的技术、市场、经济或法律环境等发生重大不利变化，使权益工具投资人</w:t>
      </w:r>
      <w:r>
        <w:rPr>
          <w:spacing w:val="-25"/>
        </w:rPr>
        <w:t> </w:t>
      </w:r>
      <w:r>
        <w:rPr>
          <w:spacing w:val="-25"/>
        </w:rPr>
      </w:r>
      <w:r>
        <w:rPr/>
        <w:t>可能无法收回投资成本；</w:t>
      </w:r>
    </w:p>
    <w:p>
      <w:pPr>
        <w:pStyle w:val="BodyText"/>
        <w:spacing w:line="256" w:lineRule="auto" w:before="22"/>
        <w:ind w:right="1674"/>
        <w:jc w:val="left"/>
      </w:pPr>
      <w:r>
        <w:rPr>
          <w:spacing w:val="-2"/>
        </w:rPr>
        <w:t>（</w:t>
      </w:r>
      <w:r>
        <w:rPr>
          <w:rFonts w:ascii="Times New Roman" w:hAnsi="Times New Roman" w:cs="Times New Roman" w:eastAsia="Times New Roman" w:hint="default"/>
          <w:spacing w:val="-2"/>
        </w:rPr>
        <w:t>8</w:t>
      </w:r>
      <w:r>
        <w:rPr>
          <w:spacing w:val="-2"/>
        </w:rPr>
        <w:t>）权益工具投资的公允价值发生严重或非暂时性下跌；</w:t>
      </w:r>
      <w:r>
        <w:rPr>
          <w:spacing w:val="-56"/>
        </w:rPr>
        <w:t> </w:t>
      </w:r>
      <w:r>
        <w:rPr>
          <w:spacing w:val="-56"/>
        </w:rPr>
      </w:r>
      <w:r>
        <w:rPr/>
        <w:t>金融资产的具体减值方法如下：</w:t>
      </w:r>
    </w:p>
    <w:p>
      <w:pPr>
        <w:spacing w:after="0" w:line="256"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BodyText"/>
        <w:spacing w:line="268" w:lineRule="auto" w:before="36"/>
        <w:ind w:right="102"/>
        <w:jc w:val="left"/>
      </w:pPr>
      <w:r>
        <w:rPr/>
        <w:t>（</w:t>
      </w:r>
      <w:r>
        <w:rPr>
          <w:rFonts w:ascii="Times New Roman" w:hAnsi="Times New Roman" w:cs="Times New Roman" w:eastAsia="Times New Roman" w:hint="default"/>
        </w:rPr>
        <w:t>1</w:t>
      </w:r>
      <w:r>
        <w:rPr/>
        <w:t>）可供出售金融资产的减值准备</w:t>
      </w:r>
      <w:r>
        <w:rPr>
          <w:w w:val="100"/>
        </w:rPr>
        <w:t> </w:t>
      </w:r>
      <w:r>
        <w:rPr>
          <w:spacing w:val="-2"/>
        </w:rPr>
        <w:t>本公司于资产负债表日对各项可供出售金融资产采用个别认定的方式评估减值损失，其中：表明可供出售</w:t>
      </w:r>
      <w:r>
        <w:rPr>
          <w:spacing w:val="-44"/>
        </w:rPr>
        <w:t> </w:t>
      </w:r>
      <w:r>
        <w:rPr>
          <w:spacing w:val="-44"/>
        </w:rPr>
      </w:r>
      <w:r>
        <w:rPr>
          <w:spacing w:val="-2"/>
        </w:rPr>
        <w:t>权益工具投资发生减值的客观证据包括权益工具投资的公允价值发生严重或非暂时性下跌，具体量化标准</w:t>
      </w:r>
      <w:r>
        <w:rPr>
          <w:spacing w:val="-43"/>
        </w:rPr>
        <w:t> </w:t>
      </w:r>
      <w:r>
        <w:rPr>
          <w:spacing w:val="-43"/>
        </w:rPr>
      </w:r>
      <w:r>
        <w:rPr/>
        <w:t>为：若该权益工具投资于资产负债表日的公允价值低于其成本超过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）或低于其成本持续时间</w:t>
      </w:r>
      <w:r>
        <w:rPr>
          <w:spacing w:val="-55"/>
        </w:rPr>
        <w:t> </w:t>
      </w:r>
      <w:r>
        <w:rPr/>
        <w:t>超过</w:t>
      </w:r>
      <w:r>
        <w:rPr>
          <w:rFonts w:ascii="Times New Roman" w:hAnsi="Times New Roman" w:cs="Times New Roman" w:eastAsia="Times New Roman" w:hint="default"/>
        </w:rPr>
        <w:t>12</w:t>
      </w:r>
      <w:r>
        <w:rPr/>
        <w:t>个月（含</w:t>
      </w:r>
      <w:r>
        <w:rPr>
          <w:rFonts w:ascii="Times New Roman" w:hAnsi="Times New Roman" w:cs="Times New Roman" w:eastAsia="Times New Roman" w:hint="default"/>
        </w:rPr>
        <w:t>12</w:t>
      </w:r>
      <w:r>
        <w:rPr/>
        <w:t>个月）的，则表明其发生减值。</w:t>
      </w:r>
      <w:r>
        <w:rPr>
          <w:w w:val="100"/>
        </w:rPr>
        <w:t> </w:t>
      </w:r>
      <w:r>
        <w:rPr>
          <w:spacing w:val="-2"/>
        </w:rPr>
        <w:t>上段所述</w:t>
      </w:r>
      <w:r>
        <w:rPr>
          <w:rFonts w:ascii="Times New Roman" w:hAnsi="Times New Roman" w:cs="Times New Roman" w:eastAsia="Times New Roman" w:hint="default"/>
          <w:spacing w:val="-2"/>
        </w:rPr>
        <w:t>“</w:t>
      </w:r>
      <w:r>
        <w:rPr>
          <w:spacing w:val="-2"/>
        </w:rPr>
        <w:t>成本</w:t>
      </w:r>
      <w:r>
        <w:rPr>
          <w:rFonts w:ascii="Times New Roman" w:hAnsi="Times New Roman" w:cs="Times New Roman" w:eastAsia="Times New Roman" w:hint="default"/>
          <w:spacing w:val="-2"/>
        </w:rPr>
        <w:t>”</w:t>
      </w:r>
      <w:r>
        <w:rPr>
          <w:spacing w:val="-2"/>
        </w:rPr>
        <w:t>按照可供出售权益工具投资的初始取得成本扣除已收回本金和已摊销金额、原已计入损益</w:t>
      </w:r>
      <w:r>
        <w:rPr>
          <w:spacing w:val="-16"/>
        </w:rPr>
        <w:t> </w:t>
      </w:r>
      <w:r>
        <w:rPr>
          <w:spacing w:val="-16"/>
        </w:rPr>
      </w:r>
      <w:r>
        <w:rPr>
          <w:spacing w:val="-2"/>
        </w:rPr>
        <w:t>的减值损失确定；</w:t>
      </w:r>
      <w:r>
        <w:rPr>
          <w:rFonts w:ascii="Times New Roman" w:hAnsi="Times New Roman" w:cs="Times New Roman" w:eastAsia="Times New Roman" w:hint="default"/>
          <w:spacing w:val="-2"/>
        </w:rPr>
        <w:t>“</w:t>
      </w:r>
      <w:r>
        <w:rPr>
          <w:spacing w:val="-2"/>
        </w:rPr>
        <w:t>公允价值</w:t>
      </w:r>
      <w:r>
        <w:rPr>
          <w:rFonts w:ascii="Times New Roman" w:hAnsi="Times New Roman" w:cs="Times New Roman" w:eastAsia="Times New Roman" w:hint="default"/>
          <w:spacing w:val="-2"/>
        </w:rPr>
        <w:t>”</w:t>
      </w:r>
      <w:r>
        <w:rPr>
          <w:spacing w:val="-2"/>
        </w:rPr>
        <w:t>根据证券交易所期末收盘价确定，除非该项可供出售权益工具投资存在限售</w:t>
      </w:r>
      <w:r>
        <w:rPr>
          <w:spacing w:val="-21"/>
        </w:rPr>
        <w:t> </w:t>
      </w:r>
      <w:r>
        <w:rPr>
          <w:spacing w:val="-21"/>
        </w:rPr>
      </w:r>
      <w:r>
        <w:rPr>
          <w:spacing w:val="-2"/>
        </w:rPr>
        <w:t>期。对于存在限售期的可供出售权益工具投资，按照证券交易所期末收盘价扣除市场参与者因承担指定期</w:t>
      </w:r>
      <w:r>
        <w:rPr>
          <w:spacing w:val="-44"/>
        </w:rPr>
        <w:t> </w:t>
      </w:r>
      <w:r>
        <w:rPr>
          <w:spacing w:val="-44"/>
        </w:rPr>
      </w:r>
      <w:r>
        <w:rPr/>
        <w:t>间内无法在公开市场上出售该权益工具的风险而要求获得的补偿金额后确定。</w:t>
      </w:r>
      <w:r>
        <w:rPr>
          <w:w w:val="100"/>
        </w:rPr>
        <w:t> </w:t>
      </w:r>
      <w:r>
        <w:rPr>
          <w:spacing w:val="-2"/>
        </w:rPr>
        <w:t>可供出售金融资产发生减值时，即使该金融资产没有终止确认，本公司将原直接计入其他综合收益的因公</w:t>
      </w:r>
      <w:r>
        <w:rPr>
          <w:spacing w:val="-43"/>
        </w:rPr>
        <w:t> </w:t>
      </w:r>
      <w:r>
        <w:rPr>
          <w:spacing w:val="-43"/>
        </w:rPr>
      </w:r>
      <w:r>
        <w:rPr>
          <w:spacing w:val="-2"/>
        </w:rPr>
        <w:t>允价值下降形成的累计损失从其他综合收益转出，计入当期损益。该转出的累计损失，等于可供出售金融</w:t>
      </w:r>
      <w:r>
        <w:rPr>
          <w:spacing w:val="-44"/>
        </w:rPr>
        <w:t> </w:t>
      </w:r>
      <w:r>
        <w:rPr>
          <w:spacing w:val="-44"/>
        </w:rPr>
      </w:r>
      <w:r>
        <w:rPr>
          <w:spacing w:val="-2"/>
        </w:rPr>
        <w:t>资产的初始取得成本扣除已收回本金和已摊余金额、当前公允价值和原已计入损益的减值损失后的余额。</w:t>
      </w:r>
      <w:r>
        <w:rPr>
          <w:spacing w:val="-24"/>
        </w:rPr>
        <w:t> </w:t>
      </w:r>
      <w:r>
        <w:rPr>
          <w:spacing w:val="-24"/>
        </w:rPr>
      </w:r>
      <w:r>
        <w:rPr>
          <w:spacing w:val="-2"/>
        </w:rPr>
        <w:t>对于已确认减值损失的可供出售债务工具，在随后的会计期间公允价值已上升且客观上与确认原减值损失</w:t>
      </w:r>
      <w:r>
        <w:rPr>
          <w:spacing w:val="-43"/>
        </w:rPr>
        <w:t> </w:t>
      </w:r>
      <w:r>
        <w:rPr>
          <w:spacing w:val="-43"/>
        </w:rPr>
      </w:r>
      <w:r>
        <w:rPr>
          <w:spacing w:val="-2"/>
        </w:rPr>
        <w:t>后发生的事项有关的，原确认的减值损失予以转回计入当期损益；对于可供出售权益工具投资发生的减值</w:t>
      </w:r>
      <w:r>
        <w:rPr>
          <w:spacing w:val="-43"/>
        </w:rPr>
        <w:t> </w:t>
      </w:r>
      <w:r>
        <w:rPr>
          <w:spacing w:val="-43"/>
        </w:rPr>
      </w:r>
      <w:r>
        <w:rPr>
          <w:spacing w:val="-2"/>
        </w:rPr>
        <w:t>损失，在该权益工具价值回升时通过权益转回；但在活跃市场中没有报价且其公允价值不能可靠计量的权</w:t>
      </w:r>
      <w:r>
        <w:rPr>
          <w:spacing w:val="-43"/>
        </w:rPr>
        <w:t> </w:t>
      </w:r>
      <w:r>
        <w:rPr>
          <w:spacing w:val="-43"/>
        </w:rPr>
      </w:r>
      <w:r>
        <w:rPr>
          <w:spacing w:val="-2"/>
        </w:rPr>
        <w:t>益工具投资，或与该权益工具挂钩并须通过交付该权益工具结算的衍生金融资产发生的减值损失，不得转</w:t>
      </w:r>
      <w:r>
        <w:rPr>
          <w:spacing w:val="-44"/>
        </w:rPr>
        <w:t> </w:t>
      </w:r>
      <w:r>
        <w:rPr>
          <w:spacing w:val="-44"/>
        </w:rPr>
      </w:r>
      <w:r>
        <w:rPr/>
        <w:t>回。</w:t>
      </w:r>
    </w:p>
    <w:p>
      <w:pPr>
        <w:pStyle w:val="BodyText"/>
        <w:spacing w:line="268" w:lineRule="auto" w:before="12"/>
        <w:ind w:right="102"/>
        <w:jc w:val="left"/>
      </w:pPr>
      <w:r>
        <w:rPr/>
        <w:t>（</w:t>
      </w:r>
      <w:r>
        <w:rPr>
          <w:rFonts w:ascii="Times New Roman" w:hAnsi="Times New Roman" w:cs="Times New Roman" w:eastAsia="Times New Roman" w:hint="default"/>
        </w:rPr>
        <w:t>2</w:t>
      </w:r>
      <w:r>
        <w:rPr/>
        <w:t>）持有至到期投资的减值准备</w:t>
      </w:r>
      <w:r>
        <w:rPr>
          <w:w w:val="100"/>
        </w:rPr>
        <w:t> </w:t>
      </w:r>
      <w:r>
        <w:rPr>
          <w:spacing w:val="-2"/>
        </w:rPr>
        <w:t>对于持有至到期投资，有客观证据表明其发生了减值的，根据其账面价值与预计未来现金流量现值之间差</w:t>
      </w:r>
      <w:r>
        <w:rPr>
          <w:spacing w:val="-42"/>
        </w:rPr>
        <w:t> </w:t>
      </w:r>
      <w:r>
        <w:rPr>
          <w:spacing w:val="-42"/>
        </w:rPr>
      </w:r>
      <w:r>
        <w:rPr>
          <w:spacing w:val="-5"/>
        </w:rPr>
        <w:t>额计算确认减值损失；计提后如有证据表明其价值已恢复，原确认的减值损失可予以转回，记入当期损益， </w:t>
      </w:r>
      <w:r>
        <w:rPr>
          <w:spacing w:val="-5"/>
        </w:rPr>
      </w:r>
      <w:r>
        <w:rPr/>
        <w:t>但该转回的账面价值不超过假定不计提减值准备情况下该金融资产在转回日的摊余成本。</w:t>
      </w:r>
    </w:p>
    <w:p>
      <w:pPr>
        <w:pStyle w:val="BodyText"/>
        <w:spacing w:line="312" w:lineRule="exact" w:before="7"/>
        <w:ind w:right="102"/>
        <w:jc w:val="left"/>
      </w:pPr>
      <w:r>
        <w:rPr>
          <w:rFonts w:ascii="Times New Roman" w:hAnsi="Times New Roman" w:cs="Times New Roman" w:eastAsia="Times New Roman" w:hint="default"/>
          <w:b/>
          <w:bCs/>
        </w:rPr>
        <w:t>G.</w:t>
      </w:r>
      <w:r>
        <w:rPr>
          <w:rFonts w:ascii="Microsoft JhengHei" w:hAnsi="Microsoft JhengHei" w:cs="Microsoft JhengHei" w:eastAsia="Microsoft JhengHei" w:hint="default"/>
          <w:b/>
          <w:bCs/>
        </w:rPr>
        <w:t>金融资产及金融负债的抵销</w:t>
      </w:r>
      <w:r>
        <w:rPr>
          <w:rFonts w:ascii="Microsoft JhengHei" w:hAnsi="Microsoft JhengHei" w:cs="Microsoft JhengHei" w:eastAsia="Microsoft JhengHei" w:hint="default"/>
          <w:b/>
          <w:bCs/>
          <w:spacing w:val="-45"/>
        </w:rPr>
        <w:t> </w:t>
      </w:r>
      <w:r>
        <w:rPr>
          <w:rFonts w:ascii="Microsoft JhengHei" w:hAnsi="Microsoft JhengHei" w:cs="Microsoft JhengHei" w:eastAsia="Microsoft JhengHei" w:hint="default"/>
          <w:b/>
          <w:bCs/>
          <w:spacing w:val="-45"/>
        </w:rPr>
      </w:r>
      <w:r>
        <w:rPr>
          <w:spacing w:val="-2"/>
        </w:rPr>
        <w:t>金融资产和金融负债在资产负债表内分别列示，没有相互抵销。但是，同时满足下列条件的，以相互抵销</w:t>
      </w:r>
      <w:r>
        <w:rPr>
          <w:spacing w:val="-47"/>
        </w:rPr>
        <w:t> </w:t>
      </w:r>
      <w:r>
        <w:rPr>
          <w:spacing w:val="-47"/>
        </w:rPr>
      </w:r>
      <w:r>
        <w:rPr/>
        <w:t>后的净额在资产负债表内列示：</w:t>
      </w:r>
    </w:p>
    <w:p>
      <w:pPr>
        <w:pStyle w:val="BodyText"/>
        <w:spacing w:line="240" w:lineRule="auto" w:before="4"/>
        <w:ind w:right="102"/>
        <w:jc w:val="left"/>
      </w:pPr>
      <w:r>
        <w:rPr/>
        <w:t>（</w:t>
      </w:r>
      <w:r>
        <w:rPr>
          <w:rFonts w:ascii="Times New Roman" w:hAnsi="Times New Roman" w:cs="Times New Roman" w:eastAsia="Times New Roman" w:hint="default"/>
        </w:rPr>
        <w:t>1</w:t>
      </w:r>
      <w:r>
        <w:rPr/>
        <w:t>）本公司具有抵销已确认金额的法定权利，且该种法定权利是当前可执行的；</w:t>
      </w:r>
    </w:p>
    <w:p>
      <w:pPr>
        <w:pStyle w:val="BodyText"/>
        <w:spacing w:line="240" w:lineRule="auto" w:before="21"/>
        <w:ind w:right="102"/>
        <w:jc w:val="left"/>
      </w:pPr>
      <w:r>
        <w:rPr/>
        <w:t>（</w:t>
      </w:r>
      <w:r>
        <w:rPr>
          <w:rFonts w:ascii="Times New Roman" w:hAnsi="Times New Roman" w:cs="Times New Roman" w:eastAsia="Times New Roman" w:hint="default"/>
        </w:rPr>
        <w:t>2</w:t>
      </w:r>
      <w:r>
        <w:rPr/>
        <w:t>）本公司计划以净额结算，或同时变现该金融资产和清偿该金融负债。</w:t>
      </w:r>
    </w:p>
    <w:p>
      <w:pPr>
        <w:spacing w:line="240" w:lineRule="auto" w:before="6"/>
        <w:rPr>
          <w:rFonts w:ascii="宋体" w:hAnsi="宋体" w:cs="宋体" w:eastAsia="宋体" w:hint="default"/>
          <w:sz w:val="19"/>
          <w:szCs w:val="19"/>
        </w:rPr>
      </w:pPr>
    </w:p>
    <w:p>
      <w:pPr>
        <w:pStyle w:val="Heading3"/>
        <w:spacing w:line="240" w:lineRule="auto"/>
        <w:ind w:right="102"/>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02"/>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3"/>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占应收款项余额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％以上的应收款项。</w:t>
            </w:r>
          </w:p>
        </w:tc>
      </w:tr>
      <w:tr>
        <w:trPr>
          <w:trHeight w:val="102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值的应收款项，将其归入相应组合计提坏账准备。</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102"/>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无风险及关联方组合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49"/>
        <w:ind w:left="152" w:right="102"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5"/>
        <w:ind w:left="152"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2" w:right="102"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5"/>
        <w:ind w:left="152" w:right="6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40"/>
        <w:ind w:left="152"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102"/>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存在客观证据表明本公司将无法按应收款项的原有条款收回 款项。</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0"/>
              <w:ind w:left="22" w:right="70"/>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 额进行计提。</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102"/>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BodyText"/>
        <w:spacing w:line="264" w:lineRule="auto"/>
        <w:ind w:right="102"/>
        <w:jc w:val="left"/>
      </w:pPr>
      <w:r>
        <w:rPr>
          <w:rFonts w:ascii="Times New Roman" w:hAnsi="Times New Roman" w:cs="Times New Roman" w:eastAsia="Times New Roman" w:hint="default"/>
          <w:b/>
          <w:bCs/>
        </w:rPr>
        <w:t>A</w:t>
      </w:r>
      <w:r>
        <w:rPr>
          <w:rFonts w:ascii="Microsoft JhengHei" w:hAnsi="Microsoft JhengHei" w:cs="Microsoft JhengHei" w:eastAsia="Microsoft JhengHei" w:hint="default"/>
          <w:b/>
          <w:bCs/>
        </w:rPr>
        <w:t>．存货的分类</w:t>
      </w:r>
      <w:r>
        <w:rPr>
          <w:rFonts w:ascii="Microsoft JhengHei" w:hAnsi="Microsoft JhengHei" w:cs="Microsoft JhengHei" w:eastAsia="Microsoft JhengHei" w:hint="default"/>
          <w:b/>
          <w:bCs/>
          <w:spacing w:val="-46"/>
        </w:rPr>
        <w:t> </w:t>
      </w:r>
      <w:r>
        <w:rPr>
          <w:spacing w:val="-2"/>
        </w:rPr>
        <w:t>存货是指本公司在日常活动中持有以备出售的产成品或商品、处在生产过程中的在产品、在生产过程或提</w:t>
      </w:r>
      <w:r>
        <w:rPr>
          <w:spacing w:val="-43"/>
        </w:rPr>
        <w:t> </w:t>
      </w:r>
      <w:r>
        <w:rPr>
          <w:spacing w:val="-43"/>
        </w:rPr>
      </w:r>
      <w:r>
        <w:rPr>
          <w:spacing w:val="-2"/>
        </w:rPr>
        <w:t>供劳务过程中耗用的材料和物料等。主要包括原材料、半成品、产成品、发出商品、委托加工物资、包装</w:t>
      </w:r>
      <w:r>
        <w:rPr>
          <w:spacing w:val="-42"/>
        </w:rPr>
        <w:t> </w:t>
      </w:r>
      <w:r>
        <w:rPr>
          <w:spacing w:val="-42"/>
        </w:rPr>
      </w:r>
      <w:r>
        <w:rPr/>
        <w:t>物等等。</w:t>
      </w:r>
    </w:p>
    <w:p>
      <w:pPr>
        <w:pStyle w:val="BodyText"/>
        <w:spacing w:line="312" w:lineRule="exact" w:before="12"/>
        <w:ind w:right="102"/>
        <w:jc w:val="left"/>
      </w:pPr>
      <w:r>
        <w:rPr>
          <w:rFonts w:ascii="Times New Roman" w:hAnsi="Times New Roman" w:cs="Times New Roman" w:eastAsia="Times New Roman" w:hint="default"/>
          <w:b/>
          <w:bCs/>
        </w:rPr>
        <w:t>B</w:t>
      </w:r>
      <w:r>
        <w:rPr>
          <w:rFonts w:ascii="Microsoft JhengHei" w:hAnsi="Microsoft JhengHei" w:cs="Microsoft JhengHei" w:eastAsia="Microsoft JhengHei" w:hint="default"/>
          <w:b/>
          <w:bCs/>
        </w:rPr>
        <w:t>．存货的计价方法</w:t>
      </w:r>
      <w:r>
        <w:rPr>
          <w:rFonts w:ascii="Microsoft JhengHei" w:hAnsi="Microsoft JhengHei" w:cs="Microsoft JhengHei" w:eastAsia="Microsoft JhengHei" w:hint="default"/>
          <w:b/>
          <w:bCs/>
          <w:spacing w:val="-45"/>
        </w:rPr>
        <w:t> </w:t>
      </w:r>
      <w:r>
        <w:rPr>
          <w:spacing w:val="-2"/>
        </w:rPr>
        <w:t>存货在取得时，按成本进行初始计量，包括采购成本、加工成本和其他成本。存货发出时按月末一次加权</w:t>
      </w:r>
      <w:r>
        <w:rPr>
          <w:spacing w:val="-50"/>
        </w:rPr>
        <w:t> </w:t>
      </w:r>
      <w:r>
        <w:rPr>
          <w:spacing w:val="-50"/>
        </w:rPr>
      </w:r>
      <w:r>
        <w:rPr/>
        <w:t>平均法计价。</w:t>
      </w:r>
    </w:p>
    <w:p>
      <w:pPr>
        <w:spacing w:line="312" w:lineRule="exact" w:before="0"/>
        <w:ind w:left="152"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C</w:t>
      </w:r>
      <w:r>
        <w:rPr>
          <w:rFonts w:ascii="Microsoft JhengHei" w:hAnsi="Microsoft JhengHei" w:cs="Microsoft JhengHei" w:eastAsia="Microsoft JhengHei" w:hint="default"/>
          <w:b/>
          <w:bCs/>
          <w:sz w:val="21"/>
          <w:szCs w:val="21"/>
        </w:rPr>
        <w:t>．存货可变现净值的确定依据及存货跌价准备的计提方法</w:t>
      </w:r>
      <w:r>
        <w:rPr>
          <w:rFonts w:ascii="Microsoft JhengHei" w:hAnsi="Microsoft JhengHei" w:cs="Microsoft JhengHei" w:eastAsia="Microsoft JhengHei" w:hint="default"/>
          <w:b/>
          <w:bCs/>
          <w:spacing w:val="-32"/>
          <w:sz w:val="21"/>
          <w:szCs w:val="21"/>
        </w:rPr>
        <w:t> </w:t>
      </w:r>
      <w:r>
        <w:rPr>
          <w:rFonts w:ascii="Microsoft JhengHei" w:hAnsi="Microsoft JhengHei" w:cs="Microsoft JhengHei" w:eastAsia="Microsoft JhengHei" w:hint="default"/>
          <w:b/>
          <w:bCs/>
          <w:spacing w:val="-32"/>
          <w:sz w:val="21"/>
          <w:szCs w:val="21"/>
        </w:rPr>
      </w:r>
      <w:r>
        <w:rPr>
          <w:rFonts w:ascii="宋体" w:hAnsi="宋体" w:cs="宋体" w:eastAsia="宋体" w:hint="default"/>
          <w:spacing w:val="-2"/>
          <w:sz w:val="21"/>
          <w:szCs w:val="21"/>
        </w:rPr>
        <w:t>期末对存货进行全面清查后，按存货的成本与可变现净值孰低提取或调整存货跌价准备。产成品、库存商</w:t>
      </w:r>
    </w:p>
    <w:p>
      <w:pPr>
        <w:pStyle w:val="BodyText"/>
        <w:spacing w:line="273" w:lineRule="auto" w:before="5"/>
        <w:ind w:right="102"/>
        <w:jc w:val="left"/>
      </w:pPr>
      <w:r>
        <w:rPr>
          <w:spacing w:val="-2"/>
        </w:rPr>
        <w:t>品和用于出售的材料等直接用于出售的商品存货，在正常生产经营过程中，以该存货的估计售价减去估计</w:t>
      </w:r>
      <w:r>
        <w:rPr>
          <w:spacing w:val="-42"/>
        </w:rPr>
        <w:t> </w:t>
      </w:r>
      <w:r>
        <w:rPr>
          <w:spacing w:val="-42"/>
        </w:rPr>
      </w:r>
      <w:r>
        <w:rPr>
          <w:spacing w:val="-5"/>
        </w:rPr>
        <w:t>的销售费用和相关税费后的金额，确定其可变现净值；需要经过加工的材料存货，在正常生产经营过程中， </w:t>
      </w:r>
      <w:r>
        <w:rPr>
          <w:spacing w:val="-5"/>
        </w:rPr>
      </w:r>
      <w:r>
        <w:rPr/>
        <w:t>以所生产的产成品的估计售价减去至完工时估计将要发生的成本、估计的销售费用和相关税费后的金额，</w:t>
      </w:r>
      <w:r>
        <w:rPr>
          <w:w w:val="100"/>
        </w:rPr>
        <w:t> </w:t>
      </w:r>
      <w:r>
        <w:rPr/>
        <w:t>确定其可变现净值；为执行销售合同或者劳务合同而持有的存货，其可变现净值以合同价格为基础计算，</w:t>
      </w:r>
      <w:r>
        <w:rPr>
          <w:w w:val="100"/>
        </w:rPr>
        <w:t> </w:t>
      </w:r>
      <w:r>
        <w:rPr/>
        <w:t>若持有存货的数量多于销售合同订购数量的，超出部分的存货的可变现净值以一般销售价格为基础计算。</w:t>
      </w:r>
      <w:r>
        <w:rPr>
          <w:w w:val="100"/>
        </w:rPr>
        <w:t> </w:t>
      </w:r>
      <w:r>
        <w:rPr>
          <w:spacing w:val="-2"/>
        </w:rPr>
        <w:t>期末按照单个存货项目计提存货跌价准备；但对于数量繁多、单价较低的存货，按照存货类别计提存货跌</w:t>
      </w:r>
      <w:r>
        <w:rPr>
          <w:spacing w:val="-44"/>
        </w:rPr>
        <w:t> </w:t>
      </w:r>
      <w:r>
        <w:rPr>
          <w:spacing w:val="-44"/>
        </w:rPr>
      </w:r>
      <w:r>
        <w:rPr>
          <w:spacing w:val="-2"/>
        </w:rPr>
        <w:t>价准备；与在同一地区生产和销售的产品系列相关、具有相同或类似最终用途或目的，且难以与其他项目</w:t>
      </w:r>
      <w:r>
        <w:rPr>
          <w:spacing w:val="-44"/>
        </w:rPr>
        <w:t> </w:t>
      </w:r>
      <w:r>
        <w:rPr>
          <w:spacing w:val="-44"/>
        </w:rPr>
      </w:r>
      <w:r>
        <w:rPr/>
        <w:t>分开计量的存货，则合并计提存货跌价准备。</w:t>
      </w:r>
      <w:r>
        <w:rPr>
          <w:w w:val="100"/>
        </w:rPr>
        <w:t> </w:t>
      </w:r>
      <w:r>
        <w:rPr>
          <w:spacing w:val="-2"/>
        </w:rPr>
        <w:t>以前减记存货价值的影响因素已经消失的，减记的金额予以恢复，并在原已计提的存货跌价准备金额内转</w:t>
      </w:r>
      <w:r>
        <w:rPr>
          <w:spacing w:val="-43"/>
        </w:rPr>
        <w:t> </w:t>
      </w:r>
      <w:r>
        <w:rPr>
          <w:spacing w:val="-43"/>
        </w:rPr>
      </w:r>
      <w:r>
        <w:rPr/>
        <w:t>回，转回的金额计入当期损益。</w:t>
      </w:r>
    </w:p>
    <w:p>
      <w:pPr>
        <w:spacing w:line="312" w:lineRule="exact" w:before="4"/>
        <w:ind w:left="152" w:right="654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D</w:t>
      </w:r>
      <w:r>
        <w:rPr>
          <w:rFonts w:ascii="Microsoft JhengHei" w:hAnsi="Microsoft JhengHei" w:cs="Microsoft JhengHei" w:eastAsia="Microsoft JhengHei" w:hint="default"/>
          <w:b/>
          <w:bCs/>
          <w:sz w:val="21"/>
          <w:szCs w:val="21"/>
        </w:rPr>
        <w:t>．存货的盘存制度</w:t>
      </w:r>
      <w:r>
        <w:rPr>
          <w:rFonts w:ascii="Microsoft JhengHei" w:hAnsi="Microsoft JhengHei" w:cs="Microsoft JhengHei" w:eastAsia="Microsoft JhengHei" w:hint="default"/>
          <w:b/>
          <w:bCs/>
          <w:spacing w:val="-44"/>
          <w:sz w:val="21"/>
          <w:szCs w:val="21"/>
        </w:rPr>
        <w:t> </w:t>
      </w:r>
      <w:r>
        <w:rPr>
          <w:rFonts w:ascii="宋体" w:hAnsi="宋体" w:cs="宋体" w:eastAsia="宋体" w:hint="default"/>
          <w:sz w:val="21"/>
          <w:szCs w:val="21"/>
        </w:rPr>
        <w:t>采用永续盘存制。</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E</w:t>
      </w:r>
      <w:r>
        <w:rPr>
          <w:rFonts w:ascii="Microsoft JhengHei" w:hAnsi="Microsoft JhengHei" w:cs="Microsoft JhengHei" w:eastAsia="Microsoft JhengHei" w:hint="default"/>
          <w:b/>
          <w:bCs/>
          <w:sz w:val="21"/>
          <w:szCs w:val="21"/>
        </w:rPr>
        <w:t>．低值易耗品和包装物的摊销方法</w:t>
      </w:r>
      <w:r>
        <w:rPr>
          <w:rFonts w:ascii="Microsoft JhengHei" w:hAnsi="Microsoft JhengHei" w:cs="Microsoft JhengHei" w:eastAsia="Microsoft JhengHei" w:hint="default"/>
          <w:sz w:val="21"/>
          <w:szCs w:val="21"/>
        </w:rPr>
      </w:r>
    </w:p>
    <w:p>
      <w:pPr>
        <w:pStyle w:val="BodyText"/>
        <w:spacing w:line="240" w:lineRule="auto" w:before="4"/>
        <w:ind w:right="102"/>
        <w:jc w:val="left"/>
      </w:pPr>
      <w:r>
        <w:rPr/>
        <w:t>（</w:t>
      </w:r>
      <w:r>
        <w:rPr>
          <w:rFonts w:ascii="Times New Roman" w:hAnsi="Times New Roman" w:cs="Times New Roman" w:eastAsia="Times New Roman" w:hint="default"/>
        </w:rPr>
        <w:t>1</w:t>
      </w:r>
      <w:r>
        <w:rPr/>
        <w:t>）低值易耗品采用一次转销法；</w:t>
      </w:r>
    </w:p>
    <w:p>
      <w:pPr>
        <w:spacing w:after="0" w:line="240"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BodyText"/>
        <w:spacing w:line="240" w:lineRule="auto" w:before="36"/>
        <w:ind w:right="102"/>
        <w:jc w:val="left"/>
      </w:pPr>
      <w:r>
        <w:rPr/>
        <w:t>（</w:t>
      </w:r>
      <w:r>
        <w:rPr>
          <w:rFonts w:ascii="Times New Roman" w:hAnsi="Times New Roman" w:cs="Times New Roman" w:eastAsia="Times New Roman" w:hint="default"/>
        </w:rPr>
        <w:t>2</w:t>
      </w:r>
      <w:r>
        <w:rPr/>
        <w:t>）包装物采用一次转销法。</w:t>
      </w:r>
    </w:p>
    <w:p>
      <w:pPr>
        <w:spacing w:line="240" w:lineRule="auto" w:before="6"/>
        <w:rPr>
          <w:rFonts w:ascii="宋体" w:hAnsi="宋体" w:cs="宋体" w:eastAsia="宋体" w:hint="default"/>
          <w:sz w:val="19"/>
          <w:szCs w:val="19"/>
        </w:rPr>
      </w:pPr>
    </w:p>
    <w:p>
      <w:pPr>
        <w:pStyle w:val="Heading3"/>
        <w:spacing w:line="240" w:lineRule="auto"/>
        <w:ind w:right="102"/>
        <w:jc w:val="left"/>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249" w:lineRule="auto" w:before="0"/>
        <w:ind w:left="152"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．划分为持有待售确认标准</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2"/>
          <w:sz w:val="21"/>
          <w:szCs w:val="21"/>
        </w:rPr>
        <w:t>本公司将同时满足下列条件的企业组成部分（或非流动资产）确认为持有待售组成部分：</w:t>
      </w:r>
    </w:p>
    <w:p>
      <w:pPr>
        <w:pStyle w:val="BodyText"/>
        <w:spacing w:line="240" w:lineRule="auto" w:before="28"/>
        <w:ind w:right="102"/>
        <w:jc w:val="left"/>
      </w:pPr>
      <w:r>
        <w:rPr/>
        <w:t>（</w:t>
      </w:r>
      <w:r>
        <w:rPr>
          <w:rFonts w:ascii="Times New Roman" w:hAnsi="Times New Roman" w:cs="Times New Roman" w:eastAsia="Times New Roman" w:hint="default"/>
        </w:rPr>
        <w:t>1</w:t>
      </w:r>
      <w:r>
        <w:rPr/>
        <w:t>）该组成部分必须在其当前状况下仅根据出售此类组成部分的惯常条款即可立即出售；</w:t>
      </w:r>
    </w:p>
    <w:p>
      <w:pPr>
        <w:pStyle w:val="BodyText"/>
        <w:spacing w:line="256" w:lineRule="auto" w:before="21"/>
        <w:ind w:right="102"/>
        <w:jc w:val="left"/>
      </w:pPr>
      <w:r>
        <w:rPr/>
        <w:t>（</w:t>
      </w:r>
      <w:r>
        <w:rPr>
          <w:rFonts w:ascii="Times New Roman" w:hAnsi="Times New Roman" w:cs="Times New Roman" w:eastAsia="Times New Roman" w:hint="default"/>
        </w:rPr>
        <w:t>2</w:t>
      </w:r>
      <w:r>
        <w:rPr/>
        <w:t>）企业已经就处置该组成部分作出决议，如按规定需得到股东批准的，已经取得股东大会或相应权力</w:t>
      </w:r>
      <w:r>
        <w:rPr>
          <w:spacing w:val="-25"/>
        </w:rPr>
        <w:t> </w:t>
      </w:r>
      <w:r>
        <w:rPr>
          <w:spacing w:val="-25"/>
        </w:rPr>
      </w:r>
      <w:r>
        <w:rPr/>
        <w:t>机构的批准；</w:t>
      </w:r>
    </w:p>
    <w:p>
      <w:pPr>
        <w:pStyle w:val="BodyText"/>
        <w:spacing w:line="240" w:lineRule="auto" w:before="22"/>
        <w:ind w:right="102"/>
        <w:jc w:val="left"/>
      </w:pPr>
      <w:r>
        <w:rPr/>
        <w:t>（</w:t>
      </w:r>
      <w:r>
        <w:rPr>
          <w:rFonts w:ascii="Times New Roman" w:hAnsi="Times New Roman" w:cs="Times New Roman" w:eastAsia="Times New Roman" w:hint="default"/>
        </w:rPr>
        <w:t>3</w:t>
      </w:r>
      <w:r>
        <w:rPr/>
        <w:t>）企业已经与受让方签订了不可撤销的转让协议；</w:t>
      </w:r>
    </w:p>
    <w:p>
      <w:pPr>
        <w:pStyle w:val="BodyText"/>
        <w:spacing w:line="268" w:lineRule="exact" w:before="22"/>
        <w:ind w:right="102"/>
        <w:jc w:val="left"/>
      </w:pPr>
      <w:r>
        <w:rPr/>
        <w:t>（</w:t>
      </w:r>
      <w:r>
        <w:rPr>
          <w:rFonts w:ascii="Times New Roman" w:hAnsi="Times New Roman" w:cs="Times New Roman" w:eastAsia="Times New Roman" w:hint="default"/>
        </w:rPr>
        <w:t>4</w:t>
      </w:r>
      <w:r>
        <w:rPr/>
        <w:t>）该项转让将在一年内完成。</w:t>
      </w:r>
    </w:p>
    <w:p>
      <w:pPr>
        <w:pStyle w:val="BodyText"/>
        <w:spacing w:line="312" w:lineRule="exact" w:before="39"/>
        <w:ind w:right="102"/>
        <w:jc w:val="left"/>
      </w:pP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．划分为持有待售核算方法</w:t>
      </w:r>
      <w:r>
        <w:rPr>
          <w:rFonts w:ascii="Microsoft JhengHei" w:hAnsi="Microsoft JhengHei" w:cs="Microsoft JhengHei" w:eastAsia="Microsoft JhengHei" w:hint="default"/>
          <w:b/>
          <w:bCs/>
          <w:spacing w:val="-44"/>
        </w:rPr>
        <w:t> </w:t>
      </w:r>
      <w:r>
        <w:rPr>
          <w:rFonts w:ascii="Microsoft JhengHei" w:hAnsi="Microsoft JhengHei" w:cs="Microsoft JhengHei" w:eastAsia="Microsoft JhengHei" w:hint="default"/>
          <w:b/>
          <w:bCs/>
          <w:spacing w:val="-44"/>
        </w:rPr>
      </w:r>
      <w:r>
        <w:rPr>
          <w:spacing w:val="-2"/>
        </w:rPr>
        <w:t>本公司对于持有待售的固定资产，调整该项固定资产的预计净残值，使该固定资产的预计净残值反映其公</w:t>
      </w:r>
      <w:r>
        <w:rPr>
          <w:spacing w:val="-44"/>
        </w:rPr>
        <w:t> </w:t>
      </w:r>
      <w:r>
        <w:rPr>
          <w:spacing w:val="-44"/>
        </w:rPr>
      </w:r>
      <w:r>
        <w:rPr/>
        <w:t>允价值减去处置费用后的金额，但不超过符合持有待售条件时该项固定资产的原账面价值，原账面价值高</w:t>
      </w:r>
      <w:r>
        <w:rPr>
          <w:w w:val="100"/>
        </w:rPr>
        <w:t> </w:t>
      </w:r>
      <w:r>
        <w:rPr>
          <w:spacing w:val="-5"/>
        </w:rPr>
        <w:t>于调整后预计净残值的差额，应作为资产减值损失计入当期损益。持有待售的固定资产不计提折旧或摊销， </w:t>
      </w:r>
      <w:r>
        <w:rPr>
          <w:spacing w:val="-5"/>
        </w:rPr>
      </w:r>
      <w:r>
        <w:rPr/>
        <w:t>按照账面价值与公允价值减去处置费用后的净额孰低进行计量。</w:t>
      </w:r>
      <w:r>
        <w:rPr>
          <w:w w:val="100"/>
        </w:rPr>
        <w:t> </w:t>
      </w:r>
      <w:r>
        <w:rPr/>
        <w:t>符合持有待售条件的权益性投资、无形资产等其他非流动资产，比照上述原则处理，但不包括递延所得税</w:t>
      </w:r>
      <w:r>
        <w:rPr>
          <w:w w:val="100"/>
        </w:rPr>
        <w:t> </w:t>
      </w:r>
      <w:r>
        <w:rPr>
          <w:spacing w:val="-2"/>
        </w:rPr>
        <w:t>资产、《企业会计准则第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金融工具确认和计量》规范的金融资产、以公允价值计量的投资性房地</w:t>
      </w:r>
      <w:r>
        <w:rPr>
          <w:spacing w:val="-45"/>
        </w:rPr>
        <w:t> </w:t>
      </w:r>
      <w:r>
        <w:rPr>
          <w:spacing w:val="-45"/>
        </w:rPr>
      </w:r>
      <w:r>
        <w:rPr/>
        <w:t>产和生物资产、保险合同中产生的合同权利。</w:t>
      </w:r>
    </w:p>
    <w:p>
      <w:pPr>
        <w:pStyle w:val="Heading3"/>
        <w:spacing w:line="612" w:lineRule="exact" w:before="60"/>
        <w:ind w:right="8002"/>
        <w:jc w:val="left"/>
        <w:rPr>
          <w:b w:val="0"/>
          <w:bCs w:val="0"/>
        </w:rPr>
      </w:pPr>
      <w:r>
        <w:rPr>
          <w:rFonts w:ascii="Times New Roman" w:hAnsi="Times New Roman" w:cs="Times New Roman" w:eastAsia="Times New Roman" w:hint="default"/>
        </w:rPr>
        <w:t>14</w:t>
      </w:r>
      <w:r>
        <w:rPr/>
        <w:t>、长期股权投资</w:t>
      </w:r>
      <w:r>
        <w:rPr>
          <w:spacing w:val="-45"/>
        </w:rPr>
        <w:t> </w:t>
      </w:r>
      <w:r>
        <w:rPr>
          <w:rFonts w:ascii="Times New Roman" w:hAnsi="Times New Roman" w:cs="Times New Roman" w:eastAsia="Times New Roman" w:hint="default"/>
        </w:rPr>
        <w:t>A</w:t>
      </w:r>
      <w:r>
        <w:rPr/>
        <w:t>．投资成本的确定</w:t>
      </w:r>
      <w:r>
        <w:rPr>
          <w:b w:val="0"/>
          <w:bCs w:val="0"/>
        </w:rPr>
      </w:r>
    </w:p>
    <w:p>
      <w:pPr>
        <w:pStyle w:val="BodyText"/>
        <w:spacing w:line="235" w:lineRule="exact"/>
        <w:ind w:right="102"/>
        <w:jc w:val="left"/>
      </w:pPr>
      <w:r>
        <w:rPr/>
        <w:t>（</w:t>
      </w:r>
      <w:r>
        <w:rPr>
          <w:rFonts w:ascii="Times New Roman" w:hAnsi="Times New Roman" w:cs="Times New Roman" w:eastAsia="Times New Roman" w:hint="default"/>
        </w:rPr>
        <w:t>1</w:t>
      </w:r>
      <w:r>
        <w:rPr/>
        <w:t>）企业合并形成的长期股权投资，具体会计政策详见本附注四／（五）同一控制下和非同一控制下企</w:t>
      </w:r>
    </w:p>
    <w:p>
      <w:pPr>
        <w:pStyle w:val="BodyText"/>
        <w:spacing w:line="240" w:lineRule="auto" w:before="21"/>
        <w:ind w:right="102"/>
        <w:jc w:val="left"/>
      </w:pPr>
      <w:r>
        <w:rPr/>
        <w:t>业合并的会计处理方法</w:t>
      </w:r>
    </w:p>
    <w:p>
      <w:pPr>
        <w:pStyle w:val="BodyText"/>
        <w:spacing w:line="271" w:lineRule="auto" w:before="37"/>
        <w:ind w:right="102"/>
        <w:jc w:val="left"/>
      </w:pPr>
      <w:r>
        <w:rPr/>
        <w:t>（</w:t>
      </w:r>
      <w:r>
        <w:rPr>
          <w:rFonts w:ascii="Times New Roman" w:hAnsi="Times New Roman" w:cs="Times New Roman" w:eastAsia="Times New Roman" w:hint="default"/>
        </w:rPr>
        <w:t>2</w:t>
      </w:r>
      <w:r>
        <w:rPr/>
        <w:t>）其他方式取得的长期股权投资</w:t>
      </w:r>
      <w:r>
        <w:rPr>
          <w:w w:val="100"/>
        </w:rPr>
        <w:t> </w:t>
      </w:r>
      <w:r>
        <w:rPr>
          <w:spacing w:val="-2"/>
        </w:rPr>
        <w:t>以支付现金方式取得的长期股权投资，按照实际支付的购买价款作为初始投资成本。初始投资成本包括与</w:t>
      </w:r>
      <w:r>
        <w:rPr>
          <w:spacing w:val="-44"/>
        </w:rPr>
        <w:t> </w:t>
      </w:r>
      <w:r>
        <w:rPr>
          <w:spacing w:val="-44"/>
        </w:rPr>
      </w:r>
      <w:r>
        <w:rPr/>
        <w:t>取得长期股权投资直接相关的费用、税金及其他必要支出。</w:t>
      </w:r>
      <w:r>
        <w:rPr>
          <w:w w:val="100"/>
        </w:rPr>
        <w:t> </w:t>
      </w:r>
      <w:r>
        <w:rPr>
          <w:spacing w:val="-2"/>
        </w:rPr>
        <w:t>以发行权益性证券取得的长期股权投资，按照发行权益性证券的公允价值作为初始投资成本；发行或取得</w:t>
      </w:r>
      <w:r>
        <w:rPr>
          <w:spacing w:val="-43"/>
        </w:rPr>
        <w:t> </w:t>
      </w:r>
      <w:r>
        <w:rPr>
          <w:spacing w:val="-43"/>
        </w:rPr>
      </w:r>
      <w:r>
        <w:rPr/>
        <w:t>自身权益工具时发生的交易费用，可直接归属于权益性交易的从权益中扣减。</w:t>
      </w:r>
      <w:r>
        <w:rPr>
          <w:w w:val="100"/>
        </w:rPr>
        <w:t> </w:t>
      </w:r>
      <w:r>
        <w:rPr>
          <w:spacing w:val="-2"/>
        </w:rPr>
        <w:t>在非货币性资产交换具备商业实质和换入资产或换出资产的公允价值能够可靠计量的前提下，非货币性资</w:t>
      </w:r>
      <w:r>
        <w:rPr>
          <w:spacing w:val="-42"/>
        </w:rPr>
        <w:t> </w:t>
      </w:r>
      <w:r>
        <w:rPr>
          <w:spacing w:val="-42"/>
        </w:rPr>
      </w:r>
      <w:r>
        <w:rPr>
          <w:spacing w:val="-2"/>
        </w:rPr>
        <w:t>产交换换入的长期股权投资以换出资产的公允价值为基础确定其初始投资成本，除非有确凿证据表明换入</w:t>
      </w:r>
      <w:r>
        <w:rPr>
          <w:spacing w:val="-43"/>
        </w:rPr>
        <w:t> </w:t>
      </w:r>
      <w:r>
        <w:rPr>
          <w:spacing w:val="-43"/>
        </w:rPr>
      </w:r>
      <w:r>
        <w:rPr>
          <w:spacing w:val="-2"/>
        </w:rPr>
        <w:t>资产的公允价值更加可靠；不满足上述前提的非货币性资产交换，以换出资产的账面价值和应支付的相关</w:t>
      </w:r>
      <w:r>
        <w:rPr>
          <w:spacing w:val="-43"/>
        </w:rPr>
        <w:t> </w:t>
      </w:r>
      <w:r>
        <w:rPr>
          <w:spacing w:val="-43"/>
        </w:rPr>
      </w:r>
      <w:r>
        <w:rPr/>
        <w:t>税费作为换入长期股权投资的初始投资成本。</w:t>
      </w:r>
      <w:r>
        <w:rPr>
          <w:w w:val="100"/>
        </w:rPr>
        <w:t> </w:t>
      </w:r>
      <w:r>
        <w:rPr/>
        <w:t>通过债务重组取得的长期股权投资，其初始投资成本按照公允价值为基础确定。</w:t>
      </w:r>
    </w:p>
    <w:p>
      <w:pPr>
        <w:pStyle w:val="Heading3"/>
        <w:spacing w:line="309" w:lineRule="exact"/>
        <w:ind w:right="102"/>
        <w:jc w:val="left"/>
        <w:rPr>
          <w:b w:val="0"/>
          <w:bCs w:val="0"/>
        </w:rPr>
      </w:pPr>
      <w:r>
        <w:rPr>
          <w:rFonts w:ascii="Times New Roman" w:hAnsi="Times New Roman" w:cs="Times New Roman" w:eastAsia="Times New Roman" w:hint="default"/>
        </w:rPr>
        <w:t>B</w:t>
      </w:r>
      <w:r>
        <w:rPr/>
        <w:t>．后续计量及损益确认</w:t>
      </w:r>
      <w:r>
        <w:rPr>
          <w:b w:val="0"/>
          <w:bCs w:val="0"/>
        </w:rPr>
      </w:r>
    </w:p>
    <w:p>
      <w:pPr>
        <w:pStyle w:val="BodyText"/>
        <w:spacing w:line="268" w:lineRule="auto" w:before="13"/>
        <w:ind w:right="102"/>
        <w:jc w:val="left"/>
      </w:pPr>
      <w:r>
        <w:rPr/>
        <w:t>（</w:t>
      </w:r>
      <w:r>
        <w:rPr>
          <w:rFonts w:ascii="Times New Roman" w:hAnsi="Times New Roman" w:cs="Times New Roman" w:eastAsia="Times New Roman" w:hint="default"/>
        </w:rPr>
        <w:t>1</w:t>
      </w:r>
      <w:r>
        <w:rPr/>
        <w:t>）成本法</w:t>
      </w:r>
      <w:r>
        <w:rPr>
          <w:w w:val="100"/>
        </w:rPr>
        <w:t> </w:t>
      </w:r>
      <w:r>
        <w:rPr>
          <w:spacing w:val="-2"/>
        </w:rPr>
        <w:t>本公司能够对被投资单位实施控制的长期股权投资采用成本法核算，并按照初始投资成本计价，追加或收</w:t>
      </w:r>
      <w:r>
        <w:rPr>
          <w:spacing w:val="-43"/>
        </w:rPr>
        <w:t> </w:t>
      </w:r>
      <w:r>
        <w:rPr>
          <w:spacing w:val="-43"/>
        </w:rPr>
      </w:r>
      <w:r>
        <w:rPr/>
        <w:t>回投资调整长期股权投资的成本。</w:t>
      </w:r>
      <w:r>
        <w:rPr>
          <w:w w:val="100"/>
        </w:rPr>
        <w:t> </w:t>
      </w:r>
      <w:r>
        <w:rPr>
          <w:spacing w:val="-2"/>
        </w:rPr>
        <w:t>除取得投资时实际支付的价款或对价中包含的已宣告但尚未发放的现金股利或利润外，本公司按照享有被</w:t>
      </w:r>
      <w:r>
        <w:rPr>
          <w:spacing w:val="-43"/>
        </w:rPr>
        <w:t> </w:t>
      </w:r>
      <w:r>
        <w:rPr>
          <w:spacing w:val="-43"/>
        </w:rPr>
      </w:r>
      <w:r>
        <w:rPr/>
        <w:t>投资单位宣告分派的现金股利或利润确认为当期投资收益。</w:t>
      </w:r>
    </w:p>
    <w:p>
      <w:pPr>
        <w:pStyle w:val="BodyText"/>
        <w:spacing w:line="264" w:lineRule="auto" w:before="12"/>
        <w:ind w:right="102"/>
        <w:jc w:val="left"/>
      </w:pPr>
      <w:r>
        <w:rPr/>
        <w:t>（</w:t>
      </w:r>
      <w:r>
        <w:rPr>
          <w:rFonts w:ascii="Times New Roman" w:hAnsi="Times New Roman" w:cs="Times New Roman" w:eastAsia="Times New Roman" w:hint="default"/>
        </w:rPr>
        <w:t>2</w:t>
      </w:r>
      <w:r>
        <w:rPr/>
        <w:t>）权益法</w:t>
      </w:r>
      <w:r>
        <w:rPr>
          <w:w w:val="100"/>
        </w:rPr>
        <w:t> </w:t>
      </w:r>
      <w:r>
        <w:rPr>
          <w:spacing w:val="-2"/>
        </w:rPr>
        <w:t>本公司对联营企业和合营企业的长期股权投资采用权益法核算；对于其中一部分通过风险投资机构、共同</w:t>
      </w:r>
      <w:r>
        <w:rPr>
          <w:spacing w:val="-43"/>
        </w:rPr>
        <w:t> </w:t>
      </w:r>
      <w:r>
        <w:rPr>
          <w:spacing w:val="-43"/>
        </w:rPr>
      </w:r>
      <w:r>
        <w:rPr>
          <w:spacing w:val="-2"/>
        </w:rPr>
        <w:t>基金、信托公司或包括投连险基金在内的类似主体间接持有的联营企业的权益性投资，采用公允价值计量</w:t>
      </w:r>
    </w:p>
    <w:p>
      <w:pPr>
        <w:spacing w:after="0" w:line="264"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BodyText"/>
        <w:spacing w:line="273" w:lineRule="auto" w:before="36"/>
        <w:ind w:right="0"/>
        <w:jc w:val="left"/>
      </w:pPr>
      <w:r>
        <w:rPr/>
        <w:t>且其变动计入损益。</w:t>
      </w:r>
      <w:r>
        <w:rPr>
          <w:w w:val="100"/>
        </w:rPr>
        <w:t> </w:t>
      </w:r>
      <w:r>
        <w:rPr>
          <w:spacing w:val="-2"/>
        </w:rPr>
        <w:t>长期股权投资的初始投资成本大于投资时应享有被投资单位可辨认净资产公允价值份额的差额，不调整长</w:t>
      </w:r>
      <w:r>
        <w:rPr>
          <w:spacing w:val="-43"/>
        </w:rPr>
        <w:t> </w:t>
      </w:r>
      <w:r>
        <w:rPr>
          <w:spacing w:val="-43"/>
        </w:rPr>
      </w:r>
      <w:r>
        <w:rPr>
          <w:spacing w:val="-2"/>
        </w:rPr>
        <w:t>期股权投资的初始投资成本；初始投资成本小于投资时应享有被投资单位可辨认净资产公允价值份额的差</w:t>
      </w:r>
      <w:r>
        <w:rPr>
          <w:spacing w:val="-43"/>
        </w:rPr>
        <w:t> </w:t>
      </w:r>
      <w:r>
        <w:rPr>
          <w:spacing w:val="-43"/>
        </w:rPr>
      </w:r>
      <w:r>
        <w:rPr/>
        <w:t>额，计入当期损益。</w:t>
      </w:r>
      <w:r>
        <w:rPr>
          <w:w w:val="100"/>
        </w:rPr>
        <w:t> </w:t>
      </w:r>
      <w:r>
        <w:rPr>
          <w:spacing w:val="-2"/>
        </w:rPr>
        <w:t>本公司取得长期股权投资后，按照应享有或应分担的被投资单位实现的净损益和其他综合收益的份额，分</w:t>
      </w:r>
      <w:r>
        <w:rPr>
          <w:spacing w:val="-44"/>
        </w:rPr>
        <w:t> </w:t>
      </w:r>
      <w:r>
        <w:rPr>
          <w:spacing w:val="-44"/>
        </w:rPr>
      </w:r>
      <w:r>
        <w:rPr>
          <w:spacing w:val="-2"/>
        </w:rPr>
        <w:t>别确认投资收益和其他综合收益，同时调整长期股权投资的账面价值；并按照被投资单位宣告分派的利润</w:t>
      </w:r>
      <w:r>
        <w:rPr>
          <w:spacing w:val="-43"/>
        </w:rPr>
        <w:t> </w:t>
      </w:r>
      <w:r>
        <w:rPr>
          <w:spacing w:val="-43"/>
        </w:rPr>
      </w:r>
      <w:r>
        <w:rPr>
          <w:spacing w:val="-2"/>
        </w:rPr>
        <w:t>或现金股利计算应享有的部分，相应减少长期股权投资的账面价值；对于被投资单位除净损益、其他综合</w:t>
      </w:r>
      <w:r>
        <w:rPr>
          <w:spacing w:val="-44"/>
        </w:rPr>
        <w:t> </w:t>
      </w:r>
      <w:r>
        <w:rPr>
          <w:spacing w:val="-44"/>
        </w:rPr>
      </w:r>
      <w:r>
        <w:rPr/>
        <w:t>收益和利润分配以外所有者权益的其他变动，调整长期股权投资的账面价值并计入所有者权益。</w:t>
      </w:r>
      <w:r>
        <w:rPr>
          <w:w w:val="100"/>
        </w:rPr>
        <w:t> </w:t>
      </w:r>
      <w:r>
        <w:rPr>
          <w:spacing w:val="-2"/>
        </w:rPr>
        <w:t>本公司在确认应享有被投资单位净损益的份额时，以取得投资时被投资单位各项可辨认资产等的公允价值</w:t>
      </w:r>
      <w:r>
        <w:rPr>
          <w:spacing w:val="-43"/>
        </w:rPr>
        <w:t> </w:t>
      </w:r>
      <w:r>
        <w:rPr>
          <w:spacing w:val="-43"/>
        </w:rPr>
      </w:r>
      <w:r>
        <w:rPr>
          <w:spacing w:val="-2"/>
        </w:rPr>
        <w:t>为基础，对被投资单位的净利润进行调整后确认。本公司与联营企业、合营企业之间发生的未实现内部交</w:t>
      </w:r>
      <w:r>
        <w:rPr>
          <w:spacing w:val="-41"/>
        </w:rPr>
        <w:t> </w:t>
      </w:r>
      <w:r>
        <w:rPr>
          <w:spacing w:val="-41"/>
        </w:rPr>
      </w:r>
      <w:r>
        <w:rPr/>
        <w:t>易损益按照应享有的比例计算归属于本公司的部分予以抵销，在此基础上确认投资损益。</w:t>
      </w:r>
      <w:r>
        <w:rPr>
          <w:w w:val="100"/>
        </w:rPr>
        <w:t> </w:t>
      </w:r>
      <w:r>
        <w:rPr>
          <w:spacing w:val="-2"/>
        </w:rPr>
        <w:t>本公司确认应分担被投资单位发生的亏损时，按照以下顺序进行处理：首先，冲减长期股权投资的账面价</w:t>
      </w:r>
      <w:r>
        <w:rPr>
          <w:spacing w:val="-43"/>
        </w:rPr>
        <w:t> </w:t>
      </w:r>
      <w:r>
        <w:rPr>
          <w:spacing w:val="-43"/>
        </w:rPr>
      </w:r>
      <w:r>
        <w:rPr>
          <w:spacing w:val="-2"/>
        </w:rPr>
        <w:t>值。其次，长期股权投资的账面价值不足以冲减的，以其他实质上构成对被投资单位净投资的长期权益账</w:t>
      </w:r>
      <w:r>
        <w:rPr>
          <w:spacing w:val="-44"/>
        </w:rPr>
        <w:t> </w:t>
      </w:r>
      <w:r>
        <w:rPr>
          <w:spacing w:val="-44"/>
        </w:rPr>
      </w:r>
      <w:r>
        <w:rPr>
          <w:spacing w:val="-2"/>
        </w:rPr>
        <w:t>面价值为限继续确认投资损失，冲减长期应收项目等的账面价值。最后，经过上述处理，按照投资合同或</w:t>
      </w:r>
      <w:r>
        <w:rPr>
          <w:spacing w:val="-47"/>
        </w:rPr>
        <w:t> </w:t>
      </w:r>
      <w:r>
        <w:rPr>
          <w:spacing w:val="-47"/>
        </w:rPr>
      </w:r>
      <w:r>
        <w:rPr/>
        <w:t>协议约定企业仍承担额外义务的，按预计承担的义务确认预计负债，计入当期投资损失。</w:t>
      </w:r>
      <w:r>
        <w:rPr>
          <w:w w:val="100"/>
        </w:rPr>
        <w:t> </w:t>
      </w:r>
      <w:r>
        <w:rPr>
          <w:spacing w:val="-2"/>
        </w:rPr>
        <w:t>被投资单位以后期间实现盈利的，公司在扣除未确认的亏损分担额后，按与上述相反的顺序处理，减记已</w:t>
      </w:r>
      <w:r>
        <w:rPr>
          <w:spacing w:val="-42"/>
        </w:rPr>
        <w:t> </w:t>
      </w:r>
      <w:r>
        <w:rPr>
          <w:spacing w:val="-42"/>
        </w:rPr>
      </w:r>
      <w:r>
        <w:rPr>
          <w:spacing w:val="-2"/>
        </w:rPr>
        <w:t>确认预计负债的账面余额、恢复其他实质上构成对被投资单位净投资的长期权益及长期股权投资的账面价</w:t>
      </w:r>
      <w:r>
        <w:rPr>
          <w:spacing w:val="-43"/>
        </w:rPr>
        <w:t> </w:t>
      </w:r>
      <w:r>
        <w:rPr>
          <w:spacing w:val="-43"/>
        </w:rPr>
      </w:r>
      <w:r>
        <w:rPr/>
        <w:t>值后，恢复确认投资收益。</w:t>
      </w:r>
    </w:p>
    <w:p>
      <w:pPr>
        <w:pStyle w:val="Heading3"/>
        <w:spacing w:line="306" w:lineRule="exact"/>
        <w:ind w:right="0"/>
        <w:jc w:val="left"/>
        <w:rPr>
          <w:b w:val="0"/>
          <w:bCs w:val="0"/>
        </w:rPr>
      </w:pPr>
      <w:r>
        <w:rPr>
          <w:rFonts w:ascii="Times New Roman" w:hAnsi="Times New Roman" w:cs="Times New Roman" w:eastAsia="Times New Roman" w:hint="default"/>
        </w:rPr>
        <w:t>C</w:t>
      </w:r>
      <w:r>
        <w:rPr/>
        <w:t>．长期股权投资核算方法的转换</w:t>
      </w:r>
      <w:r>
        <w:rPr>
          <w:b w:val="0"/>
          <w:bCs w:val="0"/>
        </w:rPr>
      </w:r>
    </w:p>
    <w:p>
      <w:pPr>
        <w:pStyle w:val="BodyText"/>
        <w:spacing w:line="268" w:lineRule="auto" w:before="13"/>
        <w:ind w:right="0"/>
        <w:jc w:val="left"/>
      </w:pPr>
      <w:r>
        <w:rPr/>
        <w:t>（</w:t>
      </w:r>
      <w:r>
        <w:rPr>
          <w:rFonts w:ascii="Times New Roman" w:hAnsi="Times New Roman" w:cs="Times New Roman" w:eastAsia="Times New Roman" w:hint="default"/>
        </w:rPr>
        <w:t>1</w:t>
      </w:r>
      <w:r>
        <w:rPr/>
        <w:t>）公允价值计量转权益法核算</w:t>
      </w:r>
      <w:r>
        <w:rPr>
          <w:w w:val="100"/>
        </w:rPr>
        <w:t> </w:t>
      </w:r>
      <w:r>
        <w:rPr>
          <w:spacing w:val="-2"/>
        </w:rPr>
        <w:t>本公司原持有的对被投资单位不具有控制、共同控制或重大影响的按金融工具确认和计量准则进行会计处</w:t>
      </w:r>
      <w:r>
        <w:rPr>
          <w:spacing w:val="-43"/>
        </w:rPr>
        <w:t> </w:t>
      </w:r>
      <w:r>
        <w:rPr>
          <w:spacing w:val="-43"/>
        </w:rPr>
      </w:r>
      <w:r>
        <w:rPr>
          <w:spacing w:val="-2"/>
        </w:rPr>
        <w:t>理的权益性投资，因追加投资等原因能够对被投资单位施加重大影响或实施共同控制但不构成控制的，按</w:t>
      </w:r>
      <w:r>
        <w:rPr>
          <w:spacing w:val="-44"/>
        </w:rPr>
        <w:t> </w:t>
      </w:r>
      <w:r>
        <w:rPr>
          <w:spacing w:val="-44"/>
        </w:rPr>
      </w:r>
      <w:r>
        <w:rPr>
          <w:spacing w:val="-2"/>
        </w:rPr>
        <w:t>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金融工具确认和计量》确定的原持有的股权投资的公允价值加上新增投资成</w:t>
      </w:r>
      <w:r>
        <w:rPr>
          <w:spacing w:val="-43"/>
        </w:rPr>
        <w:t> </w:t>
      </w:r>
      <w:r>
        <w:rPr>
          <w:spacing w:val="-43"/>
        </w:rPr>
      </w:r>
      <w:r>
        <w:rPr/>
        <w:t>本之和，作为改按权益法核算的初始投资成本。</w:t>
      </w:r>
      <w:r>
        <w:rPr>
          <w:w w:val="100"/>
        </w:rPr>
        <w:t> </w:t>
      </w:r>
      <w:r>
        <w:rPr>
          <w:spacing w:val="-2"/>
        </w:rPr>
        <w:t>原持有的股权投资分类为可供出售金融资产的，其公允价值与账面价值之间的差额，以及原计入其他综合</w:t>
      </w:r>
      <w:r>
        <w:rPr>
          <w:spacing w:val="-44"/>
        </w:rPr>
        <w:t> </w:t>
      </w:r>
      <w:r>
        <w:rPr>
          <w:spacing w:val="-44"/>
        </w:rPr>
      </w:r>
      <w:r>
        <w:rPr/>
        <w:t>收益的累计公允价值变动转入改按权益法核算的当期损益。</w:t>
      </w:r>
      <w:r>
        <w:rPr>
          <w:w w:val="100"/>
        </w:rPr>
        <w:t> </w:t>
      </w:r>
      <w:r>
        <w:rPr>
          <w:spacing w:val="2"/>
        </w:rPr>
        <w:t>按权益法核算的初始投资成本小于按照追加投资后全新的持股比例计算确定的应享有被投资单位在追加</w:t>
      </w:r>
      <w:r>
        <w:rPr>
          <w:spacing w:val="-30"/>
        </w:rPr>
        <w:t> </w:t>
      </w:r>
      <w:r>
        <w:rPr>
          <w:spacing w:val="-30"/>
        </w:rPr>
      </w:r>
      <w:r>
        <w:rPr>
          <w:spacing w:val="-2"/>
        </w:rPr>
        <w:t>投资日可辨认净资产公允价值份额之间的差额，调整长期股权投资的账面价值，并计入当期营业外收入。</w:t>
      </w:r>
    </w:p>
    <w:p>
      <w:pPr>
        <w:pStyle w:val="BodyText"/>
        <w:spacing w:line="268" w:lineRule="auto" w:before="12"/>
        <w:ind w:right="0"/>
        <w:jc w:val="left"/>
      </w:pPr>
      <w:r>
        <w:rPr/>
        <w:t>（</w:t>
      </w:r>
      <w:r>
        <w:rPr>
          <w:rFonts w:ascii="Times New Roman" w:hAnsi="Times New Roman" w:cs="Times New Roman" w:eastAsia="Times New Roman" w:hint="default"/>
        </w:rPr>
        <w:t>2</w:t>
      </w:r>
      <w:r>
        <w:rPr/>
        <w:t>）公允价值计量或权益法核算转成本法核算</w:t>
      </w:r>
      <w:r>
        <w:rPr>
          <w:w w:val="100"/>
        </w:rPr>
        <w:t> </w:t>
      </w:r>
      <w:r>
        <w:rPr>
          <w:spacing w:val="-2"/>
        </w:rPr>
        <w:t>本公司原持有的对被投资单位不具有控制、共同控制或重大影响的按金融工具确认和计量准则进行会计处</w:t>
      </w:r>
      <w:r>
        <w:rPr>
          <w:spacing w:val="-42"/>
        </w:rPr>
        <w:t> </w:t>
      </w:r>
      <w:r>
        <w:rPr>
          <w:spacing w:val="-42"/>
        </w:rPr>
      </w:r>
      <w:r>
        <w:rPr>
          <w:spacing w:val="-2"/>
        </w:rPr>
        <w:t>理的权益性投资，或原持有对联营企业、合营企业的长期股权投资，因追加投资等原因能够对非同一控制</w:t>
      </w:r>
      <w:r>
        <w:rPr>
          <w:spacing w:val="-45"/>
        </w:rPr>
        <w:t> </w:t>
      </w:r>
      <w:r>
        <w:rPr>
          <w:spacing w:val="-45"/>
        </w:rPr>
      </w:r>
      <w:r>
        <w:rPr>
          <w:spacing w:val="-2"/>
        </w:rPr>
        <w:t>下的被投资单位实施控制的，在编制个别财务报表时，按照原持有的股权投资账面价值加上新增投资成本</w:t>
      </w:r>
      <w:r>
        <w:rPr>
          <w:spacing w:val="-44"/>
        </w:rPr>
        <w:t> </w:t>
      </w:r>
      <w:r>
        <w:rPr>
          <w:spacing w:val="-44"/>
        </w:rPr>
      </w:r>
      <w:r>
        <w:rPr/>
        <w:t>之和，作为改按成本法核算的初始投资成本。</w:t>
      </w:r>
      <w:r>
        <w:rPr>
          <w:w w:val="100"/>
        </w:rPr>
        <w:t> </w:t>
      </w:r>
      <w:r>
        <w:rPr>
          <w:spacing w:val="-2"/>
        </w:rPr>
        <w:t>购买日之前持有的股权投资因采用权益法核算而确认的其他综合收益，在处置该项投资时采用与被投资单</w:t>
      </w:r>
      <w:r>
        <w:rPr>
          <w:spacing w:val="-43"/>
        </w:rPr>
        <w:t> </w:t>
      </w:r>
      <w:r>
        <w:rPr>
          <w:spacing w:val="-43"/>
        </w:rPr>
      </w:r>
      <w:r>
        <w:rPr/>
        <w:t>位直接处置相关资产或负债相同的基础进行会计处理。</w:t>
      </w:r>
      <w:r>
        <w:rPr>
          <w:w w:val="100"/>
        </w:rPr>
        <w:t> </w:t>
      </w:r>
      <w:r>
        <w:rPr>
          <w:spacing w:val="-2"/>
        </w:rPr>
        <w:t>购买日之前持有的股权投资按照《企业会计准则第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w:t>
      </w:r>
      <w:r>
        <w:rPr>
          <w:spacing w:val="-44"/>
        </w:rPr>
        <w:t> </w:t>
      </w:r>
      <w:r>
        <w:rPr>
          <w:spacing w:val="-44"/>
        </w:rPr>
      </w:r>
      <w:r>
        <w:rPr/>
        <w:t>理的，原计入其他综合收益的累计公允价值变动在改按成本法核算时转入当期损益。</w:t>
      </w:r>
    </w:p>
    <w:p>
      <w:pPr>
        <w:pStyle w:val="BodyText"/>
        <w:spacing w:line="256" w:lineRule="auto" w:before="12"/>
        <w:ind w:right="0"/>
        <w:jc w:val="left"/>
      </w:pPr>
      <w:r>
        <w:rPr/>
        <w:t>（</w:t>
      </w:r>
      <w:r>
        <w:rPr>
          <w:rFonts w:ascii="Times New Roman" w:hAnsi="Times New Roman" w:cs="Times New Roman" w:eastAsia="Times New Roman" w:hint="default"/>
        </w:rPr>
        <w:t>3</w:t>
      </w:r>
      <w:r>
        <w:rPr/>
        <w:t>）权益法核算转公允价值计量</w:t>
      </w:r>
      <w:r>
        <w:rPr>
          <w:w w:val="100"/>
        </w:rPr>
        <w:t> </w:t>
      </w:r>
      <w:r>
        <w:rPr>
          <w:spacing w:val="-2"/>
        </w:rPr>
        <w:t>本公司因处置部分股权投资等原因丧失了对被投资单位的共同控制或重大影响的，处置后的剩余股权改按</w:t>
      </w:r>
    </w:p>
    <w:p>
      <w:pPr>
        <w:pStyle w:val="BodyText"/>
        <w:spacing w:line="268" w:lineRule="auto" w:before="22"/>
        <w:ind w:right="0"/>
        <w:jc w:val="left"/>
      </w:pPr>
      <w:r>
        <w:rPr>
          <w:spacing w:val="-2"/>
        </w:rPr>
        <w:t>《企业会计准则第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金融工具确认和计量》核算，其在丧失共同控制或重大影响之日的公允价值与</w:t>
      </w:r>
      <w:r>
        <w:rPr>
          <w:spacing w:val="-40"/>
        </w:rPr>
        <w:t> </w:t>
      </w:r>
      <w:r>
        <w:rPr>
          <w:spacing w:val="-40"/>
        </w:rPr>
      </w:r>
      <w:r>
        <w:rPr/>
        <w:t>账面价值之间的差额计入当期损益。</w:t>
      </w:r>
      <w:r>
        <w:rPr>
          <w:w w:val="100"/>
        </w:rPr>
        <w:t> </w:t>
      </w:r>
      <w:r>
        <w:rPr>
          <w:spacing w:val="-2"/>
        </w:rPr>
        <w:t>原股权投资因采用权益法核算而确认的其他综合收益，在终止采用权益法核算时采用与被投资单位直接处</w:t>
      </w:r>
      <w:r>
        <w:rPr>
          <w:spacing w:val="-43"/>
        </w:rPr>
        <w:t> </w:t>
      </w:r>
      <w:r>
        <w:rPr>
          <w:spacing w:val="-43"/>
        </w:rPr>
      </w:r>
      <w:r>
        <w:rPr/>
        <w:t>置相关资产或负债相同的基础进行会计处理。</w:t>
      </w:r>
    </w:p>
    <w:p>
      <w:pPr>
        <w:pStyle w:val="BodyText"/>
        <w:spacing w:line="240" w:lineRule="auto" w:before="12"/>
        <w:ind w:right="0"/>
        <w:jc w:val="left"/>
      </w:pPr>
      <w:r>
        <w:rPr/>
        <w:t>（</w:t>
      </w:r>
      <w:r>
        <w:rPr>
          <w:rFonts w:ascii="Times New Roman" w:hAnsi="Times New Roman" w:cs="Times New Roman" w:eastAsia="Times New Roman" w:hint="default"/>
        </w:rPr>
        <w:t>4</w:t>
      </w:r>
      <w:r>
        <w:rPr/>
        <w:t>）成本法转权益法</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BodyText"/>
        <w:spacing w:line="273" w:lineRule="auto" w:before="36"/>
        <w:ind w:right="146"/>
        <w:jc w:val="both"/>
      </w:pPr>
      <w:r>
        <w:rPr>
          <w:spacing w:val="-2"/>
        </w:rPr>
        <w:t>本公司因处置部分权益性投资等原因丧失了对被投资单位的控制的，在编制个别财务报表时，处置后的剩</w:t>
      </w:r>
      <w:r>
        <w:rPr>
          <w:spacing w:val="-44"/>
        </w:rPr>
        <w:t> </w:t>
      </w:r>
      <w:r>
        <w:rPr>
          <w:spacing w:val="-44"/>
        </w:rPr>
      </w:r>
      <w:r>
        <w:rPr>
          <w:spacing w:val="-2"/>
        </w:rPr>
        <w:t>余股权能够对被投资单位实施共同控制或施加重大影响的，改按权益法核算，并对该剩余股权视同自取得</w:t>
      </w:r>
      <w:r>
        <w:rPr>
          <w:spacing w:val="-44"/>
        </w:rPr>
        <w:t> </w:t>
      </w:r>
      <w:r>
        <w:rPr>
          <w:spacing w:val="-44"/>
        </w:rPr>
      </w:r>
      <w:r>
        <w:rPr/>
        <w:t>时即采用权益法核算进行调整。</w:t>
      </w:r>
    </w:p>
    <w:p>
      <w:pPr>
        <w:pStyle w:val="BodyText"/>
        <w:spacing w:line="312" w:lineRule="exact" w:before="3"/>
        <w:ind w:right="0"/>
        <w:jc w:val="left"/>
      </w:pPr>
      <w:r>
        <w:rPr/>
        <w:t>（</w:t>
      </w:r>
      <w:r>
        <w:rPr>
          <w:rFonts w:ascii="Times New Roman" w:hAnsi="Times New Roman" w:cs="Times New Roman" w:eastAsia="Times New Roman" w:hint="default"/>
        </w:rPr>
        <w:t>5</w:t>
      </w:r>
      <w:r>
        <w:rPr/>
        <w:t>）成本法转公允价值计量</w:t>
      </w:r>
      <w:r>
        <w:rPr>
          <w:w w:val="100"/>
        </w:rPr>
        <w:t> </w:t>
      </w:r>
      <w:r>
        <w:rPr>
          <w:spacing w:val="-2"/>
        </w:rPr>
        <w:t>本公司因处置部分权益性投资等原因丧失了对被投资单位的控制的，在编制个别财务报表时，处置后的剩</w:t>
      </w:r>
      <w:r>
        <w:rPr>
          <w:spacing w:val="-44"/>
        </w:rPr>
        <w:t> </w:t>
      </w:r>
      <w:r>
        <w:rPr>
          <w:spacing w:val="-44"/>
        </w:rPr>
      </w:r>
      <w:r>
        <w:rPr>
          <w:spacing w:val="-2"/>
        </w:rPr>
        <w:t>余股权不能对被投资单位实施共同控制或施加重大影响的，改按《企业会计准则第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w:t>
      </w:r>
      <w:r>
        <w:rPr>
          <w:spacing w:val="-41"/>
        </w:rPr>
        <w:t> </w:t>
      </w:r>
      <w:r>
        <w:rPr>
          <w:spacing w:val="-41"/>
        </w:rPr>
      </w:r>
      <w:r>
        <w:rPr/>
        <w:t>和计量》的有关规定进行会计处理，其在丧失控制之日的公允价值与账面价值间的差额计入当期损益。</w:t>
      </w:r>
      <w:r>
        <w:rPr>
          <w:w w:val="100"/>
        </w:rPr>
        <w:t> </w:t>
      </w:r>
      <w:r>
        <w:rPr>
          <w:rFonts w:ascii="Times New Roman" w:hAnsi="Times New Roman" w:cs="Times New Roman" w:eastAsia="Times New Roman" w:hint="default"/>
          <w:b/>
          <w:bCs/>
        </w:rPr>
        <w:t>D</w:t>
      </w:r>
      <w:r>
        <w:rPr>
          <w:rFonts w:ascii="Microsoft JhengHei" w:hAnsi="Microsoft JhengHei" w:cs="Microsoft JhengHei" w:eastAsia="Microsoft JhengHei" w:hint="default"/>
          <w:b/>
          <w:bCs/>
        </w:rPr>
        <w:t>．长期股权投资的处置</w:t>
      </w:r>
      <w:r>
        <w:rPr>
          <w:rFonts w:ascii="Microsoft JhengHei" w:hAnsi="Microsoft JhengHei" w:cs="Microsoft JhengHei" w:eastAsia="Microsoft JhengHei" w:hint="default"/>
          <w:b/>
          <w:bCs/>
          <w:spacing w:val="-41"/>
        </w:rPr>
        <w:t> </w:t>
      </w:r>
      <w:r>
        <w:rPr>
          <w:spacing w:val="-2"/>
        </w:rPr>
        <w:t>处置长期股权投资，其账面价值与实际取得价款之间的差额，应当计入当期损益。采用权益法核算的长期</w:t>
      </w:r>
      <w:r>
        <w:rPr>
          <w:spacing w:val="-44"/>
        </w:rPr>
        <w:t> </w:t>
      </w:r>
      <w:r>
        <w:rPr>
          <w:spacing w:val="-44"/>
        </w:rPr>
      </w:r>
      <w:r>
        <w:rPr>
          <w:spacing w:val="-2"/>
        </w:rPr>
        <w:t>股权投资，在处置该项投资时，采用与被投资单位直接处置相关资产或负债相同的基础，按相应比例对原</w:t>
      </w:r>
    </w:p>
    <w:p>
      <w:pPr>
        <w:pStyle w:val="BodyText"/>
        <w:spacing w:line="273" w:lineRule="auto" w:before="5"/>
        <w:ind w:right="0"/>
        <w:jc w:val="left"/>
      </w:pPr>
      <w:r>
        <w:rPr/>
        <w:t>计入其他综合收益的部分进行会计处理。</w:t>
      </w:r>
      <w:r>
        <w:rPr>
          <w:w w:val="100"/>
        </w:rPr>
        <w:t> </w:t>
      </w:r>
      <w:r>
        <w:rPr>
          <w:spacing w:val="-2"/>
        </w:rPr>
        <w:t>处置对子公司股权投资的各项交易的条款、条件以及经济影响符合以下一种或多种情况，将多次交易事项</w:t>
      </w:r>
      <w:r>
        <w:rPr>
          <w:spacing w:val="-44"/>
        </w:rPr>
        <w:t> </w:t>
      </w:r>
      <w:r>
        <w:rPr>
          <w:spacing w:val="-44"/>
        </w:rPr>
      </w:r>
      <w:r>
        <w:rPr/>
        <w:t>作为一揽子交易进行会计处理：</w:t>
      </w:r>
    </w:p>
    <w:p>
      <w:pPr>
        <w:pStyle w:val="BodyText"/>
        <w:spacing w:line="240" w:lineRule="auto" w:before="7"/>
        <w:ind w:right="0"/>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21"/>
        <w:ind w:right="0"/>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21"/>
        <w:ind w:right="0"/>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264" w:lineRule="auto" w:before="21"/>
        <w:ind w:right="0"/>
        <w:jc w:val="left"/>
      </w:pPr>
      <w:r>
        <w:rPr/>
        <w:t>（</w:t>
      </w:r>
      <w:r>
        <w:rPr>
          <w:rFonts w:ascii="Times New Roman" w:hAnsi="Times New Roman" w:cs="Times New Roman" w:eastAsia="Times New Roman" w:hint="default"/>
        </w:rPr>
        <w:t>4</w:t>
      </w:r>
      <w:r>
        <w:rPr/>
        <w:t>）一项交易单独看是不经济的，但是和其他交易一并考虑时是经济的。</w:t>
      </w:r>
      <w:r>
        <w:rPr>
          <w:w w:val="100"/>
        </w:rPr>
        <w:t> </w:t>
      </w:r>
      <w:r>
        <w:rPr>
          <w:spacing w:val="-2"/>
        </w:rPr>
        <w:t>因处置部分股权投资或其他原因丧失了对原有子公司控制权的，不属于一揽子交易的，区分个别财务报表</w:t>
      </w:r>
      <w:r>
        <w:rPr>
          <w:spacing w:val="-43"/>
        </w:rPr>
        <w:t> </w:t>
      </w:r>
      <w:r>
        <w:rPr>
          <w:spacing w:val="-43"/>
        </w:rPr>
      </w:r>
      <w:r>
        <w:rPr/>
        <w:t>和合并财务报表进行相关会计处理：</w:t>
      </w:r>
    </w:p>
    <w:p>
      <w:pPr>
        <w:pStyle w:val="BodyText"/>
        <w:spacing w:line="264" w:lineRule="auto" w:before="16"/>
        <w:ind w:right="146"/>
        <w:jc w:val="both"/>
      </w:pPr>
      <w:r>
        <w:rPr/>
        <w:t>（</w:t>
      </w:r>
      <w:r>
        <w:rPr>
          <w:rFonts w:ascii="Times New Roman" w:hAnsi="Times New Roman" w:cs="Times New Roman" w:eastAsia="Times New Roman" w:hint="default"/>
        </w:rPr>
        <w:t>1</w:t>
      </w:r>
      <w:r>
        <w:rPr/>
        <w:t>）在个别财务报表中，对于处置的股权，其账面价值与实际取得价款之间的差额计入当期损益。处置</w:t>
      </w:r>
      <w:r>
        <w:rPr>
          <w:spacing w:val="-25"/>
        </w:rPr>
        <w:t> </w:t>
      </w:r>
      <w:r>
        <w:rPr>
          <w:spacing w:val="-25"/>
        </w:rPr>
      </w:r>
      <w:r>
        <w:rPr>
          <w:spacing w:val="-2"/>
        </w:rPr>
        <w:t>后的剩余股权能够对被投资单位实施共同控制或施加重大影响的，改按权益法核算，并对该剩余股权视同</w:t>
      </w:r>
      <w:r>
        <w:rPr>
          <w:spacing w:val="-43"/>
        </w:rPr>
        <w:t> </w:t>
      </w:r>
      <w:r>
        <w:rPr>
          <w:spacing w:val="-43"/>
        </w:rPr>
      </w:r>
      <w:r>
        <w:rPr>
          <w:spacing w:val="-2"/>
        </w:rPr>
        <w:t>自取得时即采用权益法核算进行调整；处置后的剩余股权不能对被投资单位实施共同控制或施加重大影响</w:t>
      </w:r>
      <w:r>
        <w:rPr>
          <w:spacing w:val="-43"/>
        </w:rPr>
        <w:t> </w:t>
      </w:r>
      <w:r>
        <w:rPr>
          <w:spacing w:val="-43"/>
        </w:rPr>
      </w:r>
      <w:r>
        <w:rPr>
          <w:spacing w:val="-2"/>
        </w:rPr>
        <w:t>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金融工具确认和计量》的有关规定进行会计处理，其在丧失控制之日</w:t>
      </w:r>
      <w:r>
        <w:rPr>
          <w:spacing w:val="-45"/>
        </w:rPr>
        <w:t> </w:t>
      </w:r>
      <w:r>
        <w:rPr>
          <w:spacing w:val="-45"/>
        </w:rPr>
      </w:r>
      <w:r>
        <w:rPr/>
        <w:t>的公允价值与账面价值间的差额计入当期损益。</w:t>
      </w:r>
    </w:p>
    <w:p>
      <w:pPr>
        <w:pStyle w:val="BodyText"/>
        <w:spacing w:line="271" w:lineRule="auto" w:before="16"/>
        <w:ind w:right="0"/>
        <w:jc w:val="left"/>
      </w:pPr>
      <w:r>
        <w:rPr/>
        <w:t>（</w:t>
      </w:r>
      <w:r>
        <w:rPr>
          <w:rFonts w:ascii="Times New Roman" w:hAnsi="Times New Roman" w:cs="Times New Roman" w:eastAsia="Times New Roman" w:hint="default"/>
        </w:rPr>
        <w:t>2</w:t>
      </w:r>
      <w:r>
        <w:rPr/>
        <w:t>）在合并财务报表中，对于在丧失对子公司控制权以前的各项交易，处置价款与处置长期股权投资相</w:t>
      </w:r>
      <w:r>
        <w:rPr>
          <w:spacing w:val="-25"/>
        </w:rPr>
        <w:t> </w:t>
      </w:r>
      <w:r>
        <w:rPr>
          <w:spacing w:val="-25"/>
        </w:rPr>
      </w:r>
      <w:r>
        <w:rPr>
          <w:spacing w:val="-2"/>
        </w:rPr>
        <w:t>应对享有子公司自购买日或合并日开始持续计算的净资产份额之间的差额，调整资本公积（股本溢价），</w:t>
      </w:r>
      <w:r>
        <w:rPr>
          <w:spacing w:val="-21"/>
        </w:rPr>
        <w:t> </w:t>
      </w:r>
      <w:r>
        <w:rPr>
          <w:spacing w:val="-21"/>
        </w:rPr>
      </w:r>
      <w:r>
        <w:rPr>
          <w:spacing w:val="-2"/>
        </w:rPr>
        <w:t>资本公积不足冲减的，调整留存收益；在丧失对子公司控制权时，对于剩余股权，按照其在丧失控制权日</w:t>
      </w:r>
      <w:r>
        <w:rPr>
          <w:spacing w:val="-50"/>
        </w:rPr>
        <w:t> </w:t>
      </w:r>
      <w:r>
        <w:rPr>
          <w:spacing w:val="-50"/>
        </w:rPr>
      </w:r>
      <w:r>
        <w:rPr>
          <w:spacing w:val="-2"/>
        </w:rPr>
        <w:t>的公允价值进行重新计量。处置股权取得的对价与剩余股权公允价值之和，减去按原持股比例计算应享有</w:t>
      </w:r>
      <w:r>
        <w:rPr>
          <w:spacing w:val="-43"/>
        </w:rPr>
        <w:t> </w:t>
      </w:r>
      <w:r>
        <w:rPr>
          <w:spacing w:val="-43"/>
        </w:rPr>
      </w:r>
      <w:r>
        <w:rPr>
          <w:spacing w:val="-2"/>
        </w:rPr>
        <w:t>原有子公司自购买日开始持续计算的净资产的份额之间的差额，计入丧失控制权当期的投资收益，同时冲</w:t>
      </w:r>
      <w:r>
        <w:rPr>
          <w:spacing w:val="-44"/>
        </w:rPr>
        <w:t> </w:t>
      </w:r>
      <w:r>
        <w:rPr>
          <w:spacing w:val="-44"/>
        </w:rPr>
      </w:r>
      <w:r>
        <w:rPr/>
        <w:t>减商誉。与原有子公司股权投资相关的其他综合收益等，在丧失控制权时转为当期投资收益。</w:t>
      </w:r>
      <w:r>
        <w:rPr>
          <w:w w:val="100"/>
        </w:rPr>
        <w:t> </w:t>
      </w:r>
      <w:r>
        <w:rPr>
          <w:spacing w:val="-2"/>
        </w:rPr>
        <w:t>处置对子公司股权投资直至丧失控制权的各项交易属于一揽子交易的，将各项交易作为一项处置子公司股</w:t>
      </w:r>
      <w:r>
        <w:rPr>
          <w:spacing w:val="-43"/>
        </w:rPr>
        <w:t> </w:t>
      </w:r>
      <w:r>
        <w:rPr>
          <w:spacing w:val="-43"/>
        </w:rPr>
      </w:r>
      <w:r>
        <w:rPr/>
        <w:t>权投资并丧失控制权的交易进行会计处理，区分个别财务报表和合并财务报表进行相关会计处理：</w:t>
      </w:r>
    </w:p>
    <w:p>
      <w:pPr>
        <w:pStyle w:val="BodyText"/>
        <w:spacing w:line="256" w:lineRule="auto" w:before="10"/>
        <w:ind w:right="0"/>
        <w:jc w:val="left"/>
      </w:pPr>
      <w:r>
        <w:rPr/>
        <w:t>（</w:t>
      </w:r>
      <w:r>
        <w:rPr>
          <w:rFonts w:ascii="Times New Roman" w:hAnsi="Times New Roman" w:cs="Times New Roman" w:eastAsia="Times New Roman" w:hint="default"/>
        </w:rPr>
        <w:t>1</w:t>
      </w:r>
      <w:r>
        <w:rPr/>
        <w:t>）在个别财务报表中，在丧失控制权之前每一次处置价款与处置的股权对应的长期股权投资账面价值</w:t>
      </w:r>
      <w:r>
        <w:rPr>
          <w:spacing w:val="-25"/>
        </w:rPr>
        <w:t> </w:t>
      </w:r>
      <w:r>
        <w:rPr>
          <w:spacing w:val="-25"/>
        </w:rPr>
      </w:r>
      <w:r>
        <w:rPr/>
        <w:t>之间的差额，确认为其他综合收益，在丧失控制权时一并转入丧失控制权当期的损益。</w:t>
      </w:r>
    </w:p>
    <w:p>
      <w:pPr>
        <w:pStyle w:val="BodyText"/>
        <w:spacing w:line="312" w:lineRule="exact" w:before="18"/>
        <w:ind w:right="0"/>
        <w:jc w:val="left"/>
      </w:pPr>
      <w:r>
        <w:rPr/>
        <w:t>（</w:t>
      </w:r>
      <w:r>
        <w:rPr>
          <w:rFonts w:ascii="Times New Roman" w:hAnsi="Times New Roman" w:cs="Times New Roman" w:eastAsia="Times New Roman" w:hint="default"/>
        </w:rPr>
        <w:t>2</w:t>
      </w:r>
      <w:r>
        <w:rPr/>
        <w:t>）在合并财务报表中，在丧失控制权之前每一次处置价款与处置投资对应的享有该子公司净资产份额</w:t>
      </w:r>
      <w:r>
        <w:rPr>
          <w:spacing w:val="-20"/>
        </w:rPr>
        <w:t> </w:t>
      </w:r>
      <w:r>
        <w:rPr>
          <w:spacing w:val="-20"/>
        </w:rPr>
      </w:r>
      <w:r>
        <w:rPr/>
        <w:t>的差额，确认为其他综合收益，在丧失控制权时一并转入丧失控制权当期的损益。</w:t>
      </w:r>
      <w:r>
        <w:rPr>
          <w:w w:val="100"/>
        </w:rPr>
        <w:t> </w:t>
      </w:r>
      <w:r>
        <w:rPr>
          <w:rFonts w:ascii="Times New Roman" w:hAnsi="Times New Roman" w:cs="Times New Roman" w:eastAsia="Times New Roman" w:hint="default"/>
          <w:b/>
          <w:bCs/>
        </w:rPr>
        <w:t>E</w:t>
      </w:r>
      <w:r>
        <w:rPr>
          <w:rFonts w:ascii="Microsoft JhengHei" w:hAnsi="Microsoft JhengHei" w:cs="Microsoft JhengHei" w:eastAsia="Microsoft JhengHei" w:hint="default"/>
          <w:b/>
          <w:bCs/>
        </w:rPr>
        <w:t>．共同控制、重大影响的判断标准</w:t>
      </w:r>
      <w:r>
        <w:rPr>
          <w:rFonts w:ascii="Microsoft JhengHei" w:hAnsi="Microsoft JhengHei" w:cs="Microsoft JhengHei" w:eastAsia="Microsoft JhengHei" w:hint="default"/>
          <w:b/>
          <w:bCs/>
          <w:spacing w:val="-39"/>
        </w:rPr>
        <w:t> </w:t>
      </w:r>
      <w:r>
        <w:rPr>
          <w:rFonts w:ascii="Microsoft JhengHei" w:hAnsi="Microsoft JhengHei" w:cs="Microsoft JhengHei" w:eastAsia="Microsoft JhengHei" w:hint="default"/>
          <w:b/>
          <w:bCs/>
          <w:spacing w:val="-39"/>
        </w:rPr>
      </w:r>
      <w:r>
        <w:rPr>
          <w:spacing w:val="-2"/>
        </w:rPr>
        <w:t>如果本公司按照相关约定与其他参与方集体控制某项安排，并且对该安排回报具有重大影响的活动决策，</w:t>
      </w:r>
      <w:r>
        <w:rPr>
          <w:spacing w:val="-21"/>
        </w:rPr>
        <w:t> </w:t>
      </w:r>
      <w:r>
        <w:rPr>
          <w:spacing w:val="-21"/>
        </w:rPr>
      </w:r>
      <w:r>
        <w:rPr>
          <w:spacing w:val="-2"/>
        </w:rPr>
        <w:t>需要经过分享控制权的参与方一致同意时才存在，则视为本公司与其他参与方共同控制某项安排，该安排</w:t>
      </w:r>
      <w:r>
        <w:rPr>
          <w:spacing w:val="-43"/>
        </w:rPr>
        <w:t> </w:t>
      </w:r>
      <w:r>
        <w:rPr>
          <w:spacing w:val="-43"/>
        </w:rPr>
      </w:r>
      <w:r>
        <w:rPr/>
        <w:t>即属于合营安排。</w:t>
      </w:r>
      <w:r>
        <w:rPr>
          <w:w w:val="100"/>
        </w:rPr>
        <w:t> </w:t>
      </w:r>
      <w:r>
        <w:rPr>
          <w:spacing w:val="-2"/>
        </w:rPr>
        <w:t>合营安排通过单独主体达成的，根据相关约定判断本公司对该单独主体的净资产享有权利时，将该单独主</w:t>
      </w:r>
    </w:p>
    <w:p>
      <w:pPr>
        <w:pStyle w:val="BodyText"/>
        <w:spacing w:line="273" w:lineRule="auto" w:before="4"/>
        <w:ind w:right="125"/>
        <w:jc w:val="both"/>
      </w:pPr>
      <w:r>
        <w:rPr>
          <w:spacing w:val="-2"/>
        </w:rPr>
        <w:t>体作为合营企业，采用权益法核算。若根据相关约定判断本公司并非对该单独主体的净资产享有权利时，</w:t>
      </w:r>
      <w:r>
        <w:rPr>
          <w:spacing w:val="-21"/>
        </w:rPr>
        <w:t> </w:t>
      </w:r>
      <w:r>
        <w:rPr>
          <w:spacing w:val="-21"/>
        </w:rPr>
      </w:r>
      <w:r>
        <w:rPr>
          <w:spacing w:val="-2"/>
        </w:rPr>
        <w:t>该单独主体作为共同经营，本公司确认与共同经营利益份额相关的项目，并按照相关企业会计准则的规定</w:t>
      </w:r>
      <w:r>
        <w:rPr>
          <w:spacing w:val="-44"/>
        </w:rPr>
        <w:t> </w:t>
      </w:r>
      <w:r>
        <w:rPr>
          <w:spacing w:val="-44"/>
        </w:rPr>
      </w:r>
      <w:r>
        <w:rPr/>
        <w:t>进行会计处理。</w:t>
      </w:r>
    </w:p>
    <w:p>
      <w:pPr>
        <w:spacing w:after="0" w:line="273"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BodyText"/>
        <w:spacing w:line="266" w:lineRule="auto" w:before="36"/>
        <w:ind w:right="187"/>
        <w:jc w:val="both"/>
      </w:pPr>
      <w:r>
        <w:rPr>
          <w:spacing w:val="-2"/>
        </w:rPr>
        <w:t>重大影响，是指投资方对被投资单位的财务和经营政策有参与决策的权力，但并不能够控制或者与其他方</w:t>
      </w:r>
      <w:r>
        <w:rPr>
          <w:spacing w:val="-42"/>
        </w:rPr>
        <w:t> </w:t>
      </w:r>
      <w:r>
        <w:rPr>
          <w:spacing w:val="-42"/>
        </w:rPr>
      </w:r>
      <w:r>
        <w:rPr>
          <w:spacing w:val="-2"/>
        </w:rPr>
        <w:t>一起共同控制这些政策的制定。本公司通过以下一种或多种情形，并综合考虑所有事实和情况后，判断对</w:t>
      </w:r>
      <w:r>
        <w:rPr>
          <w:spacing w:val="-45"/>
        </w:rPr>
        <w:t> </w:t>
      </w:r>
      <w:r>
        <w:rPr>
          <w:spacing w:val="-45"/>
        </w:rPr>
      </w:r>
      <w:r>
        <w:rPr>
          <w:spacing w:val="-2"/>
        </w:rPr>
        <w:t>被投资单位具有重大影响。（</w:t>
      </w:r>
      <w:r>
        <w:rPr>
          <w:rFonts w:ascii="Times New Roman" w:hAnsi="Times New Roman" w:cs="Times New Roman" w:eastAsia="Times New Roman" w:hint="default"/>
          <w:spacing w:val="-2"/>
        </w:rPr>
        <w:t>1</w:t>
      </w:r>
      <w:r>
        <w:rPr>
          <w:spacing w:val="-2"/>
        </w:rPr>
        <w:t>）在被投资单位的董事会或类似权力机构中派有代表；（</w:t>
      </w:r>
      <w:r>
        <w:rPr>
          <w:rFonts w:ascii="Times New Roman" w:hAnsi="Times New Roman" w:cs="Times New Roman" w:eastAsia="Times New Roman" w:hint="default"/>
          <w:spacing w:val="-2"/>
        </w:rPr>
        <w:t>2</w:t>
      </w:r>
      <w:r>
        <w:rPr>
          <w:spacing w:val="-2"/>
        </w:rPr>
        <w:t>）参与被投资单</w:t>
      </w:r>
      <w:r>
        <w:rPr>
          <w:spacing w:val="-43"/>
        </w:rPr>
        <w:t> </w:t>
      </w:r>
      <w:r>
        <w:rPr>
          <w:spacing w:val="-43"/>
        </w:rPr>
      </w:r>
      <w:r>
        <w:rPr>
          <w:spacing w:val="-2"/>
        </w:rPr>
        <w:t>位财务和经营政策制定过程；（</w:t>
      </w:r>
      <w:r>
        <w:rPr>
          <w:rFonts w:ascii="Times New Roman" w:hAnsi="Times New Roman" w:cs="Times New Roman" w:eastAsia="Times New Roman" w:hint="default"/>
          <w:spacing w:val="-2"/>
        </w:rPr>
        <w:t>3</w:t>
      </w:r>
      <w:r>
        <w:rPr>
          <w:spacing w:val="-2"/>
        </w:rPr>
        <w:t>）与被投资单位之间发生重要交易；（</w:t>
      </w:r>
      <w:r>
        <w:rPr>
          <w:rFonts w:ascii="Times New Roman" w:hAnsi="Times New Roman" w:cs="Times New Roman" w:eastAsia="Times New Roman" w:hint="default"/>
          <w:spacing w:val="-2"/>
        </w:rPr>
        <w:t>4</w:t>
      </w:r>
      <w:r>
        <w:rPr>
          <w:spacing w:val="-2"/>
        </w:rPr>
        <w:t>）向被投资单位派出管理人员；</w:t>
      </w:r>
    </w:p>
    <w:p>
      <w:pPr>
        <w:pStyle w:val="BodyText"/>
        <w:spacing w:line="286" w:lineRule="exact"/>
        <w:ind w:right="102"/>
        <w:jc w:val="left"/>
      </w:pPr>
      <w:r>
        <w:rPr/>
        <w:t>（</w:t>
      </w:r>
      <w:r>
        <w:rPr>
          <w:rFonts w:ascii="Times New Roman" w:hAnsi="Times New Roman" w:cs="Times New Roman" w:eastAsia="Times New Roman" w:hint="default"/>
        </w:rPr>
        <w:t>5</w:t>
      </w:r>
      <w:r>
        <w:rPr/>
        <w:t>）向被投资单位提供关键技术资料。</w:t>
      </w:r>
    </w:p>
    <w:p>
      <w:pPr>
        <w:spacing w:line="240" w:lineRule="auto" w:before="6"/>
        <w:rPr>
          <w:rFonts w:ascii="宋体" w:hAnsi="宋体" w:cs="宋体" w:eastAsia="宋体" w:hint="default"/>
          <w:sz w:val="19"/>
          <w:szCs w:val="19"/>
        </w:rPr>
      </w:pPr>
    </w:p>
    <w:p>
      <w:pPr>
        <w:pStyle w:val="Heading3"/>
        <w:spacing w:line="240" w:lineRule="auto"/>
        <w:ind w:right="102"/>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57" w:lineRule="auto" w:before="0"/>
        <w:ind w:left="152" w:right="803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73" w:lineRule="auto" w:before="8"/>
        <w:ind w:right="102"/>
        <w:jc w:val="left"/>
      </w:pPr>
      <w:r>
        <w:rPr>
          <w:spacing w:val="-2"/>
        </w:rPr>
        <w:t>投资性房地产是指为赚取租金或资本增值，或两者兼有而持有的房地产，包括已出租的土地使用权、持有</w:t>
      </w:r>
      <w:r>
        <w:rPr>
          <w:spacing w:val="-44"/>
        </w:rPr>
        <w:t> </w:t>
      </w:r>
      <w:r>
        <w:rPr>
          <w:spacing w:val="-44"/>
        </w:rPr>
      </w:r>
      <w:r>
        <w:rPr/>
        <w:t>并准备增值后转让的土地使用权、已出租的建筑物。</w:t>
      </w:r>
      <w:r>
        <w:rPr>
          <w:w w:val="100"/>
        </w:rPr>
        <w:t> </w:t>
      </w:r>
      <w:r>
        <w:rPr>
          <w:spacing w:val="-2"/>
        </w:rPr>
        <w:t>本公司的投资性房地产按其成本作为入账价值，外购投资性房地产的成本包括购买价款、相关税费和可直</w:t>
      </w:r>
      <w:r>
        <w:rPr>
          <w:spacing w:val="-44"/>
        </w:rPr>
        <w:t> </w:t>
      </w:r>
      <w:r>
        <w:rPr>
          <w:spacing w:val="-44"/>
        </w:rPr>
      </w:r>
      <w:r>
        <w:rPr>
          <w:spacing w:val="-2"/>
        </w:rPr>
        <w:t>接归属于该资产的其他支出；自行建造投资性房地产的成本，由建造该项资产达到预定可使用状态前所发</w:t>
      </w:r>
      <w:r>
        <w:rPr>
          <w:spacing w:val="-43"/>
        </w:rPr>
        <w:t> </w:t>
      </w:r>
      <w:r>
        <w:rPr>
          <w:spacing w:val="-43"/>
        </w:rPr>
      </w:r>
      <w:r>
        <w:rPr/>
        <w:t>生的必要支出构成。</w:t>
      </w:r>
      <w:r>
        <w:rPr>
          <w:w w:val="100"/>
        </w:rPr>
        <w:t> </w:t>
      </w:r>
      <w:r>
        <w:rPr>
          <w:spacing w:val="-2"/>
        </w:rPr>
        <w:t>本公司对投资性房地产采用成本模式进行后续计量，按其预计使用寿命及净残值率对建筑物和土地使用权</w:t>
      </w:r>
      <w:r>
        <w:rPr>
          <w:spacing w:val="-43"/>
        </w:rPr>
        <w:t> </w:t>
      </w:r>
      <w:r>
        <w:rPr>
          <w:spacing w:val="-43"/>
        </w:rPr>
      </w:r>
      <w:r>
        <w:rPr>
          <w:spacing w:val="-2"/>
        </w:rPr>
        <w:t>计提折旧或摊销。投资性房地产的用途改变为自用时，自改变之日起，本公司将该投资性房地产转换为固</w:t>
      </w:r>
      <w:r>
        <w:rPr>
          <w:spacing w:val="-44"/>
        </w:rPr>
        <w:t> </w:t>
      </w:r>
      <w:r>
        <w:rPr>
          <w:spacing w:val="-44"/>
        </w:rPr>
      </w:r>
      <w:r>
        <w:rPr>
          <w:spacing w:val="-2"/>
        </w:rPr>
        <w:t>定资产或无形资产。自用房地产的用途改变为赚取租金或资本增值时，自改变之日起，本公司将固定资产</w:t>
      </w:r>
      <w:r>
        <w:rPr>
          <w:spacing w:val="-43"/>
        </w:rPr>
        <w:t> </w:t>
      </w:r>
      <w:r>
        <w:rPr>
          <w:spacing w:val="-43"/>
        </w:rPr>
      </w:r>
      <w:r>
        <w:rPr/>
        <w:t>或无形资产转换为投资性房地产。发生转换时，以转换前的账面价值作为转换后的入账价值。</w:t>
      </w:r>
      <w:r>
        <w:rPr>
          <w:w w:val="100"/>
        </w:rPr>
        <w:t> </w:t>
      </w:r>
      <w:r>
        <w:rPr>
          <w:spacing w:val="-2"/>
        </w:rPr>
        <w:t>当投资性房地产被处置，或者永久退出使用且预计不能从其处置中取得经济利益时，终止确认该项投资性</w:t>
      </w:r>
      <w:r>
        <w:rPr>
          <w:spacing w:val="-43"/>
        </w:rPr>
        <w:t> </w:t>
      </w:r>
      <w:r>
        <w:rPr>
          <w:spacing w:val="-43"/>
        </w:rPr>
      </w:r>
      <w:r>
        <w:rPr>
          <w:spacing w:val="-2"/>
        </w:rPr>
        <w:t>房地产。投资性房地产出售、转让、报废或毁损的处置收入扣除其账面价值和相关税费后的金额计入当期</w:t>
      </w:r>
      <w:r>
        <w:rPr>
          <w:spacing w:val="-43"/>
        </w:rPr>
        <w:t> </w:t>
      </w:r>
      <w:r>
        <w:rPr>
          <w:spacing w:val="-43"/>
        </w:rPr>
      </w:r>
      <w:r>
        <w:rPr/>
        <w:t>损益。</w:t>
      </w:r>
    </w:p>
    <w:p>
      <w:pPr>
        <w:spacing w:line="240" w:lineRule="auto" w:before="5"/>
        <w:rPr>
          <w:rFonts w:ascii="宋体" w:hAnsi="宋体" w:cs="宋体" w:eastAsia="宋体" w:hint="default"/>
          <w:sz w:val="18"/>
          <w:szCs w:val="18"/>
        </w:rPr>
      </w:pPr>
    </w:p>
    <w:p>
      <w:pPr>
        <w:pStyle w:val="Heading3"/>
        <w:spacing w:line="240" w:lineRule="auto"/>
        <w:ind w:right="102"/>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102"/>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73" w:lineRule="auto"/>
        <w:ind w:right="102"/>
        <w:jc w:val="left"/>
      </w:pPr>
      <w:r>
        <w:rPr>
          <w:spacing w:val="-4"/>
        </w:rPr>
        <w:t>固定资产指为生产商品、提供劳务、出租或经营管理而持有，并且使用寿命超过一个会计年度的有形资产。</w:t>
      </w:r>
      <w:r>
        <w:rPr>
          <w:spacing w:val="-49"/>
        </w:rPr>
        <w:t> </w:t>
      </w:r>
      <w:r>
        <w:rPr>
          <w:spacing w:val="-49"/>
        </w:rPr>
      </w:r>
      <w:r>
        <w:rPr>
          <w:spacing w:val="-3"/>
        </w:rPr>
        <w:t>固定资产在同时满足下列条件时予以确认：（</w:t>
      </w:r>
      <w:r>
        <w:rPr>
          <w:rFonts w:ascii="宋体" w:hAnsi="宋体" w:cs="宋体" w:eastAsia="宋体" w:hint="default"/>
          <w:spacing w:val="-3"/>
        </w:rPr>
        <w:t>1</w:t>
      </w:r>
      <w:r>
        <w:rPr>
          <w:spacing w:val="-3"/>
        </w:rPr>
        <w:t>）与该固定资产有关的经济利益很可能流入企业；（</w:t>
      </w:r>
      <w:r>
        <w:rPr>
          <w:rFonts w:ascii="宋体" w:hAnsi="宋体" w:cs="宋体" w:eastAsia="宋体" w:hint="default"/>
          <w:spacing w:val="-3"/>
        </w:rPr>
        <w:t>2</w:t>
      </w:r>
      <w:r>
        <w:rPr>
          <w:spacing w:val="-3"/>
        </w:rPr>
        <w:t>）该</w:t>
      </w:r>
      <w:r>
        <w:rPr>
          <w:spacing w:val="-4"/>
        </w:rPr>
        <w:t> </w:t>
      </w:r>
      <w:r>
        <w:rPr/>
        <w:t>固定资产的成本能够可靠地计量。</w:t>
      </w:r>
    </w:p>
    <w:p>
      <w:pPr>
        <w:spacing w:line="240" w:lineRule="auto" w:before="5"/>
        <w:rPr>
          <w:rFonts w:ascii="宋体" w:hAnsi="宋体" w:cs="宋体" w:eastAsia="宋体" w:hint="default"/>
          <w:sz w:val="18"/>
          <w:szCs w:val="18"/>
        </w:rPr>
      </w:pPr>
    </w:p>
    <w:p>
      <w:pPr>
        <w:pStyle w:val="Heading3"/>
        <w:spacing w:line="240" w:lineRule="auto"/>
        <w:ind w:right="102"/>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914"/>
        <w:gridCol w:w="1915"/>
        <w:gridCol w:w="1914"/>
        <w:gridCol w:w="1913"/>
        <w:gridCol w:w="1915"/>
      </w:tblGrid>
      <w:tr>
        <w:trPr>
          <w:trHeight w:val="398"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6"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6"/>
              <w:ind w:left="22" w:right="0"/>
              <w:jc w:val="left"/>
              <w:rPr>
                <w:rFonts w:ascii="Times New Roman" w:hAnsi="Times New Roman" w:cs="Times New Roman" w:eastAsia="Times New Roman" w:hint="default"/>
                <w:sz w:val="18"/>
                <w:szCs w:val="18"/>
              </w:rPr>
            </w:pPr>
            <w:r>
              <w:rPr>
                <w:rFonts w:ascii="Times New Roman"/>
                <w:sz w:val="18"/>
              </w:rPr>
              <w:t>20-45</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2.11%-4.75%</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8-12</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7.92%-11.88%</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19.00%-31.67%</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102"/>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0"/>
        <w:rPr>
          <w:rFonts w:ascii="Microsoft JhengHei" w:hAnsi="Microsoft JhengHei" w:cs="Microsoft JhengHei" w:eastAsia="Microsoft JhengHei" w:hint="default"/>
          <w:b/>
          <w:bCs/>
          <w:sz w:val="18"/>
          <w:szCs w:val="18"/>
        </w:rPr>
      </w:pPr>
    </w:p>
    <w:p>
      <w:pPr>
        <w:pStyle w:val="BodyText"/>
        <w:spacing w:line="240" w:lineRule="auto"/>
        <w:ind w:right="102"/>
        <w:jc w:val="left"/>
      </w:pPr>
      <w:r>
        <w:rPr/>
        <w:t>当本公司租入的固定资产符合下列一项或数项标准时，确认为融资租入固定资产：</w:t>
      </w:r>
    </w:p>
    <w:p>
      <w:pPr>
        <w:spacing w:after="0" w:line="240"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BodyText"/>
        <w:spacing w:line="240" w:lineRule="auto" w:before="36"/>
        <w:ind w:right="102"/>
        <w:jc w:val="left"/>
      </w:pPr>
      <w:r>
        <w:rPr/>
        <w:t>（</w:t>
      </w:r>
      <w:r>
        <w:rPr>
          <w:rFonts w:ascii="宋体" w:hAnsi="宋体" w:cs="宋体" w:eastAsia="宋体" w:hint="default"/>
        </w:rPr>
        <w:t>A</w:t>
      </w:r>
      <w:r>
        <w:rPr/>
        <w:t>）在租赁期届满时，租赁资产的所有权转移给本公司。</w:t>
      </w:r>
    </w:p>
    <w:p>
      <w:pPr>
        <w:pStyle w:val="BodyText"/>
        <w:spacing w:line="273" w:lineRule="auto" w:before="37"/>
        <w:ind w:right="102"/>
        <w:jc w:val="left"/>
      </w:pPr>
      <w:r>
        <w:rPr>
          <w:spacing w:val="-2"/>
        </w:rPr>
        <w:t>（</w:t>
      </w:r>
      <w:r>
        <w:rPr>
          <w:rFonts w:ascii="宋体" w:hAnsi="宋体" w:cs="宋体" w:eastAsia="宋体" w:hint="default"/>
          <w:spacing w:val="-2"/>
        </w:rPr>
        <w:t>B</w:t>
      </w:r>
      <w:r>
        <w:rPr>
          <w:spacing w:val="-2"/>
        </w:rPr>
        <w:t>）本公司有购买租赁资产的选择权，所订立的购买价款预计将远低于行使选择权时租赁资产的公允价</w:t>
      </w:r>
      <w:r>
        <w:rPr>
          <w:spacing w:val="-22"/>
        </w:rPr>
        <w:t> </w:t>
      </w:r>
      <w:r>
        <w:rPr>
          <w:spacing w:val="-22"/>
        </w:rPr>
      </w:r>
      <w:r>
        <w:rPr/>
        <w:t>值，因而在租赁开始日就可以合理确定本公司将会行使这种选择权。</w:t>
      </w:r>
    </w:p>
    <w:p>
      <w:pPr>
        <w:pStyle w:val="BodyText"/>
        <w:spacing w:line="240" w:lineRule="auto" w:before="7"/>
        <w:ind w:right="102"/>
        <w:jc w:val="left"/>
      </w:pPr>
      <w:r>
        <w:rPr/>
        <w:t>（</w:t>
      </w:r>
      <w:r>
        <w:rPr>
          <w:rFonts w:ascii="宋体" w:hAnsi="宋体" w:cs="宋体" w:eastAsia="宋体" w:hint="default"/>
        </w:rPr>
        <w:t>C</w:t>
      </w:r>
      <w:r>
        <w:rPr/>
        <w:t>）即使资产的所有权不转移，但租赁期占租赁资产使用寿命的大部分。</w:t>
      </w:r>
    </w:p>
    <w:p>
      <w:pPr>
        <w:pStyle w:val="BodyText"/>
        <w:spacing w:line="240" w:lineRule="auto" w:before="37"/>
        <w:ind w:right="102"/>
        <w:jc w:val="left"/>
      </w:pPr>
      <w:r>
        <w:rPr/>
        <w:t>（</w:t>
      </w:r>
      <w:r>
        <w:rPr>
          <w:rFonts w:ascii="宋体" w:hAnsi="宋体" w:cs="宋体" w:eastAsia="宋体" w:hint="default"/>
        </w:rPr>
        <w:t>D</w:t>
      </w:r>
      <w:r>
        <w:rPr/>
        <w:t>）本公司在租赁开始日的最低租赁付款额现值，几乎相当于租赁开始日租赁资产公允价值。</w:t>
      </w:r>
    </w:p>
    <w:p>
      <w:pPr>
        <w:pStyle w:val="BodyText"/>
        <w:spacing w:line="273" w:lineRule="auto" w:before="37"/>
        <w:ind w:right="102"/>
        <w:jc w:val="left"/>
      </w:pPr>
      <w:r>
        <w:rPr/>
        <w:t>（</w:t>
      </w:r>
      <w:r>
        <w:rPr>
          <w:rFonts w:ascii="宋体" w:hAnsi="宋体" w:cs="宋体" w:eastAsia="宋体" w:hint="default"/>
        </w:rPr>
        <w:t>E</w:t>
      </w:r>
      <w:r>
        <w:rPr/>
        <w:t>）租赁资产性质特殊，如果不作较大改造，只有本公司才能使用。</w:t>
      </w:r>
      <w:r>
        <w:rPr>
          <w:w w:val="100"/>
        </w:rPr>
        <w:t> </w:t>
      </w:r>
      <w:r>
        <w:rPr>
          <w:spacing w:val="-2"/>
        </w:rPr>
        <w:t>融资租赁租入的固定资产，按租赁开始日租赁资产公允价值与最低租赁付款额的现值两者中较低者，作为</w:t>
      </w:r>
      <w:r>
        <w:rPr>
          <w:spacing w:val="-43"/>
        </w:rPr>
        <w:t> </w:t>
      </w:r>
      <w:r>
        <w:rPr>
          <w:spacing w:val="-43"/>
        </w:rPr>
      </w:r>
      <w:r>
        <w:rPr>
          <w:spacing w:val="-2"/>
        </w:rPr>
        <w:t>入账价值。最低租赁付款额作为长期应付款的入账价值，其差额作为未确认融资费用。在租赁谈判和签订</w:t>
      </w:r>
      <w:r>
        <w:rPr>
          <w:spacing w:val="-45"/>
        </w:rPr>
        <w:t> </w:t>
      </w:r>
      <w:r>
        <w:rPr>
          <w:spacing w:val="-45"/>
        </w:rPr>
      </w:r>
      <w:r>
        <w:rPr>
          <w:spacing w:val="-2"/>
        </w:rPr>
        <w:t>租赁合同过程中发生的，可归属于租赁项目的手续费、律师费、差旅费、印花税等初始直接费用，计入租</w:t>
      </w:r>
      <w:r>
        <w:rPr>
          <w:spacing w:val="-43"/>
        </w:rPr>
        <w:t> </w:t>
      </w:r>
      <w:r>
        <w:rPr>
          <w:spacing w:val="-43"/>
        </w:rPr>
      </w:r>
      <w:r>
        <w:rPr>
          <w:spacing w:val="-2"/>
        </w:rPr>
        <w:t>入资产价值。未确认融资费用在租赁期内各个期间采用实际利率法进行分摊。本公司采用与自有固定资产</w:t>
      </w:r>
      <w:r>
        <w:rPr>
          <w:spacing w:val="-44"/>
        </w:rPr>
        <w:t> </w:t>
      </w:r>
      <w:r>
        <w:rPr>
          <w:spacing w:val="-44"/>
        </w:rPr>
      </w:r>
      <w:r>
        <w:rPr>
          <w:spacing w:val="-2"/>
        </w:rPr>
        <w:t>相一致的折旧政策计提融资租入固定资产折旧。能够合理确定租赁期届满时取得租赁资产所有权的，在租</w:t>
      </w:r>
      <w:r>
        <w:rPr>
          <w:spacing w:val="-43"/>
        </w:rPr>
        <w:t> </w:t>
      </w:r>
      <w:r>
        <w:rPr>
          <w:spacing w:val="-43"/>
        </w:rPr>
      </w:r>
      <w:r>
        <w:rPr>
          <w:spacing w:val="-2"/>
        </w:rPr>
        <w:t>赁资产使用寿命内计提折旧。无法合理确定租赁期届满时能够取得租赁资产所有权的，在租赁期与租赁资</w:t>
      </w:r>
      <w:r>
        <w:rPr>
          <w:spacing w:val="-43"/>
        </w:rPr>
        <w:t> </w:t>
      </w:r>
      <w:r>
        <w:rPr>
          <w:spacing w:val="-43"/>
        </w:rPr>
      </w:r>
      <w:r>
        <w:rPr/>
        <w:t>产使用寿命两者中较短的期间内计提折旧。</w:t>
      </w:r>
    </w:p>
    <w:p>
      <w:pPr>
        <w:pStyle w:val="Heading3"/>
        <w:spacing w:line="614" w:lineRule="exact" w:before="62"/>
        <w:ind w:right="8002"/>
        <w:jc w:val="left"/>
        <w:rPr>
          <w:b w:val="0"/>
          <w:bCs w:val="0"/>
        </w:rPr>
      </w:pPr>
      <w:r>
        <w:rPr>
          <w:rFonts w:ascii="Times New Roman" w:hAnsi="Times New Roman" w:cs="Times New Roman" w:eastAsia="Times New Roman" w:hint="default"/>
        </w:rPr>
        <w:t>17</w:t>
      </w:r>
      <w:r>
        <w:rPr/>
        <w:t>、在建工程</w:t>
      </w:r>
      <w:r>
        <w:rPr>
          <w:spacing w:val="-48"/>
        </w:rPr>
        <w:t> </w:t>
      </w:r>
      <w:r>
        <w:rPr>
          <w:rFonts w:ascii="Times New Roman" w:hAnsi="Times New Roman" w:cs="Times New Roman" w:eastAsia="Times New Roman" w:hint="default"/>
        </w:rPr>
        <w:t>A</w:t>
      </w:r>
      <w:r>
        <w:rPr/>
        <w:t>．在建工程的类别</w:t>
      </w:r>
      <w:r>
        <w:rPr>
          <w:b w:val="0"/>
          <w:bCs w:val="0"/>
        </w:rPr>
      </w:r>
    </w:p>
    <w:p>
      <w:pPr>
        <w:pStyle w:val="BodyText"/>
        <w:spacing w:line="219" w:lineRule="exact"/>
        <w:ind w:right="102"/>
        <w:jc w:val="left"/>
      </w:pPr>
      <w:r>
        <w:rPr/>
        <w:t>本公司自行建造的在建工程按实际成本计价，实际成本由建造该项资产达到预定可使用状态前所发生的必</w:t>
      </w:r>
    </w:p>
    <w:p>
      <w:pPr>
        <w:pStyle w:val="BodyText"/>
        <w:spacing w:line="273" w:lineRule="auto" w:before="37"/>
        <w:ind w:right="102"/>
        <w:jc w:val="left"/>
      </w:pPr>
      <w:r>
        <w:rPr>
          <w:spacing w:val="-2"/>
        </w:rPr>
        <w:t>要支出构成，包括工程用物资成本、人工成本、交纳的相关税费、应予资本化的借款费用以及应分摊的间</w:t>
      </w:r>
      <w:r>
        <w:rPr>
          <w:spacing w:val="-47"/>
        </w:rPr>
        <w:t> </w:t>
      </w:r>
      <w:r>
        <w:rPr>
          <w:spacing w:val="-47"/>
        </w:rPr>
      </w:r>
      <w:r>
        <w:rPr/>
        <w:t>接费用等。本公司的在建工程以项目分类核算。</w:t>
      </w:r>
    </w:p>
    <w:p>
      <w:pPr>
        <w:pStyle w:val="BodyText"/>
        <w:spacing w:line="312" w:lineRule="exact" w:before="4"/>
        <w:ind w:right="102"/>
        <w:jc w:val="left"/>
      </w:pPr>
      <w:r>
        <w:rPr>
          <w:rFonts w:ascii="Times New Roman" w:hAnsi="Times New Roman" w:cs="Times New Roman" w:eastAsia="Times New Roman" w:hint="default"/>
          <w:b/>
          <w:bCs/>
        </w:rPr>
        <w:t>B</w:t>
      </w:r>
      <w:r>
        <w:rPr>
          <w:rFonts w:ascii="Microsoft JhengHei" w:hAnsi="Microsoft JhengHei" w:cs="Microsoft JhengHei" w:eastAsia="Microsoft JhengHei" w:hint="default"/>
          <w:b/>
          <w:bCs/>
        </w:rPr>
        <w:t>．在建工程结转为固定资产的标准和时点</w:t>
      </w:r>
      <w:r>
        <w:rPr>
          <w:rFonts w:ascii="Microsoft JhengHei" w:hAnsi="Microsoft JhengHei" w:cs="Microsoft JhengHei" w:eastAsia="Microsoft JhengHei" w:hint="default"/>
          <w:b/>
          <w:bCs/>
          <w:spacing w:val="-36"/>
        </w:rPr>
        <w:t> </w:t>
      </w:r>
      <w:r>
        <w:rPr>
          <w:rFonts w:ascii="Microsoft JhengHei" w:hAnsi="Microsoft JhengHei" w:cs="Microsoft JhengHei" w:eastAsia="Microsoft JhengHei" w:hint="default"/>
          <w:b/>
          <w:bCs/>
          <w:spacing w:val="-36"/>
        </w:rPr>
      </w:r>
      <w:r>
        <w:rPr>
          <w:spacing w:val="-2"/>
        </w:rPr>
        <w:t>在建工程项目按建造该项资产达到预定可使用状态前所发生的全部支出，作为固定资产的入账价值。所建</w:t>
      </w:r>
      <w:r>
        <w:rPr>
          <w:spacing w:val="-43"/>
        </w:rPr>
        <w:t> </w:t>
      </w:r>
      <w:r>
        <w:rPr>
          <w:spacing w:val="-43"/>
        </w:rPr>
      </w:r>
      <w:r>
        <w:rPr/>
        <w:t>造的固定资产在建工程已达到预定可使用状态，但尚未办理竣工决算的，自达到预定可使用状态之日起，</w:t>
      </w:r>
      <w:r>
        <w:rPr>
          <w:w w:val="100"/>
        </w:rPr>
        <w:t> </w:t>
      </w:r>
      <w:r>
        <w:rPr>
          <w:spacing w:val="-2"/>
        </w:rPr>
        <w:t>根据工程预算、造价或者工程实际成本等，按估计的价值转入固定资产，并按本公司固定资产折旧政策计</w:t>
      </w:r>
      <w:r>
        <w:rPr>
          <w:spacing w:val="-45"/>
        </w:rPr>
        <w:t> </w:t>
      </w:r>
      <w:r>
        <w:rPr>
          <w:spacing w:val="-45"/>
        </w:rPr>
      </w:r>
      <w:r>
        <w:rPr>
          <w:spacing w:val="-5"/>
        </w:rPr>
        <w:t>提固定资产的折旧，待办理竣工决算后，再按实际成本调整原来的暂估价值，但不调整原已计提的折旧额。</w:t>
      </w:r>
    </w:p>
    <w:p>
      <w:pPr>
        <w:pStyle w:val="Heading3"/>
        <w:spacing w:line="612" w:lineRule="exact" w:before="60"/>
        <w:ind w:right="6952"/>
        <w:jc w:val="left"/>
        <w:rPr>
          <w:b w:val="0"/>
          <w:bCs w:val="0"/>
        </w:rPr>
      </w:pPr>
      <w:r>
        <w:rPr>
          <w:rFonts w:ascii="Times New Roman" w:hAnsi="Times New Roman" w:cs="Times New Roman" w:eastAsia="Times New Roman" w:hint="default"/>
        </w:rPr>
        <w:t>18</w:t>
      </w:r>
      <w:r>
        <w:rPr/>
        <w:t>、借款费用</w:t>
      </w:r>
      <w:r>
        <w:rPr>
          <w:spacing w:val="-48"/>
        </w:rPr>
        <w:t> </w:t>
      </w:r>
      <w:r>
        <w:rPr>
          <w:rFonts w:ascii="Times New Roman" w:hAnsi="Times New Roman" w:cs="Times New Roman" w:eastAsia="Times New Roman" w:hint="default"/>
        </w:rPr>
        <w:t>A</w:t>
      </w:r>
      <w:r>
        <w:rPr/>
        <w:t>．借款费用资本化的确认原则</w:t>
      </w:r>
      <w:r>
        <w:rPr>
          <w:b w:val="0"/>
          <w:bCs w:val="0"/>
        </w:rPr>
      </w:r>
    </w:p>
    <w:p>
      <w:pPr>
        <w:pStyle w:val="BodyText"/>
        <w:spacing w:line="219" w:lineRule="exact"/>
        <w:ind w:right="102"/>
        <w:jc w:val="left"/>
      </w:pPr>
      <w:r>
        <w:rPr/>
        <w:t>公司发生的借款费用，可直接归属于符合资本化条件的资产的购建或者生产的，在符合资本化条件的情况</w:t>
      </w:r>
    </w:p>
    <w:p>
      <w:pPr>
        <w:pStyle w:val="BodyText"/>
        <w:spacing w:line="273" w:lineRule="auto" w:before="37"/>
        <w:ind w:right="187"/>
        <w:jc w:val="both"/>
      </w:pPr>
      <w:r>
        <w:rPr>
          <w:spacing w:val="-2"/>
        </w:rPr>
        <w:t>下开始资本化，计入相关资产成本；其他借款费用，在发生时根据其发生额确认为费用，计入当期损益。</w:t>
      </w:r>
      <w:r>
        <w:rPr>
          <w:spacing w:val="-24"/>
        </w:rPr>
        <w:t> </w:t>
      </w:r>
      <w:r>
        <w:rPr>
          <w:spacing w:val="-24"/>
        </w:rPr>
      </w:r>
      <w:r>
        <w:rPr>
          <w:spacing w:val="-2"/>
        </w:rPr>
        <w:t>符合资本化条件的资产，是指需要经过相当长时间的购建或者生产活动才能达到预定可使用或者可销售状</w:t>
      </w:r>
      <w:r>
        <w:rPr>
          <w:spacing w:val="-43"/>
        </w:rPr>
        <w:t> </w:t>
      </w:r>
      <w:r>
        <w:rPr>
          <w:spacing w:val="-43"/>
        </w:rPr>
      </w:r>
      <w:r>
        <w:rPr/>
        <w:t>态的固定资产、投资性房地产和存货等资产。</w:t>
      </w:r>
    </w:p>
    <w:p>
      <w:pPr>
        <w:pStyle w:val="BodyText"/>
        <w:spacing w:line="240" w:lineRule="auto" w:before="7"/>
        <w:ind w:right="102"/>
        <w:jc w:val="left"/>
      </w:pPr>
      <w:r>
        <w:rPr/>
        <w:t>借款费用同时满足下列条件时开始资本化：</w:t>
      </w:r>
    </w:p>
    <w:p>
      <w:pPr>
        <w:pStyle w:val="BodyText"/>
        <w:spacing w:line="256" w:lineRule="auto" w:before="37"/>
        <w:ind w:right="102"/>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w:t>
      </w:r>
      <w:r>
        <w:rPr>
          <w:spacing w:val="-25"/>
        </w:rPr>
        <w:t> </w:t>
      </w:r>
      <w:r>
        <w:rPr>
          <w:spacing w:val="-25"/>
        </w:rPr>
      </w:r>
      <w:r>
        <w:rPr/>
        <w:t>金资产或者承担带息债务形式发生的支出；</w:t>
      </w:r>
    </w:p>
    <w:p>
      <w:pPr>
        <w:pStyle w:val="BodyText"/>
        <w:spacing w:line="240" w:lineRule="auto" w:before="22"/>
        <w:ind w:right="102"/>
        <w:jc w:val="left"/>
      </w:pPr>
      <w:r>
        <w:rPr/>
        <w:t>（</w:t>
      </w:r>
      <w:r>
        <w:rPr>
          <w:rFonts w:ascii="Times New Roman" w:hAnsi="Times New Roman" w:cs="Times New Roman" w:eastAsia="Times New Roman" w:hint="default"/>
        </w:rPr>
        <w:t>2</w:t>
      </w:r>
      <w:r>
        <w:rPr/>
        <w:t>）借款费用已经发生；</w:t>
      </w:r>
    </w:p>
    <w:p>
      <w:pPr>
        <w:pStyle w:val="BodyText"/>
        <w:spacing w:line="312" w:lineRule="exact" w:before="17"/>
        <w:ind w:right="102"/>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r>
        <w:rPr>
          <w:w w:val="100"/>
        </w:rPr>
        <w:t> </w:t>
      </w:r>
      <w:r>
        <w:rPr>
          <w:rFonts w:ascii="Times New Roman" w:hAnsi="Times New Roman" w:cs="Times New Roman" w:eastAsia="Times New Roman" w:hint="default"/>
          <w:b/>
          <w:bCs/>
        </w:rPr>
        <w:t>B</w:t>
      </w:r>
      <w:r>
        <w:rPr>
          <w:rFonts w:ascii="Microsoft JhengHei" w:hAnsi="Microsoft JhengHei" w:cs="Microsoft JhengHei" w:eastAsia="Microsoft JhengHei" w:hint="default"/>
          <w:b/>
          <w:bCs/>
        </w:rPr>
        <w:t>．借款费用资本化期间</w:t>
      </w:r>
      <w:r>
        <w:rPr>
          <w:rFonts w:ascii="Microsoft JhengHei" w:hAnsi="Microsoft JhengHei" w:cs="Microsoft JhengHei" w:eastAsia="Microsoft JhengHei" w:hint="default"/>
          <w:b/>
          <w:bCs/>
          <w:spacing w:val="-42"/>
        </w:rPr>
        <w:t> </w:t>
      </w:r>
      <w:r>
        <w:rPr>
          <w:spacing w:val="-2"/>
        </w:rPr>
        <w:t>资本化期间，指从借款费用开始资本化时点到停止资本化时点的期间，借款费用暂停资本化的期间不包括</w:t>
      </w:r>
      <w:r>
        <w:rPr>
          <w:spacing w:val="-43"/>
        </w:rPr>
        <w:t> </w:t>
      </w:r>
      <w:r>
        <w:rPr>
          <w:spacing w:val="-43"/>
        </w:rPr>
      </w:r>
      <w:r>
        <w:rPr/>
        <w:t>在内。</w:t>
      </w:r>
    </w:p>
    <w:p>
      <w:pPr>
        <w:pStyle w:val="BodyText"/>
        <w:spacing w:line="273" w:lineRule="auto" w:before="4"/>
        <w:ind w:right="102"/>
        <w:jc w:val="left"/>
      </w:pPr>
      <w:r>
        <w:rPr/>
        <w:t>当购建或者生产符合资本化条件的资产达到预定可使用或者可销售状态时，借款费用停止资本化。</w:t>
      </w:r>
      <w:r>
        <w:rPr>
          <w:w w:val="100"/>
        </w:rPr>
        <w:t> </w:t>
      </w:r>
      <w:r>
        <w:rPr>
          <w:spacing w:val="-2"/>
        </w:rPr>
        <w:t>当购建或者生产符合资本化条件的资产中部分项目分别完工且可单独使用时，该部分资产借款费用停止资</w:t>
      </w:r>
      <w:r>
        <w:rPr>
          <w:spacing w:val="-43"/>
        </w:rPr>
        <w:t> </w:t>
      </w:r>
      <w:r>
        <w:rPr>
          <w:spacing w:val="-43"/>
        </w:rPr>
      </w:r>
      <w:r>
        <w:rPr/>
        <w:t>本化。</w:t>
      </w:r>
    </w:p>
    <w:p>
      <w:pPr>
        <w:spacing w:after="0" w:line="273"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BodyText"/>
        <w:spacing w:line="273" w:lineRule="auto" w:before="36"/>
        <w:ind w:right="0"/>
        <w:jc w:val="left"/>
      </w:pPr>
      <w:r>
        <w:rPr>
          <w:spacing w:val="-2"/>
        </w:rPr>
        <w:t>购建或者生产的资产的各部分分别完工，但必须等到整体完工后才可使用或可对外销售的，在该资产整体</w:t>
      </w:r>
      <w:r>
        <w:rPr>
          <w:spacing w:val="-42"/>
        </w:rPr>
        <w:t> </w:t>
      </w:r>
      <w:r>
        <w:rPr>
          <w:spacing w:val="-42"/>
        </w:rPr>
      </w:r>
      <w:r>
        <w:rPr/>
        <w:t>完工时停止借款费用资本化。</w:t>
      </w:r>
    </w:p>
    <w:p>
      <w:pPr>
        <w:pStyle w:val="BodyText"/>
        <w:spacing w:line="312" w:lineRule="exact" w:before="3"/>
        <w:ind w:right="0"/>
        <w:jc w:val="left"/>
      </w:pPr>
      <w:r>
        <w:rPr>
          <w:rFonts w:ascii="Times New Roman" w:hAnsi="Times New Roman" w:cs="Times New Roman" w:eastAsia="Times New Roman" w:hint="default"/>
          <w:b/>
          <w:bCs/>
        </w:rPr>
        <w:t>C</w:t>
      </w:r>
      <w:r>
        <w:rPr>
          <w:rFonts w:ascii="Microsoft JhengHei" w:hAnsi="Microsoft JhengHei" w:cs="Microsoft JhengHei" w:eastAsia="Microsoft JhengHei" w:hint="default"/>
          <w:b/>
          <w:bCs/>
        </w:rPr>
        <w:t>．暂停资本化期间</w:t>
      </w:r>
      <w:r>
        <w:rPr>
          <w:rFonts w:ascii="Microsoft JhengHei" w:hAnsi="Microsoft JhengHei" w:cs="Microsoft JhengHei" w:eastAsia="Microsoft JhengHei" w:hint="default"/>
          <w:b/>
          <w:bCs/>
          <w:spacing w:val="-44"/>
        </w:rPr>
        <w:t> </w:t>
      </w: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个月的，则借款费</w:t>
      </w:r>
      <w:r>
        <w:rPr>
          <w:spacing w:val="-20"/>
        </w:rPr>
        <w:t> </w:t>
      </w:r>
      <w:r>
        <w:rPr>
          <w:spacing w:val="-20"/>
        </w:rPr>
      </w:r>
      <w:r>
        <w:rPr>
          <w:spacing w:val="-2"/>
        </w:rPr>
        <w:t>用暂停资本化；该项中断如是所购建或生产的符合资本化条件的资产达到预定可使用状态或者可销售状态</w:t>
      </w:r>
      <w:r>
        <w:rPr>
          <w:spacing w:val="-43"/>
        </w:rPr>
        <w:t> </w:t>
      </w:r>
      <w:r>
        <w:rPr>
          <w:spacing w:val="-43"/>
        </w:rPr>
      </w:r>
      <w:r>
        <w:rPr>
          <w:spacing w:val="-2"/>
        </w:rPr>
        <w:t>必要的程序，则借款费用继续资本化。在中断期间发生的借款费用确认为当期损益，直至资产的购建或者</w:t>
      </w:r>
      <w:r>
        <w:rPr>
          <w:spacing w:val="-42"/>
        </w:rPr>
        <w:t> </w:t>
      </w:r>
      <w:r>
        <w:rPr>
          <w:spacing w:val="-42"/>
        </w:rPr>
      </w:r>
      <w:r>
        <w:rPr/>
        <w:t>生产活动重新开始后借款费用继续资本化。</w:t>
      </w:r>
    </w:p>
    <w:p>
      <w:pPr>
        <w:pStyle w:val="BodyText"/>
        <w:spacing w:line="312" w:lineRule="exact"/>
        <w:ind w:right="0"/>
        <w:jc w:val="left"/>
      </w:pPr>
      <w:r>
        <w:rPr>
          <w:rFonts w:ascii="Times New Roman" w:hAnsi="Times New Roman" w:cs="Times New Roman" w:eastAsia="Times New Roman" w:hint="default"/>
          <w:b/>
          <w:bCs/>
        </w:rPr>
        <w:t>D</w:t>
      </w:r>
      <w:r>
        <w:rPr>
          <w:rFonts w:ascii="Microsoft JhengHei" w:hAnsi="Microsoft JhengHei" w:cs="Microsoft JhengHei" w:eastAsia="Microsoft JhengHei" w:hint="default"/>
          <w:b/>
          <w:bCs/>
        </w:rPr>
        <w:t>．借款费用资本化金额的计算方法</w:t>
      </w:r>
      <w:r>
        <w:rPr>
          <w:rFonts w:ascii="Microsoft JhengHei" w:hAnsi="Microsoft JhengHei" w:cs="Microsoft JhengHei" w:eastAsia="Microsoft JhengHei" w:hint="default"/>
          <w:b/>
          <w:bCs/>
          <w:spacing w:val="-38"/>
        </w:rPr>
        <w:t> </w:t>
      </w:r>
      <w:r>
        <w:rPr>
          <w:rFonts w:ascii="Microsoft JhengHei" w:hAnsi="Microsoft JhengHei" w:cs="Microsoft JhengHei" w:eastAsia="Microsoft JhengHei" w:hint="default"/>
          <w:b/>
          <w:bCs/>
          <w:spacing w:val="-38"/>
        </w:rPr>
      </w:r>
      <w:r>
        <w:rPr>
          <w:spacing w:val="-2"/>
        </w:rPr>
        <w:t>专门借款的利息费用（扣除尚未动用的借款资金存入银行取得的利息收入或者进行暂时性投资取得的投资</w:t>
      </w:r>
      <w:r>
        <w:rPr>
          <w:spacing w:val="-43"/>
        </w:rPr>
        <w:t> </w:t>
      </w:r>
      <w:r>
        <w:rPr>
          <w:spacing w:val="-43"/>
        </w:rPr>
      </w:r>
      <w:r>
        <w:rPr>
          <w:spacing w:val="-2"/>
        </w:rPr>
        <w:t>收益）及其辅助费用在所购建或者生产的符合资本化条件的资产达到预定可使用或者可销售状态前，予以</w:t>
      </w:r>
    </w:p>
    <w:p>
      <w:pPr>
        <w:pStyle w:val="BodyText"/>
        <w:spacing w:line="273" w:lineRule="auto" w:before="5"/>
        <w:ind w:right="0"/>
        <w:jc w:val="left"/>
      </w:pPr>
      <w:r>
        <w:rPr/>
        <w:t>资本化。</w:t>
      </w:r>
      <w:r>
        <w:rPr>
          <w:w w:val="100"/>
        </w:rPr>
        <w:t> </w:t>
      </w:r>
      <w:r>
        <w:rPr>
          <w:spacing w:val="-2"/>
        </w:rPr>
        <w:t>根据累计资产支出超过专门借款部分的资产支出加权平均数【按年初期末简单平均】乘以所占用一般借款</w:t>
      </w:r>
      <w:r>
        <w:rPr>
          <w:spacing w:val="-44"/>
        </w:rPr>
        <w:t> </w:t>
      </w:r>
      <w:r>
        <w:rPr>
          <w:spacing w:val="-44"/>
        </w:rPr>
      </w:r>
      <w:r>
        <w:rPr>
          <w:spacing w:val="-2"/>
        </w:rPr>
        <w:t>的资本化率，计算确定一般借款应予资本化的利息金额。资本化率根据一般借款加权平均利率计算确定。</w:t>
      </w:r>
      <w:r>
        <w:rPr>
          <w:spacing w:val="-24"/>
        </w:rPr>
        <w:t> </w:t>
      </w:r>
      <w:r>
        <w:rPr>
          <w:spacing w:val="-24"/>
        </w:rPr>
      </w:r>
      <w:r>
        <w:rPr>
          <w:spacing w:val="-2"/>
        </w:rPr>
        <w:t>借款存在折价或者溢价的，按照实际利率法确定每一会计期间应摊销的折价或者溢价金额，调整每期利息</w:t>
      </w:r>
      <w:r>
        <w:rPr>
          <w:spacing w:val="-43"/>
        </w:rPr>
        <w:t> </w:t>
      </w:r>
      <w:r>
        <w:rPr>
          <w:spacing w:val="-43"/>
        </w:rPr>
      </w:r>
      <w:r>
        <w:rPr/>
        <w:t>金额。</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BodyText"/>
        <w:spacing w:line="271" w:lineRule="auto"/>
        <w:ind w:right="0"/>
        <w:jc w:val="left"/>
      </w:pPr>
      <w:r>
        <w:rPr>
          <w:rFonts w:ascii="Times New Roman" w:hAnsi="Times New Roman" w:cs="Times New Roman" w:eastAsia="Times New Roman" w:hint="default"/>
          <w:b/>
          <w:bCs/>
        </w:rPr>
        <w:t>A</w:t>
      </w:r>
      <w:r>
        <w:rPr>
          <w:rFonts w:ascii="Microsoft JhengHei" w:hAnsi="Microsoft JhengHei" w:cs="Microsoft JhengHei" w:eastAsia="Microsoft JhengHei" w:hint="default"/>
          <w:b/>
          <w:bCs/>
        </w:rPr>
        <w:t>．无形资产的初始计量</w:t>
      </w:r>
      <w:r>
        <w:rPr>
          <w:rFonts w:ascii="Microsoft JhengHei" w:hAnsi="Microsoft JhengHei" w:cs="Microsoft JhengHei" w:eastAsia="Microsoft JhengHei" w:hint="default"/>
          <w:b/>
          <w:bCs/>
          <w:spacing w:val="-41"/>
        </w:rPr>
        <w:t> </w:t>
      </w:r>
      <w:r>
        <w:rPr>
          <w:spacing w:val="-2"/>
        </w:rPr>
        <w:t>外购无形资产的成本，包括购买价款、相关税费以及直接归属于使该项资产达到预定用途所发生的其他支</w:t>
      </w:r>
      <w:r>
        <w:rPr>
          <w:spacing w:val="-44"/>
        </w:rPr>
        <w:t> </w:t>
      </w:r>
      <w:r>
        <w:rPr>
          <w:spacing w:val="-44"/>
        </w:rPr>
      </w:r>
      <w:r>
        <w:rPr>
          <w:spacing w:val="-2"/>
        </w:rPr>
        <w:t>出。购买无形资产的价款超过正常信用条件延期支付，实质上具有融资性质的，无形资产的成本以购买价</w:t>
      </w:r>
      <w:r>
        <w:rPr>
          <w:spacing w:val="-42"/>
        </w:rPr>
        <w:t> </w:t>
      </w:r>
      <w:r>
        <w:rPr>
          <w:spacing w:val="-42"/>
        </w:rPr>
      </w:r>
      <w:r>
        <w:rPr/>
        <w:t>款的现值为基础确定。</w:t>
      </w:r>
      <w:r>
        <w:rPr>
          <w:w w:val="100"/>
        </w:rPr>
        <w:t> </w:t>
      </w:r>
      <w:r>
        <w:rPr>
          <w:spacing w:val="-2"/>
        </w:rPr>
        <w:t>债务重组取得债务人用以抵债的无形资产，以该无形资产的公允价值为基础确定其入账价值，并将重组债</w:t>
      </w:r>
      <w:r>
        <w:rPr>
          <w:spacing w:val="-44"/>
        </w:rPr>
        <w:t> </w:t>
      </w:r>
      <w:r>
        <w:rPr>
          <w:spacing w:val="-44"/>
        </w:rPr>
      </w:r>
      <w:r>
        <w:rPr/>
        <w:t>务的账面价值与该用以抵债的无形资产公允价值之间的差额，计入当期损益。</w:t>
      </w:r>
      <w:r>
        <w:rPr>
          <w:w w:val="100"/>
        </w:rPr>
        <w:t> </w:t>
      </w:r>
      <w:r>
        <w:rPr>
          <w:spacing w:val="-2"/>
        </w:rPr>
        <w:t>在非货币性资产交换具备商业实质且换入资产或换出资产的公允价值能够可靠计量的前提下，非货币性资</w:t>
      </w:r>
      <w:r>
        <w:rPr>
          <w:spacing w:val="-43"/>
        </w:rPr>
        <w:t> </w:t>
      </w:r>
      <w:r>
        <w:rPr>
          <w:spacing w:val="-43"/>
        </w:rPr>
      </w:r>
      <w:r>
        <w:rPr>
          <w:spacing w:val="-2"/>
        </w:rPr>
        <w:t>产交换换入的无形资产以换出资产的公允价值为基础确定其入账价值，除非有确凿证据表明换入资产的公</w:t>
      </w:r>
      <w:r>
        <w:rPr>
          <w:spacing w:val="-43"/>
        </w:rPr>
        <w:t> </w:t>
      </w:r>
      <w:r>
        <w:rPr>
          <w:spacing w:val="-43"/>
        </w:rPr>
      </w:r>
      <w:r>
        <w:rPr>
          <w:spacing w:val="-2"/>
        </w:rPr>
        <w:t>允价值更加可靠；不满足上述前提的非货币性资产交换，以换出资产的账面价值和应支付的相关税费作为</w:t>
      </w:r>
      <w:r>
        <w:rPr>
          <w:spacing w:val="-43"/>
        </w:rPr>
        <w:t> </w:t>
      </w:r>
      <w:r>
        <w:rPr>
          <w:spacing w:val="-43"/>
        </w:rPr>
      </w:r>
      <w:r>
        <w:rPr/>
        <w:t>换入无形资产的成本，不确认损益。</w:t>
      </w:r>
      <w:r>
        <w:rPr>
          <w:w w:val="100"/>
        </w:rPr>
        <w:t> </w:t>
      </w:r>
      <w:r>
        <w:rPr>
          <w:spacing w:val="-2"/>
        </w:rPr>
        <w:t>以同一控制下的企业吸收合并方式取得的无形资产按被合并方的账面价值确定其入账价值；以非同一控制</w:t>
      </w:r>
      <w:r>
        <w:rPr>
          <w:spacing w:val="-43"/>
        </w:rPr>
        <w:t> </w:t>
      </w:r>
      <w:r>
        <w:rPr>
          <w:spacing w:val="-43"/>
        </w:rPr>
      </w:r>
      <w:r>
        <w:rPr/>
        <w:t>下的企业吸收合并方式取得的无形资产按公允价值确定其入账价值。</w:t>
      </w:r>
      <w:r>
        <w:rPr>
          <w:w w:val="100"/>
        </w:rPr>
        <w:t> </w:t>
      </w:r>
      <w:r>
        <w:rPr>
          <w:spacing w:val="-2"/>
        </w:rPr>
        <w:t>内部自行开发的无形资产，其成本包括：开发该无形资产时耗用的材料、劳务成本、注册费、在开发过程</w:t>
      </w:r>
      <w:r>
        <w:rPr>
          <w:spacing w:val="-43"/>
        </w:rPr>
        <w:t> </w:t>
      </w:r>
      <w:r>
        <w:rPr>
          <w:spacing w:val="-43"/>
        </w:rPr>
      </w:r>
      <w:r>
        <w:rPr>
          <w:spacing w:val="-2"/>
        </w:rPr>
        <w:t>中使用的其他专利权和特许权的摊销以及满足资本化条件的利息费用，以及为使该无形资产达到预定用途</w:t>
      </w:r>
      <w:r>
        <w:rPr>
          <w:spacing w:val="-43"/>
        </w:rPr>
        <w:t> </w:t>
      </w:r>
      <w:r>
        <w:rPr>
          <w:spacing w:val="-43"/>
        </w:rPr>
      </w:r>
      <w:r>
        <w:rPr/>
        <w:t>前所发生的其他直接费用。</w:t>
      </w:r>
    </w:p>
    <w:p>
      <w:pPr>
        <w:spacing w:line="312" w:lineRule="exact" w:before="5"/>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B</w:t>
      </w:r>
      <w:r>
        <w:rPr>
          <w:rFonts w:ascii="Microsoft JhengHei" w:hAnsi="Microsoft JhengHei" w:cs="Microsoft JhengHei" w:eastAsia="Microsoft JhengHei" w:hint="default"/>
          <w:b/>
          <w:bCs/>
          <w:sz w:val="21"/>
          <w:szCs w:val="21"/>
        </w:rPr>
        <w:t>．无形资产的后续计量</w:t>
      </w:r>
      <w:r>
        <w:rPr>
          <w:rFonts w:ascii="Microsoft JhengHei" w:hAnsi="Microsoft JhengHei" w:cs="Microsoft JhengHei" w:eastAsia="Microsoft JhengHei" w:hint="default"/>
          <w:b/>
          <w:bCs/>
          <w:spacing w:val="-42"/>
          <w:sz w:val="21"/>
          <w:szCs w:val="21"/>
        </w:rPr>
        <w:t> </w:t>
      </w:r>
      <w:r>
        <w:rPr>
          <w:rFonts w:ascii="宋体" w:hAnsi="宋体" w:cs="宋体" w:eastAsia="宋体" w:hint="default"/>
          <w:spacing w:val="-2"/>
          <w:sz w:val="21"/>
          <w:szCs w:val="21"/>
        </w:rPr>
        <w:t>本公司在取得无形资产时分析判断其使用寿命，划分为使用寿命有限和使用寿命不确定的无形资产。</w:t>
      </w:r>
    </w:p>
    <w:p>
      <w:pPr>
        <w:pStyle w:val="BodyText"/>
        <w:spacing w:line="268" w:lineRule="auto" w:before="4"/>
        <w:ind w:right="0"/>
        <w:jc w:val="left"/>
      </w:pPr>
      <w:r>
        <w:rPr/>
        <w:t>（</w:t>
      </w:r>
      <w:r>
        <w:rPr>
          <w:rFonts w:ascii="Times New Roman" w:hAnsi="Times New Roman" w:cs="Times New Roman" w:eastAsia="Times New Roman" w:hint="default"/>
        </w:rPr>
        <w:t>1</w:t>
      </w:r>
      <w:r>
        <w:rPr/>
        <w:t>）使用寿命有限的无形资产</w:t>
      </w:r>
      <w:r>
        <w:rPr>
          <w:w w:val="100"/>
        </w:rPr>
        <w:t> </w:t>
      </w:r>
      <w:r>
        <w:rPr>
          <w:spacing w:val="-2"/>
        </w:rPr>
        <w:t>对于使用寿命有限的无形资产，在为企业带来经济利益的期限内按直线法摊销。使用寿命根据预计使用年</w:t>
      </w:r>
      <w:r>
        <w:rPr>
          <w:spacing w:val="-43"/>
        </w:rPr>
        <w:t> </w:t>
      </w:r>
      <w:r>
        <w:rPr>
          <w:spacing w:val="-43"/>
        </w:rPr>
      </w:r>
      <w:r>
        <w:rPr/>
        <w:t>限确定。</w:t>
      </w:r>
      <w:r>
        <w:rPr>
          <w:w w:val="100"/>
        </w:rPr>
        <w:t> </w:t>
      </w:r>
      <w:r>
        <w:rPr>
          <w:spacing w:val="-2"/>
        </w:rPr>
        <w:t>每期末，对使用寿命有限的无形资产的使用寿命及摊销方法进行复核，如与原先估计数存在差异的，进行</w:t>
      </w:r>
      <w:r>
        <w:rPr>
          <w:spacing w:val="-42"/>
        </w:rPr>
        <w:t> </w:t>
      </w:r>
      <w:r>
        <w:rPr>
          <w:spacing w:val="-42"/>
        </w:rPr>
      </w:r>
      <w:r>
        <w:rPr/>
        <w:t>相应的调整。</w:t>
      </w:r>
    </w:p>
    <w:p>
      <w:pPr>
        <w:pStyle w:val="BodyText"/>
        <w:spacing w:line="240" w:lineRule="auto" w:before="12"/>
        <w:ind w:right="0"/>
        <w:jc w:val="left"/>
      </w:pPr>
      <w:r>
        <w:rPr/>
        <w:t>经复核，本期期末无形资产的使用寿命及摊销方法与以前估计未有不同。</w:t>
      </w:r>
    </w:p>
    <w:p>
      <w:pPr>
        <w:pStyle w:val="BodyText"/>
        <w:spacing w:line="240" w:lineRule="auto" w:before="37"/>
        <w:ind w:right="0"/>
        <w:jc w:val="left"/>
      </w:pPr>
      <w:r>
        <w:rPr/>
        <w:t>（</w:t>
      </w:r>
      <w:r>
        <w:rPr>
          <w:rFonts w:ascii="Times New Roman" w:hAnsi="Times New Roman" w:cs="Times New Roman" w:eastAsia="Times New Roman" w:hint="default"/>
        </w:rPr>
        <w:t>2</w:t>
      </w:r>
      <w:r>
        <w:rPr/>
        <w:t>）使用寿命不确定的无形资产</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BodyText"/>
        <w:spacing w:line="273" w:lineRule="auto" w:before="36"/>
        <w:ind w:right="102"/>
        <w:jc w:val="left"/>
      </w:pPr>
      <w:r>
        <w:rPr/>
        <w:t>无法预见无形资产为企业带来经济利益期限的，视为使用寿命不确定的无形资产。</w:t>
      </w:r>
      <w:r>
        <w:rPr>
          <w:w w:val="100"/>
        </w:rPr>
        <w:t> </w:t>
      </w:r>
      <w:r>
        <w:rPr>
          <w:spacing w:val="-2"/>
        </w:rPr>
        <w:t>对于使用寿命不确定的无形资产，在持有期间内不摊销，每期末对无形资产的寿命进行复核。如果期末重</w:t>
      </w:r>
      <w:r>
        <w:rPr>
          <w:spacing w:val="-44"/>
        </w:rPr>
        <w:t> </w:t>
      </w:r>
      <w:r>
        <w:rPr>
          <w:spacing w:val="-44"/>
        </w:rPr>
      </w:r>
      <w:r>
        <w:rPr/>
        <w:t>新复核后仍为不确定的，在每个会计期间继续进行减值测试。</w:t>
      </w:r>
      <w:r>
        <w:rPr>
          <w:w w:val="100"/>
        </w:rPr>
        <w:t> </w:t>
      </w:r>
      <w:r>
        <w:rPr/>
        <w:t>经复核，该类无形资产的使用寿命仍为不确定。</w:t>
      </w:r>
    </w:p>
    <w:p>
      <w:pPr>
        <w:spacing w:line="240" w:lineRule="auto" w:before="5"/>
        <w:rPr>
          <w:rFonts w:ascii="宋体" w:hAnsi="宋体" w:cs="宋体" w:eastAsia="宋体" w:hint="default"/>
          <w:sz w:val="18"/>
          <w:szCs w:val="18"/>
        </w:rPr>
      </w:pPr>
    </w:p>
    <w:p>
      <w:pPr>
        <w:pStyle w:val="Heading3"/>
        <w:spacing w:line="240" w:lineRule="auto"/>
        <w:ind w:right="102"/>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73" w:lineRule="auto"/>
        <w:ind w:right="102"/>
        <w:jc w:val="left"/>
      </w:pPr>
      <w:r>
        <w:rPr/>
        <w:t>研究阶段：为获取并理解新的科学或技术知识等而进行的独创性的有计划调查、研究活动的阶段。</w:t>
      </w:r>
      <w:r>
        <w:rPr>
          <w:w w:val="100"/>
        </w:rPr>
        <w:t> </w:t>
      </w:r>
      <w:r>
        <w:rPr>
          <w:spacing w:val="-2"/>
        </w:rPr>
        <w:t>开发阶段：在进行商业性生产或使用前，将研究成果或其他知识应用于某项计划或设计，以生产出新的或</w:t>
      </w:r>
      <w:r>
        <w:rPr>
          <w:spacing w:val="-44"/>
        </w:rPr>
        <w:t> </w:t>
      </w:r>
      <w:r>
        <w:rPr>
          <w:spacing w:val="-44"/>
        </w:rPr>
      </w:r>
      <w:r>
        <w:rPr/>
        <w:t>具有实质性改进的材料、装置、产品等活动的阶段。</w:t>
      </w:r>
      <w:r>
        <w:rPr>
          <w:w w:val="100"/>
        </w:rPr>
        <w:t> </w:t>
      </w:r>
      <w:r>
        <w:rPr/>
        <w:t>内部研究开发项目研究阶段的支出，在发生时计入当期损益。</w:t>
      </w:r>
    </w:p>
    <w:p>
      <w:pPr>
        <w:spacing w:line="590" w:lineRule="atLeast" w:before="16"/>
        <w:ind w:left="152" w:right="102"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 开发阶段支出符合资本化的具体标准</w:t>
      </w:r>
      <w:r>
        <w:rPr>
          <w:rFonts w:ascii="Microsoft JhengHei" w:hAnsi="Microsoft JhengHei" w:cs="Microsoft JhengHei" w:eastAsia="Microsoft JhengHei" w:hint="default"/>
          <w:b/>
          <w:bCs/>
          <w:spacing w:val="-37"/>
          <w:sz w:val="21"/>
          <w:szCs w:val="21"/>
        </w:rPr>
        <w:t> </w:t>
      </w:r>
      <w:r>
        <w:rPr>
          <w:rFonts w:ascii="Microsoft JhengHei" w:hAnsi="Microsoft JhengHei" w:cs="Microsoft JhengHei" w:eastAsia="Microsoft JhengHei" w:hint="default"/>
          <w:b/>
          <w:bCs/>
          <w:spacing w:val="-37"/>
          <w:sz w:val="21"/>
          <w:szCs w:val="21"/>
        </w:rPr>
      </w:r>
      <w:r>
        <w:rPr>
          <w:rFonts w:ascii="宋体" w:hAnsi="宋体" w:cs="宋体" w:eastAsia="宋体" w:hint="default"/>
          <w:spacing w:val="-2"/>
          <w:sz w:val="21"/>
          <w:szCs w:val="21"/>
        </w:rPr>
        <w:t>内部研究开发项目开发阶段的支出，同时满足下列条件时确认为无形资产：</w:t>
      </w:r>
    </w:p>
    <w:p>
      <w:pPr>
        <w:pStyle w:val="BodyText"/>
        <w:spacing w:line="240" w:lineRule="auto" w:before="37"/>
        <w:ind w:right="102"/>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21"/>
        <w:ind w:right="102"/>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56" w:lineRule="auto" w:before="21"/>
        <w:ind w:right="102"/>
        <w:jc w:val="left"/>
      </w:pPr>
      <w:r>
        <w:rPr>
          <w:spacing w:val="-2"/>
        </w:rPr>
        <w:t>（</w:t>
      </w:r>
      <w:r>
        <w:rPr>
          <w:rFonts w:ascii="Times New Roman" w:hAnsi="Times New Roman" w:cs="Times New Roman" w:eastAsia="Times New Roman" w:hint="default"/>
          <w:spacing w:val="-2"/>
        </w:rPr>
        <w:t>3</w:t>
      </w:r>
      <w:r>
        <w:rPr>
          <w:spacing w:val="-2"/>
        </w:rPr>
        <w:t>）无形资产产生经济利益的方式，包括能够证明运用该无形资产生产的产品存在市场或无形资产自身</w:t>
      </w:r>
      <w:r>
        <w:rPr>
          <w:spacing w:val="-23"/>
        </w:rPr>
        <w:t> </w:t>
      </w:r>
      <w:r>
        <w:rPr>
          <w:spacing w:val="-23"/>
        </w:rPr>
      </w:r>
      <w:r>
        <w:rPr/>
        <w:t>存在市场，无形资产将在内部使用的，能够证明其有用性；</w:t>
      </w:r>
    </w:p>
    <w:p>
      <w:pPr>
        <w:pStyle w:val="BodyText"/>
        <w:spacing w:line="256" w:lineRule="auto" w:before="22"/>
        <w:ind w:right="102"/>
        <w:jc w:val="left"/>
      </w:pPr>
      <w:r>
        <w:rPr>
          <w:spacing w:val="-2"/>
        </w:rPr>
        <w:t>（</w:t>
      </w:r>
      <w:r>
        <w:rPr>
          <w:rFonts w:ascii="Times New Roman" w:hAnsi="Times New Roman" w:cs="Times New Roman" w:eastAsia="Times New Roman" w:hint="default"/>
          <w:spacing w:val="-2"/>
        </w:rPr>
        <w:t>4</w:t>
      </w:r>
      <w:r>
        <w:rPr>
          <w:spacing w:val="-2"/>
        </w:rPr>
        <w:t>）有足够的技术、财务资源和其他资源支持，以完成该无形资产的开发，并有能力使用或出售该无形</w:t>
      </w:r>
      <w:r>
        <w:rPr>
          <w:spacing w:val="-22"/>
        </w:rPr>
        <w:t> </w:t>
      </w:r>
      <w:r>
        <w:rPr>
          <w:spacing w:val="-22"/>
        </w:rPr>
      </w:r>
      <w:r>
        <w:rPr/>
        <w:t>资产；</w:t>
      </w:r>
    </w:p>
    <w:p>
      <w:pPr>
        <w:pStyle w:val="BodyText"/>
        <w:spacing w:line="266" w:lineRule="auto" w:before="23"/>
        <w:ind w:right="102"/>
        <w:jc w:val="left"/>
      </w:pPr>
      <w:r>
        <w:rPr/>
        <w:t>（</w:t>
      </w:r>
      <w:r>
        <w:rPr>
          <w:rFonts w:ascii="Times New Roman" w:hAnsi="Times New Roman" w:cs="Times New Roman" w:eastAsia="Times New Roman" w:hint="default"/>
        </w:rPr>
        <w:t>5</w:t>
      </w:r>
      <w:r>
        <w:rPr/>
        <w:t>）归属于该无形资产开发阶段的支出能够可靠地计量。</w:t>
      </w:r>
      <w:r>
        <w:rPr>
          <w:w w:val="100"/>
        </w:rPr>
        <w:t> </w:t>
      </w:r>
      <w:r>
        <w:rPr>
          <w:spacing w:val="-2"/>
        </w:rPr>
        <w:t>不满足上述条件的开发阶段的支出，于发生时计入当期损益。以前期间已计入损益的开发支出不在以后期</w:t>
      </w:r>
      <w:r>
        <w:rPr>
          <w:spacing w:val="-42"/>
        </w:rPr>
        <w:t> </w:t>
      </w:r>
      <w:r>
        <w:rPr>
          <w:spacing w:val="-42"/>
        </w:rPr>
      </w:r>
      <w:r>
        <w:rPr>
          <w:spacing w:val="-2"/>
        </w:rPr>
        <w:t>间重新确认为资产。已资本化的开发阶段的支出在资产负债表上列示为开发支出，自该项目达到预定用途</w:t>
      </w:r>
      <w:r>
        <w:rPr>
          <w:spacing w:val="-42"/>
        </w:rPr>
        <w:t> </w:t>
      </w:r>
      <w:r>
        <w:rPr>
          <w:spacing w:val="-42"/>
        </w:rPr>
      </w:r>
      <w:r>
        <w:rPr/>
        <w:t>之日起转为无形资产。</w:t>
      </w:r>
    </w:p>
    <w:p>
      <w:pPr>
        <w:spacing w:line="240" w:lineRule="auto" w:before="12"/>
        <w:rPr>
          <w:rFonts w:ascii="宋体" w:hAnsi="宋体" w:cs="宋体" w:eastAsia="宋体" w:hint="default"/>
          <w:sz w:val="18"/>
          <w:szCs w:val="18"/>
        </w:rPr>
      </w:pPr>
    </w:p>
    <w:p>
      <w:pPr>
        <w:pStyle w:val="Heading3"/>
        <w:spacing w:line="240" w:lineRule="auto"/>
        <w:ind w:right="102"/>
        <w:jc w:val="left"/>
        <w:rPr>
          <w:b w:val="0"/>
          <w:bCs w:val="0"/>
        </w:rPr>
      </w:pPr>
      <w:r>
        <w:rPr>
          <w:rFonts w:ascii="Times New Roman" w:hAnsi="Times New Roman" w:cs="Times New Roman" w:eastAsia="Times New Roman" w:hint="default"/>
        </w:rPr>
        <w:t>20</w:t>
      </w:r>
      <w:r>
        <w:rPr/>
        <w:t>、长期资产减值</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73" w:lineRule="auto"/>
        <w:ind w:right="102"/>
        <w:jc w:val="left"/>
      </w:pPr>
      <w:r>
        <w:rPr>
          <w:spacing w:val="-2"/>
        </w:rPr>
        <w:t>本公司在资产负债表日判断长期资产是否存在可能发生减值的迹象。如果长期资产存在减值迹象的，以单</w:t>
      </w:r>
      <w:r>
        <w:rPr>
          <w:spacing w:val="-43"/>
        </w:rPr>
        <w:t> </w:t>
      </w:r>
      <w:r>
        <w:rPr>
          <w:spacing w:val="-43"/>
        </w:rPr>
      </w:r>
      <w:r>
        <w:rPr>
          <w:spacing w:val="-2"/>
        </w:rPr>
        <w:t>项资产为基础估计其可收回金额；难以对单项资产的可收回金额进行估计的，以该资产所属的资产组为基</w:t>
      </w:r>
      <w:r>
        <w:rPr>
          <w:spacing w:val="-44"/>
        </w:rPr>
        <w:t> </w:t>
      </w:r>
      <w:r>
        <w:rPr>
          <w:spacing w:val="-44"/>
        </w:rPr>
      </w:r>
      <w:r>
        <w:rPr/>
        <w:t>础确定资产组的可收回金额。</w:t>
      </w:r>
      <w:r>
        <w:rPr>
          <w:w w:val="100"/>
        </w:rPr>
        <w:t> </w:t>
      </w:r>
      <w:r>
        <w:rPr>
          <w:spacing w:val="-2"/>
        </w:rPr>
        <w:t>资产可收回金额的估计，根据其公允价值减去处置费用后的净额与资产预计未来现金流量的现值两者之间</w:t>
      </w:r>
      <w:r>
        <w:rPr>
          <w:spacing w:val="-43"/>
        </w:rPr>
        <w:t> </w:t>
      </w:r>
      <w:r>
        <w:rPr>
          <w:spacing w:val="-43"/>
        </w:rPr>
      </w:r>
      <w:r>
        <w:rPr/>
        <w:t>较高者确定。</w:t>
      </w:r>
      <w:r>
        <w:rPr>
          <w:w w:val="100"/>
        </w:rPr>
        <w:t> </w:t>
      </w:r>
      <w:r>
        <w:rPr>
          <w:spacing w:val="-2"/>
        </w:rPr>
        <w:t>可收回金额的计量结果表明，长期资产的可收回金额低于其账面价值的，将长期资产的账面价值减记至可</w:t>
      </w:r>
      <w:r>
        <w:rPr>
          <w:spacing w:val="-44"/>
        </w:rPr>
        <w:t> </w:t>
      </w:r>
      <w:r>
        <w:rPr>
          <w:spacing w:val="-44"/>
        </w:rPr>
      </w:r>
      <w:r>
        <w:rPr>
          <w:spacing w:val="-2"/>
        </w:rPr>
        <w:t>收回金额，减记的金额确认为资产减值损失，计入当期损益，同时计提相应的资产减值准备。资产减值损</w:t>
      </w:r>
      <w:r>
        <w:rPr>
          <w:spacing w:val="-50"/>
        </w:rPr>
        <w:t> </w:t>
      </w:r>
      <w:r>
        <w:rPr>
          <w:spacing w:val="-50"/>
        </w:rPr>
      </w:r>
      <w:r>
        <w:rPr/>
        <w:t>失一经确认，在以后会计期间不得转回。</w:t>
      </w:r>
      <w:r>
        <w:rPr>
          <w:w w:val="100"/>
        </w:rPr>
        <w:t> </w:t>
      </w:r>
      <w:r>
        <w:rPr>
          <w:spacing w:val="-2"/>
        </w:rPr>
        <w:t>资产减值损失确认后，减值资产的折旧或者摊销费用在未来期间作相应调整，以使该资产在剩余使用寿命</w:t>
      </w:r>
      <w:r>
        <w:rPr>
          <w:spacing w:val="-44"/>
        </w:rPr>
        <w:t> </w:t>
      </w:r>
      <w:r>
        <w:rPr>
          <w:spacing w:val="-44"/>
        </w:rPr>
      </w:r>
      <w:r>
        <w:rPr/>
        <w:t>内，系统地分摊调整后的资产账面价值（扣除预计净残值）。</w:t>
      </w:r>
      <w:r>
        <w:rPr>
          <w:w w:val="100"/>
        </w:rPr>
        <w:t> </w:t>
      </w:r>
      <w:r>
        <w:rPr/>
        <w:t>因企业合并所形成的商誉和使用寿命不确定的无形资产，无论是否存在减值迹象，每年都进行减值测试。</w:t>
      </w:r>
      <w:r>
        <w:rPr>
          <w:w w:val="100"/>
        </w:rPr>
        <w:t> </w:t>
      </w:r>
      <w:r>
        <w:rPr>
          <w:spacing w:val="-2"/>
        </w:rPr>
        <w:t>商誉结合与其相关的资产组或者资产组组合进行减值测试。在对包含商誉的相关资产组或者资产组组合进</w:t>
      </w:r>
      <w:r>
        <w:rPr>
          <w:spacing w:val="-43"/>
        </w:rPr>
        <w:t> </w:t>
      </w:r>
      <w:r>
        <w:rPr>
          <w:spacing w:val="-43"/>
        </w:rPr>
      </w:r>
      <w:r>
        <w:rPr>
          <w:spacing w:val="-2"/>
        </w:rPr>
        <w:t>行减值测试时，如与商誉相关的资产组或者资产组组合存在减值迹象的，先对不包含商誉的资产组或者资</w:t>
      </w:r>
      <w:r>
        <w:rPr>
          <w:spacing w:val="-43"/>
        </w:rPr>
        <w:t> </w:t>
      </w:r>
      <w:r>
        <w:rPr>
          <w:spacing w:val="-43"/>
        </w:rPr>
      </w:r>
      <w:r>
        <w:rPr>
          <w:spacing w:val="-2"/>
        </w:rPr>
        <w:t>产组组合进行减值测试，计算可收回金额，并与相关账面价值相比较，确认相应的减值损失。再对包含商</w:t>
      </w:r>
      <w:r>
        <w:rPr>
          <w:spacing w:val="-50"/>
        </w:rPr>
        <w:t> </w:t>
      </w:r>
      <w:r>
        <w:rPr>
          <w:spacing w:val="-50"/>
        </w:rPr>
      </w:r>
      <w:r>
        <w:rPr>
          <w:spacing w:val="-2"/>
        </w:rPr>
        <w:t>誉的资产组或者资产组组合进行减值测试，比较这些相关资产组或者资产组组合的账面价值（包括所分摊</w:t>
      </w:r>
      <w:r>
        <w:rPr>
          <w:spacing w:val="-43"/>
        </w:rPr>
        <w:t> </w:t>
      </w:r>
      <w:r>
        <w:rPr>
          <w:spacing w:val="-43"/>
        </w:rPr>
      </w:r>
      <w:r>
        <w:rPr>
          <w:spacing w:val="-5"/>
        </w:rPr>
        <w:t>的商誉的账面价值部分）与其可收回金额，如相关资产组或者资产组组合的可收回金额低于其账面价值的，</w:t>
      </w:r>
      <w:r>
        <w:rPr>
          <w:spacing w:val="-4"/>
        </w:rPr>
        <w:t> </w:t>
      </w:r>
      <w:r>
        <w:rPr>
          <w:spacing w:val="-4"/>
        </w:rPr>
      </w:r>
      <w:r>
        <w:rPr/>
        <w:t>确认商誉的减值损失。</w:t>
      </w:r>
    </w:p>
    <w:p>
      <w:pPr>
        <w:spacing w:after="0" w:line="273"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21</w:t>
      </w:r>
      <w:r>
        <w:rPr/>
        <w:t>、长期待摊费用</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BodyText"/>
        <w:spacing w:line="252" w:lineRule="auto"/>
        <w:ind w:right="0"/>
        <w:jc w:val="left"/>
      </w:pPr>
      <w:r>
        <w:rPr>
          <w:rFonts w:ascii="Times New Roman" w:hAnsi="Times New Roman" w:cs="Times New Roman" w:eastAsia="Times New Roman" w:hint="default"/>
          <w:b/>
          <w:bCs/>
        </w:rPr>
        <w:t>A.</w:t>
      </w:r>
      <w:r>
        <w:rPr>
          <w:rFonts w:ascii="Microsoft JhengHei" w:hAnsi="Microsoft JhengHei" w:cs="Microsoft JhengHei" w:eastAsia="Microsoft JhengHei" w:hint="default"/>
          <w:b/>
          <w:bCs/>
        </w:rPr>
        <w:t>摊销方法</w:t>
      </w:r>
      <w:r>
        <w:rPr>
          <w:rFonts w:ascii="Microsoft JhengHei" w:hAnsi="Microsoft JhengHei" w:cs="Microsoft JhengHei" w:eastAsia="Microsoft JhengHei" w:hint="default"/>
          <w:b/>
          <w:bCs/>
          <w:spacing w:val="-48"/>
        </w:rPr>
        <w:t> </w:t>
      </w:r>
      <w:r>
        <w:rPr>
          <w:spacing w:val="-2"/>
        </w:rPr>
        <w:t>长期待摊费用，是指本公司已经发生但应由本期和以后各期负担的分摊期限在</w:t>
      </w:r>
      <w:r>
        <w:rPr>
          <w:rFonts w:ascii="Times New Roman" w:hAnsi="Times New Roman" w:cs="Times New Roman" w:eastAsia="Times New Roman" w:hint="default"/>
          <w:spacing w:val="-2"/>
        </w:rPr>
        <w:t>1</w:t>
      </w:r>
      <w:r>
        <w:rPr>
          <w:spacing w:val="-2"/>
        </w:rPr>
        <w:t>年以上的各项费用。开办</w:t>
      </w:r>
      <w:r>
        <w:rPr>
          <w:spacing w:val="-22"/>
        </w:rPr>
        <w:t> </w:t>
      </w:r>
      <w:r>
        <w:rPr>
          <w:spacing w:val="-22"/>
        </w:rPr>
      </w:r>
      <w:r>
        <w:rPr/>
        <w:t>费在开始生产经营的当月一次计入损益，其他长期待摊费用在受益期内按直接法分期摊销。</w:t>
      </w:r>
    </w:p>
    <w:p>
      <w:pPr>
        <w:pStyle w:val="Heading3"/>
        <w:spacing w:line="325" w:lineRule="exact"/>
        <w:ind w:right="0"/>
        <w:jc w:val="left"/>
        <w:rPr>
          <w:b w:val="0"/>
          <w:bCs w:val="0"/>
        </w:rPr>
      </w:pPr>
      <w:r>
        <w:rPr>
          <w:rFonts w:ascii="Times New Roman" w:hAnsi="Times New Roman" w:cs="Times New Roman" w:eastAsia="Times New Roman" w:hint="default"/>
        </w:rPr>
        <w:t>B.</w:t>
      </w:r>
      <w:r>
        <w:rPr/>
        <w:t>摊销年限</w:t>
      </w:r>
      <w:r>
        <w:rPr>
          <w:b w:val="0"/>
          <w:bCs w:val="0"/>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60" w:type="dxa"/>
        <w:tblLayout w:type="fixed"/>
        <w:tblCellMar>
          <w:top w:w="0" w:type="dxa"/>
          <w:left w:w="0" w:type="dxa"/>
          <w:bottom w:w="0" w:type="dxa"/>
          <w:right w:w="0" w:type="dxa"/>
        </w:tblCellMar>
        <w:tblLook w:val="01E0"/>
      </w:tblPr>
      <w:tblGrid>
        <w:gridCol w:w="2843"/>
        <w:gridCol w:w="2844"/>
        <w:gridCol w:w="2845"/>
      </w:tblGrid>
      <w:tr>
        <w:trPr>
          <w:trHeight w:val="346"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摊销年限</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8"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装修费</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根据受益年限摊销</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11"/>
          <w:szCs w:val="11"/>
        </w:rPr>
      </w:pPr>
    </w:p>
    <w:p>
      <w:pPr>
        <w:pStyle w:val="Heading3"/>
        <w:spacing w:line="335" w:lineRule="exact"/>
        <w:ind w:right="0"/>
        <w:jc w:val="left"/>
        <w:rPr>
          <w:b w:val="0"/>
          <w:bCs w:val="0"/>
        </w:rPr>
      </w:pPr>
      <w:r>
        <w:rPr>
          <w:rFonts w:ascii="Times New Roman" w:hAnsi="Times New Roman" w:cs="Times New Roman" w:eastAsia="Times New Roman" w:hint="default"/>
        </w:rPr>
        <w:t>22</w:t>
      </w:r>
      <w:r>
        <w:rPr/>
        <w:t>、职工薪酬</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73" w:lineRule="auto"/>
        <w:ind w:right="0"/>
        <w:jc w:val="left"/>
      </w:pPr>
      <w:r>
        <w:rPr/>
        <w:t>短期薪酬是指本公司在职工提供相关服务的年度报告期间结束后十二个月内需要全部予以支付的职工薪</w:t>
      </w:r>
      <w:r>
        <w:rPr>
          <w:w w:val="100"/>
        </w:rPr>
        <w:t> </w:t>
      </w:r>
      <w:r>
        <w:rPr>
          <w:spacing w:val="-2"/>
        </w:rPr>
        <w:t>酬，离职后福利和辞退福利除外。本公司在职工提供服务的会计期间，将应付的短期薪酬确认为负债，并</w:t>
      </w:r>
      <w:r>
        <w:rPr>
          <w:spacing w:val="-47"/>
        </w:rPr>
        <w:t> </w:t>
      </w:r>
      <w:r>
        <w:rPr>
          <w:spacing w:val="-47"/>
        </w:rPr>
      </w:r>
      <w:r>
        <w:rPr/>
        <w:t>根据职工提供服务的受益对象计入相关资产成本和费用。</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73" w:lineRule="auto"/>
        <w:ind w:right="0"/>
        <w:jc w:val="left"/>
      </w:pPr>
      <w:r>
        <w:rPr>
          <w:spacing w:val="-2"/>
        </w:rPr>
        <w:t>离职后福利是指本公司为获得职工提供的服务而在职工退休或与企业解除劳动关系后，提供的各种形式的</w:t>
      </w:r>
      <w:r>
        <w:rPr>
          <w:spacing w:val="-43"/>
        </w:rPr>
        <w:t> </w:t>
      </w:r>
      <w:r>
        <w:rPr>
          <w:spacing w:val="-43"/>
        </w:rPr>
      </w:r>
      <w:r>
        <w:rPr/>
        <w:t>报酬和福利，短期薪酬和辞退福利除外。离职后福利计划分类为设定提存计划和设定受益计划。</w:t>
      </w:r>
      <w:r>
        <w:rPr>
          <w:w w:val="100"/>
        </w:rPr>
        <w:t> </w:t>
      </w:r>
      <w:r>
        <w:rPr>
          <w:spacing w:val="-2"/>
        </w:rPr>
        <w:t>离职后福利设定提存计划主要为参加由各地劳动及社会保障机构组织实施的社会基本养老保险、失业保险</w:t>
      </w:r>
      <w:r>
        <w:rPr>
          <w:spacing w:val="-42"/>
        </w:rPr>
        <w:t> </w:t>
      </w:r>
      <w:r>
        <w:rPr>
          <w:spacing w:val="-42"/>
        </w:rPr>
      </w:r>
      <w:r>
        <w:rPr>
          <w:spacing w:val="-2"/>
        </w:rPr>
        <w:t>等。在职工为本公司提供服务的会计期间，将根据设定提存计划计算的应缴存金额确认为负债，并计入当</w:t>
      </w:r>
      <w:r>
        <w:rPr>
          <w:spacing w:val="-43"/>
        </w:rPr>
        <w:t> </w:t>
      </w:r>
      <w:r>
        <w:rPr>
          <w:spacing w:val="-43"/>
        </w:rPr>
      </w:r>
      <w:r>
        <w:rPr/>
        <w:t>期损益或相关资产成本。</w:t>
      </w:r>
      <w:r>
        <w:rPr>
          <w:w w:val="100"/>
        </w:rPr>
        <w:t> </w:t>
      </w:r>
      <w:r>
        <w:rPr/>
        <w:t>本公司按照国家规定的标准和年金计划定期缴付上述款项后，不再有其他的支付义务。</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0"/>
        <w:rPr>
          <w:rFonts w:ascii="Microsoft JhengHei" w:hAnsi="Microsoft JhengHei" w:cs="Microsoft JhengHei" w:eastAsia="Microsoft JhengHei" w:hint="default"/>
          <w:b/>
          <w:bCs/>
          <w:sz w:val="18"/>
          <w:szCs w:val="18"/>
        </w:rPr>
      </w:pPr>
    </w:p>
    <w:p>
      <w:pPr>
        <w:pStyle w:val="BodyText"/>
        <w:spacing w:line="273" w:lineRule="auto"/>
        <w:ind w:right="0"/>
        <w:jc w:val="left"/>
      </w:pPr>
      <w:r>
        <w:rPr>
          <w:spacing w:val="-2"/>
        </w:rPr>
        <w:t>辞退福利是指本公司在职工劳动合同到期之前解除与职工的劳动关系，或者为鼓励职工自愿接受裁减而给</w:t>
      </w:r>
      <w:r>
        <w:rPr>
          <w:spacing w:val="-43"/>
        </w:rPr>
        <w:t> </w:t>
      </w:r>
      <w:r>
        <w:rPr>
          <w:spacing w:val="-43"/>
        </w:rPr>
      </w:r>
      <w:r>
        <w:rPr/>
        <w:t>予职工的补偿，在发生当期计入当期损益。</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73" w:lineRule="auto"/>
        <w:ind w:right="0"/>
        <w:jc w:val="left"/>
      </w:pPr>
      <w:r>
        <w:rPr/>
        <w:t>其他长期职工福利是指除短期薪酬、离职后福利、辞退福利之外的其他所有职工福利。</w:t>
      </w:r>
      <w:r>
        <w:rPr>
          <w:w w:val="100"/>
        </w:rPr>
        <w:t> </w:t>
      </w:r>
      <w:r>
        <w:rPr>
          <w:spacing w:val="-2"/>
        </w:rPr>
        <w:t>对符合设定提存计划条件的其他长期职工福利，在职工为本公司提供服务的会计期间，将应缴存金额确认</w:t>
      </w:r>
      <w:r>
        <w:rPr>
          <w:spacing w:val="-43"/>
        </w:rPr>
        <w:t> </w:t>
      </w:r>
      <w:r>
        <w:rPr>
          <w:spacing w:val="-43"/>
        </w:rPr>
      </w:r>
      <w:r>
        <w:rPr>
          <w:spacing w:val="-2"/>
        </w:rPr>
        <w:t>为负债，并计入当期损益或相关资产成本；除上述情形外的其他长期职工福利，在资产负债表日由独立精</w:t>
      </w:r>
      <w:r>
        <w:rPr>
          <w:spacing w:val="-43"/>
        </w:rPr>
        <w:t> </w:t>
      </w:r>
      <w:r>
        <w:rPr>
          <w:spacing w:val="-43"/>
        </w:rPr>
      </w:r>
      <w:r>
        <w:rPr>
          <w:spacing w:val="-2"/>
        </w:rPr>
        <w:t>算师使用预期累计福利单位法进行精算，将设定受益计划产生的福利义务归属于职工提供服务的期间，并</w:t>
      </w:r>
      <w:r>
        <w:rPr>
          <w:spacing w:val="-43"/>
        </w:rPr>
        <w:t> </w:t>
      </w:r>
      <w:r>
        <w:rPr>
          <w:spacing w:val="-43"/>
        </w:rPr>
      </w:r>
      <w:r>
        <w:rPr/>
        <w:t>计入当期损益或相关资产成本。</w:t>
      </w:r>
    </w:p>
    <w:p>
      <w:pPr>
        <w:pStyle w:val="Heading3"/>
        <w:spacing w:line="612" w:lineRule="exact" w:before="63"/>
        <w:ind w:right="7680"/>
        <w:jc w:val="left"/>
        <w:rPr>
          <w:b w:val="0"/>
          <w:bCs w:val="0"/>
        </w:rPr>
      </w:pPr>
      <w:r>
        <w:rPr>
          <w:rFonts w:ascii="Times New Roman" w:hAnsi="Times New Roman" w:cs="Times New Roman" w:eastAsia="Times New Roman" w:hint="default"/>
        </w:rPr>
        <w:t>23</w:t>
      </w:r>
      <w:r>
        <w:rPr/>
        <w:t>、预计负债</w:t>
      </w:r>
      <w:r>
        <w:rPr>
          <w:spacing w:val="-48"/>
        </w:rPr>
        <w:t> </w:t>
      </w:r>
      <w:r>
        <w:rPr>
          <w:rFonts w:ascii="Times New Roman" w:hAnsi="Times New Roman" w:cs="Times New Roman" w:eastAsia="Times New Roman" w:hint="default"/>
        </w:rPr>
        <w:t>A.</w:t>
      </w:r>
      <w:r>
        <w:rPr/>
        <w:t>预计负债的确认标准</w:t>
      </w:r>
      <w:r>
        <w:rPr>
          <w:b w:val="0"/>
          <w:bCs w:val="0"/>
        </w:rPr>
      </w:r>
    </w:p>
    <w:p>
      <w:pPr>
        <w:pStyle w:val="BodyText"/>
        <w:spacing w:line="219" w:lineRule="exact"/>
        <w:ind w:right="0"/>
        <w:jc w:val="left"/>
      </w:pPr>
      <w:r>
        <w:rPr/>
        <w:t>与或有事项相关的义务同时满足下列条件时，本公司确认为预计负债：</w:t>
      </w:r>
    </w:p>
    <w:p>
      <w:pPr>
        <w:spacing w:after="0" w:line="219" w:lineRule="exact"/>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BodyText"/>
        <w:spacing w:line="312" w:lineRule="exact" w:before="32"/>
        <w:ind w:right="5454"/>
        <w:jc w:val="left"/>
        <w:rPr>
          <w:rFonts w:ascii="Microsoft JhengHei" w:hAnsi="Microsoft JhengHei" w:cs="Microsoft JhengHei" w:eastAsia="Microsoft JhengHei" w:hint="default"/>
        </w:rPr>
      </w:pPr>
      <w:r>
        <w:rPr/>
        <w:t>该义务是本公司承担的现时义务；</w:t>
      </w:r>
      <w:r>
        <w:rPr>
          <w:w w:val="100"/>
        </w:rPr>
        <w:t> </w:t>
      </w:r>
      <w:r>
        <w:rPr>
          <w:spacing w:val="-2"/>
        </w:rPr>
        <w:t>履行该义务很可能导致经济利益流出本公司；</w:t>
      </w:r>
      <w:r>
        <w:rPr>
          <w:spacing w:val="-65"/>
        </w:rPr>
        <w:t> </w:t>
      </w:r>
      <w:r>
        <w:rPr>
          <w:spacing w:val="-65"/>
        </w:rPr>
      </w:r>
      <w:r>
        <w:rPr/>
        <w:t>该义务的金额能够可靠地计量。</w:t>
      </w:r>
      <w:r>
        <w:rPr>
          <w:w w:val="100"/>
        </w:rPr>
        <w:t> </w:t>
      </w:r>
      <w:r>
        <w:rPr>
          <w:rFonts w:ascii="Times New Roman" w:hAnsi="Times New Roman" w:cs="Times New Roman" w:eastAsia="Times New Roman" w:hint="default"/>
          <w:b/>
          <w:bCs/>
        </w:rPr>
        <w:t>B.</w:t>
      </w:r>
      <w:r>
        <w:rPr>
          <w:rFonts w:ascii="Microsoft JhengHei" w:hAnsi="Microsoft JhengHei" w:cs="Microsoft JhengHei" w:eastAsia="Microsoft JhengHei" w:hint="default"/>
          <w:b/>
          <w:bCs/>
        </w:rPr>
        <w:t>预计负债的计量方法</w:t>
      </w:r>
      <w:r>
        <w:rPr>
          <w:rFonts w:ascii="Microsoft JhengHei" w:hAnsi="Microsoft JhengHei" w:cs="Microsoft JhengHei" w:eastAsia="Microsoft JhengHei" w:hint="default"/>
        </w:rPr>
      </w:r>
    </w:p>
    <w:p>
      <w:pPr>
        <w:pStyle w:val="BodyText"/>
        <w:spacing w:line="273" w:lineRule="auto" w:before="4"/>
        <w:ind w:right="0"/>
        <w:jc w:val="left"/>
      </w:pPr>
      <w:r>
        <w:rPr/>
        <w:t>本公司预计负债按履行相关现时义务所需的支出的最佳估计数进行初始计量。</w:t>
      </w:r>
      <w:r>
        <w:rPr>
          <w:w w:val="100"/>
        </w:rPr>
        <w:t> </w:t>
      </w:r>
      <w:r>
        <w:rPr>
          <w:spacing w:val="-2"/>
        </w:rPr>
        <w:t>本公司在确定最佳估计数时，综合考虑与或有事项有关的风险、不确定性和货币时间价值等因素。对于货</w:t>
      </w:r>
      <w:r>
        <w:rPr>
          <w:spacing w:val="-43"/>
        </w:rPr>
        <w:t> </w:t>
      </w:r>
      <w:r>
        <w:rPr>
          <w:spacing w:val="-43"/>
        </w:rPr>
      </w:r>
      <w:r>
        <w:rPr/>
        <w:t>币时间价值影响重大的，通过对相关未来现金流出进行折现后确定最佳估计数。</w:t>
      </w:r>
      <w:r>
        <w:rPr>
          <w:w w:val="100"/>
        </w:rPr>
        <w:t> </w:t>
      </w:r>
      <w:r>
        <w:rPr/>
        <w:t>最佳估计数分别以下情况处理：</w:t>
      </w:r>
      <w:r>
        <w:rPr>
          <w:w w:val="100"/>
        </w:rPr>
        <w:t> </w:t>
      </w:r>
      <w:r>
        <w:rPr>
          <w:spacing w:val="-2"/>
        </w:rPr>
        <w:t>所需支出存在一个连续范围（或区间），且该范围内各种结果发生的可能性相同的，则最佳估计数按照该</w:t>
      </w:r>
      <w:r>
        <w:rPr>
          <w:spacing w:val="-44"/>
        </w:rPr>
        <w:t> </w:t>
      </w:r>
      <w:r>
        <w:rPr>
          <w:spacing w:val="-44"/>
        </w:rPr>
      </w:r>
      <w:r>
        <w:rPr/>
        <w:t>范围的中间值即上下限金额的平均数确定。</w:t>
      </w:r>
      <w:r>
        <w:rPr>
          <w:w w:val="100"/>
        </w:rPr>
        <w:t> </w:t>
      </w:r>
      <w:r>
        <w:rPr>
          <w:spacing w:val="-2"/>
        </w:rPr>
        <w:t>所需支出不存在一个连续范围（或区间），或虽然存在一个连续范围但该范围内各种结果发生的可能性不</w:t>
      </w:r>
      <w:r>
        <w:rPr>
          <w:spacing w:val="-43"/>
        </w:rPr>
        <w:t> </w:t>
      </w:r>
      <w:r>
        <w:rPr>
          <w:spacing w:val="-43"/>
        </w:rPr>
      </w:r>
      <w:r>
        <w:rPr>
          <w:spacing w:val="-2"/>
        </w:rPr>
        <w:t>相同的，如或有事项涉及单个项目的，则最佳估计数按照最可能发生金额确定；如或有事项涉及多个项目</w:t>
      </w:r>
      <w:r>
        <w:rPr>
          <w:spacing w:val="-42"/>
        </w:rPr>
        <w:t> </w:t>
      </w:r>
      <w:r>
        <w:rPr>
          <w:spacing w:val="-42"/>
        </w:rPr>
      </w:r>
      <w:r>
        <w:rPr/>
        <w:t>的，则最佳估计数按各种可能结果及相关概率计算确定。</w:t>
      </w:r>
      <w:r>
        <w:rPr>
          <w:w w:val="100"/>
        </w:rPr>
        <w:t> </w:t>
      </w:r>
      <w:r>
        <w:rPr>
          <w:spacing w:val="-2"/>
        </w:rPr>
        <w:t>本公司清偿预计负债所需支出全部或部分预期由第三方补偿的，补偿金额在基本确定能够收到时，作为资</w:t>
      </w:r>
      <w:r>
        <w:rPr>
          <w:spacing w:val="-44"/>
        </w:rPr>
        <w:t> </w:t>
      </w:r>
      <w:r>
        <w:rPr>
          <w:spacing w:val="-44"/>
        </w:rPr>
      </w:r>
      <w:r>
        <w:rPr/>
        <w:t>产单独确认，确认的补偿金额不超过预计负债的账面价值。</w:t>
      </w:r>
    </w:p>
    <w:p>
      <w:pPr>
        <w:pStyle w:val="Heading3"/>
        <w:spacing w:line="614" w:lineRule="exact" w:before="62"/>
        <w:ind w:right="5814"/>
        <w:jc w:val="left"/>
        <w:rPr>
          <w:b w:val="0"/>
          <w:bCs w:val="0"/>
        </w:rPr>
      </w:pPr>
      <w:r>
        <w:rPr>
          <w:rFonts w:ascii="Times New Roman" w:hAnsi="Times New Roman" w:cs="Times New Roman" w:eastAsia="Times New Roman" w:hint="default"/>
        </w:rPr>
        <w:t>24</w:t>
      </w:r>
      <w:r>
        <w:rPr/>
        <w:t>、收入</w:t>
      </w:r>
      <w:r>
        <w:rPr>
          <w:spacing w:val="-50"/>
        </w:rPr>
        <w:t> </w:t>
      </w:r>
      <w:r>
        <w:rPr>
          <w:rFonts w:ascii="Times New Roman" w:hAnsi="Times New Roman" w:cs="Times New Roman" w:eastAsia="Times New Roman" w:hint="default"/>
        </w:rPr>
        <w:t>A.</w:t>
      </w:r>
      <w:r>
        <w:rPr/>
        <w:t>销售商品收入确认时间的具体判断标准</w:t>
      </w:r>
      <w:r>
        <w:rPr>
          <w:b w:val="0"/>
          <w:bCs w:val="0"/>
        </w:rPr>
      </w:r>
    </w:p>
    <w:p>
      <w:pPr>
        <w:pStyle w:val="BodyText"/>
        <w:spacing w:line="219" w:lineRule="exact"/>
        <w:ind w:right="0"/>
        <w:jc w:val="left"/>
      </w:pPr>
      <w:r>
        <w:rPr/>
        <w:t>公司已将商品所有权上的主要风险和报酬转移给购买方；公司既没有保留与所有权相联系的继续管理权，</w:t>
      </w:r>
    </w:p>
    <w:p>
      <w:pPr>
        <w:pStyle w:val="BodyText"/>
        <w:spacing w:line="273" w:lineRule="auto" w:before="37"/>
        <w:ind w:right="0"/>
        <w:jc w:val="left"/>
      </w:pPr>
      <w:r>
        <w:rPr>
          <w:spacing w:val="-2"/>
        </w:rPr>
        <w:t>也没有对已售出的商品实施有效控制；收入的金额能够可靠地计量；相关的经济利益很可能流入企业；相</w:t>
      </w:r>
      <w:r>
        <w:rPr>
          <w:spacing w:val="-42"/>
        </w:rPr>
        <w:t> </w:t>
      </w:r>
      <w:r>
        <w:rPr>
          <w:spacing w:val="-42"/>
        </w:rPr>
      </w:r>
      <w:r>
        <w:rPr/>
        <w:t>关的已发生或将发生的成本能够可靠地计量时，确认商品销售收入实现。</w:t>
      </w:r>
      <w:r>
        <w:rPr>
          <w:w w:val="100"/>
        </w:rPr>
        <w:t> </w:t>
      </w:r>
      <w:r>
        <w:rPr>
          <w:spacing w:val="-2"/>
        </w:rPr>
        <w:t>合同或协议价款的收取采用递延方式，实质上具有融资性质的，按照应收的合同或协议价款的公允价值确</w:t>
      </w:r>
      <w:r>
        <w:rPr>
          <w:spacing w:val="-44"/>
        </w:rPr>
        <w:t> </w:t>
      </w:r>
      <w:r>
        <w:rPr>
          <w:spacing w:val="-44"/>
        </w:rPr>
      </w:r>
      <w:r>
        <w:rPr/>
        <w:t>定销售商品收入金额。</w:t>
      </w:r>
    </w:p>
    <w:p>
      <w:pPr>
        <w:spacing w:line="312" w:lineRule="exact" w:before="3"/>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B</w:t>
      </w:r>
      <w:r>
        <w:rPr>
          <w:rFonts w:ascii="Microsoft JhengHei" w:hAnsi="Microsoft JhengHei" w:cs="Microsoft JhengHei" w:eastAsia="Microsoft JhengHei" w:hint="default"/>
          <w:b/>
          <w:bCs/>
          <w:sz w:val="21"/>
          <w:szCs w:val="21"/>
        </w:rPr>
        <w:t>．确认让渡资产使用权收入的依据</w:t>
      </w:r>
      <w:r>
        <w:rPr>
          <w:rFonts w:ascii="Microsoft JhengHei" w:hAnsi="Microsoft JhengHei" w:cs="Microsoft JhengHei" w:eastAsia="Microsoft JhengHei" w:hint="default"/>
          <w:b/>
          <w:bCs/>
          <w:spacing w:val="-39"/>
          <w:sz w:val="21"/>
          <w:szCs w:val="21"/>
        </w:rPr>
        <w:t> </w:t>
      </w:r>
      <w:r>
        <w:rPr>
          <w:rFonts w:ascii="Microsoft JhengHei" w:hAnsi="Microsoft JhengHei" w:cs="Microsoft JhengHei" w:eastAsia="Microsoft JhengHei" w:hint="default"/>
          <w:b/>
          <w:bCs/>
          <w:spacing w:val="-39"/>
          <w:sz w:val="21"/>
          <w:szCs w:val="21"/>
        </w:rPr>
      </w:r>
      <w:r>
        <w:rPr>
          <w:rFonts w:ascii="宋体" w:hAnsi="宋体" w:cs="宋体" w:eastAsia="宋体" w:hint="default"/>
          <w:spacing w:val="-2"/>
          <w:sz w:val="21"/>
          <w:szCs w:val="21"/>
        </w:rPr>
        <w:t>与交易相关的经济利益很可能流入企业，收入的金额能够可靠地计量时，分别下列情况确定让渡资产使用</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权收入金额：</w:t>
      </w:r>
    </w:p>
    <w:p>
      <w:pPr>
        <w:pStyle w:val="BodyText"/>
        <w:spacing w:line="240" w:lineRule="auto" w:before="4"/>
        <w:ind w:right="0"/>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312" w:lineRule="exact" w:before="17"/>
        <w:ind w:right="0"/>
        <w:jc w:val="left"/>
      </w:pPr>
      <w:r>
        <w:rPr/>
        <w:t>（</w:t>
      </w:r>
      <w:r>
        <w:rPr>
          <w:rFonts w:ascii="Times New Roman" w:hAnsi="Times New Roman" w:cs="Times New Roman" w:eastAsia="Times New Roman" w:hint="default"/>
        </w:rPr>
        <w:t>2</w:t>
      </w:r>
      <w:r>
        <w:rPr/>
        <w:t>）使用费收入金额，按照有关合同或协议约定的收费时间和方法计算确定。</w:t>
      </w:r>
      <w:r>
        <w:rPr>
          <w:w w:val="100"/>
        </w:rPr>
        <w:t> </w:t>
      </w:r>
      <w:r>
        <w:rPr>
          <w:rFonts w:ascii="Times New Roman" w:hAnsi="Times New Roman" w:cs="Times New Roman" w:eastAsia="Times New Roman" w:hint="default"/>
          <w:b/>
          <w:bCs/>
        </w:rPr>
        <w:t>C</w:t>
      </w:r>
      <w:r>
        <w:rPr>
          <w:rFonts w:ascii="Microsoft JhengHei" w:hAnsi="Microsoft JhengHei" w:cs="Microsoft JhengHei" w:eastAsia="Microsoft JhengHei" w:hint="default"/>
          <w:b/>
          <w:bCs/>
        </w:rPr>
        <w:t>．提供劳务收入的确认依据和方法</w:t>
      </w:r>
      <w:r>
        <w:rPr>
          <w:rFonts w:ascii="Microsoft JhengHei" w:hAnsi="Microsoft JhengHei" w:cs="Microsoft JhengHei" w:eastAsia="Microsoft JhengHei" w:hint="default"/>
          <w:b/>
          <w:bCs/>
          <w:spacing w:val="-39"/>
        </w:rPr>
        <w:t> </w:t>
      </w:r>
      <w:r>
        <w:rPr>
          <w:rFonts w:ascii="Microsoft JhengHei" w:hAnsi="Microsoft JhengHei" w:cs="Microsoft JhengHei" w:eastAsia="Microsoft JhengHei" w:hint="default"/>
          <w:b/>
          <w:bCs/>
          <w:spacing w:val="-39"/>
        </w:rPr>
      </w:r>
      <w:r>
        <w:rPr>
          <w:spacing w:val="-2"/>
        </w:rPr>
        <w:t>在资产负债表日提供劳务交易的结果能够可靠估计的，采用完工百分比法确认提供劳务收入。提供劳务交</w:t>
      </w:r>
    </w:p>
    <w:p>
      <w:pPr>
        <w:pStyle w:val="BodyText"/>
        <w:spacing w:line="273" w:lineRule="auto" w:before="5"/>
        <w:ind w:right="774"/>
        <w:jc w:val="left"/>
      </w:pPr>
      <w:r>
        <w:rPr/>
        <w:t>易的完工进度，依据已完工作的测量确定。</w:t>
      </w:r>
      <w:r>
        <w:rPr>
          <w:w w:val="100"/>
        </w:rPr>
        <w:t> </w:t>
      </w:r>
      <w:r>
        <w:rPr>
          <w:spacing w:val="-2"/>
        </w:rPr>
        <w:t>提供劳务交易的结果能够可靠估计，是指同时满足下列条件：</w:t>
      </w:r>
    </w:p>
    <w:p>
      <w:pPr>
        <w:pStyle w:val="BodyText"/>
        <w:spacing w:line="240" w:lineRule="auto" w:before="7"/>
        <w:ind w:right="0"/>
        <w:jc w:val="left"/>
      </w:pPr>
      <w:r>
        <w:rPr/>
        <w:t>（</w:t>
      </w:r>
      <w:r>
        <w:rPr>
          <w:rFonts w:ascii="Times New Roman" w:hAnsi="Times New Roman" w:cs="Times New Roman" w:eastAsia="Times New Roman" w:hint="default"/>
        </w:rPr>
        <w:t>1</w:t>
      </w:r>
      <w:r>
        <w:rPr/>
        <w:t>）收入的金额能够可靠地计量；</w:t>
      </w:r>
    </w:p>
    <w:p>
      <w:pPr>
        <w:pStyle w:val="BodyText"/>
        <w:spacing w:line="240" w:lineRule="auto" w:before="21"/>
        <w:ind w:right="0"/>
        <w:jc w:val="left"/>
      </w:pPr>
      <w:r>
        <w:rPr/>
        <w:t>（</w:t>
      </w:r>
      <w:r>
        <w:rPr>
          <w:rFonts w:ascii="Times New Roman" w:hAnsi="Times New Roman" w:cs="Times New Roman" w:eastAsia="Times New Roman" w:hint="default"/>
        </w:rPr>
        <w:t>2</w:t>
      </w:r>
      <w:r>
        <w:rPr/>
        <w:t>）相关的经济利益很可能流入企业；</w:t>
      </w:r>
    </w:p>
    <w:p>
      <w:pPr>
        <w:pStyle w:val="BodyText"/>
        <w:spacing w:line="240" w:lineRule="auto" w:before="21"/>
        <w:ind w:right="0"/>
        <w:jc w:val="left"/>
      </w:pPr>
      <w:r>
        <w:rPr/>
        <w:t>（</w:t>
      </w:r>
      <w:r>
        <w:rPr>
          <w:rFonts w:ascii="Times New Roman" w:hAnsi="Times New Roman" w:cs="Times New Roman" w:eastAsia="Times New Roman" w:hint="default"/>
        </w:rPr>
        <w:t>3</w:t>
      </w:r>
      <w:r>
        <w:rPr/>
        <w:t>）交易的完工进度能够可靠地确定；</w:t>
      </w:r>
    </w:p>
    <w:p>
      <w:pPr>
        <w:pStyle w:val="BodyText"/>
        <w:spacing w:line="268" w:lineRule="auto" w:before="19"/>
        <w:ind w:right="0"/>
        <w:jc w:val="left"/>
      </w:pPr>
      <w:r>
        <w:rPr/>
        <w:t>（</w:t>
      </w:r>
      <w:r>
        <w:rPr>
          <w:rFonts w:ascii="Times New Roman" w:hAnsi="Times New Roman" w:cs="Times New Roman" w:eastAsia="Times New Roman" w:hint="default"/>
        </w:rPr>
        <w:t>4</w:t>
      </w:r>
      <w:r>
        <w:rPr/>
        <w:t>）交易中已发生和将发生的成本能够可靠地计量。</w:t>
      </w:r>
      <w:r>
        <w:rPr>
          <w:w w:val="100"/>
        </w:rPr>
        <w:t> </w:t>
      </w:r>
      <w:r>
        <w:rPr>
          <w:spacing w:val="2"/>
        </w:rPr>
        <w:t>按照已收或应收的合同或协议价款确定提供劳务收入总额，但已收或应收的合同或协议价款不公允的除</w:t>
      </w:r>
      <w:r>
        <w:rPr>
          <w:spacing w:val="-30"/>
        </w:rPr>
        <w:t> </w:t>
      </w:r>
      <w:r>
        <w:rPr>
          <w:spacing w:val="-30"/>
        </w:rPr>
      </w:r>
      <w:r>
        <w:rPr>
          <w:spacing w:val="-2"/>
        </w:rPr>
        <w:t>外。资产负债表日按照提供劳务收入总额乘以完工进度扣除以前会计期间累计已确认提供劳务收入后的金</w:t>
      </w:r>
      <w:r>
        <w:rPr>
          <w:spacing w:val="-42"/>
        </w:rPr>
        <w:t> </w:t>
      </w:r>
      <w:r>
        <w:rPr>
          <w:spacing w:val="-42"/>
        </w:rPr>
      </w:r>
      <w:r>
        <w:rPr>
          <w:spacing w:val="-2"/>
        </w:rPr>
        <w:t>额，确认当期提供劳务收入；同时，按照提供劳务估计总成本乘以完工进度扣除以前会计期间累计已确认</w:t>
      </w:r>
      <w:r>
        <w:rPr>
          <w:spacing w:val="-43"/>
        </w:rPr>
        <w:t> </w:t>
      </w:r>
      <w:r>
        <w:rPr>
          <w:spacing w:val="-43"/>
        </w:rPr>
      </w:r>
      <w:r>
        <w:rPr/>
        <w:t>劳务成本后的金额，结转当期劳务成本。</w:t>
      </w:r>
      <w:r>
        <w:rPr>
          <w:w w:val="100"/>
        </w:rPr>
        <w:t> </w:t>
      </w:r>
      <w:r>
        <w:rPr/>
        <w:t>在资产负债表日提供劳务交易结果不能够可靠估计的，分别下列情况处理：</w:t>
      </w:r>
    </w:p>
    <w:p>
      <w:pPr>
        <w:pStyle w:val="BodyText"/>
        <w:spacing w:line="256" w:lineRule="auto" w:before="12"/>
        <w:ind w:right="0"/>
        <w:jc w:val="left"/>
      </w:pPr>
      <w:r>
        <w:rPr/>
        <w:t>（</w:t>
      </w:r>
      <w:r>
        <w:rPr>
          <w:rFonts w:ascii="Times New Roman" w:hAnsi="Times New Roman" w:cs="Times New Roman" w:eastAsia="Times New Roman" w:hint="default"/>
        </w:rPr>
        <w:t>1</w:t>
      </w:r>
      <w:r>
        <w:rPr/>
        <w:t>）已经发生的劳务成本预计能够得到补偿的，按照已经发生的劳务成本金额确认提供劳务收入，并按</w:t>
      </w:r>
      <w:r>
        <w:rPr>
          <w:spacing w:val="-25"/>
        </w:rPr>
        <w:t> </w:t>
      </w:r>
      <w:r>
        <w:rPr>
          <w:spacing w:val="-25"/>
        </w:rPr>
      </w:r>
      <w:r>
        <w:rPr/>
        <w:t>相同金额结转劳务成本。</w:t>
      </w:r>
    </w:p>
    <w:p>
      <w:pPr>
        <w:spacing w:after="0" w:line="256"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BodyText"/>
        <w:spacing w:line="268" w:lineRule="auto" w:before="36"/>
        <w:ind w:right="0"/>
        <w:jc w:val="left"/>
      </w:pPr>
      <w:r>
        <w:rPr/>
        <w:t>（</w:t>
      </w:r>
      <w:r>
        <w:rPr>
          <w:rFonts w:ascii="Times New Roman" w:hAnsi="Times New Roman" w:cs="Times New Roman" w:eastAsia="Times New Roman" w:hint="default"/>
        </w:rPr>
        <w:t>2</w:t>
      </w:r>
      <w:r>
        <w:rPr/>
        <w:t>）已经发生的劳务成本预计不能够得到补偿的，将已经发生的劳务成本计入当期损益，不确认提供劳</w:t>
      </w:r>
      <w:r>
        <w:rPr>
          <w:spacing w:val="-25"/>
        </w:rPr>
        <w:t> </w:t>
      </w:r>
      <w:r>
        <w:rPr>
          <w:spacing w:val="-25"/>
        </w:rPr>
      </w:r>
      <w:r>
        <w:rPr/>
        <w:t>务收入。</w:t>
      </w:r>
      <w:r>
        <w:rPr>
          <w:w w:val="100"/>
        </w:rPr>
        <w:t> </w:t>
      </w:r>
      <w:r>
        <w:rPr>
          <w:spacing w:val="-2"/>
        </w:rPr>
        <w:t>本公司与其他企业签订的合同或协议包括销售商品和提供劳务时，销售商品部分和提供劳务部分能够区分</w:t>
      </w:r>
      <w:r>
        <w:rPr>
          <w:spacing w:val="-43"/>
        </w:rPr>
        <w:t> </w:t>
      </w:r>
      <w:r>
        <w:rPr>
          <w:spacing w:val="-43"/>
        </w:rPr>
      </w:r>
      <w:r>
        <w:rPr>
          <w:spacing w:val="-2"/>
        </w:rPr>
        <w:t>且能够单独计量的，将销售商品的部分作为销售商品处理，将提供劳务的部分作为提供劳务处理。销售商</w:t>
      </w:r>
      <w:r>
        <w:rPr>
          <w:spacing w:val="-43"/>
        </w:rPr>
        <w:t> </w:t>
      </w:r>
      <w:r>
        <w:rPr>
          <w:spacing w:val="-43"/>
        </w:rPr>
      </w:r>
      <w:r>
        <w:rPr>
          <w:spacing w:val="-2"/>
        </w:rPr>
        <w:t>品部分和提供劳务部分不能够区分，或虽能区分但不能够单独计量的，将销售商品部分和提供劳务部分全</w:t>
      </w:r>
      <w:r>
        <w:rPr>
          <w:spacing w:val="-42"/>
        </w:rPr>
        <w:t> </w:t>
      </w:r>
      <w:r>
        <w:rPr>
          <w:spacing w:val="-42"/>
        </w:rPr>
      </w:r>
      <w:r>
        <w:rPr/>
        <w:t>部作为销售商品处理。</w:t>
      </w:r>
    </w:p>
    <w:p>
      <w:pPr>
        <w:pStyle w:val="Heading3"/>
        <w:spacing w:line="311" w:lineRule="exact"/>
        <w:ind w:right="0"/>
        <w:jc w:val="left"/>
        <w:rPr>
          <w:b w:val="0"/>
          <w:bCs w:val="0"/>
        </w:rPr>
      </w:pPr>
      <w:r>
        <w:rPr>
          <w:rFonts w:ascii="Times New Roman" w:hAnsi="Times New Roman" w:cs="Times New Roman" w:eastAsia="Times New Roman" w:hint="default"/>
        </w:rPr>
        <w:t>D</w:t>
      </w:r>
      <w:r>
        <w:rPr/>
        <w:t>．建造合同收入的确认依据和方法</w:t>
      </w:r>
      <w:r>
        <w:rPr>
          <w:b w:val="0"/>
          <w:bCs w:val="0"/>
        </w:rPr>
      </w:r>
    </w:p>
    <w:p>
      <w:pPr>
        <w:pStyle w:val="BodyText"/>
        <w:spacing w:line="268" w:lineRule="auto" w:before="13"/>
        <w:ind w:right="146"/>
        <w:jc w:val="both"/>
      </w:pPr>
      <w:r>
        <w:rPr/>
        <w:t>（</w:t>
      </w:r>
      <w:r>
        <w:rPr>
          <w:rFonts w:ascii="Times New Roman" w:hAnsi="Times New Roman" w:cs="Times New Roman" w:eastAsia="Times New Roman" w:hint="default"/>
        </w:rPr>
        <w:t>1</w:t>
      </w:r>
      <w:r>
        <w:rPr/>
        <w:t>）当建造合同的结果能够可靠地估计时，与其相关的合同收入和合同费用在资产负债表日按完工百分</w:t>
      </w:r>
      <w:r>
        <w:rPr>
          <w:spacing w:val="-25"/>
        </w:rPr>
        <w:t> </w:t>
      </w:r>
      <w:r>
        <w:rPr>
          <w:spacing w:val="-25"/>
        </w:rPr>
      </w:r>
      <w:r>
        <w:rPr>
          <w:spacing w:val="-2"/>
        </w:rPr>
        <w:t>比法予以确认。完工百分比法，是指根据合同完工进度确认合同收入和合同费用的方法。合同完工进度按</w:t>
      </w:r>
      <w:r>
        <w:rPr>
          <w:spacing w:val="-44"/>
        </w:rPr>
        <w:t> </w:t>
      </w:r>
      <w:r>
        <w:rPr>
          <w:spacing w:val="-44"/>
        </w:rPr>
      </w:r>
      <w:r>
        <w:rPr>
          <w:spacing w:val="-2"/>
        </w:rPr>
        <w:t>照累计实际发生的合同费用占合同预计总成本的比例【或：已完成的合同工作量占合同预计总工作量的比</w:t>
      </w:r>
      <w:r>
        <w:rPr>
          <w:spacing w:val="-43"/>
        </w:rPr>
        <w:t> </w:t>
      </w:r>
      <w:r>
        <w:rPr>
          <w:spacing w:val="-43"/>
        </w:rPr>
      </w:r>
      <w:r>
        <w:rPr/>
        <w:t>例、或：实际测定的完工进度】确定。</w:t>
      </w:r>
    </w:p>
    <w:p>
      <w:pPr>
        <w:pStyle w:val="BodyText"/>
        <w:spacing w:line="240" w:lineRule="auto" w:before="12"/>
        <w:ind w:right="0"/>
        <w:jc w:val="left"/>
      </w:pPr>
      <w:r>
        <w:rPr/>
        <w:t>固定造价合同的结果能够可靠估计，是指同时满足下列条件：</w:t>
      </w:r>
    </w:p>
    <w:p>
      <w:pPr>
        <w:pStyle w:val="BodyText"/>
        <w:spacing w:line="240" w:lineRule="auto" w:before="37"/>
        <w:ind w:right="0"/>
        <w:jc w:val="left"/>
      </w:pPr>
      <w:r>
        <w:rPr>
          <w:rFonts w:ascii="Times New Roman" w:hAnsi="Times New Roman" w:cs="Times New Roman" w:eastAsia="Times New Roman" w:hint="default"/>
        </w:rPr>
        <w:t>1</w:t>
      </w:r>
      <w:r>
        <w:rPr/>
        <w:t>）合同总收入能够可靠地计量；</w:t>
      </w:r>
    </w:p>
    <w:p>
      <w:pPr>
        <w:pStyle w:val="BodyText"/>
        <w:spacing w:line="240" w:lineRule="auto" w:before="21"/>
        <w:ind w:right="0"/>
        <w:jc w:val="left"/>
      </w:pPr>
      <w:r>
        <w:rPr>
          <w:rFonts w:ascii="Times New Roman" w:hAnsi="Times New Roman" w:cs="Times New Roman" w:eastAsia="Times New Roman" w:hint="default"/>
        </w:rPr>
        <w:t>2</w:t>
      </w:r>
      <w:r>
        <w:rPr/>
        <w:t>）与合同相关的经济利益很可能流入企业；</w:t>
      </w:r>
    </w:p>
    <w:p>
      <w:pPr>
        <w:pStyle w:val="BodyText"/>
        <w:spacing w:line="240" w:lineRule="auto" w:before="21"/>
        <w:ind w:right="0"/>
        <w:jc w:val="left"/>
      </w:pPr>
      <w:r>
        <w:rPr>
          <w:rFonts w:ascii="Times New Roman" w:hAnsi="Times New Roman" w:cs="Times New Roman" w:eastAsia="Times New Roman" w:hint="default"/>
        </w:rPr>
        <w:t>3</w:t>
      </w:r>
      <w:r>
        <w:rPr/>
        <w:t>）实际发生的合同成本能够清楚地区分和可靠地计量；</w:t>
      </w:r>
    </w:p>
    <w:p>
      <w:pPr>
        <w:pStyle w:val="BodyText"/>
        <w:spacing w:line="264" w:lineRule="auto" w:before="21"/>
        <w:ind w:right="774"/>
        <w:jc w:val="left"/>
      </w:pPr>
      <w:r>
        <w:rPr>
          <w:rFonts w:ascii="Times New Roman" w:hAnsi="Times New Roman" w:cs="Times New Roman" w:eastAsia="Times New Roman" w:hint="default"/>
          <w:spacing w:val="-2"/>
        </w:rPr>
        <w:t>4</w:t>
      </w:r>
      <w:r>
        <w:rPr>
          <w:spacing w:val="-2"/>
        </w:rPr>
        <w:t>）合同完工进度和为完成合同尚需发生的成本能够可靠地确定。</w:t>
      </w:r>
      <w:r>
        <w:rPr>
          <w:spacing w:val="-52"/>
        </w:rPr>
        <w:t> </w:t>
      </w:r>
      <w:r>
        <w:rPr>
          <w:spacing w:val="-52"/>
        </w:rPr>
      </w:r>
      <w:r>
        <w:rPr/>
        <w:t>成本加成合同的结果能够可靠估计，是指同时满足下列条件：</w:t>
      </w:r>
      <w:r>
        <w:rPr>
          <w:w w:val="100"/>
        </w:rPr>
        <w:t> </w:t>
      </w:r>
      <w:r>
        <w:rPr>
          <w:rFonts w:ascii="Times New Roman" w:hAnsi="Times New Roman" w:cs="Times New Roman" w:eastAsia="Times New Roman" w:hint="default"/>
        </w:rPr>
        <w:t>1</w:t>
      </w:r>
      <w:r>
        <w:rPr/>
        <w:t>）与合同相关的经济利益很可能流入企业；</w:t>
      </w:r>
    </w:p>
    <w:p>
      <w:pPr>
        <w:pStyle w:val="BodyText"/>
        <w:spacing w:line="268" w:lineRule="auto"/>
        <w:ind w:right="0"/>
        <w:jc w:val="left"/>
      </w:pPr>
      <w:r>
        <w:rPr>
          <w:rFonts w:ascii="Times New Roman" w:hAnsi="Times New Roman" w:cs="Times New Roman" w:eastAsia="Times New Roman" w:hint="default"/>
        </w:rPr>
        <w:t>2</w:t>
      </w:r>
      <w:r>
        <w:rPr/>
        <w:t>）实际发生的合同成本能够清楚地区分和可靠地计量。</w:t>
      </w:r>
      <w:r>
        <w:rPr>
          <w:w w:val="100"/>
        </w:rPr>
        <w:t> </w:t>
      </w:r>
      <w:r>
        <w:rPr>
          <w:spacing w:val="-2"/>
        </w:rPr>
        <w:t>在资产负债表日，按照合同总收入乘以完工进度扣除以前会计期间累计已确认收入后的金额，确认为当期</w:t>
      </w:r>
      <w:r>
        <w:rPr>
          <w:spacing w:val="-44"/>
        </w:rPr>
        <w:t> </w:t>
      </w:r>
      <w:r>
        <w:rPr>
          <w:spacing w:val="-44"/>
        </w:rPr>
      </w:r>
      <w:r>
        <w:rPr>
          <w:spacing w:val="-2"/>
        </w:rPr>
        <w:t>合同收入；同时，按照合同预计总成本乘以完工进度扣除以前会计期间累计已确认费用后的金额，确认为</w:t>
      </w:r>
      <w:r>
        <w:rPr>
          <w:spacing w:val="-44"/>
        </w:rPr>
        <w:t> </w:t>
      </w:r>
      <w:r>
        <w:rPr>
          <w:spacing w:val="-44"/>
        </w:rPr>
      </w:r>
      <w:r>
        <w:rPr>
          <w:spacing w:val="-2"/>
        </w:rPr>
        <w:t>当期合同费用。合同工程的变动、索赔及奖金以可能带来收入并能可靠计算的数额为限计入合同总收入。</w:t>
      </w:r>
    </w:p>
    <w:p>
      <w:pPr>
        <w:pStyle w:val="BodyText"/>
        <w:spacing w:line="256" w:lineRule="auto" w:before="12"/>
        <w:ind w:right="0"/>
        <w:jc w:val="left"/>
      </w:pPr>
      <w:r>
        <w:rPr/>
        <w:t>（</w:t>
      </w:r>
      <w:r>
        <w:rPr>
          <w:rFonts w:ascii="Times New Roman" w:hAnsi="Times New Roman" w:cs="Times New Roman" w:eastAsia="Times New Roman" w:hint="default"/>
        </w:rPr>
        <w:t>2</w:t>
      </w:r>
      <w:r>
        <w:rPr/>
        <w:t>）建造合同的结果不能可靠估计的，分别下列情况处理：</w:t>
      </w:r>
      <w:r>
        <w:rPr>
          <w:w w:val="100"/>
        </w:rPr>
        <w:t> </w:t>
      </w:r>
      <w:r>
        <w:rPr>
          <w:rFonts w:ascii="Times New Roman" w:hAnsi="Times New Roman" w:cs="Times New Roman" w:eastAsia="Times New Roman" w:hint="default"/>
        </w:rPr>
        <w:t>1</w:t>
      </w:r>
      <w:r>
        <w:rPr/>
        <w:t>）合同成本能够收回的，合同收入根据能够收回的实际合同成本予以确认，合同成本在其发生的当期确</w:t>
      </w:r>
      <w:r>
        <w:rPr>
          <w:spacing w:val="-25"/>
        </w:rPr>
        <w:t> </w:t>
      </w:r>
      <w:r>
        <w:rPr>
          <w:spacing w:val="-25"/>
        </w:rPr>
      </w:r>
      <w:r>
        <w:rPr/>
        <w:t>认为合同费用。</w:t>
      </w:r>
    </w:p>
    <w:p>
      <w:pPr>
        <w:pStyle w:val="BodyText"/>
        <w:spacing w:line="240" w:lineRule="auto" w:before="22"/>
        <w:ind w:right="0"/>
        <w:jc w:val="left"/>
      </w:pPr>
      <w:r>
        <w:rPr>
          <w:rFonts w:ascii="Times New Roman" w:hAnsi="Times New Roman" w:cs="Times New Roman" w:eastAsia="Times New Roman" w:hint="default"/>
        </w:rPr>
        <w:t>2</w:t>
      </w:r>
      <w:r>
        <w:rPr/>
        <w:t>）合同成本不可能收回的，在发生时立即确认为合同费用，不确认合同收入。</w:t>
      </w:r>
    </w:p>
    <w:p>
      <w:pPr>
        <w:pStyle w:val="BodyText"/>
        <w:spacing w:line="268" w:lineRule="exact" w:before="21"/>
        <w:ind w:right="0"/>
        <w:jc w:val="left"/>
      </w:pPr>
      <w:r>
        <w:rPr/>
        <w:t>（</w:t>
      </w:r>
      <w:r>
        <w:rPr>
          <w:rFonts w:ascii="Times New Roman" w:hAnsi="Times New Roman" w:cs="Times New Roman" w:eastAsia="Times New Roman" w:hint="default"/>
        </w:rPr>
        <w:t>3</w:t>
      </w:r>
      <w:r>
        <w:rPr/>
        <w:t>）如果合同总成本很可能超过合同总收入，则预期损失立即确认为费用。</w:t>
      </w:r>
    </w:p>
    <w:p>
      <w:pPr>
        <w:pStyle w:val="BodyText"/>
        <w:spacing w:line="312" w:lineRule="exact" w:before="39"/>
        <w:ind w:right="0"/>
        <w:jc w:val="left"/>
      </w:pPr>
      <w:r>
        <w:rPr>
          <w:rFonts w:ascii="Times New Roman" w:hAnsi="Times New Roman" w:cs="Times New Roman" w:eastAsia="Times New Roman" w:hint="default"/>
          <w:b/>
          <w:bCs/>
        </w:rPr>
        <w:t>E</w:t>
      </w:r>
      <w:r>
        <w:rPr>
          <w:rFonts w:ascii="Microsoft JhengHei" w:hAnsi="Microsoft JhengHei" w:cs="Microsoft JhengHei" w:eastAsia="Microsoft JhengHei" w:hint="default"/>
          <w:b/>
          <w:bCs/>
        </w:rPr>
        <w:t>．附回购条件的资产转让</w:t>
      </w:r>
      <w:r>
        <w:rPr>
          <w:rFonts w:ascii="Microsoft JhengHei" w:hAnsi="Microsoft JhengHei" w:cs="Microsoft JhengHei" w:eastAsia="Microsoft JhengHei" w:hint="default"/>
          <w:b/>
          <w:bCs/>
          <w:spacing w:val="-44"/>
        </w:rPr>
        <w:t> </w:t>
      </w:r>
      <w:r>
        <w:rPr>
          <w:rFonts w:ascii="Microsoft JhengHei" w:hAnsi="Microsoft JhengHei" w:cs="Microsoft JhengHei" w:eastAsia="Microsoft JhengHei" w:hint="default"/>
          <w:b/>
          <w:bCs/>
          <w:spacing w:val="-44"/>
        </w:rPr>
      </w:r>
      <w:r>
        <w:rPr>
          <w:spacing w:val="-2"/>
        </w:rPr>
        <w:t>公司销售产品或转让其他资产时，与购买方签订了所销售的产品或转让资产回购协议，根据协议条款判断</w:t>
      </w:r>
      <w:r>
        <w:rPr>
          <w:spacing w:val="-43"/>
        </w:rPr>
        <w:t> </w:t>
      </w:r>
      <w:r>
        <w:rPr>
          <w:spacing w:val="-43"/>
        </w:rPr>
      </w:r>
      <w:r>
        <w:rPr>
          <w:spacing w:val="-2"/>
        </w:rPr>
        <w:t>销售商品是否满足收入确认条件。如售后回购属于融资交易，则在交付产品或资产时，本公司不确认销售</w:t>
      </w:r>
    </w:p>
    <w:p>
      <w:pPr>
        <w:spacing w:line="312" w:lineRule="exact" w:before="0"/>
        <w:ind w:left="152" w:right="774" w:firstLine="0"/>
        <w:jc w:val="left"/>
        <w:rPr>
          <w:rFonts w:ascii="宋体" w:hAnsi="宋体" w:cs="宋体" w:eastAsia="宋体" w:hint="default"/>
          <w:sz w:val="21"/>
          <w:szCs w:val="21"/>
        </w:rPr>
      </w:pPr>
      <w:r>
        <w:rPr>
          <w:rFonts w:ascii="宋体" w:hAnsi="宋体" w:cs="宋体" w:eastAsia="宋体" w:hint="default"/>
          <w:spacing w:val="-2"/>
          <w:sz w:val="21"/>
          <w:szCs w:val="21"/>
        </w:rPr>
        <w:t>收入。回购价款大于销售价款的差额，在回购期间按期计提利息，计入财务费用。</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Times New Roman" w:hAnsi="Times New Roman" w:cs="Times New Roman" w:eastAsia="Times New Roman" w:hint="default"/>
          <w:b/>
          <w:bCs/>
          <w:sz w:val="21"/>
          <w:szCs w:val="21"/>
        </w:rPr>
        <w:t>F</w:t>
      </w:r>
      <w:r>
        <w:rPr>
          <w:rFonts w:ascii="Microsoft JhengHei" w:hAnsi="Microsoft JhengHei" w:cs="Microsoft JhengHei" w:eastAsia="Microsoft JhengHei" w:hint="default"/>
          <w:b/>
          <w:bCs/>
          <w:sz w:val="21"/>
          <w:szCs w:val="21"/>
        </w:rPr>
        <w:t>．公司各类型业务的收入确认时点：</w:t>
      </w:r>
      <w:r>
        <w:rPr>
          <w:rFonts w:ascii="Microsoft JhengHei" w:hAnsi="Microsoft JhengHei" w:cs="Microsoft JhengHei" w:eastAsia="Microsoft JhengHei" w:hint="default"/>
          <w:b/>
          <w:bCs/>
          <w:spacing w:val="-38"/>
          <w:sz w:val="21"/>
          <w:szCs w:val="21"/>
        </w:rPr>
        <w:t> </w:t>
      </w:r>
      <w:r>
        <w:rPr>
          <w:rFonts w:ascii="Microsoft JhengHei" w:hAnsi="Microsoft JhengHei" w:cs="Microsoft JhengHei" w:eastAsia="Microsoft JhengHei" w:hint="default"/>
          <w:b/>
          <w:bCs/>
          <w:spacing w:val="-38"/>
          <w:sz w:val="21"/>
          <w:szCs w:val="21"/>
        </w:rPr>
      </w:r>
      <w:r>
        <w:rPr>
          <w:rFonts w:ascii="宋体" w:hAnsi="宋体" w:cs="宋体" w:eastAsia="宋体" w:hint="default"/>
          <w:sz w:val="21"/>
          <w:szCs w:val="21"/>
        </w:rPr>
        <w:t>内销收入：在开具发票，并取得客户签字的发货单后确认收入。</w:t>
      </w:r>
    </w:p>
    <w:p>
      <w:pPr>
        <w:pStyle w:val="BodyText"/>
        <w:spacing w:line="273" w:lineRule="auto" w:before="4"/>
        <w:ind w:right="0"/>
        <w:jc w:val="left"/>
      </w:pPr>
      <w:r>
        <w:rPr>
          <w:spacing w:val="-2"/>
        </w:rPr>
        <w:t>外销收入：出口销售采用离岸价结算，货物经商检、出口报关，公司在海关确认出口并在出口报关单上加</w:t>
      </w:r>
      <w:r>
        <w:rPr>
          <w:spacing w:val="-47"/>
        </w:rPr>
        <w:t> </w:t>
      </w:r>
      <w:r>
        <w:rPr>
          <w:spacing w:val="-47"/>
        </w:rPr>
      </w:r>
      <w:r>
        <w:rPr/>
        <w:t>注出口日期后确认收入。</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25</w:t>
      </w:r>
      <w:r>
        <w:rPr/>
        <w:t>、政府补助</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73" w:lineRule="auto"/>
        <w:ind w:right="0"/>
        <w:jc w:val="left"/>
      </w:pPr>
      <w:r>
        <w:rPr>
          <w:spacing w:val="-2"/>
        </w:rPr>
        <w:t>与资产相关的政府补助，是指本公司取得的、用于购建或以其他方式形成长期资产的政府补助。与资产相</w:t>
      </w:r>
      <w:r>
        <w:rPr>
          <w:spacing w:val="-42"/>
        </w:rPr>
        <w:t> </w:t>
      </w:r>
      <w:r>
        <w:rPr>
          <w:spacing w:val="-42"/>
        </w:rPr>
      </w:r>
      <w:r>
        <w:rPr/>
        <w:t>关的政府补助，确认为递延收益，按照所建造或购买的资产使用年限分期计入营业外收入。</w:t>
      </w:r>
    </w:p>
    <w:p>
      <w:pPr>
        <w:spacing w:after="0" w:line="273"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102"/>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73" w:lineRule="auto"/>
        <w:ind w:right="206"/>
        <w:jc w:val="both"/>
      </w:pPr>
      <w:r>
        <w:rPr>
          <w:spacing w:val="-2"/>
        </w:rPr>
        <w:t>与收益相关的政府补助，是指除与资产相关的政府补助之外的政府补助。与收益相关的政府补助，用于补</w:t>
      </w:r>
      <w:r>
        <w:rPr>
          <w:spacing w:val="-44"/>
        </w:rPr>
        <w:t> </w:t>
      </w:r>
      <w:r>
        <w:rPr>
          <w:spacing w:val="-44"/>
        </w:rPr>
      </w:r>
      <w:r>
        <w:rPr>
          <w:spacing w:val="-2"/>
        </w:rPr>
        <w:t>偿企业以后期间的相关费用或损失的，确认为递延收益，在确认相关费用的期间计入当期营业外收入；用</w:t>
      </w:r>
      <w:r>
        <w:rPr>
          <w:spacing w:val="-43"/>
        </w:rPr>
        <w:t> </w:t>
      </w:r>
      <w:r>
        <w:rPr>
          <w:spacing w:val="-43"/>
        </w:rPr>
      </w:r>
      <w:r>
        <w:rPr/>
        <w:t>于补偿企业已发生的相关费用或损失的，取得时直接计入当期营业外收入。</w:t>
      </w:r>
    </w:p>
    <w:p>
      <w:pPr>
        <w:pStyle w:val="Heading3"/>
        <w:spacing w:line="612" w:lineRule="exact" w:before="63"/>
        <w:ind w:right="5874"/>
        <w:jc w:val="left"/>
        <w:rPr>
          <w:b w:val="0"/>
          <w:bCs w:val="0"/>
        </w:rPr>
      </w:pPr>
      <w:r>
        <w:rPr>
          <w:rFonts w:ascii="Times New Roman" w:hAnsi="Times New Roman" w:cs="Times New Roman" w:eastAsia="Times New Roman" w:hint="default"/>
          <w:spacing w:val="-1"/>
        </w:rPr>
        <w:t>26</w:t>
      </w:r>
      <w:r>
        <w:rPr>
          <w:spacing w:val="-1"/>
        </w:rPr>
        <w:t>、递延所得税资产</w:t>
      </w:r>
      <w:r>
        <w:rPr>
          <w:rFonts w:ascii="Times New Roman" w:hAnsi="Times New Roman" w:cs="Times New Roman" w:eastAsia="Times New Roman" w:hint="default"/>
          <w:spacing w:val="-1"/>
        </w:rPr>
        <w:t>/</w:t>
      </w:r>
      <w:r>
        <w:rPr>
          <w:spacing w:val="-1"/>
        </w:rPr>
        <w:t>递延所得税负债</w:t>
      </w:r>
      <w:r>
        <w:rPr>
          <w:spacing w:val="-22"/>
        </w:rPr>
        <w:t> </w:t>
      </w:r>
      <w:r>
        <w:rPr>
          <w:spacing w:val="-22"/>
        </w:rPr>
      </w:r>
      <w:r>
        <w:rPr>
          <w:rFonts w:ascii="Times New Roman" w:hAnsi="Times New Roman" w:cs="Times New Roman" w:eastAsia="Times New Roman" w:hint="default"/>
        </w:rPr>
        <w:t>A</w:t>
      </w:r>
      <w:r>
        <w:rPr/>
        <w:t>．确认递延所得税资产的依据</w:t>
      </w:r>
      <w:r>
        <w:rPr>
          <w:b w:val="0"/>
          <w:bCs w:val="0"/>
        </w:rPr>
      </w:r>
    </w:p>
    <w:p>
      <w:pPr>
        <w:pStyle w:val="BodyText"/>
        <w:spacing w:line="219" w:lineRule="exact"/>
        <w:ind w:right="102"/>
        <w:jc w:val="left"/>
      </w:pPr>
      <w:r>
        <w:rPr/>
        <w:t>本公司以很可能取得用来抵扣可抵扣暂时性差异、能够结转以后年度的可抵扣亏损和税款抵减的应纳税所</w:t>
      </w:r>
    </w:p>
    <w:p>
      <w:pPr>
        <w:pStyle w:val="BodyText"/>
        <w:spacing w:line="312" w:lineRule="exact" w:before="33"/>
        <w:ind w:right="102"/>
        <w:jc w:val="left"/>
      </w:pPr>
      <w:r>
        <w:rPr>
          <w:spacing w:val="-2"/>
        </w:rPr>
        <w:t>得额为限，确认由可抵扣暂时性差异产生的递延所得税资产。但是，同时具有下列特征的交易中因资产或</w:t>
      </w:r>
      <w:r>
        <w:rPr>
          <w:spacing w:val="-44"/>
        </w:rPr>
        <w:t> </w:t>
      </w:r>
      <w:r>
        <w:rPr>
          <w:spacing w:val="-44"/>
        </w:rPr>
      </w:r>
      <w:r>
        <w:rPr>
          <w:spacing w:val="-2"/>
        </w:rPr>
        <w:t>负债的初始确认所产生的递延所得税资产不予确认：（</w:t>
      </w:r>
      <w:r>
        <w:rPr>
          <w:rFonts w:ascii="Times New Roman" w:hAnsi="Times New Roman" w:cs="Times New Roman" w:eastAsia="Times New Roman" w:hint="default"/>
          <w:spacing w:val="-2"/>
        </w:rPr>
        <w:t>1</w:t>
      </w:r>
      <w:r>
        <w:rPr>
          <w:spacing w:val="-2"/>
        </w:rPr>
        <w:t>）该交易不是企业合并；（</w:t>
      </w:r>
      <w:r>
        <w:rPr>
          <w:rFonts w:ascii="Times New Roman" w:hAnsi="Times New Roman" w:cs="Times New Roman" w:eastAsia="Times New Roman" w:hint="default"/>
          <w:spacing w:val="-2"/>
        </w:rPr>
        <w:t>2</w:t>
      </w:r>
      <w:r>
        <w:rPr>
          <w:spacing w:val="-2"/>
        </w:rPr>
        <w:t>）交易发生时既不影</w:t>
      </w:r>
      <w:r>
        <w:rPr>
          <w:spacing w:val="-43"/>
        </w:rPr>
        <w:t> </w:t>
      </w:r>
      <w:r>
        <w:rPr>
          <w:spacing w:val="-43"/>
        </w:rPr>
      </w:r>
      <w:r>
        <w:rPr/>
        <w:t>响会计利润也不影响应纳税所得额或可抵扣亏损。</w:t>
      </w:r>
      <w:r>
        <w:rPr>
          <w:w w:val="100"/>
        </w:rPr>
        <w:t> </w:t>
      </w:r>
      <w:r>
        <w:rPr>
          <w:spacing w:val="-2"/>
        </w:rPr>
        <w:t>对于与联营企业投资相关的可抵扣暂时性差异，同时满足下列条件的，确认相应的递延所得税资产：暂时</w:t>
      </w:r>
      <w:r>
        <w:rPr>
          <w:spacing w:val="-42"/>
        </w:rPr>
        <w:t> </w:t>
      </w:r>
      <w:r>
        <w:rPr>
          <w:spacing w:val="-42"/>
        </w:rPr>
      </w:r>
      <w:r>
        <w:rPr/>
        <w:t>性差异在可预见的未来很可能转回，且未来很可能获得用来抵扣可抵扣暂时性差异的应纳税所得额。</w:t>
      </w:r>
      <w:r>
        <w:rPr>
          <w:w w:val="100"/>
        </w:rPr>
        <w:t> </w:t>
      </w:r>
      <w:r>
        <w:rPr>
          <w:rFonts w:ascii="Times New Roman" w:hAnsi="Times New Roman" w:cs="Times New Roman" w:eastAsia="Times New Roman" w:hint="default"/>
          <w:b/>
          <w:bCs/>
        </w:rPr>
        <w:t>B</w:t>
      </w:r>
      <w:r>
        <w:rPr>
          <w:rFonts w:ascii="Microsoft JhengHei" w:hAnsi="Microsoft JhengHei" w:cs="Microsoft JhengHei" w:eastAsia="Microsoft JhengHei" w:hint="default"/>
          <w:b/>
          <w:bCs/>
        </w:rPr>
        <w:t>．确认递延所得税负债的依据</w:t>
      </w:r>
      <w:r>
        <w:rPr>
          <w:rFonts w:ascii="Microsoft JhengHei" w:hAnsi="Microsoft JhengHei" w:cs="Microsoft JhengHei" w:eastAsia="Microsoft JhengHei" w:hint="default"/>
          <w:b/>
          <w:bCs/>
          <w:spacing w:val="-42"/>
        </w:rPr>
        <w:t> </w:t>
      </w:r>
      <w:r>
        <w:rPr>
          <w:rFonts w:ascii="Microsoft JhengHei" w:hAnsi="Microsoft JhengHei" w:cs="Microsoft JhengHei" w:eastAsia="Microsoft JhengHei" w:hint="default"/>
          <w:b/>
          <w:bCs/>
          <w:spacing w:val="-42"/>
        </w:rPr>
      </w:r>
      <w:r>
        <w:rPr/>
        <w:t>公司将当期与以前期间应交未交的应纳税暂时性差异确认为递延所得税负债。但不包括：</w:t>
      </w:r>
    </w:p>
    <w:p>
      <w:pPr>
        <w:pStyle w:val="BodyText"/>
        <w:spacing w:line="240" w:lineRule="auto" w:before="4"/>
        <w:ind w:right="102"/>
        <w:jc w:val="left"/>
      </w:pPr>
      <w:r>
        <w:rPr/>
        <w:t>（</w:t>
      </w:r>
      <w:r>
        <w:rPr>
          <w:rFonts w:ascii="Times New Roman" w:hAnsi="Times New Roman" w:cs="Times New Roman" w:eastAsia="Times New Roman" w:hint="default"/>
        </w:rPr>
        <w:t>1</w:t>
      </w:r>
      <w:r>
        <w:rPr/>
        <w:t>）商誉的初始确认所形成的暂时性差异；</w:t>
      </w:r>
    </w:p>
    <w:p>
      <w:pPr>
        <w:pStyle w:val="BodyText"/>
        <w:spacing w:line="240" w:lineRule="auto" w:before="21"/>
        <w:ind w:right="102"/>
        <w:jc w:val="left"/>
      </w:pPr>
      <w:r>
        <w:rPr/>
        <w:t>（</w:t>
      </w:r>
      <w:r>
        <w:rPr>
          <w:rFonts w:ascii="Times New Roman" w:hAnsi="Times New Roman" w:cs="Times New Roman" w:eastAsia="Times New Roman" w:hint="default"/>
        </w:rPr>
        <w:t>2</w:t>
      </w:r>
      <w:r>
        <w:rPr/>
        <w:t>）非企业合并形成的交易或事项，且该交易或事项发生时既不影响会计利润，也不影响应纳税所得额</w:t>
      </w:r>
    </w:p>
    <w:p>
      <w:pPr>
        <w:pStyle w:val="BodyText"/>
        <w:spacing w:line="240" w:lineRule="auto" w:before="21"/>
        <w:ind w:right="102"/>
        <w:jc w:val="left"/>
      </w:pPr>
      <w:r>
        <w:rPr/>
        <w:t>（或可抵扣亏损）所形成的暂时性差异；</w:t>
      </w:r>
    </w:p>
    <w:p>
      <w:pPr>
        <w:pStyle w:val="BodyText"/>
        <w:spacing w:line="256" w:lineRule="auto" w:before="37"/>
        <w:ind w:right="102"/>
        <w:jc w:val="left"/>
      </w:pPr>
      <w:r>
        <w:rPr/>
        <w:t>（</w:t>
      </w:r>
      <w:r>
        <w:rPr>
          <w:rFonts w:ascii="Times New Roman" w:hAnsi="Times New Roman" w:cs="Times New Roman" w:eastAsia="Times New Roman" w:hint="default"/>
        </w:rPr>
        <w:t>3</w:t>
      </w:r>
      <w:r>
        <w:rPr/>
        <w:t>）对于与子公司、联营企业投资相关的应纳税暂时性差异，该暂时性差异转回的时间能够控制并且该</w:t>
      </w:r>
      <w:r>
        <w:rPr>
          <w:spacing w:val="-25"/>
        </w:rPr>
        <w:t> </w:t>
      </w:r>
      <w:r>
        <w:rPr>
          <w:spacing w:val="-25"/>
        </w:rPr>
      </w:r>
      <w:r>
        <w:rPr/>
        <w:t>暂时性差异在可预见的未来很可能不会转回。</w:t>
      </w:r>
    </w:p>
    <w:p>
      <w:pPr>
        <w:spacing w:line="240" w:lineRule="auto" w:before="7"/>
        <w:rPr>
          <w:rFonts w:ascii="宋体" w:hAnsi="宋体" w:cs="宋体" w:eastAsia="宋体" w:hint="default"/>
          <w:sz w:val="19"/>
          <w:szCs w:val="19"/>
        </w:rPr>
      </w:pPr>
    </w:p>
    <w:p>
      <w:pPr>
        <w:pStyle w:val="Heading3"/>
        <w:spacing w:line="240" w:lineRule="auto"/>
        <w:ind w:right="102"/>
        <w:jc w:val="left"/>
        <w:rPr>
          <w:b w:val="0"/>
          <w:bCs w:val="0"/>
        </w:rPr>
      </w:pPr>
      <w:r>
        <w:rPr>
          <w:rFonts w:ascii="Times New Roman" w:hAnsi="Times New Roman" w:cs="Times New Roman" w:eastAsia="Times New Roman" w:hint="default"/>
        </w:rPr>
        <w:t>27</w:t>
      </w:r>
      <w:r>
        <w:rPr/>
        <w:t>、租赁</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02"/>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0"/>
        <w:rPr>
          <w:rFonts w:ascii="Microsoft JhengHei" w:hAnsi="Microsoft JhengHei" w:cs="Microsoft JhengHei" w:eastAsia="Microsoft JhengHei" w:hint="default"/>
          <w:b/>
          <w:bCs/>
          <w:sz w:val="18"/>
          <w:szCs w:val="18"/>
        </w:rPr>
      </w:pPr>
    </w:p>
    <w:p>
      <w:pPr>
        <w:pStyle w:val="BodyText"/>
        <w:spacing w:line="266" w:lineRule="auto"/>
        <w:ind w:right="102"/>
        <w:jc w:val="left"/>
      </w:pPr>
      <w:r>
        <w:rPr>
          <w:spacing w:val="-1"/>
        </w:rPr>
        <w:t>（</w:t>
      </w:r>
      <w:r>
        <w:rPr>
          <w:rFonts w:ascii="Times New Roman" w:hAnsi="Times New Roman" w:cs="Times New Roman" w:eastAsia="Times New Roman" w:hint="default"/>
          <w:spacing w:val="-1"/>
        </w:rPr>
        <w:t>A</w:t>
      </w:r>
      <w:r>
        <w:rPr>
          <w:spacing w:val="-1"/>
        </w:rPr>
        <w:t>）公司租入资产所支付的租赁费，在不扣除免租期的整个租赁期内，按直线法进行分摊，计入当期费</w:t>
      </w:r>
      <w:r>
        <w:rPr>
          <w:spacing w:val="-28"/>
        </w:rPr>
        <w:t> </w:t>
      </w:r>
      <w:r>
        <w:rPr>
          <w:spacing w:val="-28"/>
        </w:rPr>
      </w:r>
      <w:r>
        <w:rPr/>
        <w:t>用。公司支付的与租赁交易相关的初始直接费用，计入当期费用。</w:t>
      </w:r>
      <w:r>
        <w:rPr>
          <w:w w:val="100"/>
        </w:rPr>
        <w:t> </w:t>
      </w:r>
      <w:r>
        <w:rPr>
          <w:spacing w:val="-2"/>
        </w:rPr>
        <w:t>资产出租方承担了应由公司承担的与租赁相关的费用时，公司将该部分费用从租金总额中扣除，按扣除后</w:t>
      </w:r>
      <w:r>
        <w:rPr>
          <w:spacing w:val="-42"/>
        </w:rPr>
        <w:t> </w:t>
      </w:r>
      <w:r>
        <w:rPr>
          <w:spacing w:val="-42"/>
        </w:rPr>
      </w:r>
      <w:r>
        <w:rPr/>
        <w:t>的租金费用在租赁期内分摊，计入当期费用。</w:t>
      </w:r>
    </w:p>
    <w:p>
      <w:pPr>
        <w:pStyle w:val="BodyText"/>
        <w:spacing w:line="268" w:lineRule="auto" w:before="14"/>
        <w:ind w:right="102"/>
        <w:jc w:val="left"/>
      </w:pPr>
      <w:r>
        <w:rPr/>
        <w:t>（</w:t>
      </w:r>
      <w:r>
        <w:rPr>
          <w:rFonts w:ascii="Times New Roman" w:hAnsi="Times New Roman" w:cs="Times New Roman" w:eastAsia="Times New Roman" w:hint="default"/>
        </w:rPr>
        <w:t>B</w:t>
      </w:r>
      <w:r>
        <w:rPr/>
        <w:t>）公司出租资产所收取的租赁费，在不扣除免租期的整个租赁期内，按直线法进行分摊，确认为租赁</w:t>
      </w:r>
      <w:r>
        <w:rPr>
          <w:spacing w:val="-61"/>
        </w:rPr>
        <w:t> </w:t>
      </w:r>
      <w:r>
        <w:rPr>
          <w:spacing w:val="-61"/>
        </w:rPr>
      </w:r>
      <w:r>
        <w:rPr>
          <w:spacing w:val="-2"/>
        </w:rPr>
        <w:t>收入。公司支付的与租赁交易相关的初始直接费用，计入当期费用；如金额较大的，则予以资本化，在整</w:t>
      </w:r>
      <w:r>
        <w:rPr>
          <w:spacing w:val="-43"/>
        </w:rPr>
        <w:t> </w:t>
      </w:r>
      <w:r>
        <w:rPr>
          <w:spacing w:val="-43"/>
        </w:rPr>
      </w:r>
      <w:r>
        <w:rPr/>
        <w:t>个租赁期间内按照与租赁收入确认相同的基础分期计入当期收益。</w:t>
      </w:r>
      <w:r>
        <w:rPr>
          <w:w w:val="100"/>
        </w:rPr>
        <w:t> </w:t>
      </w:r>
      <w:r>
        <w:rPr>
          <w:spacing w:val="-2"/>
        </w:rPr>
        <w:t>公司承担了应由承租方承担的与租赁相关的费用时，公司将该部分费用从租金收入总额中扣除，按扣除后</w:t>
      </w:r>
      <w:r>
        <w:rPr>
          <w:spacing w:val="-43"/>
        </w:rPr>
        <w:t> </w:t>
      </w:r>
      <w:r>
        <w:rPr>
          <w:spacing w:val="-43"/>
        </w:rPr>
      </w:r>
      <w:r>
        <w:rPr/>
        <w:t>的租金费用在租赁期内分配。</w:t>
      </w:r>
    </w:p>
    <w:p>
      <w:pPr>
        <w:spacing w:line="240" w:lineRule="auto" w:before="10"/>
        <w:rPr>
          <w:rFonts w:ascii="宋体" w:hAnsi="宋体" w:cs="宋体" w:eastAsia="宋体" w:hint="default"/>
          <w:sz w:val="18"/>
          <w:szCs w:val="18"/>
        </w:rPr>
      </w:pPr>
    </w:p>
    <w:p>
      <w:pPr>
        <w:pStyle w:val="Heading3"/>
        <w:spacing w:line="240" w:lineRule="auto"/>
        <w:ind w:right="102"/>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66" w:lineRule="auto"/>
        <w:ind w:right="102"/>
        <w:jc w:val="left"/>
      </w:pPr>
      <w:r>
        <w:rPr>
          <w:spacing w:val="-1"/>
        </w:rPr>
        <w:t>（</w:t>
      </w:r>
      <w:r>
        <w:rPr>
          <w:rFonts w:ascii="Times New Roman" w:hAnsi="Times New Roman" w:cs="Times New Roman" w:eastAsia="Times New Roman" w:hint="default"/>
          <w:spacing w:val="-1"/>
        </w:rPr>
        <w:t>A</w:t>
      </w:r>
      <w:r>
        <w:rPr>
          <w:spacing w:val="-1"/>
        </w:rPr>
        <w:t>）融资租入资产：公司在承租开始日，将租赁资产公允价值与最低租赁付款额现值两者中较低者作为</w:t>
      </w:r>
      <w:r>
        <w:rPr>
          <w:spacing w:val="-28"/>
        </w:rPr>
        <w:t> </w:t>
      </w:r>
      <w:r>
        <w:rPr>
          <w:spacing w:val="-28"/>
        </w:rPr>
      </w:r>
      <w:r>
        <w:rPr/>
        <w:t>租入资产的入账价值，将最低租赁付款额作为长期应付款的入账价值，其差额作为未确认的融资费用。</w:t>
      </w:r>
      <w:r>
        <w:rPr>
          <w:w w:val="100"/>
        </w:rPr>
        <w:t> </w:t>
      </w:r>
      <w:r>
        <w:rPr/>
        <w:t>公司采用实际利率法对未确认的融资费用，在资产租赁期间内摊销，计入财务费用。</w:t>
      </w:r>
    </w:p>
    <w:p>
      <w:pPr>
        <w:pStyle w:val="BodyText"/>
        <w:spacing w:line="264" w:lineRule="auto" w:before="14"/>
        <w:ind w:right="102"/>
        <w:jc w:val="left"/>
      </w:pPr>
      <w:r>
        <w:rPr/>
        <w:t>（</w:t>
      </w:r>
      <w:r>
        <w:rPr>
          <w:rFonts w:ascii="Times New Roman" w:hAnsi="Times New Roman" w:cs="Times New Roman" w:eastAsia="Times New Roman" w:hint="default"/>
        </w:rPr>
        <w:t>B</w:t>
      </w:r>
      <w:r>
        <w:rPr/>
        <w:t>）融资租出资产：公司在租赁开始日，将应收融资租赁款，未担保余值之和与其现值的差额确认为未</w:t>
      </w:r>
      <w:r>
        <w:rPr>
          <w:spacing w:val="-61"/>
        </w:rPr>
        <w:t> </w:t>
      </w:r>
      <w:r>
        <w:rPr>
          <w:spacing w:val="-61"/>
        </w:rPr>
      </w:r>
      <w:r>
        <w:rPr>
          <w:spacing w:val="-5"/>
        </w:rPr>
        <w:t>实现融资收益，在将来收到租金的各期间内确认为租赁收入，公司发生的与出租交易相关的初始直接费用，</w:t>
      </w:r>
      <w:r>
        <w:rPr>
          <w:spacing w:val="-6"/>
        </w:rPr>
        <w:t> </w:t>
      </w:r>
      <w:r>
        <w:rPr>
          <w:spacing w:val="-6"/>
        </w:rPr>
      </w:r>
      <w:r>
        <w:rPr/>
        <w:t>计入应收融资租赁款的初始计量中，并减少租赁期内确认的收益金额。</w:t>
      </w:r>
    </w:p>
    <w:p>
      <w:pPr>
        <w:spacing w:after="0" w:line="264"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28</w:t>
      </w:r>
      <w:r>
        <w:rPr/>
        <w:t>、其他重要的会计政策和会计估计</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339" w:lineRule="exact"/>
        <w:ind w:right="0"/>
        <w:jc w:val="left"/>
        <w:rPr>
          <w:b w:val="0"/>
          <w:bCs w:val="0"/>
        </w:rPr>
      </w:pPr>
      <w:r>
        <w:rPr/>
        <w:t>套期会计</w:t>
      </w:r>
      <w:r>
        <w:rPr>
          <w:b w:val="0"/>
          <w:bCs w:val="0"/>
        </w:rPr>
      </w:r>
    </w:p>
    <w:p>
      <w:pPr>
        <w:pStyle w:val="Heading3"/>
        <w:spacing w:line="339" w:lineRule="exact"/>
        <w:ind w:right="0"/>
        <w:jc w:val="left"/>
        <w:rPr>
          <w:b w:val="0"/>
          <w:bCs w:val="0"/>
        </w:rPr>
      </w:pPr>
      <w:r>
        <w:rPr>
          <w:rFonts w:ascii="Times New Roman" w:hAnsi="Times New Roman" w:cs="Times New Roman" w:eastAsia="Times New Roman" w:hint="default"/>
        </w:rPr>
        <w:t>1</w:t>
      </w:r>
      <w:r>
        <w:rPr/>
        <w:t>、套期保值的分类：</w:t>
      </w:r>
      <w:r>
        <w:rPr>
          <w:b w:val="0"/>
          <w:bCs w:val="0"/>
        </w:rPr>
      </w:r>
    </w:p>
    <w:p>
      <w:pPr>
        <w:pStyle w:val="BodyText"/>
        <w:spacing w:line="256" w:lineRule="auto" w:before="13"/>
        <w:ind w:right="0"/>
        <w:jc w:val="left"/>
      </w:pPr>
      <w:r>
        <w:rPr>
          <w:spacing w:val="-3"/>
        </w:rPr>
        <w:t>（</w:t>
      </w:r>
      <w:r>
        <w:rPr>
          <w:rFonts w:ascii="Times New Roman" w:hAnsi="Times New Roman" w:cs="Times New Roman" w:eastAsia="Times New Roman" w:hint="default"/>
          <w:spacing w:val="-3"/>
        </w:rPr>
        <w:t>1</w:t>
      </w:r>
      <w:r>
        <w:rPr>
          <w:spacing w:val="-3"/>
        </w:rPr>
        <w:t>）公允价值套期，是指对已确认资产或负债，尚未确认的确定承诺</w:t>
      </w:r>
      <w:r>
        <w:rPr>
          <w:rFonts w:ascii="Times New Roman" w:hAnsi="Times New Roman" w:cs="Times New Roman" w:eastAsia="Times New Roman" w:hint="default"/>
          <w:spacing w:val="-3"/>
        </w:rPr>
        <w:t>(</w:t>
      </w:r>
      <w:r>
        <w:rPr>
          <w:spacing w:val="-3"/>
        </w:rPr>
        <w:t>除外汇风险外</w:t>
      </w:r>
      <w:r>
        <w:rPr>
          <w:rFonts w:ascii="Times New Roman" w:hAnsi="Times New Roman" w:cs="Times New Roman" w:eastAsia="Times New Roman" w:hint="default"/>
          <w:spacing w:val="-3"/>
        </w:rPr>
        <w:t>)</w:t>
      </w:r>
      <w:r>
        <w:rPr>
          <w:spacing w:val="-3"/>
        </w:rPr>
        <w:t>的公允价值变动风险</w:t>
      </w:r>
      <w:r>
        <w:rPr>
          <w:spacing w:val="-30"/>
        </w:rPr>
        <w:t> </w:t>
      </w:r>
      <w:r>
        <w:rPr>
          <w:spacing w:val="-30"/>
        </w:rPr>
      </w:r>
      <w:r>
        <w:rPr/>
        <w:t>进行的套期。</w:t>
      </w:r>
    </w:p>
    <w:p>
      <w:pPr>
        <w:pStyle w:val="BodyText"/>
        <w:spacing w:line="256" w:lineRule="auto" w:before="22"/>
        <w:ind w:right="0"/>
        <w:jc w:val="left"/>
      </w:pPr>
      <w:r>
        <w:rPr/>
        <w:t>（</w:t>
      </w:r>
      <w:r>
        <w:rPr>
          <w:rFonts w:ascii="Times New Roman" w:hAnsi="Times New Roman" w:cs="Times New Roman" w:eastAsia="Times New Roman" w:hint="default"/>
        </w:rPr>
        <w:t>2</w:t>
      </w:r>
      <w:r>
        <w:rPr/>
        <w:t>）现金流量套期，是指对现金流量变动风险进行的套期，此现金流量变动源于与已确认资产或负债、</w:t>
      </w:r>
      <w:r>
        <w:rPr>
          <w:spacing w:val="-25"/>
        </w:rPr>
        <w:t> </w:t>
      </w:r>
      <w:r>
        <w:rPr>
          <w:spacing w:val="-25"/>
        </w:rPr>
      </w:r>
      <w:r>
        <w:rPr/>
        <w:t>很可能发生的预期交易有关的某类特定风险，或一项未确认的确定承诺包含的外汇风险。</w:t>
      </w:r>
    </w:p>
    <w:p>
      <w:pPr>
        <w:pStyle w:val="BodyText"/>
        <w:spacing w:line="256" w:lineRule="auto" w:before="22"/>
        <w:ind w:right="0"/>
        <w:jc w:val="left"/>
      </w:pPr>
      <w:r>
        <w:rPr/>
        <w:t>（</w:t>
      </w:r>
      <w:r>
        <w:rPr>
          <w:rFonts w:ascii="Times New Roman" w:hAnsi="Times New Roman" w:cs="Times New Roman" w:eastAsia="Times New Roman" w:hint="default"/>
        </w:rPr>
        <w:t>3</w:t>
      </w:r>
      <w:r>
        <w:rPr/>
        <w:t>）境外经营净投资套期，是指对境外经营净投资外汇风险进行的套期。境外经营净投资，是指企业在</w:t>
      </w:r>
      <w:r>
        <w:rPr>
          <w:spacing w:val="-25"/>
        </w:rPr>
        <w:t> </w:t>
      </w:r>
      <w:r>
        <w:rPr>
          <w:spacing w:val="-25"/>
        </w:rPr>
      </w:r>
      <w:r>
        <w:rPr/>
        <w:t>境外经营净资产中的权益份额。</w:t>
      </w:r>
    </w:p>
    <w:p>
      <w:pPr>
        <w:pStyle w:val="BodyText"/>
        <w:spacing w:line="312" w:lineRule="exact" w:before="18"/>
        <w:ind w:right="0"/>
        <w:jc w:val="left"/>
      </w:pP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、套期关系的指定及套期有效性的认定：</w:t>
      </w:r>
      <w:r>
        <w:rPr>
          <w:rFonts w:ascii="Microsoft JhengHei" w:hAnsi="Microsoft JhengHei" w:cs="Microsoft JhengHei" w:eastAsia="Microsoft JhengHei" w:hint="default"/>
          <w:b/>
          <w:bCs/>
          <w:spacing w:val="-37"/>
        </w:rPr>
        <w:t> </w:t>
      </w:r>
      <w:r>
        <w:rPr>
          <w:rFonts w:ascii="Microsoft JhengHei" w:hAnsi="Microsoft JhengHei" w:cs="Microsoft JhengHei" w:eastAsia="Microsoft JhengHei" w:hint="default"/>
          <w:b/>
          <w:bCs/>
          <w:spacing w:val="-37"/>
        </w:rPr>
      </w:r>
      <w:r>
        <w:rPr>
          <w:spacing w:val="-2"/>
        </w:rPr>
        <w:t>在套期关系开始时，本公司对套期关系有正式指定，并准备了关于套期关系、风险管理目标和套期策略的</w:t>
      </w:r>
      <w:r>
        <w:rPr>
          <w:spacing w:val="-44"/>
        </w:rPr>
        <w:t> </w:t>
      </w:r>
      <w:r>
        <w:rPr>
          <w:spacing w:val="-44"/>
        </w:rPr>
      </w:r>
      <w:r>
        <w:rPr>
          <w:spacing w:val="-2"/>
        </w:rPr>
        <w:t>正式书面文件。该文件载明了套期工具、被套期项目或交易，被套期风险的性质，以及本公司对套期工具</w:t>
      </w:r>
      <w:r>
        <w:rPr>
          <w:spacing w:val="-50"/>
        </w:rPr>
        <w:t> </w:t>
      </w:r>
      <w:r>
        <w:rPr>
          <w:spacing w:val="-50"/>
        </w:rPr>
      </w:r>
      <w:r>
        <w:rPr/>
        <w:t>有效性评价方法。</w:t>
      </w:r>
      <w:r>
        <w:rPr>
          <w:w w:val="100"/>
        </w:rPr>
        <w:t> </w:t>
      </w:r>
      <w:r>
        <w:rPr>
          <w:spacing w:val="-2"/>
        </w:rPr>
        <w:t>套期有效性，是指套期工具的公允价值或现金流量变动能够抵销被套期风险引起的被套期项目公允价值或</w:t>
      </w:r>
      <w:r>
        <w:rPr>
          <w:spacing w:val="-43"/>
        </w:rPr>
        <w:t> </w:t>
      </w:r>
      <w:r>
        <w:rPr>
          <w:spacing w:val="-43"/>
        </w:rPr>
      </w:r>
      <w:r>
        <w:rPr>
          <w:spacing w:val="-2"/>
        </w:rPr>
        <w:t>现金流量变动的程度。本公司持续地对套期有效性进行评价，判断该套期在套期关系被指定的会计期间内</w:t>
      </w:r>
      <w:r>
        <w:rPr>
          <w:spacing w:val="-43"/>
        </w:rPr>
        <w:t> </w:t>
      </w:r>
      <w:r>
        <w:rPr>
          <w:spacing w:val="-43"/>
        </w:rPr>
      </w:r>
      <w:r>
        <w:rPr/>
        <w:t>是否高度有效。套期同时满足下列条件时，本公司认定其为高度有效：</w:t>
      </w:r>
    </w:p>
    <w:p>
      <w:pPr>
        <w:pStyle w:val="BodyText"/>
        <w:spacing w:line="256" w:lineRule="auto" w:before="4"/>
        <w:ind w:right="0"/>
        <w:jc w:val="left"/>
      </w:pPr>
      <w:r>
        <w:rPr/>
        <w:t>（</w:t>
      </w:r>
      <w:r>
        <w:rPr>
          <w:rFonts w:ascii="Times New Roman" w:hAnsi="Times New Roman" w:cs="Times New Roman" w:eastAsia="Times New Roman" w:hint="default"/>
        </w:rPr>
        <w:t>1</w:t>
      </w:r>
      <w:r>
        <w:rPr/>
        <w:t>）在套期开始及以后期间，该套期预期会高度有效地抵销套期指定期间被套期风险引起的公允价值或</w:t>
      </w:r>
      <w:r>
        <w:rPr>
          <w:spacing w:val="-25"/>
        </w:rPr>
        <w:t> </w:t>
      </w:r>
      <w:r>
        <w:rPr>
          <w:spacing w:val="-25"/>
        </w:rPr>
      </w:r>
      <w:r>
        <w:rPr/>
        <w:t>现金流量变动；</w:t>
      </w:r>
    </w:p>
    <w:p>
      <w:pPr>
        <w:pStyle w:val="BodyText"/>
        <w:spacing w:line="268" w:lineRule="exact" w:before="22"/>
        <w:ind w:right="0"/>
        <w:jc w:val="left"/>
      </w:pPr>
      <w:r>
        <w:rPr/>
        <w:t>（</w:t>
      </w:r>
      <w:r>
        <w:rPr>
          <w:rFonts w:ascii="Times New Roman" w:hAnsi="Times New Roman" w:cs="Times New Roman" w:eastAsia="Times New Roman" w:hint="default"/>
        </w:rPr>
        <w:t>2</w:t>
      </w:r>
      <w:r>
        <w:rPr/>
        <w:t>）该套期的实际抵销结果在</w:t>
      </w:r>
      <w:r>
        <w:rPr>
          <w:rFonts w:ascii="Times New Roman" w:hAnsi="Times New Roman" w:cs="Times New Roman" w:eastAsia="Times New Roman" w:hint="default"/>
        </w:rPr>
        <w:t>80%</w:t>
      </w:r>
      <w:r>
        <w:rPr/>
        <w:t>至</w:t>
      </w:r>
      <w:r>
        <w:rPr>
          <w:rFonts w:ascii="Times New Roman" w:hAnsi="Times New Roman" w:cs="Times New Roman" w:eastAsia="Times New Roman" w:hint="default"/>
        </w:rPr>
        <w:t>125%</w:t>
      </w:r>
      <w:r>
        <w:rPr/>
        <w:t>的范围内。</w:t>
      </w:r>
    </w:p>
    <w:p>
      <w:pPr>
        <w:pStyle w:val="Heading3"/>
        <w:spacing w:line="343" w:lineRule="exact"/>
        <w:ind w:right="0"/>
        <w:jc w:val="left"/>
        <w:rPr>
          <w:b w:val="0"/>
          <w:bCs w:val="0"/>
        </w:rPr>
      </w:pPr>
      <w:r>
        <w:rPr>
          <w:rFonts w:ascii="Times New Roman" w:hAnsi="Times New Roman" w:cs="Times New Roman" w:eastAsia="Times New Roman" w:hint="default"/>
        </w:rPr>
        <w:t>3</w:t>
      </w:r>
      <w:r>
        <w:rPr/>
        <w:t>、套期会计处理方法：</w:t>
      </w:r>
      <w:r>
        <w:rPr>
          <w:b w:val="0"/>
          <w:bCs w:val="0"/>
        </w:rPr>
      </w:r>
    </w:p>
    <w:p>
      <w:pPr>
        <w:pStyle w:val="BodyText"/>
        <w:spacing w:line="271" w:lineRule="auto" w:before="13"/>
        <w:ind w:right="0"/>
        <w:jc w:val="left"/>
      </w:pPr>
      <w:r>
        <w:rPr/>
        <w:t>（</w:t>
      </w:r>
      <w:r>
        <w:rPr>
          <w:rFonts w:ascii="Times New Roman" w:hAnsi="Times New Roman" w:cs="Times New Roman" w:eastAsia="Times New Roman" w:hint="default"/>
        </w:rPr>
        <w:t>1</w:t>
      </w:r>
      <w:r>
        <w:rPr/>
        <w:t>）公允价值套期</w:t>
      </w:r>
      <w:r>
        <w:rPr>
          <w:w w:val="100"/>
        </w:rPr>
        <w:t> </w:t>
      </w:r>
      <w:r>
        <w:rPr>
          <w:spacing w:val="-2"/>
        </w:rPr>
        <w:t>套期衍生工具的公允价值变动计入当期损益。被套期项目的公允价值因套期风险而形成的变动，计入当期</w:t>
      </w:r>
      <w:r>
        <w:rPr>
          <w:spacing w:val="-42"/>
        </w:rPr>
        <w:t> </w:t>
      </w:r>
      <w:r>
        <w:rPr>
          <w:spacing w:val="-42"/>
        </w:rPr>
      </w:r>
      <w:r>
        <w:rPr/>
        <w:t>损益，同时调整被套期项目的账面价值。</w:t>
      </w:r>
      <w:r>
        <w:rPr>
          <w:w w:val="100"/>
        </w:rPr>
        <w:t> </w:t>
      </w:r>
      <w:r>
        <w:rPr>
          <w:spacing w:val="-2"/>
        </w:rPr>
        <w:t>就与按摊余成本计量的金融工具有关的公允价值套期而言，对被套期项目账面价值所作的调整，在调整日</w:t>
      </w:r>
      <w:r>
        <w:rPr>
          <w:spacing w:val="-43"/>
        </w:rPr>
        <w:t> </w:t>
      </w:r>
      <w:r>
        <w:rPr>
          <w:spacing w:val="-43"/>
        </w:rPr>
      </w:r>
      <w:r>
        <w:rPr>
          <w:spacing w:val="-2"/>
        </w:rPr>
        <w:t>至到期日之间的剩余期间内进行摊销，计入当期损益。按照实际利率法的摊销可于账面价值调整后随即开</w:t>
      </w:r>
      <w:r>
        <w:rPr>
          <w:spacing w:val="-44"/>
        </w:rPr>
        <w:t> </w:t>
      </w:r>
      <w:r>
        <w:rPr>
          <w:spacing w:val="-44"/>
        </w:rPr>
      </w:r>
      <w:r>
        <w:rPr/>
        <w:t>始，并不得晚于被套期项目终止针对套期风险产生的公允价值变动而进行的调整。</w:t>
      </w:r>
      <w:r>
        <w:rPr>
          <w:w w:val="100"/>
        </w:rPr>
        <w:t> </w:t>
      </w:r>
      <w:r>
        <w:rPr/>
        <w:t>如果被套期项目终止确认，则将未摊销的公允价值确认为当期损益。</w:t>
      </w:r>
      <w:r>
        <w:rPr>
          <w:w w:val="100"/>
        </w:rPr>
        <w:t> </w:t>
      </w:r>
      <w:r>
        <w:rPr>
          <w:spacing w:val="-2"/>
        </w:rPr>
        <w:t>被套期项目为尚未确认的确定承诺的，该确定承诺的公允价值因被套期风险引起的累计公允价值变动确认</w:t>
      </w:r>
      <w:r>
        <w:rPr>
          <w:spacing w:val="-43"/>
        </w:rPr>
        <w:t> </w:t>
      </w:r>
      <w:r>
        <w:rPr>
          <w:spacing w:val="-43"/>
        </w:rPr>
      </w:r>
      <w:r>
        <w:rPr/>
        <w:t>为一项资产或负债，相关的利得或损失计入当期损益。套期工具的公允价值变动亦计入当期损益。</w:t>
      </w:r>
    </w:p>
    <w:p>
      <w:pPr>
        <w:pStyle w:val="BodyText"/>
        <w:spacing w:line="268" w:lineRule="auto" w:before="10"/>
        <w:ind w:right="0"/>
        <w:jc w:val="left"/>
      </w:pPr>
      <w:r>
        <w:rPr/>
        <w:t>（</w:t>
      </w:r>
      <w:r>
        <w:rPr>
          <w:rFonts w:ascii="Times New Roman" w:hAnsi="Times New Roman" w:cs="Times New Roman" w:eastAsia="Times New Roman" w:hint="default"/>
        </w:rPr>
        <w:t>2</w:t>
      </w:r>
      <w:r>
        <w:rPr/>
        <w:t>）现金流量套期</w:t>
      </w:r>
      <w:r>
        <w:rPr>
          <w:w w:val="100"/>
        </w:rPr>
        <w:t> </w:t>
      </w:r>
      <w:r>
        <w:rPr>
          <w:spacing w:val="-2"/>
        </w:rPr>
        <w:t>套期工具利得或损失中属于有效套期的部分，直接确认为其他综合收益，属于无效套期的部分，计入当期</w:t>
      </w:r>
      <w:r>
        <w:rPr>
          <w:spacing w:val="-43"/>
        </w:rPr>
        <w:t> </w:t>
      </w:r>
      <w:r>
        <w:rPr>
          <w:spacing w:val="-43"/>
        </w:rPr>
      </w:r>
      <w:r>
        <w:rPr/>
        <w:t>损益。</w:t>
      </w:r>
      <w:r>
        <w:rPr>
          <w:spacing w:val="-102"/>
        </w:rPr>
        <w:t> </w:t>
      </w:r>
      <w:r>
        <w:rPr>
          <w:spacing w:val="-2"/>
        </w:rPr>
        <w:t>如果被套期交易影响当期损益的，如当被套期财务收入或财务费用被确认或预期销售发生时，则将其他综</w:t>
      </w:r>
      <w:r>
        <w:rPr>
          <w:spacing w:val="-44"/>
        </w:rPr>
        <w:t> </w:t>
      </w:r>
      <w:r>
        <w:rPr>
          <w:spacing w:val="-44"/>
        </w:rPr>
      </w:r>
      <w:r>
        <w:rPr>
          <w:spacing w:val="-2"/>
        </w:rPr>
        <w:t>合收益中确认的金额转入当期损益。如果被套期项目是一项非金融资产或非金融负债的成本，则原在其他</w:t>
      </w:r>
      <w:r>
        <w:rPr>
          <w:spacing w:val="-43"/>
        </w:rPr>
        <w:t> </w:t>
      </w:r>
      <w:r>
        <w:rPr>
          <w:spacing w:val="-43"/>
        </w:rPr>
      </w:r>
      <w:r>
        <w:rPr>
          <w:spacing w:val="-2"/>
        </w:rPr>
        <w:t>综合收益中确认的金额转出，计入该非金融资产或非金融负债的初始确认金额（或则原在其他综合收益中</w:t>
      </w:r>
      <w:r>
        <w:rPr>
          <w:spacing w:val="-44"/>
        </w:rPr>
        <w:t> </w:t>
      </w:r>
      <w:r>
        <w:rPr>
          <w:spacing w:val="-44"/>
        </w:rPr>
      </w:r>
      <w:r>
        <w:rPr/>
        <w:t>确认的，在该非金融资产或非金融负债影响损益的相同期间转出，计入当期损益）。</w:t>
      </w:r>
      <w:r>
        <w:rPr>
          <w:w w:val="100"/>
        </w:rPr>
        <w:t> </w:t>
      </w:r>
      <w:r>
        <w:rPr>
          <w:spacing w:val="-2"/>
        </w:rPr>
        <w:t>如果预期交易或确定承诺预计不会发生，则以前计入股东权益中的套期工具累计利得或损失转出，计入当</w:t>
      </w:r>
      <w:r>
        <w:rPr>
          <w:spacing w:val="-43"/>
        </w:rPr>
        <w:t> </w:t>
      </w:r>
      <w:r>
        <w:rPr>
          <w:spacing w:val="-43"/>
        </w:rPr>
      </w:r>
      <w:r>
        <w:rPr/>
        <w:t>期损益。如果套期工具已到期、被出售、合同终止或已行使</w:t>
      </w:r>
      <w:r>
        <w:rPr>
          <w:rFonts w:ascii="Times New Roman" w:hAnsi="Times New Roman" w:cs="Times New Roman" w:eastAsia="Times New Roman" w:hint="default"/>
        </w:rPr>
        <w:t>(</w:t>
      </w:r>
      <w:r>
        <w:rPr/>
        <w:t>但并未被替换或展期</w:t>
      </w:r>
      <w:r>
        <w:rPr>
          <w:rFonts w:ascii="Times New Roman" w:hAnsi="Times New Roman" w:cs="Times New Roman" w:eastAsia="Times New Roman" w:hint="default"/>
        </w:rPr>
        <w:t>)</w:t>
      </w:r>
      <w:r>
        <w:rPr/>
        <w:t>，或者撤销了对套期关</w:t>
      </w:r>
      <w:r>
        <w:rPr>
          <w:spacing w:val="-58"/>
        </w:rPr>
        <w:t> </w:t>
      </w:r>
      <w:r>
        <w:rPr/>
        <w:t>系的指定，则以前计入其他综合收益的金额不转出，直至预期交易或确定承诺影响当期损益。</w:t>
      </w:r>
    </w:p>
    <w:p>
      <w:pPr>
        <w:pStyle w:val="BodyText"/>
        <w:spacing w:line="278" w:lineRule="auto" w:before="12"/>
        <w:ind w:right="0"/>
        <w:jc w:val="left"/>
      </w:pPr>
      <w:r>
        <w:rPr/>
        <w:t>（</w:t>
      </w:r>
      <w:r>
        <w:rPr>
          <w:rFonts w:ascii="Times New Roman" w:hAnsi="Times New Roman" w:cs="Times New Roman" w:eastAsia="Times New Roman" w:hint="default"/>
        </w:rPr>
        <w:t>3</w:t>
      </w:r>
      <w:r>
        <w:rPr/>
        <w:t>）境外经营净投资套期</w:t>
      </w:r>
      <w:r>
        <w:rPr>
          <w:w w:val="100"/>
        </w:rPr>
        <w:t> </w:t>
      </w:r>
      <w:r>
        <w:rPr>
          <w:spacing w:val="-2"/>
        </w:rPr>
        <w:t>对境外经营净投资的套期，包括作为净投资的一部分的货币性项目的套期，其处理与现金流量套期类似。</w:t>
      </w:r>
      <w:r>
        <w:rPr>
          <w:spacing w:val="-21"/>
        </w:rPr>
        <w:t> </w:t>
      </w:r>
      <w:r>
        <w:rPr>
          <w:spacing w:val="-21"/>
        </w:rPr>
      </w:r>
      <w:r>
        <w:rPr>
          <w:spacing w:val="2"/>
        </w:rPr>
        <w:t>套期工具的利得或损失中被确定为有效套期的部分计入其他综合收益，而无效套期的部分确认为当期损</w:t>
      </w:r>
      <w:r>
        <w:rPr>
          <w:spacing w:val="-30"/>
        </w:rPr>
        <w:t> </w:t>
      </w:r>
      <w:r>
        <w:rPr>
          <w:spacing w:val="-30"/>
        </w:rPr>
      </w:r>
      <w:r>
        <w:rPr/>
        <w:t>益。处置境外经营时，任何计入股东权益的累计利得或损失转出，计入当期损益。</w:t>
      </w:r>
    </w:p>
    <w:p>
      <w:pPr>
        <w:spacing w:after="0" w:line="278"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29</w:t>
      </w:r>
      <w:r>
        <w:rPr/>
        <w:t>、重要会计政策和会计估计变更</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r>
        <w:rPr/>
        <w:t>六、税项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96"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946"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shd w:val="clear" w:color="auto" w:fill="C6ECCC"/>
          </w:tcPr>
          <w:p>
            <w:pPr>
              <w:pStyle w:val="TableParagraph"/>
              <w:spacing w:line="312" w:lineRule="auto" w:before="53"/>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交增值税；公司一般货物出口业务执行</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免、抵、退</w:t>
            </w:r>
            <w:r>
              <w:rPr>
                <w:rFonts w:ascii="Times New Roman" w:hAnsi="Times New Roman" w:cs="Times New Roman" w:eastAsia="Times New Roman" w:hint="default"/>
                <w:sz w:val="18"/>
                <w:szCs w:val="18"/>
              </w:rPr>
              <w:t>"</w:t>
            </w:r>
            <w:r>
              <w:rPr>
                <w:rFonts w:ascii="宋体" w:hAnsi="宋体" w:cs="宋体" w:eastAsia="宋体" w:hint="default"/>
                <w:sz w:val="18"/>
                <w:szCs w:val="18"/>
              </w:rPr>
              <w:t>政策，按照出口环节退还采 购环节的增值税政策；出口退税率为 </w:t>
            </w:r>
            <w:r>
              <w:rPr>
                <w:rFonts w:ascii="Times New Roman" w:hAnsi="Times New Roman" w:cs="Times New Roman" w:eastAsia="Times New Roman" w:hint="default"/>
                <w:sz w:val="18"/>
                <w:szCs w:val="18"/>
              </w:rPr>
              <w:t>13%</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c>
          <w:tcPr>
            <w:tcW w:w="3190"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94"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4" w:space="0" w:color="000000"/>
              <w:right w:val="single" w:sz="4" w:space="0" w:color="000000"/>
            </w:tcBorders>
            <w:shd w:val="clear" w:color="auto" w:fill="C6ECCC"/>
          </w:tcPr>
          <w:p>
            <w:pPr/>
          </w:p>
        </w:tc>
        <w:tc>
          <w:tcPr>
            <w:tcW w:w="319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w:t>
            </w:r>
          </w:p>
        </w:tc>
      </w:tr>
      <w:tr>
        <w:trPr>
          <w:trHeight w:val="941" w:hRule="exact"/>
        </w:trPr>
        <w:tc>
          <w:tcPr>
            <w:tcW w:w="3191" w:type="dxa"/>
            <w:tcBorders>
              <w:top w:val="nil" w:sz="6" w:space="0" w:color="auto"/>
              <w:left w:val="single" w:sz="4" w:space="0" w:color="000000"/>
              <w:bottom w:val="single" w:sz="4" w:space="0" w:color="000000"/>
              <w:right w:val="single" w:sz="10" w:space="0" w:color="C6ECCC"/>
            </w:tcBorders>
            <w:shd w:val="clear" w:color="auto" w:fill="D2D2D2"/>
          </w:tcPr>
          <w:p>
            <w:pPr/>
          </w:p>
        </w:tc>
        <w:tc>
          <w:tcPr>
            <w:tcW w:w="3190" w:type="dxa"/>
            <w:vMerge/>
            <w:tcBorders>
              <w:left w:val="single" w:sz="4" w:space="0" w:color="000000"/>
              <w:bottom w:val="single" w:sz="4" w:space="0" w:color="000000"/>
              <w:right w:val="single" w:sz="4" w:space="0" w:color="000000"/>
            </w:tcBorders>
            <w:shd w:val="clear" w:color="auto" w:fill="C6ECCC"/>
          </w:tcPr>
          <w:p>
            <w:pPr/>
          </w:p>
        </w:tc>
        <w:tc>
          <w:tcPr>
            <w:tcW w:w="3190" w:type="dxa"/>
            <w:tcBorders>
              <w:top w:val="nil" w:sz="6" w:space="0" w:color="auto"/>
              <w:left w:val="single" w:sz="4" w:space="0" w:color="000000"/>
              <w:bottom w:val="single" w:sz="4" w:space="0" w:color="000000"/>
              <w:right w:val="single" w:sz="4" w:space="0" w:color="000000"/>
            </w:tcBorders>
            <w:shd w:val="clear" w:color="auto" w:fill="C6ECCC"/>
          </w:tcPr>
          <w:p>
            <w:pP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shd w:val="clear" w:color="auto" w:fill="C6ECCC"/>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 计征</w:t>
            </w:r>
          </w:p>
        </w:tc>
        <w:tc>
          <w:tcPr>
            <w:tcW w:w="3190"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91" w:hRule="exact"/>
        </w:trPr>
        <w:tc>
          <w:tcPr>
            <w:tcW w:w="3191" w:type="dxa"/>
            <w:tcBorders>
              <w:top w:val="nil" w:sz="6" w:space="0" w:color="auto"/>
              <w:left w:val="single" w:sz="4" w:space="0" w:color="000000"/>
              <w:bottom w:val="nil" w:sz="6" w:space="0" w:color="auto"/>
              <w:right w:val="single" w:sz="10" w:space="0" w:color="C6ECCC"/>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vMerge/>
            <w:tcBorders>
              <w:left w:val="single" w:sz="4" w:space="0" w:color="000000"/>
              <w:right w:val="single" w:sz="4" w:space="0" w:color="000000"/>
            </w:tcBorders>
            <w:shd w:val="clear" w:color="auto" w:fill="C6ECCC"/>
          </w:tcPr>
          <w:p>
            <w:pPr/>
          </w:p>
        </w:tc>
        <w:tc>
          <w:tcPr>
            <w:tcW w:w="319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161" w:hRule="exact"/>
        </w:trPr>
        <w:tc>
          <w:tcPr>
            <w:tcW w:w="3191" w:type="dxa"/>
            <w:tcBorders>
              <w:top w:val="nil" w:sz="6" w:space="0" w:color="auto"/>
              <w:left w:val="single" w:sz="4" w:space="0" w:color="000000"/>
              <w:bottom w:val="single" w:sz="4" w:space="0" w:color="000000"/>
              <w:right w:val="single" w:sz="10" w:space="0" w:color="C6ECCC"/>
            </w:tcBorders>
            <w:shd w:val="clear" w:color="auto" w:fill="D2D2D2"/>
          </w:tcPr>
          <w:p>
            <w:pPr/>
          </w:p>
        </w:tc>
        <w:tc>
          <w:tcPr>
            <w:tcW w:w="3190" w:type="dxa"/>
            <w:vMerge/>
            <w:tcBorders>
              <w:left w:val="single" w:sz="4" w:space="0" w:color="000000"/>
              <w:bottom w:val="single" w:sz="4" w:space="0" w:color="000000"/>
              <w:right w:val="single" w:sz="4" w:space="0" w:color="000000"/>
            </w:tcBorders>
            <w:shd w:val="clear" w:color="auto" w:fill="C6ECCC"/>
          </w:tcPr>
          <w:p>
            <w:pPr/>
          </w:p>
        </w:tc>
        <w:tc>
          <w:tcPr>
            <w:tcW w:w="3190" w:type="dxa"/>
            <w:tcBorders>
              <w:top w:val="nil" w:sz="6" w:space="0" w:color="auto"/>
              <w:left w:val="single" w:sz="4" w:space="0" w:color="000000"/>
              <w:bottom w:val="single" w:sz="4" w:space="0" w:color="000000"/>
              <w:right w:val="single" w:sz="4" w:space="0" w:color="000000"/>
            </w:tcBorders>
            <w:shd w:val="clear" w:color="auto" w:fill="C6ECCC"/>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C6ECCC"/>
          </w:tcPr>
          <w:p>
            <w:pPr/>
          </w:p>
        </w:tc>
        <w:tc>
          <w:tcPr>
            <w:tcW w:w="3190" w:type="dxa"/>
            <w:vMerge w:val="restart"/>
            <w:tcBorders>
              <w:top w:val="single" w:sz="4" w:space="0" w:color="000000"/>
              <w:left w:val="single" w:sz="4" w:space="0" w:color="000000"/>
              <w:right w:val="single" w:sz="4" w:space="0" w:color="000000"/>
            </w:tcBorders>
            <w:shd w:val="clear" w:color="auto" w:fill="C6ECCC"/>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 计征</w:t>
            </w:r>
          </w:p>
        </w:tc>
        <w:tc>
          <w:tcPr>
            <w:tcW w:w="3190"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vMerge/>
            <w:tcBorders>
              <w:left w:val="single" w:sz="4" w:space="0" w:color="000000"/>
              <w:right w:val="single" w:sz="4" w:space="0" w:color="000000"/>
            </w:tcBorders>
            <w:shd w:val="clear" w:color="auto" w:fill="C6ECCC"/>
          </w:tcPr>
          <w:p>
            <w:pPr/>
          </w:p>
        </w:tc>
        <w:tc>
          <w:tcPr>
            <w:tcW w:w="319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C6ECCC"/>
          </w:tcPr>
          <w:p>
            <w:pPr/>
          </w:p>
        </w:tc>
        <w:tc>
          <w:tcPr>
            <w:tcW w:w="3190" w:type="dxa"/>
            <w:vMerge/>
            <w:tcBorders>
              <w:left w:val="single" w:sz="4" w:space="0" w:color="000000"/>
              <w:bottom w:val="single" w:sz="4" w:space="0" w:color="000000"/>
              <w:right w:val="single" w:sz="4" w:space="0" w:color="000000"/>
            </w:tcBorders>
            <w:shd w:val="clear" w:color="auto" w:fill="C6ECCC"/>
          </w:tcPr>
          <w:p>
            <w:pPr/>
          </w:p>
        </w:tc>
        <w:tc>
          <w:tcPr>
            <w:tcW w:w="3190" w:type="dxa"/>
            <w:tcBorders>
              <w:top w:val="nil" w:sz="6" w:space="0" w:color="auto"/>
              <w:left w:val="single" w:sz="4" w:space="0" w:color="000000"/>
              <w:bottom w:val="single" w:sz="4" w:space="0" w:color="000000"/>
              <w:right w:val="single" w:sz="4" w:space="0" w:color="000000"/>
            </w:tcBorders>
            <w:shd w:val="clear" w:color="auto" w:fill="C6ECCC"/>
          </w:tcPr>
          <w:p>
            <w:pP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C6ECCC"/>
          </w:tcPr>
          <w:p>
            <w:pPr/>
          </w:p>
        </w:tc>
        <w:tc>
          <w:tcPr>
            <w:tcW w:w="3190" w:type="dxa"/>
            <w:vMerge w:val="restart"/>
            <w:tcBorders>
              <w:top w:val="single" w:sz="4" w:space="0" w:color="000000"/>
              <w:left w:val="single" w:sz="4" w:space="0" w:color="000000"/>
              <w:right w:val="single" w:sz="4" w:space="0" w:color="000000"/>
            </w:tcBorders>
            <w:shd w:val="clear" w:color="auto" w:fill="C6ECCC"/>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 计征</w:t>
            </w:r>
          </w:p>
        </w:tc>
        <w:tc>
          <w:tcPr>
            <w:tcW w:w="3190"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94" w:hRule="exact"/>
        </w:trPr>
        <w:tc>
          <w:tcPr>
            <w:tcW w:w="3191"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vMerge/>
            <w:tcBorders>
              <w:left w:val="single" w:sz="4" w:space="0" w:color="000000"/>
              <w:right w:val="single" w:sz="4" w:space="0" w:color="000000"/>
            </w:tcBorders>
            <w:shd w:val="clear" w:color="auto" w:fill="C6ECCC"/>
          </w:tcPr>
          <w:p>
            <w:pPr/>
          </w:p>
        </w:tc>
        <w:tc>
          <w:tcPr>
            <w:tcW w:w="319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166" w:hRule="exact"/>
        </w:trPr>
        <w:tc>
          <w:tcPr>
            <w:tcW w:w="3191" w:type="dxa"/>
            <w:tcBorders>
              <w:top w:val="nil" w:sz="6" w:space="0" w:color="auto"/>
              <w:left w:val="single" w:sz="4" w:space="0" w:color="000000"/>
              <w:bottom w:val="single" w:sz="4" w:space="0" w:color="000000"/>
              <w:right w:val="single" w:sz="4" w:space="0" w:color="000000"/>
            </w:tcBorders>
            <w:shd w:val="clear" w:color="auto" w:fill="C6ECCC"/>
          </w:tcPr>
          <w:p>
            <w:pPr/>
          </w:p>
        </w:tc>
        <w:tc>
          <w:tcPr>
            <w:tcW w:w="3190" w:type="dxa"/>
            <w:vMerge/>
            <w:tcBorders>
              <w:left w:val="single" w:sz="4" w:space="0" w:color="000000"/>
              <w:bottom w:val="single" w:sz="4" w:space="0" w:color="000000"/>
              <w:right w:val="single" w:sz="4" w:space="0" w:color="000000"/>
            </w:tcBorders>
            <w:shd w:val="clear" w:color="auto" w:fill="C6ECCC"/>
          </w:tcPr>
          <w:p>
            <w:pPr/>
          </w:p>
        </w:tc>
        <w:tc>
          <w:tcPr>
            <w:tcW w:w="3190" w:type="dxa"/>
            <w:tcBorders>
              <w:top w:val="nil" w:sz="6" w:space="0" w:color="auto"/>
              <w:left w:val="single" w:sz="4" w:space="0" w:color="000000"/>
              <w:bottom w:val="single" w:sz="4" w:space="0" w:color="000000"/>
              <w:right w:val="single" w:sz="4" w:space="0" w:color="000000"/>
            </w:tcBorders>
            <w:shd w:val="clear" w:color="auto" w:fill="C6ECCC"/>
          </w:tcPr>
          <w:p>
            <w:pPr/>
          </w:p>
        </w:tc>
      </w:tr>
      <w:tr>
        <w:trPr>
          <w:trHeight w:val="396" w:hRule="exact"/>
        </w:trPr>
        <w:tc>
          <w:tcPr>
            <w:tcW w:w="31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按税法规定计算的营业收入</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87"/>
              <w:ind w:left="23" w:right="0"/>
              <w:jc w:val="left"/>
              <w:rPr>
                <w:rFonts w:ascii="Times New Roman" w:hAnsi="Times New Roman" w:cs="Times New Roman" w:eastAsia="Times New Roman" w:hint="default"/>
                <w:sz w:val="18"/>
                <w:szCs w:val="18"/>
              </w:rPr>
            </w:pPr>
            <w:r>
              <w:rPr>
                <w:rFonts w:ascii="Times New Roman"/>
                <w:sz w:val="18"/>
              </w:rPr>
              <w:t>0.09%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童乐乐玩具</w:t>
            </w:r>
          </w:p>
        </w:tc>
        <w:tc>
          <w:tcPr>
            <w:tcW w:w="47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群兴香港</w:t>
            </w:r>
          </w:p>
        </w:tc>
        <w:tc>
          <w:tcPr>
            <w:tcW w:w="47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16.50%</w:t>
            </w:r>
          </w:p>
        </w:tc>
      </w:tr>
    </w:tbl>
    <w:p>
      <w:pPr>
        <w:spacing w:line="240" w:lineRule="auto" w:before="3"/>
        <w:rPr>
          <w:rFonts w:ascii="宋体" w:hAnsi="宋体" w:cs="宋体" w:eastAsia="宋体" w:hint="default"/>
          <w:sz w:val="19"/>
          <w:szCs w:val="19"/>
        </w:rPr>
      </w:pPr>
    </w:p>
    <w:p>
      <w:pPr>
        <w:pStyle w:val="Heading3"/>
        <w:spacing w:line="335" w:lineRule="exact"/>
        <w:ind w:right="0"/>
        <w:jc w:val="both"/>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0"/>
        <w:rPr>
          <w:rFonts w:ascii="Microsoft JhengHei" w:hAnsi="Microsoft JhengHei" w:cs="Microsoft JhengHei" w:eastAsia="Microsoft JhengHei" w:hint="default"/>
          <w:b/>
          <w:bCs/>
          <w:sz w:val="18"/>
          <w:szCs w:val="18"/>
        </w:rPr>
      </w:pPr>
    </w:p>
    <w:p>
      <w:pPr>
        <w:pStyle w:val="BodyText"/>
        <w:spacing w:line="256" w:lineRule="auto"/>
        <w:ind w:right="148"/>
        <w:jc w:val="both"/>
      </w:pPr>
      <w:r>
        <w:rPr>
          <w:spacing w:val="-2"/>
        </w:rPr>
        <w:t>本公司</w:t>
      </w:r>
      <w:r>
        <w:rPr>
          <w:rFonts w:ascii="Times New Roman" w:hAnsi="Times New Roman" w:cs="Times New Roman" w:eastAsia="Times New Roman" w:hint="default"/>
          <w:spacing w:val="-2"/>
        </w:rPr>
        <w:t>2015</w:t>
      </w:r>
      <w:r>
        <w:rPr>
          <w:spacing w:val="-2"/>
        </w:rPr>
        <w:t>年度、</w:t>
      </w:r>
      <w:r>
        <w:rPr>
          <w:rFonts w:ascii="Times New Roman" w:hAnsi="Times New Roman" w:cs="Times New Roman" w:eastAsia="Times New Roman" w:hint="default"/>
          <w:spacing w:val="-2"/>
        </w:rPr>
        <w:t>2016</w:t>
      </w:r>
      <w:r>
        <w:rPr>
          <w:spacing w:val="-2"/>
        </w:rPr>
        <w:t>年度及</w:t>
      </w:r>
      <w:r>
        <w:rPr>
          <w:rFonts w:ascii="Times New Roman" w:hAnsi="Times New Roman" w:cs="Times New Roman" w:eastAsia="Times New Roman" w:hint="default"/>
          <w:spacing w:val="-2"/>
        </w:rPr>
        <w:t>2017</w:t>
      </w:r>
      <w:r>
        <w:rPr>
          <w:spacing w:val="-2"/>
        </w:rPr>
        <w:t>年度享受</w:t>
      </w:r>
      <w:r>
        <w:rPr>
          <w:rFonts w:ascii="Times New Roman" w:hAnsi="Times New Roman" w:cs="Times New Roman" w:eastAsia="Times New Roman" w:hint="default"/>
          <w:spacing w:val="-2"/>
        </w:rPr>
        <w:t>15%</w:t>
      </w:r>
      <w:r>
        <w:rPr>
          <w:spacing w:val="-2"/>
        </w:rPr>
        <w:t>的企业所得税优惠税率。</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日起实施的《中华人</w:t>
      </w:r>
      <w:r>
        <w:rPr>
          <w:spacing w:val="-9"/>
        </w:rPr>
        <w:t> </w:t>
      </w:r>
      <w:r>
        <w:rPr>
          <w:spacing w:val="-9"/>
        </w:rPr>
      </w:r>
      <w:r>
        <w:rPr>
          <w:spacing w:val="-4"/>
        </w:rPr>
        <w:t>民共和国企业所得税法》第二十八条规定：</w:t>
      </w:r>
      <w:r>
        <w:rPr>
          <w:rFonts w:ascii="Times New Roman" w:hAnsi="Times New Roman" w:cs="Times New Roman" w:eastAsia="Times New Roman" w:hint="default"/>
          <w:spacing w:val="-4"/>
        </w:rPr>
        <w:t>“</w:t>
      </w:r>
      <w:r>
        <w:rPr>
          <w:spacing w:val="-4"/>
        </w:rPr>
        <w:t>国家需要重点扶持的高新技术企业，减按</w:t>
      </w:r>
      <w:r>
        <w:rPr>
          <w:rFonts w:ascii="Times New Roman" w:hAnsi="Times New Roman" w:cs="Times New Roman" w:eastAsia="Times New Roman" w:hint="default"/>
          <w:spacing w:val="-4"/>
        </w:rPr>
        <w:t>15%</w:t>
      </w:r>
      <w:r>
        <w:rPr>
          <w:spacing w:val="-4"/>
        </w:rPr>
        <w:t>的税率征收企业 </w:t>
      </w:r>
      <w:r>
        <w:rPr>
          <w:spacing w:val="-2"/>
        </w:rPr>
        <w:t>所得税</w:t>
      </w:r>
      <w:r>
        <w:rPr>
          <w:rFonts w:ascii="Times New Roman" w:hAnsi="Times New Roman" w:cs="Times New Roman" w:eastAsia="Times New Roman" w:hint="default"/>
          <w:spacing w:val="-2"/>
        </w:rPr>
        <w:t>”</w:t>
      </w:r>
      <w:r>
        <w:rPr>
          <w:spacing w:val="-2"/>
        </w:rPr>
        <w:t>。本公司根据</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spacing w:val="-2"/>
        </w:rPr>
        <w:t>日广东省高新技术企业认定管理工作组办公室发布的《关于公示广东省</w:t>
      </w:r>
    </w:p>
    <w:p>
      <w:pPr>
        <w:spacing w:after="0" w:line="256"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BodyText"/>
        <w:spacing w:line="256" w:lineRule="auto" w:before="36"/>
        <w:ind w:right="148"/>
        <w:jc w:val="both"/>
      </w:pPr>
      <w:r>
        <w:rPr>
          <w:rFonts w:ascii="Times New Roman" w:hAnsi="Times New Roman" w:cs="Times New Roman" w:eastAsia="Times New Roman" w:hint="default"/>
          <w:spacing w:val="-2"/>
        </w:rPr>
        <w:t>2015</w:t>
      </w:r>
      <w:r>
        <w:rPr>
          <w:spacing w:val="-2"/>
        </w:rPr>
        <w:t>年第一批拟认定高新技术企业名单的通知》（粤科公示</w:t>
      </w:r>
      <w:r>
        <w:rPr>
          <w:rFonts w:ascii="Times New Roman" w:hAnsi="Times New Roman" w:cs="Times New Roman" w:eastAsia="Times New Roman" w:hint="default"/>
          <w:spacing w:val="-2"/>
        </w:rPr>
        <w:t>[2015]24</w:t>
      </w:r>
      <w:r>
        <w:rPr>
          <w:spacing w:val="-2"/>
        </w:rPr>
        <w:t>号）及国家税务总局《关于实施高新</w:t>
      </w:r>
      <w:r>
        <w:rPr>
          <w:spacing w:val="-8"/>
        </w:rPr>
        <w:t> </w:t>
      </w:r>
      <w:r>
        <w:rPr>
          <w:spacing w:val="-8"/>
        </w:rPr>
      </w:r>
      <w:r>
        <w:rPr>
          <w:spacing w:val="-2"/>
        </w:rPr>
        <w:t>技术企业所得税优惠有关问题的通知》（国税函</w:t>
      </w:r>
      <w:r>
        <w:rPr>
          <w:rFonts w:ascii="Times New Roman" w:hAnsi="Times New Roman" w:cs="Times New Roman" w:eastAsia="Times New Roman" w:hint="default"/>
          <w:spacing w:val="-2"/>
        </w:rPr>
        <w:t>[2009]203</w:t>
      </w:r>
      <w:r>
        <w:rPr>
          <w:spacing w:val="-2"/>
        </w:rPr>
        <w:t>号）</w:t>
      </w:r>
      <w:r>
        <w:rPr>
          <w:rFonts w:ascii="Times New Roman" w:hAnsi="Times New Roman" w:cs="Times New Roman" w:eastAsia="Times New Roman" w:hint="default"/>
          <w:spacing w:val="-2"/>
        </w:rPr>
        <w:t>“</w:t>
      </w:r>
      <w:r>
        <w:rPr>
          <w:spacing w:val="-2"/>
        </w:rPr>
        <w:t>认定（复审）合格的高新技术企业，自认</w:t>
      </w:r>
      <w:r>
        <w:rPr>
          <w:spacing w:val="-10"/>
        </w:rPr>
        <w:t> </w:t>
      </w:r>
      <w:r>
        <w:rPr>
          <w:spacing w:val="-10"/>
        </w:rPr>
      </w:r>
      <w:r>
        <w:rPr>
          <w:spacing w:val="-3"/>
        </w:rPr>
        <w:t>定（复审）批准有效期当年开始，可申请享受企业所得税优惠</w:t>
      </w:r>
      <w:r>
        <w:rPr>
          <w:rFonts w:ascii="Times New Roman" w:hAnsi="Times New Roman" w:cs="Times New Roman" w:eastAsia="Times New Roman" w:hint="default"/>
          <w:spacing w:val="-3"/>
        </w:rPr>
        <w:t>”</w:t>
      </w:r>
      <w:r>
        <w:rPr>
          <w:spacing w:val="-3"/>
        </w:rPr>
        <w:t>的规定，自</w:t>
      </w:r>
      <w:r>
        <w:rPr>
          <w:rFonts w:ascii="Times New Roman" w:hAnsi="Times New Roman" w:cs="Times New Roman" w:eastAsia="Times New Roman" w:hint="default"/>
          <w:spacing w:val="-3"/>
        </w:rPr>
        <w:t>2015</w:t>
      </w:r>
      <w:r>
        <w:rPr>
          <w:spacing w:val="-3"/>
        </w:rPr>
        <w:t>年度起三年享受</w:t>
      </w:r>
      <w:r>
        <w:rPr>
          <w:rFonts w:ascii="Times New Roman" w:hAnsi="Times New Roman" w:cs="Times New Roman" w:eastAsia="Times New Roman" w:hint="default"/>
          <w:spacing w:val="-3"/>
        </w:rPr>
        <w:t>15%</w:t>
      </w:r>
      <w:r>
        <w:rPr>
          <w:spacing w:val="-3"/>
        </w:rPr>
        <w:t>的企业</w:t>
      </w:r>
      <w:r>
        <w:rPr>
          <w:spacing w:val="-49"/>
        </w:rPr>
        <w:t> </w:t>
      </w:r>
      <w:r>
        <w:rPr>
          <w:spacing w:val="-49"/>
        </w:rPr>
      </w:r>
      <w:r>
        <w:rPr/>
        <w:t>所得税优惠税率。截至本报告出具日，《高新技术企业证书》尚在办理当中。</w:t>
      </w:r>
    </w:p>
    <w:p>
      <w:pPr>
        <w:spacing w:line="240" w:lineRule="auto" w:before="11"/>
        <w:rPr>
          <w:rFonts w:ascii="宋体" w:hAnsi="宋体" w:cs="宋体" w:eastAsia="宋体" w:hint="default"/>
          <w:sz w:val="16"/>
          <w:szCs w:val="16"/>
        </w:rPr>
      </w:pPr>
    </w:p>
    <w:p>
      <w:pPr>
        <w:pStyle w:val="Heading2"/>
        <w:spacing w:line="240" w:lineRule="auto"/>
        <w:ind w:right="0"/>
        <w:jc w:val="both"/>
        <w:rPr>
          <w:b w:val="0"/>
          <w:bCs w:val="0"/>
        </w:rPr>
      </w:pPr>
      <w:r>
        <w:rPr/>
        <w:t>七、合并财务报表项目注释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44,046.38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115,690.17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134,280,579.86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88,714,393.78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1,112,239.45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134,324,626.24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89,942,323.40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3,606,527.65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3,706,914.68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4"/>
        <w:ind w:left="573" w:right="0"/>
        <w:jc w:val="left"/>
      </w:pPr>
      <w:r>
        <w:rPr/>
        <w:t>其中受限制的货币资金明细如下：</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804"/>
        <w:gridCol w:w="2976"/>
        <w:gridCol w:w="2748"/>
      </w:tblGrid>
      <w:tr>
        <w:trPr>
          <w:trHeight w:val="356" w:hRule="exact"/>
        </w:trPr>
        <w:tc>
          <w:tcPr>
            <w:tcW w:w="28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214"/>
              <w:jc w:val="right"/>
              <w:rPr>
                <w:rFonts w:ascii="宋体" w:hAnsi="宋体" w:cs="宋体" w:eastAsia="宋体" w:hint="default"/>
                <w:sz w:val="18"/>
                <w:szCs w:val="18"/>
              </w:rPr>
            </w:pPr>
            <w:r>
              <w:rPr>
                <w:rFonts w:ascii="宋体" w:hAnsi="宋体" w:cs="宋体" w:eastAsia="宋体" w:hint="default"/>
                <w:sz w:val="18"/>
                <w:szCs w:val="18"/>
              </w:rPr>
              <w:t>项目</w:t>
            </w:r>
          </w:p>
        </w:tc>
        <w:tc>
          <w:tcPr>
            <w:tcW w:w="29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4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28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9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27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1,112,239.45</w:t>
            </w:r>
          </w:p>
        </w:tc>
      </w:tr>
      <w:tr>
        <w:trPr>
          <w:trHeight w:val="355" w:hRule="exact"/>
        </w:trPr>
        <w:tc>
          <w:tcPr>
            <w:tcW w:w="2804" w:type="dxa"/>
            <w:tcBorders>
              <w:top w:val="single" w:sz="12" w:space="0" w:color="000000"/>
              <w:left w:val="single" w:sz="6" w:space="0" w:color="000000"/>
              <w:bottom w:val="single" w:sz="12" w:space="0" w:color="000000"/>
              <w:right w:val="single" w:sz="6" w:space="0" w:color="000000"/>
            </w:tcBorders>
          </w:tcPr>
          <w:p>
            <w:pPr>
              <w:pStyle w:val="TableParagraph"/>
              <w:spacing w:line="267" w:lineRule="exact"/>
              <w:ind w:right="120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9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27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4"/>
              <w:jc w:val="right"/>
              <w:rPr>
                <w:rFonts w:ascii="Times New Roman" w:hAnsi="Times New Roman" w:cs="Times New Roman" w:eastAsia="Times New Roman" w:hint="default"/>
                <w:sz w:val="18"/>
                <w:szCs w:val="18"/>
              </w:rPr>
            </w:pPr>
            <w:r>
              <w:rPr>
                <w:rFonts w:ascii="Times New Roman"/>
                <w:b/>
                <w:spacing w:val="-1"/>
                <w:sz w:val="18"/>
              </w:rPr>
              <w:t>1,112,239.45</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335" w:lineRule="exact"/>
        <w:ind w:right="0"/>
        <w:jc w:val="left"/>
        <w:rPr>
          <w:b w:val="0"/>
          <w:bCs w:val="0"/>
        </w:rPr>
      </w:pPr>
      <w:r>
        <w:rPr>
          <w:rFonts w:ascii="Times New Roman" w:hAnsi="Times New Roman" w:cs="Times New Roman" w:eastAsia="Times New Roman" w:hint="default"/>
        </w:rPr>
        <w:t>2</w:t>
      </w:r>
      <w:r>
        <w:rPr/>
        <w:t>、衍生金融资产</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106,239,</w:t>
            </w:r>
          </w:p>
          <w:p>
            <w:pPr>
              <w:pStyle w:val="TableParagraph"/>
              <w:spacing w:line="240" w:lineRule="auto" w:before="103"/>
              <w:ind w:left="216" w:right="0"/>
              <w:jc w:val="center"/>
              <w:rPr>
                <w:rFonts w:ascii="Times New Roman" w:hAnsi="Times New Roman" w:cs="Times New Roman" w:eastAsia="Times New Roman" w:hint="default"/>
                <w:sz w:val="18"/>
                <w:szCs w:val="18"/>
              </w:rPr>
            </w:pPr>
            <w:r>
              <w:rPr>
                <w:rFonts w:ascii="Times New Roman"/>
                <w:sz w:val="18"/>
              </w:rPr>
              <w:t>622.27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2,124,79</w:t>
            </w:r>
          </w:p>
          <w:p>
            <w:pPr>
              <w:pStyle w:val="TableParagraph"/>
              <w:spacing w:line="240" w:lineRule="auto" w:before="103"/>
              <w:ind w:left="415" w:right="0"/>
              <w:jc w:val="left"/>
              <w:rPr>
                <w:rFonts w:ascii="Times New Roman" w:hAnsi="Times New Roman" w:cs="Times New Roman" w:eastAsia="Times New Roman" w:hint="default"/>
                <w:sz w:val="18"/>
                <w:szCs w:val="18"/>
              </w:rPr>
            </w:pPr>
            <w:r>
              <w:rPr>
                <w:rFonts w:ascii="Times New Roman"/>
                <w:sz w:val="18"/>
              </w:rPr>
              <w:t>2.45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104,114,8</w:t>
            </w:r>
          </w:p>
          <w:p>
            <w:pPr>
              <w:pStyle w:val="TableParagraph"/>
              <w:spacing w:line="240" w:lineRule="auto" w:before="103"/>
              <w:ind w:left="350" w:right="0"/>
              <w:jc w:val="left"/>
              <w:rPr>
                <w:rFonts w:ascii="Times New Roman" w:hAnsi="Times New Roman" w:cs="Times New Roman" w:eastAsia="Times New Roman" w:hint="default"/>
                <w:sz w:val="18"/>
                <w:szCs w:val="18"/>
              </w:rPr>
            </w:pPr>
            <w:r>
              <w:rPr>
                <w:rFonts w:ascii="Times New Roman"/>
                <w:sz w:val="18"/>
              </w:rPr>
              <w:t>29.82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133,210</w:t>
            </w:r>
          </w:p>
          <w:p>
            <w:pPr>
              <w:pStyle w:val="TableParagraph"/>
              <w:spacing w:line="240" w:lineRule="auto" w:before="103"/>
              <w:ind w:left="83" w:right="0"/>
              <w:jc w:val="left"/>
              <w:rPr>
                <w:rFonts w:ascii="Times New Roman" w:hAnsi="Times New Roman" w:cs="Times New Roman" w:eastAsia="Times New Roman" w:hint="default"/>
                <w:sz w:val="18"/>
                <w:szCs w:val="18"/>
              </w:rPr>
            </w:pPr>
            <w:r>
              <w:rPr>
                <w:rFonts w:ascii="Times New Roman"/>
                <w:sz w:val="18"/>
              </w:rPr>
              <w:t>,566.27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2,664,211</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.33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130,546,35</w:t>
            </w:r>
          </w:p>
          <w:p>
            <w:pPr>
              <w:pStyle w:val="TableParagraph"/>
              <w:spacing w:line="240" w:lineRule="auto" w:before="103"/>
              <w:ind w:left="585" w:right="0"/>
              <w:jc w:val="left"/>
              <w:rPr>
                <w:rFonts w:ascii="Times New Roman" w:hAnsi="Times New Roman" w:cs="Times New Roman" w:eastAsia="Times New Roman" w:hint="default"/>
                <w:sz w:val="18"/>
                <w:szCs w:val="18"/>
              </w:rPr>
            </w:pPr>
            <w:r>
              <w:rPr>
                <w:rFonts w:ascii="Times New Roman"/>
                <w:sz w:val="18"/>
              </w:rPr>
              <w:t>4.94</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0" w:right="0"/>
              <w:jc w:val="center"/>
              <w:rPr>
                <w:rFonts w:ascii="Times New Roman" w:hAnsi="Times New Roman" w:cs="Times New Roman" w:eastAsia="Times New Roman" w:hint="default"/>
                <w:sz w:val="18"/>
                <w:szCs w:val="18"/>
              </w:rPr>
            </w:pPr>
            <w:r>
              <w:rPr>
                <w:rFonts w:ascii="Times New Roman"/>
                <w:sz w:val="18"/>
              </w:rPr>
              <w:t>106,239,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4" w:right="0"/>
              <w:jc w:val="center"/>
              <w:rPr>
                <w:rFonts w:ascii="Times New Roman" w:hAnsi="Times New Roman" w:cs="Times New Roman" w:eastAsia="Times New Roman" w:hint="default"/>
                <w:sz w:val="18"/>
                <w:szCs w:val="18"/>
              </w:rPr>
            </w:pPr>
            <w:r>
              <w:rPr>
                <w:rFonts w:ascii="Times New Roman"/>
                <w:sz w:val="18"/>
              </w:rPr>
              <w:t>2,124,79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3" w:right="0"/>
              <w:jc w:val="left"/>
              <w:rPr>
                <w:rFonts w:ascii="Times New Roman" w:hAnsi="Times New Roman" w:cs="Times New Roman" w:eastAsia="Times New Roman" w:hint="default"/>
                <w:sz w:val="18"/>
                <w:szCs w:val="18"/>
              </w:rPr>
            </w:pPr>
            <w:r>
              <w:rPr>
                <w:rFonts w:ascii="Times New Roman"/>
                <w:sz w:val="18"/>
              </w:rPr>
              <w:t>104,114,8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7" w:right="0"/>
              <w:jc w:val="center"/>
              <w:rPr>
                <w:rFonts w:ascii="Times New Roman" w:hAnsi="Times New Roman" w:cs="Times New Roman" w:eastAsia="Times New Roman" w:hint="default"/>
                <w:sz w:val="18"/>
                <w:szCs w:val="18"/>
              </w:rPr>
            </w:pPr>
            <w:r>
              <w:rPr>
                <w:rFonts w:ascii="Times New Roman"/>
                <w:sz w:val="18"/>
              </w:rPr>
              <w:t>133,210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7" w:right="0"/>
              <w:jc w:val="center"/>
              <w:rPr>
                <w:rFonts w:ascii="Times New Roman" w:hAnsi="Times New Roman" w:cs="Times New Roman" w:eastAsia="Times New Roman" w:hint="default"/>
                <w:sz w:val="18"/>
                <w:szCs w:val="18"/>
              </w:rPr>
            </w:pPr>
            <w:r>
              <w:rPr>
                <w:rFonts w:ascii="Times New Roman"/>
                <w:sz w:val="18"/>
              </w:rPr>
              <w:t>2,664,211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8" w:right="0"/>
              <w:jc w:val="left"/>
              <w:rPr>
                <w:rFonts w:ascii="Times New Roman" w:hAnsi="Times New Roman" w:cs="Times New Roman" w:eastAsia="Times New Roman" w:hint="default"/>
                <w:sz w:val="18"/>
                <w:szCs w:val="18"/>
              </w:rPr>
            </w:pPr>
            <w:r>
              <w:rPr>
                <w:rFonts w:ascii="Times New Roman"/>
                <w:sz w:val="18"/>
              </w:rPr>
              <w:t>130,546,35</w:t>
            </w:r>
          </w:p>
        </w:tc>
      </w:tr>
    </w:tbl>
    <w:p>
      <w:pPr>
        <w:spacing w:after="0" w:line="240" w:lineRule="auto"/>
        <w:jc w:val="left"/>
        <w:rPr>
          <w:rFonts w:ascii="Times New Roman" w:hAnsi="Times New Roman" w:cs="Times New Roman" w:eastAsia="Times New Roman" w:hint="default"/>
          <w:sz w:val="18"/>
          <w:szCs w:val="18"/>
        </w:rPr>
        <w:sectPr>
          <w:footerReference w:type="default" r:id="rId18"/>
          <w:pgSz w:w="11910" w:h="16840"/>
          <w:pgMar w:footer="979" w:header="745"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4"/>
      </w:tblGrid>
      <w:tr>
        <w:trPr>
          <w:trHeight w:val="36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7" w:right="0"/>
              <w:jc w:val="left"/>
              <w:rPr>
                <w:rFonts w:ascii="Times New Roman" w:hAnsi="Times New Roman" w:cs="Times New Roman" w:eastAsia="Times New Roman" w:hint="default"/>
                <w:sz w:val="18"/>
                <w:szCs w:val="18"/>
              </w:rPr>
            </w:pPr>
            <w:r>
              <w:rPr>
                <w:rFonts w:ascii="Times New Roman"/>
                <w:sz w:val="18"/>
              </w:rPr>
              <w:t>622.27</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5" w:right="0"/>
              <w:jc w:val="left"/>
              <w:rPr>
                <w:rFonts w:ascii="Times New Roman" w:hAnsi="Times New Roman" w:cs="Times New Roman" w:eastAsia="Times New Roman" w:hint="default"/>
                <w:sz w:val="18"/>
                <w:szCs w:val="18"/>
              </w:rPr>
            </w:pPr>
            <w:r>
              <w:rPr>
                <w:rFonts w:ascii="Times New Roman"/>
                <w:sz w:val="18"/>
              </w:rPr>
              <w:t>2.45</w:t>
            </w: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0" w:right="0"/>
              <w:jc w:val="left"/>
              <w:rPr>
                <w:rFonts w:ascii="Times New Roman" w:hAnsi="Times New Roman" w:cs="Times New Roman" w:eastAsia="Times New Roman" w:hint="default"/>
                <w:sz w:val="18"/>
                <w:szCs w:val="18"/>
              </w:rPr>
            </w:pPr>
            <w:r>
              <w:rPr>
                <w:rFonts w:ascii="Times New Roman"/>
                <w:sz w:val="18"/>
              </w:rPr>
              <w:t>29.82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3" w:right="0"/>
              <w:jc w:val="left"/>
              <w:rPr>
                <w:rFonts w:ascii="Times New Roman" w:hAnsi="Times New Roman" w:cs="Times New Roman" w:eastAsia="Times New Roman" w:hint="default"/>
                <w:sz w:val="18"/>
                <w:szCs w:val="18"/>
              </w:rPr>
            </w:pPr>
            <w:r>
              <w:rPr>
                <w:rFonts w:ascii="Times New Roman"/>
                <w:sz w:val="18"/>
              </w:rPr>
              <w:t>,566.27</w:t>
            </w: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.33</w:t>
            </w:r>
          </w:p>
        </w:tc>
        <w:tc>
          <w:tcPr>
            <w:tcW w:w="93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5" w:right="0"/>
              <w:jc w:val="left"/>
              <w:rPr>
                <w:rFonts w:ascii="Times New Roman" w:hAnsi="Times New Roman" w:cs="Times New Roman" w:eastAsia="Times New Roman" w:hint="default"/>
                <w:sz w:val="18"/>
                <w:szCs w:val="18"/>
              </w:rPr>
            </w:pPr>
            <w:r>
              <w:rPr>
                <w:rFonts w:ascii="Times New Roman"/>
                <w:sz w:val="18"/>
              </w:rPr>
              <w:t>4.94</w:t>
            </w:r>
          </w:p>
        </w:tc>
      </w:tr>
    </w:tbl>
    <w:p>
      <w:pPr>
        <w:spacing w:after="0" w:line="240" w:lineRule="auto"/>
        <w:jc w:val="left"/>
        <w:rPr>
          <w:rFonts w:ascii="Times New Roman" w:hAnsi="Times New Roman" w:cs="Times New Roman" w:eastAsia="Times New Roman" w:hint="default"/>
          <w:sz w:val="18"/>
          <w:szCs w:val="18"/>
        </w:rPr>
        <w:sectPr>
          <w:footerReference w:type="default" r:id="rId19"/>
          <w:pgSz w:w="11910" w:h="16840"/>
          <w:pgMar w:footer="979" w:header="745" w:top="1060" w:bottom="1160" w:left="980" w:right="980"/>
          <w:pgNumType w:start="101"/>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5"/>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1"/>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106,239,622.27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2,124,792.45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106,239,622.27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2,124,792.45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106,239,622.27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2,124,792.45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2.00%</w:t>
            </w:r>
          </w:p>
        </w:tc>
      </w:tr>
    </w:tbl>
    <w:p>
      <w:pPr>
        <w:spacing w:line="357" w:lineRule="auto" w:before="49"/>
        <w:ind w:left="152" w:right="779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无。</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8" w:lineRule="auto" w:before="117"/>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 无。</w:t>
      </w:r>
    </w:p>
    <w:p>
      <w:pPr>
        <w:spacing w:line="240" w:lineRule="auto" w:before="12"/>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type w:val="continuous"/>
          <w:pgSz w:w="11910" w:h="16840"/>
          <w:pgMar w:top="1060" w:bottom="1160" w:left="980" w:right="980"/>
        </w:sectPr>
      </w:pPr>
    </w:p>
    <w:p>
      <w:pPr>
        <w:spacing w:line="338" w:lineRule="auto" w:before="44"/>
        <w:ind w:left="152" w:right="-9"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539,418.88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323" w:space="250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pStyle w:val="BodyText"/>
        <w:spacing w:line="240" w:lineRule="auto" w:before="94"/>
        <w:ind w:right="0"/>
        <w:jc w:val="left"/>
      </w:pPr>
      <w:r>
        <w:rPr/>
        <w:t>本报告期无核销的应收账款。</w:t>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50" w:type="dxa"/>
        <w:tblLayout w:type="fixed"/>
        <w:tblCellMar>
          <w:top w:w="0" w:type="dxa"/>
          <w:left w:w="0" w:type="dxa"/>
          <w:bottom w:w="0" w:type="dxa"/>
          <w:right w:w="0" w:type="dxa"/>
        </w:tblCellMar>
        <w:tblLook w:val="01E0"/>
      </w:tblPr>
      <w:tblGrid>
        <w:gridCol w:w="3138"/>
        <w:gridCol w:w="1656"/>
        <w:gridCol w:w="1517"/>
        <w:gridCol w:w="1933"/>
      </w:tblGrid>
      <w:tr>
        <w:trPr>
          <w:trHeight w:val="658" w:hRule="exact"/>
        </w:trPr>
        <w:tc>
          <w:tcPr>
            <w:tcW w:w="3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6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57" w:right="29"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 额的比例</w:t>
            </w:r>
            <w:r>
              <w:rPr>
                <w:rFonts w:ascii="Times New Roman" w:hAnsi="Times New Roman" w:cs="Times New Roman" w:eastAsia="Times New Roman" w:hint="default"/>
                <w:sz w:val="18"/>
                <w:szCs w:val="18"/>
              </w:rPr>
              <w:t>(%)</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8"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48" w:hRule="exact"/>
        </w:trPr>
        <w:tc>
          <w:tcPr>
            <w:tcW w:w="3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汕头市澄海区艳阳春贸易有限公司</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26,211,591.67</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24.67</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524,231.83</w:t>
            </w:r>
          </w:p>
        </w:tc>
      </w:tr>
      <w:tr>
        <w:trPr>
          <w:trHeight w:val="346" w:hRule="exact"/>
        </w:trPr>
        <w:tc>
          <w:tcPr>
            <w:tcW w:w="3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TIM</w:t>
            </w:r>
            <w:r>
              <w:rPr>
                <w:rFonts w:ascii="Times New Roman"/>
                <w:spacing w:val="-3"/>
                <w:sz w:val="18"/>
              </w:rPr>
              <w:t> </w:t>
            </w:r>
            <w:r>
              <w:rPr>
                <w:rFonts w:ascii="Times New Roman"/>
                <w:sz w:val="18"/>
              </w:rPr>
              <w:t>FONGHONG</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16,530,957.13</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15.56</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330,619.14</w:t>
            </w:r>
          </w:p>
        </w:tc>
      </w:tr>
      <w:tr>
        <w:trPr>
          <w:trHeight w:val="348" w:hRule="exact"/>
        </w:trPr>
        <w:tc>
          <w:tcPr>
            <w:tcW w:w="3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汕头市宇泰进出口贸易有限公司</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9,483,637.19</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8.93</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189,672.74</w:t>
            </w:r>
          </w:p>
        </w:tc>
      </w:tr>
      <w:tr>
        <w:trPr>
          <w:trHeight w:val="346" w:hRule="exact"/>
        </w:trPr>
        <w:tc>
          <w:tcPr>
            <w:tcW w:w="3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汕头市金明工艺玩具进出口有限公司</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8,721,065.83</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8.21</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174,421.32</w:t>
            </w:r>
          </w:p>
        </w:tc>
      </w:tr>
      <w:tr>
        <w:trPr>
          <w:trHeight w:val="348" w:hRule="exact"/>
        </w:trPr>
        <w:tc>
          <w:tcPr>
            <w:tcW w:w="3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汕头市德丰贸易有限公司</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7,903,194.04</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7.44</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158,063.88</w:t>
            </w:r>
          </w:p>
        </w:tc>
      </w:tr>
      <w:tr>
        <w:trPr>
          <w:trHeight w:val="349" w:hRule="exact"/>
        </w:trPr>
        <w:tc>
          <w:tcPr>
            <w:tcW w:w="313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68,850,445.86</w:t>
            </w:r>
            <w:r>
              <w:rPr>
                <w:rFonts w:ascii="Times New Roman"/>
                <w:spacing w:val="-1"/>
                <w:sz w:val="18"/>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b/>
                <w:sz w:val="18"/>
              </w:rPr>
              <w:t>64.81</w:t>
            </w:r>
            <w:r>
              <w:rPr>
                <w:rFonts w:ascii="Times New Roman"/>
                <w:sz w:val="18"/>
              </w:rPr>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1,377,008.91</w:t>
            </w:r>
            <w:r>
              <w:rPr>
                <w:rFonts w:ascii="Times New Roman"/>
                <w:spacing w:val="-1"/>
                <w:sz w:val="18"/>
              </w:rPr>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2"/>
          <w:szCs w:val="12"/>
        </w:rPr>
      </w:pPr>
    </w:p>
    <w:p>
      <w:pPr>
        <w:pStyle w:val="Heading3"/>
        <w:spacing w:line="335" w:lineRule="exact"/>
        <w:ind w:right="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6"/>
        <w:gridCol w:w="1915"/>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1,611,803.29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6"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16,086,673.26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99.88%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1,611,803.29</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16,106,673.26</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40" w:lineRule="auto" w:before="49"/>
        <w:ind w:left="152" w:right="4916"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 无。</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50" w:type="dxa"/>
        <w:tblLayout w:type="fixed"/>
        <w:tblCellMar>
          <w:top w:w="0" w:type="dxa"/>
          <w:left w:w="0" w:type="dxa"/>
          <w:bottom w:w="0" w:type="dxa"/>
          <w:right w:w="0" w:type="dxa"/>
        </w:tblCellMar>
        <w:tblLook w:val="01E0"/>
      </w:tblPr>
      <w:tblGrid>
        <w:gridCol w:w="2859"/>
        <w:gridCol w:w="1243"/>
        <w:gridCol w:w="968"/>
        <w:gridCol w:w="1243"/>
        <w:gridCol w:w="1985"/>
      </w:tblGrid>
      <w:tr>
        <w:trPr>
          <w:trHeight w:val="973"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56"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340" w:lineRule="auto" w:before="20"/>
              <w:ind w:left="28"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占预付账款 总额的比例 </w:t>
            </w:r>
            <w:r>
              <w:rPr>
                <w:rFonts w:ascii="Times New Roman" w:hAnsi="Times New Roman" w:cs="Times New Roman" w:eastAsia="Times New Roman" w:hint="default"/>
                <w:sz w:val="18"/>
                <w:szCs w:val="18"/>
              </w:rPr>
              <w:t>(%)</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预付款时间</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35"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4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广东宁兴特钢贸易有限公司</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373,259.50</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76" w:right="0"/>
              <w:jc w:val="left"/>
              <w:rPr>
                <w:rFonts w:ascii="Times New Roman" w:hAnsi="Times New Roman" w:cs="Times New Roman" w:eastAsia="Times New Roman" w:hint="default"/>
                <w:sz w:val="18"/>
                <w:szCs w:val="18"/>
              </w:rPr>
            </w:pPr>
            <w:r>
              <w:rPr>
                <w:rFonts w:ascii="Times New Roman"/>
                <w:sz w:val="18"/>
              </w:rPr>
              <w:t>23.16</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未收货结算</w:t>
            </w:r>
          </w:p>
        </w:tc>
      </w:tr>
      <w:tr>
        <w:trPr>
          <w:trHeight w:val="34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浙江台州求新锻造有限公司</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316,000.00</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76" w:right="0"/>
              <w:jc w:val="left"/>
              <w:rPr>
                <w:rFonts w:ascii="Times New Roman" w:hAnsi="Times New Roman" w:cs="Times New Roman" w:eastAsia="Times New Roman" w:hint="default"/>
                <w:sz w:val="18"/>
                <w:szCs w:val="18"/>
              </w:rPr>
            </w:pPr>
            <w:r>
              <w:rPr>
                <w:rFonts w:ascii="Times New Roman"/>
                <w:sz w:val="18"/>
              </w:rPr>
              <w:t>19.61</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未收货结算</w:t>
            </w:r>
          </w:p>
        </w:tc>
      </w:tr>
      <w:tr>
        <w:trPr>
          <w:trHeight w:val="65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38"/>
              <w:jc w:val="left"/>
              <w:rPr>
                <w:rFonts w:ascii="宋体" w:hAnsi="宋体" w:cs="宋体" w:eastAsia="宋体" w:hint="default"/>
                <w:sz w:val="18"/>
                <w:szCs w:val="18"/>
              </w:rPr>
            </w:pPr>
            <w:r>
              <w:rPr>
                <w:rFonts w:ascii="宋体" w:hAnsi="宋体" w:cs="宋体" w:eastAsia="宋体" w:hint="default"/>
                <w:sz w:val="18"/>
                <w:szCs w:val="18"/>
              </w:rPr>
              <w:t>中国石油天然气股份有限公司华南 化工销售汕头分公司</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281,110.00</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76" w:right="0"/>
              <w:jc w:val="left"/>
              <w:rPr>
                <w:rFonts w:ascii="Times New Roman" w:hAnsi="Times New Roman" w:cs="Times New Roman" w:eastAsia="Times New Roman" w:hint="default"/>
                <w:sz w:val="18"/>
                <w:szCs w:val="18"/>
              </w:rPr>
            </w:pPr>
            <w:r>
              <w:rPr>
                <w:rFonts w:ascii="Times New Roman"/>
                <w:sz w:val="18"/>
              </w:rPr>
              <w:t>17.44</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未收货结算</w:t>
            </w:r>
          </w:p>
        </w:tc>
      </w:tr>
      <w:tr>
        <w:trPr>
          <w:trHeight w:val="34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汕头冠华薄膜工业有限公司</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143,248.00</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21" w:right="0"/>
              <w:jc w:val="left"/>
              <w:rPr>
                <w:rFonts w:ascii="Times New Roman" w:hAnsi="Times New Roman" w:cs="Times New Roman" w:eastAsia="Times New Roman" w:hint="default"/>
                <w:sz w:val="18"/>
                <w:szCs w:val="18"/>
              </w:rPr>
            </w:pPr>
            <w:r>
              <w:rPr>
                <w:rFonts w:ascii="Times New Roman"/>
                <w:sz w:val="18"/>
              </w:rPr>
              <w:t>8.89</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未收货结算</w:t>
            </w:r>
          </w:p>
        </w:tc>
      </w:tr>
      <w:tr>
        <w:trPr>
          <w:trHeight w:val="660"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38"/>
              <w:jc w:val="left"/>
              <w:rPr>
                <w:rFonts w:ascii="宋体" w:hAnsi="宋体" w:cs="宋体" w:eastAsia="宋体" w:hint="default"/>
                <w:sz w:val="18"/>
                <w:szCs w:val="18"/>
              </w:rPr>
            </w:pPr>
            <w:r>
              <w:rPr>
                <w:rFonts w:ascii="宋体" w:hAnsi="宋体" w:cs="宋体" w:eastAsia="宋体" w:hint="default"/>
                <w:sz w:val="18"/>
                <w:szCs w:val="18"/>
              </w:rPr>
              <w:t>中国石化销售有限公司广东汕头石 油分公司</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138,557.95</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21" w:right="0"/>
              <w:jc w:val="left"/>
              <w:rPr>
                <w:rFonts w:ascii="Times New Roman" w:hAnsi="Times New Roman" w:cs="Times New Roman" w:eastAsia="Times New Roman" w:hint="default"/>
                <w:sz w:val="18"/>
                <w:szCs w:val="18"/>
              </w:rPr>
            </w:pPr>
            <w:r>
              <w:rPr>
                <w:rFonts w:ascii="Times New Roman"/>
                <w:sz w:val="18"/>
              </w:rPr>
              <w:t>8.60</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未收货结算</w:t>
            </w:r>
          </w:p>
        </w:tc>
      </w:tr>
      <w:tr>
        <w:trPr>
          <w:trHeight w:val="34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right"/>
              <w:rPr>
                <w:rFonts w:ascii="Times New Roman" w:hAnsi="Times New Roman" w:cs="Times New Roman" w:eastAsia="Times New Roman" w:hint="default"/>
                <w:sz w:val="18"/>
                <w:szCs w:val="18"/>
              </w:rPr>
            </w:pPr>
            <w:r>
              <w:rPr>
                <w:rFonts w:ascii="Times New Roman"/>
                <w:b/>
                <w:spacing w:val="-1"/>
                <w:sz w:val="18"/>
              </w:rPr>
              <w:t>1,252,175.45</w:t>
            </w:r>
            <w:r>
              <w:rPr>
                <w:rFonts w:ascii="Times New Roman"/>
                <w:spacing w:val="-1"/>
                <w:sz w:val="18"/>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76" w:right="0"/>
              <w:jc w:val="left"/>
              <w:rPr>
                <w:rFonts w:ascii="Times New Roman" w:hAnsi="Times New Roman" w:cs="Times New Roman" w:eastAsia="Times New Roman" w:hint="default"/>
                <w:sz w:val="18"/>
                <w:szCs w:val="18"/>
              </w:rPr>
            </w:pPr>
            <w:r>
              <w:rPr>
                <w:rFonts w:ascii="Times New Roman"/>
                <w:b/>
                <w:sz w:val="18"/>
              </w:rPr>
              <w:t>77.69</w:t>
            </w:r>
            <w:r>
              <w:rPr>
                <w:rFonts w:ascii="Times New Roman"/>
                <w:sz w:val="18"/>
              </w:rPr>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line="240" w:lineRule="auto" w:before="3"/>
        <w:rPr>
          <w:rFonts w:ascii="Microsoft JhengHei" w:hAnsi="Microsoft JhengHei" w:cs="Microsoft JhengHei" w:eastAsia="Microsoft JhengHei" w:hint="default"/>
          <w:b/>
          <w:bCs/>
          <w:sz w:val="18"/>
          <w:szCs w:val="18"/>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6"/>
        <w:ind w:right="0"/>
        <w:jc w:val="left"/>
      </w:pPr>
      <w:r>
        <w:rPr/>
        <w:t>本期预付款项期末余额较上年减少</w:t>
      </w:r>
      <w:r>
        <w:rPr>
          <w:rFonts w:ascii="Times New Roman" w:hAnsi="Times New Roman" w:cs="Times New Roman" w:eastAsia="Times New Roman" w:hint="default"/>
        </w:rPr>
        <w:t>89.98%</w:t>
      </w:r>
      <w:r>
        <w:rPr/>
        <w:t>，主要系预付材料款减少所致。</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780,918.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64,552.9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716,365.1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5,567,8</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24.44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6,406.84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5,561,417.6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780,918.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64,552.9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716,365.1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5,567,8</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24.44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6,406.84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5,561,417.6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3" w:space="4356"/>
            <w:col w:w="112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363,926.78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7,278.54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363,926.78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7,278.54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286,371.80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57,274.36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650,298.58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64,552.90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9.93%</w:t>
            </w:r>
          </w:p>
        </w:tc>
      </w:tr>
    </w:tbl>
    <w:p>
      <w:pPr>
        <w:spacing w:line="357" w:lineRule="auto" w:before="49"/>
        <w:ind w:left="152" w:right="527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9"/>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50" w:type="dxa"/>
        <w:tblLayout w:type="fixed"/>
        <w:tblCellMar>
          <w:top w:w="0" w:type="dxa"/>
          <w:left w:w="0" w:type="dxa"/>
          <w:bottom w:w="0" w:type="dxa"/>
          <w:right w:w="0" w:type="dxa"/>
        </w:tblCellMar>
        <w:tblLook w:val="01E0"/>
      </w:tblPr>
      <w:tblGrid>
        <w:gridCol w:w="2859"/>
        <w:gridCol w:w="1932"/>
        <w:gridCol w:w="1932"/>
        <w:gridCol w:w="1388"/>
      </w:tblGrid>
      <w:tr>
        <w:trPr>
          <w:trHeight w:val="348" w:hRule="exact"/>
        </w:trPr>
        <w:tc>
          <w:tcPr>
            <w:tcW w:w="2859" w:type="dxa"/>
            <w:vMerge w:val="restart"/>
            <w:tcBorders>
              <w:top w:val="single" w:sz="6" w:space="0" w:color="000000"/>
              <w:left w:val="single" w:sz="6" w:space="0" w:color="000000"/>
              <w:right w:val="single" w:sz="6" w:space="0" w:color="000000"/>
            </w:tcBorders>
          </w:tcPr>
          <w:p>
            <w:pPr>
              <w:pStyle w:val="TableParagraph"/>
              <w:spacing w:line="240" w:lineRule="auto" w:before="17"/>
              <w:ind w:left="1243"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525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8" w:hRule="exact"/>
        </w:trPr>
        <w:tc>
          <w:tcPr>
            <w:tcW w:w="2859" w:type="dxa"/>
            <w:vMerge/>
            <w:tcBorders>
              <w:left w:val="single" w:sz="6" w:space="0" w:color="000000"/>
              <w:bottom w:val="single" w:sz="6" w:space="0" w:color="000000"/>
              <w:right w:val="single" w:sz="6" w:space="0" w:color="000000"/>
            </w:tcBorders>
          </w:tcPr>
          <w:p>
            <w:pP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8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08" w:right="0"/>
              <w:jc w:val="left"/>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76"/>
              <w:ind w:left="43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130,619.45</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5" w:right="0"/>
              <w:jc w:val="center"/>
              <w:rPr>
                <w:rFonts w:ascii="Times New Roman" w:hAnsi="Times New Roman" w:cs="Times New Roman" w:eastAsia="Times New Roman" w:hint="default"/>
                <w:sz w:val="18"/>
                <w:szCs w:val="18"/>
              </w:rPr>
            </w:pPr>
            <w:r>
              <w:rPr>
                <w:rFonts w:ascii="Times New Roman"/>
                <w:sz w:val="18"/>
              </w:rPr>
              <w:t>---</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13"/>
              <w:jc w:val="right"/>
              <w:rPr>
                <w:rFonts w:ascii="Times New Roman" w:hAnsi="Times New Roman" w:cs="Times New Roman" w:eastAsia="Times New Roman" w:hint="default"/>
                <w:sz w:val="18"/>
                <w:szCs w:val="18"/>
              </w:rPr>
            </w:pPr>
            <w:r>
              <w:rPr>
                <w:rFonts w:ascii="Times New Roman"/>
                <w:sz w:val="18"/>
              </w:rPr>
              <w:t>---</w:t>
            </w:r>
          </w:p>
        </w:tc>
      </w:tr>
      <w:tr>
        <w:trPr>
          <w:trHeight w:val="34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right"/>
              <w:rPr>
                <w:rFonts w:ascii="Times New Roman" w:hAnsi="Times New Roman" w:cs="Times New Roman" w:eastAsia="Times New Roman" w:hint="default"/>
                <w:sz w:val="18"/>
                <w:szCs w:val="18"/>
              </w:rPr>
            </w:pPr>
            <w:r>
              <w:rPr>
                <w:rFonts w:ascii="Times New Roman"/>
                <w:b/>
                <w:color w:val="0D0D0D"/>
                <w:spacing w:val="-1"/>
                <w:sz w:val="18"/>
              </w:rPr>
              <w:t>130,619.45</w:t>
            </w:r>
            <w:r>
              <w:rPr>
                <w:rFonts w:ascii="Times New Roman"/>
                <w:spacing w:val="-1"/>
                <w:sz w:val="18"/>
              </w:rPr>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365"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41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980"/>
        </w:sectPr>
      </w:pPr>
    </w:p>
    <w:p>
      <w:pPr>
        <w:spacing w:line="338" w:lineRule="auto" w:before="44"/>
        <w:ind w:left="152"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58,146.06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234" w:space="2595"/>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pStyle w:val="BodyText"/>
        <w:spacing w:line="240" w:lineRule="auto" w:before="94"/>
        <w:ind w:right="0"/>
        <w:jc w:val="left"/>
      </w:pPr>
      <w:r>
        <w:rPr/>
        <w:t>本报告期无实际核销的其他应收款。</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押金和保证金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341,155.48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155,332.36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130,619.45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2,463,452.77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待认证进项税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2,784,030.04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309,143.10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165,009.27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780,918.03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5,567,824.44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08"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32" w:hRule="exact"/>
        </w:trPr>
        <w:tc>
          <w:tcPr>
            <w:tcW w:w="15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2" w:right="118"/>
              <w:jc w:val="both"/>
              <w:rPr>
                <w:rFonts w:ascii="宋体" w:hAnsi="宋体" w:cs="宋体" w:eastAsia="宋体" w:hint="default"/>
                <w:sz w:val="18"/>
                <w:szCs w:val="18"/>
              </w:rPr>
            </w:pPr>
            <w:r>
              <w:rPr>
                <w:rFonts w:ascii="宋体" w:hAnsi="宋体" w:cs="宋体" w:eastAsia="宋体" w:hint="default"/>
                <w:sz w:val="18"/>
                <w:szCs w:val="18"/>
              </w:rPr>
              <w:t>深圳科兴生物工程 有限公司科技园分 公司</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272,804.00</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54,560.80</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130,619.45</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16.73%</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18"/>
              <w:jc w:val="left"/>
              <w:rPr>
                <w:rFonts w:ascii="宋体" w:hAnsi="宋体" w:cs="宋体" w:eastAsia="宋体" w:hint="default"/>
                <w:sz w:val="18"/>
                <w:szCs w:val="18"/>
              </w:rPr>
            </w:pPr>
            <w:r>
              <w:rPr>
                <w:rFonts w:ascii="宋体" w:hAnsi="宋体" w:cs="宋体" w:eastAsia="宋体" w:hint="default"/>
                <w:sz w:val="18"/>
                <w:szCs w:val="18"/>
              </w:rPr>
              <w:t>广州力通法兰克福 展览有限公司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展会费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96,075.00</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1,921.50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4" w:hRule="exact"/>
        </w:trPr>
        <w:tc>
          <w:tcPr>
            <w:tcW w:w="15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18"/>
              <w:jc w:val="left"/>
              <w:rPr>
                <w:rFonts w:ascii="宋体" w:hAnsi="宋体" w:cs="宋体" w:eastAsia="宋体" w:hint="default"/>
                <w:sz w:val="18"/>
                <w:szCs w:val="18"/>
              </w:rPr>
            </w:pPr>
            <w:r>
              <w:rPr>
                <w:rFonts w:ascii="宋体" w:hAnsi="宋体" w:cs="宋体" w:eastAsia="宋体" w:hint="default"/>
                <w:sz w:val="18"/>
                <w:szCs w:val="18"/>
              </w:rPr>
              <w:t>广州睛之选展览有 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展会费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93,000.00</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1,860.00</w:t>
            </w:r>
          </w:p>
        </w:tc>
      </w:tr>
      <w:tr>
        <w:trPr>
          <w:trHeight w:val="714" w:hRule="exact"/>
        </w:trPr>
        <w:tc>
          <w:tcPr>
            <w:tcW w:w="15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0"/>
              <w:ind w:left="22" w:right="118"/>
              <w:jc w:val="left"/>
              <w:rPr>
                <w:rFonts w:ascii="宋体" w:hAnsi="宋体" w:cs="宋体" w:eastAsia="宋体" w:hint="default"/>
                <w:sz w:val="18"/>
                <w:szCs w:val="18"/>
              </w:rPr>
            </w:pPr>
            <w:r>
              <w:rPr>
                <w:rFonts w:ascii="宋体" w:hAnsi="宋体" w:cs="宋体" w:eastAsia="宋体" w:hint="default"/>
                <w:sz w:val="18"/>
                <w:szCs w:val="18"/>
              </w:rPr>
              <w:t>北京优途国际旅行 社有限责任公司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展会费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83,940.00</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1,678.80</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676,438.45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60,021.10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9,954,122.78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9,954,122.78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8,870,143.15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8,870,143.15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4,197,374.27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4,197,374.27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19,139,232.32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19,139,232.32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53,020,432.29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53,020,432.29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53,419,058.21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53,419,058.21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92,421.97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92,421.97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410,174.09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410,174.09</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182,400.18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182,400.18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156,227.09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156,227.09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352,684.64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352,684.64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494,695.88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494,695.88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67,799,436.13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67,799,436.13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82,489,530.74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82,489,530.74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7</w:t>
      </w:r>
      <w:r>
        <w:rPr/>
        <w:t>、其他流动资产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1,429,085.95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2,311,573.18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1,429,085.95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2,311,573.18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4"/>
        <w:ind w:right="0"/>
        <w:jc w:val="left"/>
      </w:pPr>
      <w:r>
        <w:rPr/>
        <w:t>其他流动资产余额较上期下降</w:t>
      </w:r>
      <w:r>
        <w:rPr>
          <w:rFonts w:ascii="Times New Roman" w:hAnsi="Times New Roman" w:cs="Times New Roman" w:eastAsia="Times New Roman" w:hint="default"/>
        </w:rPr>
        <w:t>32.53%</w:t>
      </w:r>
      <w:r>
        <w:rPr/>
        <w:t>，主要因为待抵扣进项税金减少所致。</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8</w:t>
      </w:r>
      <w:r>
        <w:rPr/>
        <w:t>、可供出售金融资产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1196"/>
        <w:gridCol w:w="1198"/>
        <w:gridCol w:w="1196"/>
        <w:gridCol w:w="1248"/>
        <w:gridCol w:w="1369"/>
        <w:gridCol w:w="1366"/>
      </w:tblGrid>
      <w:tr>
        <w:trPr>
          <w:trHeight w:val="404" w:hRule="exact"/>
        </w:trPr>
        <w:tc>
          <w:tcPr>
            <w:tcW w:w="1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2,500,000.00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2,500,000.00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8"/>
        <w:gridCol w:w="1196"/>
        <w:gridCol w:w="1198"/>
        <w:gridCol w:w="1196"/>
        <w:gridCol w:w="1248"/>
        <w:gridCol w:w="1369"/>
        <w:gridCol w:w="1366"/>
      </w:tblGrid>
      <w:tr>
        <w:trPr>
          <w:trHeight w:val="401"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2"/>
        <w:gridCol w:w="869"/>
        <w:gridCol w:w="871"/>
        <w:gridCol w:w="869"/>
        <w:gridCol w:w="871"/>
        <w:gridCol w:w="869"/>
        <w:gridCol w:w="872"/>
        <w:gridCol w:w="869"/>
        <w:gridCol w:w="871"/>
      </w:tblGrid>
      <w:tr>
        <w:trPr>
          <w:trHeight w:val="402"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6"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合肥讯飞 淘云科技 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9</w:t>
      </w:r>
      <w:r>
        <w:rPr/>
        <w:t>、长期股权投资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4"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1"/>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964" w:hRule="exact"/>
        </w:trPr>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广东粤科 融资租赁 有限公司</w:t>
            </w:r>
          </w:p>
          <w:p>
            <w:pPr>
              <w:pStyle w:val="TableParagraph"/>
              <w:spacing w:line="319" w:lineRule="auto" w:before="19"/>
              <w:ind w:left="24" w:right="41"/>
              <w:jc w:val="both"/>
              <w:rPr>
                <w:rFonts w:ascii="宋体" w:hAnsi="宋体" w:cs="宋体" w:eastAsia="宋体" w:hint="default"/>
                <w:sz w:val="18"/>
                <w:szCs w:val="18"/>
              </w:rPr>
            </w:pPr>
            <w:r>
              <w:rPr>
                <w:rFonts w:ascii="宋体" w:hAnsi="宋体" w:cs="宋体" w:eastAsia="宋体" w:hint="default"/>
                <w:sz w:val="18"/>
                <w:szCs w:val="18"/>
              </w:rPr>
              <w:t>（以下简 称粤科租 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128,428,4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71.10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10,240,34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0.93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138,668,8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12.03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128,428,4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71.10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10,240,34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0.93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138,668,8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12.03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128,428,4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71.10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10,240,34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0.93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138,668,8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12.03</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10</w:t>
      </w:r>
      <w:r>
        <w:rPr/>
        <w:t>、固定资产</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429,812,782.68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47,230,026.13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17,030,361.40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3,997,897.99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498,071,068.20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1,719,598.32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4,329,812.83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2,110,014.36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8,174,775.51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1,472,949.50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1,179,487.18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301,209.00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1,480,696.18</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1,179,487.18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301,209.00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1,480,696.18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431,532,381.00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50,380,351.78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18,839,166.76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4,013,247.99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504,765,147.53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43,905,343.58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22,935,718.61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9,542,604.55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2,073,131.19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78,456,797.93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14,207,577.17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3,994,959.61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2,933,416.77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487,376.39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21,623,329.94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662,970.31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254,133.24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917,103.55</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662,970.31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254,133.24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917,103.55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58,112,920.75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26,267,707.91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12,221,888.08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2,560,507.58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99,163,024.32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373,419,460.25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24,112,643.87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6,617,278.68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1,452,740.41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405,602,123.21</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385,907,439.10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24,294,307.52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7,487,756.85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1,924,766.80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419,614,270.27</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4"/>
        <w:gridCol w:w="318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7"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五金车间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17,430,306.73</w:t>
            </w:r>
          </w:p>
        </w:tc>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正在办理当中</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行政宿舍楼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5,981,278.34</w:t>
            </w:r>
          </w:p>
        </w:tc>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正在办理当中</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中环碧海蓝天度假社区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1,717,866.41</w:t>
            </w:r>
          </w:p>
        </w:tc>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正在办理当中</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11</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110,991,979.95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1,414,326.68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112,406,306.63</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1,055,861.00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34,188.03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1,090,049.03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1,055,861.00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34,188.03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1,090,049.03</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51,282.05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51,282.05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112,047,840.95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1,397,232.66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113,445,073.61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8,823,765.01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309,891.05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9,133,656.06</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2,323,225.31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143,779.08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2,467,004.39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2,323,225.31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143,779.08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2,467,004.39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11,146,990.32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453,670.13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11,600,660.45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100,900,850.63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943,562.53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101,844,413.16</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102,168,214.94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1,104,435.63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103,272,650.57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童乐乐生产基地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47,190,450.72</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正在办理当中</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12</w:t>
      </w:r>
      <w:r>
        <w:rPr/>
        <w:t>、商誉</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7"/>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46"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67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588" w:right="48" w:hanging="541"/>
              <w:jc w:val="left"/>
              <w:rPr>
                <w:rFonts w:ascii="宋体" w:hAnsi="宋体" w:cs="宋体" w:eastAsia="宋体" w:hint="default"/>
                <w:sz w:val="18"/>
                <w:szCs w:val="18"/>
              </w:rPr>
            </w:pPr>
            <w:r>
              <w:rPr>
                <w:rFonts w:ascii="宋体" w:hAnsi="宋体" w:cs="宋体" w:eastAsia="宋体" w:hint="default"/>
                <w:sz w:val="18"/>
                <w:szCs w:val="18"/>
              </w:rPr>
              <w:t>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童乐乐玩具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1,038,345.12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1,038,345.12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1,038,345.12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1,038,345.12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102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童乐乐玩具</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w:t>
      </w:r>
    </w:p>
    <w:p>
      <w:pPr>
        <w:pStyle w:val="BodyText"/>
        <w:spacing w:line="273" w:lineRule="auto" w:before="96"/>
        <w:ind w:right="0"/>
        <w:jc w:val="left"/>
      </w:pPr>
      <w:r>
        <w:rPr>
          <w:spacing w:val="-2"/>
        </w:rPr>
        <w:t>本公司上述商誉与资产组相关，在进行商誉减值测试时，可收回金额按照资产组预计未来现金流量的现值</w:t>
      </w:r>
      <w:r>
        <w:rPr>
          <w:spacing w:val="-41"/>
        </w:rPr>
        <w:t> </w:t>
      </w:r>
      <w:r>
        <w:rPr>
          <w:spacing w:val="-41"/>
        </w:rPr>
      </w:r>
      <w:r>
        <w:rPr/>
        <w:t>确定。</w:t>
      </w:r>
    </w:p>
    <w:p>
      <w:pPr>
        <w:pStyle w:val="BodyText"/>
        <w:spacing w:line="240" w:lineRule="auto" w:before="7"/>
        <w:ind w:right="0"/>
        <w:jc w:val="left"/>
      </w:pPr>
      <w:r>
        <w:rPr/>
        <w:t>本公司年末对商誉进行减值测试，未发现商誉存在减值。</w:t>
      </w:r>
    </w:p>
    <w:p>
      <w:pPr>
        <w:spacing w:before="98"/>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13</w:t>
      </w:r>
      <w:r>
        <w:rPr/>
        <w:t>、长期待摊费用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1,014,662.86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169,110.48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845,552.38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1,014,662.86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169,110.48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845,552.38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6"/>
        <w:ind w:right="0"/>
        <w:jc w:val="left"/>
      </w:pPr>
      <w:r>
        <w:rPr/>
        <w:t>花木工程本期增加金额主要系企业本期将花木工程从固定资产重分类至长期待摊费用中。</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2,189,345.35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328,401.80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2,670,618.17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667,654.54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1,901,051.34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285,157.70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2,037,653.82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509,413.46</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交易性金融工具、衍生 金融工具的估值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728,166.40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182,041.60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4,090,396.69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613,559.50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5,436,438.39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1,359,109.60</w:t>
            </w:r>
          </w:p>
        </w:tc>
      </w:tr>
    </w:tbl>
    <w:p>
      <w:pPr>
        <w:spacing w:after="0" w:line="240" w:lineRule="auto"/>
        <w:jc w:val="right"/>
        <w:rPr>
          <w:rFonts w:ascii="Times New Roman" w:hAnsi="Times New Roman" w:cs="Times New Roman" w:eastAsia="Times New Roman" w:hint="default"/>
          <w:sz w:val="18"/>
          <w:szCs w:val="18"/>
        </w:rPr>
        <w:sectPr>
          <w:footerReference w:type="default" r:id="rId20"/>
          <w:pgSz w:w="11910" w:h="16840"/>
          <w:pgMar w:footer="979" w:header="745" w:top="1060" w:bottom="1160" w:left="980" w:right="980"/>
          <w:pgNumType w:start="11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）以抵销后净额列示的递延所得税资产或负债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613,559.50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1,359,109.60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18,290,597.97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13,740,612.49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18,290,597.97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13,740,612.49</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4"/>
        <w:gridCol w:w="2392"/>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4,719,346.06</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4,719,346.06</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2018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4,490,617.90</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4,490,617.90</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4,530,648.53</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4,530,648.53</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4,549,985.48</w:t>
            </w:r>
          </w:p>
        </w:tc>
        <w:tc>
          <w:tcPr>
            <w:tcW w:w="2394"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18,290,597.97</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13,740,612.49</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15</w:t>
      </w:r>
      <w:r>
        <w:rPr/>
        <w:t>、其他非流动资产</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预付长期资产款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714,789.00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6,742,765.32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714,789.00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6,742,765.32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16</w:t>
      </w:r>
      <w:r>
        <w:rPr/>
        <w:t>、短期借款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44,000,000.00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pStyle w:val="BodyText"/>
        <w:spacing w:line="240" w:lineRule="auto" w:before="94"/>
        <w:ind w:right="0"/>
        <w:jc w:val="left"/>
      </w:pPr>
      <w:r>
        <w:rPr/>
        <w:t>短期借款余额较上期减少</w:t>
      </w:r>
      <w:r>
        <w:rPr>
          <w:rFonts w:ascii="Times New Roman" w:hAnsi="Times New Roman" w:cs="Times New Roman" w:eastAsia="Times New Roman" w:hint="default"/>
        </w:rPr>
        <w:t>31.82%</w:t>
      </w:r>
      <w:r>
        <w:rPr/>
        <w:t>，主要因为本期归还上期借款后，另借款</w:t>
      </w:r>
      <w:r>
        <w:rPr>
          <w:rFonts w:ascii="Times New Roman" w:hAnsi="Times New Roman" w:cs="Times New Roman" w:eastAsia="Times New Roman" w:hint="default"/>
        </w:rPr>
        <w:t>3,000</w:t>
      </w:r>
      <w:r>
        <w:rPr/>
        <w:t>万元所致。</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17</w:t>
      </w:r>
      <w:r>
        <w:rPr/>
        <w:t>、以公允价值计量且其变动计入当期损益的金融负债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728,166.40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728,166.40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728,166.40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18</w:t>
      </w:r>
      <w:r>
        <w:rPr/>
        <w:t>、衍生金融负债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19</w:t>
      </w:r>
      <w:r>
        <w:rPr/>
        <w:t>、应付账款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材料款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11,827,415.95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3,312,204.82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长期资产款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2,170,541.85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18,790,196.28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童乐乐收购款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5,125,100.00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5,125,100.00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1,374,356.55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2,216,094.64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20,497,414.35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29,443,595.74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年的重要应付账款</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汕头市澄海区港口建筑工程有限公司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5,659,604.28</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工程款尾款</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5,659,604.28</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6"/>
        <w:ind w:right="0"/>
        <w:jc w:val="left"/>
      </w:pPr>
      <w:r>
        <w:rPr/>
        <w:t>本期其他应付款较上年减少</w:t>
      </w:r>
      <w:r>
        <w:rPr>
          <w:rFonts w:ascii="Times New Roman" w:hAnsi="Times New Roman" w:cs="Times New Roman" w:eastAsia="Times New Roman" w:hint="default"/>
        </w:rPr>
        <w:t>30.38%</w:t>
      </w:r>
      <w:r>
        <w:rPr/>
        <w:t>，主要因本期将应付童乐乐收购款重分类至其他应付款所致。</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20</w:t>
      </w:r>
      <w:r>
        <w:rPr/>
        <w:t>、预收款项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657,791.11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1,835,523.12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657,791.11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1,835,523.12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21</w:t>
      </w:r>
      <w:r>
        <w:rPr/>
        <w:t>、应付职工薪酬</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2,624,749.15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36,667,315.46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37,189,114.46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2,102,950.15</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4,221.16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1,958,137.56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1,958,137.56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4,221.16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2,628,970.31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38,625,453.02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39,147,252.02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2,107,171.31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2,618,327.00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33,805,652.56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34,327,451.56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2,096,528.00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2,347,199.06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2,347,199.06</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2,217.15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342,791.64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342,791.64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2,217.15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2,021.70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165,054.38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165,054.38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2,021.70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59,219.22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59,219.22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72.15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118,518.04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118,518.04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123.30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4,205.00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76,404.00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76,404.00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4,205.00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95,268.20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95,268.20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2,624,749.15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36,667,315.46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37,189,114.46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2,102,950.15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3,841.48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1,780,174.06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1,780,174.06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3,841.48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177,963.50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177,963.50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379.68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4,221.16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1,958,137.56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1,958,137.56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4,221.16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22</w:t>
      </w:r>
      <w:r>
        <w:rPr/>
        <w:t>、应交税费</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436,226.15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1,206,221.96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18,675.04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23,318.67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1,278,265.12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1,278,258.32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70,609.74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70,609.74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549,269.83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549,264.98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244,400.00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11,708.53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15,580.27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2,681,154.41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3,459,653.94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23</w:t>
      </w:r>
      <w:r>
        <w:rPr/>
        <w:t>、其他应付款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童乐乐收购款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5,125,100.00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代扣代缴税费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27,890.48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保险赔款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11,590.00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47,240.00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5,145,690.00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75,130.48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年的重要其他应付款</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陈伟煌、陈泽彬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5,125,100.00</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童乐乐股权收购款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5,125,100.00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4"/>
        <w:ind w:right="0"/>
        <w:jc w:val="left"/>
      </w:pPr>
      <w:r>
        <w:rPr/>
        <w:t>本期其他应付款余额较上期增加</w:t>
      </w:r>
      <w:r>
        <w:rPr>
          <w:rFonts w:ascii="Times New Roman" w:hAnsi="Times New Roman" w:cs="Times New Roman" w:eastAsia="Times New Roman" w:hint="default"/>
        </w:rPr>
        <w:t>6749.00%</w:t>
      </w:r>
      <w:r>
        <w:rPr/>
        <w:t>，主要因本期将应付童乐乐收购款重分类至其他应付款所致。</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24</w:t>
      </w:r>
      <w:r>
        <w:rPr/>
        <w:t>、递延收益</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2,037,653.82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136,602.48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1,901,051.34</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玩具产业升级技术 改造</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2,037,653.82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136,602.48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1,901,051.34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87" w:right="48"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46"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407" w:right="23" w:hanging="38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玩具产业升级技 术改造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2,037,653.82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136,602.48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1,901,051.34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2,037,653.82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136,602.48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1,901,051.34</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25</w:t>
      </w:r>
      <w:r>
        <w:rPr/>
        <w:t>、其他非流动负债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粮食补贴款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4,060,320.00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4,060,320.00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26</w:t>
      </w:r>
      <w:r>
        <w:rPr/>
        <w:t>、股本</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7"/>
        <w:gridCol w:w="1196"/>
      </w:tblGrid>
      <w:tr>
        <w:trPr>
          <w:trHeight w:val="402"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267,600,000.00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321,120,000.00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321,120,000.00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 w:right="0"/>
              <w:jc w:val="left"/>
              <w:rPr>
                <w:rFonts w:ascii="Times New Roman" w:hAnsi="Times New Roman" w:cs="Times New Roman" w:eastAsia="Times New Roman" w:hint="default"/>
                <w:sz w:val="18"/>
                <w:szCs w:val="18"/>
              </w:rPr>
            </w:pPr>
            <w:r>
              <w:rPr>
                <w:rFonts w:ascii="Times New Roman"/>
                <w:sz w:val="18"/>
              </w:rPr>
              <w:t>588,720,000.00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4"/>
        <w:ind w:right="0"/>
        <w:jc w:val="left"/>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3</w:t>
      </w:r>
      <w:r>
        <w:rPr>
          <w:spacing w:val="-3"/>
        </w:rPr>
        <w:t>月，经公司召开的</w:t>
      </w:r>
      <w:r>
        <w:rPr>
          <w:rFonts w:ascii="Times New Roman" w:hAnsi="Times New Roman" w:cs="Times New Roman" w:eastAsia="Times New Roman" w:hint="default"/>
          <w:spacing w:val="-3"/>
        </w:rPr>
        <w:t>2014</w:t>
      </w:r>
      <w:r>
        <w:rPr>
          <w:spacing w:val="-3"/>
        </w:rPr>
        <w:t>年年度股东大会决议，以</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日公司总股本</w:t>
      </w:r>
      <w:r>
        <w:rPr>
          <w:rFonts w:ascii="Times New Roman" w:hAnsi="Times New Roman" w:cs="Times New Roman" w:eastAsia="Times New Roman" w:hint="default"/>
          <w:spacing w:val="-3"/>
        </w:rPr>
        <w:t>26,760</w:t>
      </w:r>
      <w:r>
        <w:rPr>
          <w:spacing w:val="-3"/>
        </w:rPr>
        <w:t>万股为基数，以</w:t>
      </w:r>
      <w:r>
        <w:rPr>
          <w:spacing w:val="-18"/>
        </w:rPr>
        <w:t> </w:t>
      </w:r>
      <w:r>
        <w:rPr>
          <w:spacing w:val="-18"/>
        </w:rPr>
      </w:r>
      <w:r>
        <w:rPr/>
        <w:t>资本公积金向全体股东每 </w:t>
      </w:r>
      <w:r>
        <w:rPr>
          <w:rFonts w:ascii="Times New Roman" w:hAnsi="Times New Roman" w:cs="Times New Roman" w:eastAsia="Times New Roman" w:hint="default"/>
        </w:rPr>
        <w:t>10 </w:t>
      </w:r>
      <w:r>
        <w:rPr/>
        <w:t>股转增 </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股，合计转增</w:t>
      </w:r>
      <w:r>
        <w:rPr>
          <w:rFonts w:ascii="Times New Roman" w:hAnsi="Times New Roman" w:cs="Times New Roman" w:eastAsia="Times New Roman" w:hint="default"/>
        </w:rPr>
        <w:t>32,112</w:t>
      </w:r>
      <w:r>
        <w:rPr/>
        <w:t>万股。</w:t>
      </w:r>
    </w:p>
    <w:p>
      <w:pPr>
        <w:spacing w:after="0" w:line="256"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27</w:t>
      </w:r>
      <w:r>
        <w:rPr/>
        <w:t>、资本公积</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474,837,414.13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321,120,000.00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153,717,414.13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474,837,414.13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321,120,000.00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153,717,414.13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28</w:t>
      </w:r>
      <w:r>
        <w:rPr/>
        <w:t>、其他综合收益</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11"/>
        <w:gridCol w:w="1068"/>
        <w:gridCol w:w="936"/>
        <w:gridCol w:w="1152"/>
        <w:gridCol w:w="934"/>
        <w:gridCol w:w="937"/>
        <w:gridCol w:w="936"/>
        <w:gridCol w:w="797"/>
      </w:tblGrid>
      <w:tr>
        <w:trPr>
          <w:trHeight w:val="401"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18"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5" w:right="9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right w:val="single" w:sz="4" w:space="0" w:color="000000"/>
            </w:tcBorders>
            <w:shd w:val="clear" w:color="auto" w:fill="D2D2D2"/>
          </w:tcPr>
          <w:p>
            <w:pPr/>
          </w:p>
        </w:tc>
      </w:tr>
      <w:tr>
        <w:trPr>
          <w:trHeight w:val="391"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right w:val="single" w:sz="4" w:space="0" w:color="000000"/>
            </w:tcBorders>
            <w:shd w:val="clear" w:color="auto" w:fill="D2D2D2"/>
          </w:tcPr>
          <w:p>
            <w:pPr/>
          </w:p>
        </w:tc>
        <w:tc>
          <w:tcPr>
            <w:tcW w:w="937"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518"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-107,886.38</w:t>
            </w: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141,963.80</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34,077.42</w:t>
            </w:r>
          </w:p>
        </w:tc>
      </w:tr>
      <w:tr>
        <w:trPr>
          <w:trHeight w:val="403"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-107,886.38</w:t>
            </w: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141,963.80</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34,077.42</w:t>
            </w:r>
          </w:p>
        </w:tc>
      </w:tr>
      <w:tr>
        <w:trPr>
          <w:trHeight w:val="401"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-107,886.38</w:t>
            </w: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141,963.80</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34,077.42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29</w:t>
      </w:r>
      <w:r>
        <w:rPr/>
        <w:t>、盈余公积</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24,504,787.92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2,402,671.80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26,907,459.72</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24,504,787.92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2,402,671.80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26,907,459.72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30</w:t>
      </w:r>
      <w:r>
        <w:rPr/>
        <w:t>、未分配利润</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136,370,475.62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136,953,215.02</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136,370,475.62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136,953,215.02</w:t>
            </w:r>
          </w:p>
        </w:tc>
      </w:tr>
      <w:tr>
        <w:trPr>
          <w:trHeight w:val="404"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18,186,393.35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14,865,866.87</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2,402,671.80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2,068,606.27</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26,760,000.00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13,380,000.00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9"/>
      </w:tblGrid>
      <w:tr>
        <w:trPr>
          <w:trHeight w:val="404"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6" w:right="0"/>
              <w:jc w:val="left"/>
              <w:rPr>
                <w:rFonts w:ascii="Times New Roman" w:hAnsi="Times New Roman" w:cs="Times New Roman" w:eastAsia="Times New Roman" w:hint="default"/>
                <w:sz w:val="18"/>
                <w:szCs w:val="18"/>
              </w:rPr>
            </w:pPr>
            <w:r>
              <w:rPr>
                <w:rFonts w:ascii="Times New Roman"/>
                <w:sz w:val="18"/>
              </w:rPr>
              <w:t>125,394,197.17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136,370,475.62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31</w:t>
      </w:r>
      <w:r>
        <w:rPr/>
        <w:t>、营业收入和营业成本</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319,383,875.01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249,452,332.05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404,163,124.81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319,771,959.92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8" w:right="0"/>
              <w:jc w:val="left"/>
              <w:rPr>
                <w:rFonts w:ascii="Times New Roman" w:hAnsi="Times New Roman" w:cs="Times New Roman" w:eastAsia="Times New Roman" w:hint="default"/>
                <w:sz w:val="18"/>
                <w:szCs w:val="18"/>
              </w:rPr>
            </w:pPr>
            <w:r>
              <w:rPr>
                <w:rFonts w:ascii="Times New Roman"/>
                <w:sz w:val="18"/>
              </w:rPr>
              <w:t>319,383,875.01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249,452,332.05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404,163,124.81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319,771,959.92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32</w:t>
      </w:r>
      <w:r>
        <w:rPr/>
        <w:t>、营业税金及附加</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1,261,376.90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1,306,283.21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540,590.10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559,835.66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360,393.42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373,223.78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288,118.36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375,786.33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2,450,478.78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2,615,128.98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33</w:t>
      </w:r>
      <w:r>
        <w:rPr/>
        <w:t>、销售费用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3,011,683.28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3,712,731.00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运输费用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2,565,421.86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3,174,015.12</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授权费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2,501,158.30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3,346,660.86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参展费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1,278,234.94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1,258,102.00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637,984.48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1,017,100.46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328,874.61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644,949.40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报关费用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205,180.00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209,175.41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广告费和业务宣传费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1,591,011.73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1,149,165.97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237,423.52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354,575.81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12,356,972.72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14,866,476.03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34</w:t>
      </w:r>
      <w:r>
        <w:rPr/>
        <w:t>、管理费用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人工薪酬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12,726,177.21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12,669,007.60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12,081,933.27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14,588,199.43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11,014,826.13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10,493,730.83</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3,605,766.80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1,679,845.44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1,637,890.18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1,523,541.38</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租赁水电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2,402,263.12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1,894,519.87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1,084,146.18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1,243,856.38</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704,481.13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1,189,367.62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5,084,004.69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3,407,986.34</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1,502,882.62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2,966,219.12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51,844,371.33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51,656,274.01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35</w:t>
      </w:r>
      <w:r>
        <w:rPr/>
        <w:t>、财务费用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2,098,234.34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2,680,123.54</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-555,627.94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-1,375,672.00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-4,585,030.20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-171,855.47</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86,561.34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67,513.58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-2,955,862.46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1,200,109.65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36</w:t>
      </w:r>
      <w:r>
        <w:rPr/>
        <w:t>、资产减值损失</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-481,272.82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1,100,931.41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-481,272.82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1,100,931.41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37</w:t>
      </w:r>
      <w:r>
        <w:rPr/>
        <w:t>、公允价值变动收益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728,166.40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-840,366.40</w:t>
            </w:r>
          </w:p>
        </w:tc>
      </w:tr>
      <w:tr>
        <w:trPr>
          <w:trHeight w:val="715"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1" w:firstLine="36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 值变动收益</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728,166.40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-840,366.40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728,166.40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-840,366.40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38</w:t>
      </w:r>
      <w:r>
        <w:rPr/>
        <w:t>、投资收益</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4"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10,240,340.93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4,428,471.10</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662,364.38</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远期外汇结汇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-484,558.80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-163,154.40</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9,755,782.13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4,927,681.08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39</w:t>
      </w:r>
      <w:r>
        <w:rPr/>
        <w:t>、营业外收入</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5,248.08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5,248.08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5,248.08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5,248.08</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3,773,244.48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720,857.48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3,773,244.48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9,235.88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9,235.88</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3,787,728.44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721,146.82</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4"/>
        <w:gridCol w:w="1063"/>
        <w:gridCol w:w="1061"/>
        <w:gridCol w:w="1063"/>
        <w:gridCol w:w="1064"/>
        <w:gridCol w:w="1063"/>
        <w:gridCol w:w="1063"/>
      </w:tblGrid>
      <w:tr>
        <w:trPr>
          <w:trHeight w:val="401"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6" w:right="0"/>
              <w:jc w:val="left"/>
              <w:rPr>
                <w:rFonts w:ascii="宋体" w:hAnsi="宋体" w:cs="宋体" w:eastAsia="宋体" w:hint="default"/>
                <w:sz w:val="18"/>
                <w:szCs w:val="18"/>
              </w:rPr>
            </w:pPr>
            <w:r>
              <w:rPr>
                <w:rFonts w:ascii="宋体" w:hAnsi="宋体" w:cs="宋体" w:eastAsia="宋体" w:hint="default"/>
                <w:sz w:val="18"/>
                <w:szCs w:val="18"/>
              </w:rPr>
              <w:t>补贴是否影</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9" w:right="0"/>
              <w:jc w:val="left"/>
              <w:rPr>
                <w:rFonts w:ascii="宋体" w:hAnsi="宋体" w:cs="宋体" w:eastAsia="宋体" w:hint="default"/>
                <w:sz w:val="18"/>
                <w:szCs w:val="18"/>
              </w:rPr>
            </w:pPr>
            <w:r>
              <w:rPr>
                <w:rFonts w:ascii="宋体" w:hAnsi="宋体" w:cs="宋体" w:eastAsia="宋体" w:hint="default"/>
                <w:sz w:val="18"/>
                <w:szCs w:val="18"/>
              </w:rPr>
              <w:t>是否特殊补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6" w:right="0"/>
              <w:jc w:val="left"/>
              <w:rPr>
                <w:rFonts w:ascii="宋体" w:hAnsi="宋体" w:cs="宋体" w:eastAsia="宋体" w:hint="default"/>
                <w:sz w:val="18"/>
                <w:szCs w:val="18"/>
              </w:rPr>
            </w:pPr>
            <w:r>
              <w:rPr>
                <w:rFonts w:ascii="宋体" w:hAnsi="宋体" w:cs="宋体" w:eastAsia="宋体" w:hint="default"/>
                <w:sz w:val="18"/>
                <w:szCs w:val="18"/>
              </w:rPr>
              <w:t>本期发生金</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6" w:right="0"/>
              <w:jc w:val="left"/>
              <w:rPr>
                <w:rFonts w:ascii="宋体" w:hAnsi="宋体" w:cs="宋体" w:eastAsia="宋体" w:hint="default"/>
                <w:sz w:val="18"/>
                <w:szCs w:val="18"/>
              </w:rPr>
            </w:pPr>
            <w:r>
              <w:rPr>
                <w:rFonts w:ascii="宋体" w:hAnsi="宋体" w:cs="宋体" w:eastAsia="宋体" w:hint="default"/>
                <w:sz w:val="18"/>
                <w:szCs w:val="18"/>
              </w:rPr>
              <w:t>上期发生金</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4"/>
        <w:gridCol w:w="1063"/>
        <w:gridCol w:w="1061"/>
        <w:gridCol w:w="1063"/>
        <w:gridCol w:w="1064"/>
        <w:gridCol w:w="1063"/>
        <w:gridCol w:w="1063"/>
      </w:tblGrid>
      <w:tr>
        <w:trPr>
          <w:trHeight w:val="36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6" w:right="0"/>
              <w:jc w:val="left"/>
              <w:rPr>
                <w:rFonts w:ascii="宋体" w:hAnsi="宋体" w:cs="宋体" w:eastAsia="宋体" w:hint="default"/>
                <w:sz w:val="18"/>
                <w:szCs w:val="18"/>
              </w:rPr>
            </w:pPr>
            <w:r>
              <w:rPr>
                <w:rFonts w:ascii="宋体" w:hAnsi="宋体" w:cs="宋体" w:eastAsia="宋体" w:hint="default"/>
                <w:sz w:val="18"/>
                <w:szCs w:val="18"/>
              </w:rPr>
              <w:t>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74"/>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49"/>
              <w:ind w:left="22" w:right="13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玩具产业 升级技术改 造资金</w:t>
            </w:r>
          </w:p>
        </w:tc>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136,602.48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136,602.48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27"/>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49"/>
              <w:ind w:left="22" w:right="13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省级工业 设计发展专 项资金</w:t>
            </w:r>
          </w:p>
        </w:tc>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3.2013 </w:t>
            </w:r>
            <w:r>
              <w:rPr>
                <w:rFonts w:ascii="宋体" w:hAnsi="宋体" w:cs="宋体" w:eastAsia="宋体" w:hint="default"/>
                <w:sz w:val="18"/>
                <w:szCs w:val="18"/>
              </w:rPr>
              <w:t>年区</w:t>
            </w:r>
          </w:p>
          <w:p>
            <w:pPr>
              <w:pStyle w:val="TableParagraph"/>
              <w:spacing w:line="319" w:lineRule="auto" w:before="63"/>
              <w:ind w:left="22" w:right="130"/>
              <w:jc w:val="left"/>
              <w:rPr>
                <w:rFonts w:ascii="宋体" w:hAnsi="宋体" w:cs="宋体" w:eastAsia="宋体" w:hint="default"/>
                <w:sz w:val="18"/>
                <w:szCs w:val="18"/>
              </w:rPr>
            </w:pPr>
            <w:r>
              <w:rPr>
                <w:rFonts w:ascii="宋体" w:hAnsi="宋体" w:cs="宋体" w:eastAsia="宋体" w:hint="default"/>
                <w:sz w:val="18"/>
                <w:szCs w:val="18"/>
              </w:rPr>
              <w:t>优秀专利补 助</w:t>
            </w:r>
          </w:p>
        </w:tc>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2,900.00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49"/>
              <w:ind w:left="22"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科技局项 目经费</w:t>
            </w:r>
          </w:p>
        </w:tc>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49"/>
              <w:ind w:left="22"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毕业见习 补贴</w:t>
            </w:r>
          </w:p>
        </w:tc>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10,170.00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49"/>
              <w:ind w:left="22" w:right="130"/>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工作室补 助人社局补 贴</w:t>
            </w:r>
          </w:p>
        </w:tc>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49"/>
              <w:ind w:left="22" w:right="130"/>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国际市场 开拓资金补 贴</w:t>
            </w:r>
          </w:p>
        </w:tc>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49"/>
              <w:ind w:left="22" w:right="130"/>
              <w:jc w:val="both"/>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中小企业 国际市场开 拓资金</w:t>
            </w:r>
          </w:p>
        </w:tc>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61,185.00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49"/>
              <w:ind w:left="22"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科技兴贸 专项资金</w:t>
            </w:r>
          </w:p>
        </w:tc>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8" w:hRule="exact"/>
        </w:trPr>
        <w:tc>
          <w:tcPr>
            <w:tcW w:w="10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年开</w:t>
            </w:r>
          </w:p>
          <w:p>
            <w:pPr>
              <w:pStyle w:val="TableParagraph"/>
              <w:spacing w:line="316" w:lineRule="auto" w:before="63"/>
              <w:ind w:left="22" w:right="130"/>
              <w:jc w:val="left"/>
              <w:rPr>
                <w:rFonts w:ascii="宋体" w:hAnsi="宋体" w:cs="宋体" w:eastAsia="宋体" w:hint="default"/>
                <w:sz w:val="18"/>
                <w:szCs w:val="18"/>
              </w:rPr>
            </w:pPr>
            <w:r>
              <w:rPr>
                <w:rFonts w:ascii="宋体" w:hAnsi="宋体" w:cs="宋体" w:eastAsia="宋体" w:hint="default"/>
                <w:sz w:val="18"/>
                <w:szCs w:val="18"/>
              </w:rPr>
              <w:t>拓国际市场 专项资金</w:t>
            </w:r>
          </w:p>
        </w:tc>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49"/>
              <w:ind w:left="22"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专利申请 项目资助</w:t>
            </w:r>
          </w:p>
        </w:tc>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16,050.00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49"/>
              <w:ind w:left="22"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收购及创 建国际著名 品牌专项资 金</w:t>
            </w:r>
          </w:p>
        </w:tc>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年开</w:t>
            </w:r>
          </w:p>
          <w:p>
            <w:pPr>
              <w:pStyle w:val="TableParagraph"/>
              <w:spacing w:line="316" w:lineRule="auto" w:before="63"/>
              <w:ind w:left="22" w:right="130"/>
              <w:jc w:val="left"/>
              <w:rPr>
                <w:rFonts w:ascii="宋体" w:hAnsi="宋体" w:cs="宋体" w:eastAsia="宋体" w:hint="default"/>
                <w:sz w:val="18"/>
                <w:szCs w:val="18"/>
              </w:rPr>
            </w:pPr>
            <w:r>
              <w:rPr>
                <w:rFonts w:ascii="宋体" w:hAnsi="宋体" w:cs="宋体" w:eastAsia="宋体" w:hint="default"/>
                <w:sz w:val="18"/>
                <w:szCs w:val="18"/>
              </w:rPr>
              <w:t>拓国际市场 专项资金</w:t>
            </w:r>
          </w:p>
        </w:tc>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年外</w:t>
            </w:r>
          </w:p>
          <w:p>
            <w:pPr>
              <w:pStyle w:val="TableParagraph"/>
              <w:spacing w:line="316" w:lineRule="auto" w:before="63"/>
              <w:ind w:left="22" w:right="130"/>
              <w:jc w:val="left"/>
              <w:rPr>
                <w:rFonts w:ascii="宋体" w:hAnsi="宋体" w:cs="宋体" w:eastAsia="宋体" w:hint="default"/>
                <w:sz w:val="18"/>
                <w:szCs w:val="18"/>
              </w:rPr>
            </w:pPr>
            <w:r>
              <w:rPr>
                <w:rFonts w:ascii="宋体" w:hAnsi="宋体" w:cs="宋体" w:eastAsia="宋体" w:hint="default"/>
                <w:sz w:val="18"/>
                <w:szCs w:val="18"/>
              </w:rPr>
              <w:t>经贸发展专 项资金</w:t>
            </w:r>
          </w:p>
        </w:tc>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46,365.00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right"/>
        <w:rPr>
          <w:rFonts w:ascii="宋体" w:hAnsi="宋体" w:cs="宋体" w:eastAsia="宋体" w:hint="default"/>
          <w:sz w:val="18"/>
          <w:szCs w:val="18"/>
        </w:rPr>
        <w:sectPr>
          <w:footerReference w:type="default" r:id="rId21"/>
          <w:pgSz w:w="11910" w:h="16840"/>
          <w:pgMar w:footer="979" w:header="745" w:top="1060" w:bottom="1160" w:left="980" w:right="980"/>
          <w:pgNumType w:start="1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4"/>
        <w:gridCol w:w="1063"/>
        <w:gridCol w:w="1061"/>
        <w:gridCol w:w="1063"/>
        <w:gridCol w:w="1064"/>
        <w:gridCol w:w="1063"/>
        <w:gridCol w:w="1063"/>
      </w:tblGrid>
      <w:tr>
        <w:trPr>
          <w:trHeight w:val="1025" w:hRule="exact"/>
        </w:trPr>
        <w:tc>
          <w:tcPr>
            <w:tcW w:w="10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年科</w:t>
            </w:r>
          </w:p>
          <w:p>
            <w:pPr>
              <w:pStyle w:val="TableParagraph"/>
              <w:spacing w:line="316" w:lineRule="auto" w:before="63"/>
              <w:ind w:left="22" w:right="130"/>
              <w:jc w:val="left"/>
              <w:rPr>
                <w:rFonts w:ascii="宋体" w:hAnsi="宋体" w:cs="宋体" w:eastAsia="宋体" w:hint="default"/>
                <w:sz w:val="18"/>
                <w:szCs w:val="18"/>
              </w:rPr>
            </w:pPr>
            <w:r>
              <w:rPr>
                <w:rFonts w:ascii="宋体" w:hAnsi="宋体" w:cs="宋体" w:eastAsia="宋体" w:hint="default"/>
                <w:sz w:val="18"/>
                <w:szCs w:val="18"/>
              </w:rPr>
              <w:t>技计划项目 经费</w:t>
            </w:r>
          </w:p>
        </w:tc>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7" w:lineRule="auto" w:before="51"/>
              <w:ind w:left="22"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产品技术</w:t>
            </w:r>
            <w:r>
              <w:rPr>
                <w:rFonts w:ascii="宋体" w:hAnsi="宋体" w:cs="宋体" w:eastAsia="宋体" w:hint="default"/>
                <w:spacing w:val="-87"/>
                <w:sz w:val="18"/>
                <w:szCs w:val="18"/>
              </w:rPr>
              <w:t> </w:t>
            </w:r>
            <w:r>
              <w:rPr>
                <w:rFonts w:ascii="宋体" w:hAnsi="宋体" w:cs="宋体" w:eastAsia="宋体" w:hint="default"/>
                <w:sz w:val="18"/>
                <w:szCs w:val="18"/>
              </w:rPr>
              <w:t>研究与开发 培育资金</w:t>
            </w:r>
          </w:p>
        </w:tc>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708,500.00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年专</w:t>
            </w:r>
          </w:p>
          <w:p>
            <w:pPr>
              <w:pStyle w:val="TableParagraph"/>
              <w:spacing w:line="316" w:lineRule="auto" w:before="63"/>
              <w:ind w:left="22" w:right="130"/>
              <w:jc w:val="left"/>
              <w:rPr>
                <w:rFonts w:ascii="宋体" w:hAnsi="宋体" w:cs="宋体" w:eastAsia="宋体" w:hint="default"/>
                <w:sz w:val="18"/>
                <w:szCs w:val="18"/>
              </w:rPr>
            </w:pPr>
            <w:r>
              <w:rPr>
                <w:rFonts w:ascii="宋体" w:hAnsi="宋体" w:cs="宋体" w:eastAsia="宋体" w:hint="default"/>
                <w:sz w:val="18"/>
                <w:szCs w:val="18"/>
              </w:rPr>
              <w:t>利申请项目 资助</w:t>
            </w:r>
          </w:p>
        </w:tc>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8,560.00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8" w:hRule="exact"/>
        </w:trPr>
        <w:tc>
          <w:tcPr>
            <w:tcW w:w="10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年涉</w:t>
            </w:r>
          </w:p>
          <w:p>
            <w:pPr>
              <w:pStyle w:val="TableParagraph"/>
              <w:spacing w:line="316" w:lineRule="auto" w:before="60"/>
              <w:ind w:left="22" w:right="130"/>
              <w:jc w:val="left"/>
              <w:rPr>
                <w:rFonts w:ascii="宋体" w:hAnsi="宋体" w:cs="宋体" w:eastAsia="宋体" w:hint="default"/>
                <w:sz w:val="18"/>
                <w:szCs w:val="18"/>
              </w:rPr>
            </w:pPr>
            <w:r>
              <w:rPr>
                <w:rFonts w:ascii="宋体" w:hAnsi="宋体" w:cs="宋体" w:eastAsia="宋体" w:hint="default"/>
                <w:sz w:val="18"/>
                <w:szCs w:val="18"/>
              </w:rPr>
              <w:t>外服务发展 补助</w:t>
            </w:r>
          </w:p>
        </w:tc>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92,167.00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3,773,244.48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720,857.48</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40</w:t>
      </w:r>
      <w:r>
        <w:rPr/>
        <w:t>、营业外支出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41,146.00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9,301.97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41,146.00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0.43</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641,146.43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120,073.97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641,146.43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41</w:t>
      </w:r>
      <w:r>
        <w:rPr/>
        <w:t>、所得税费用</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1,415,442.50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3,581,929.44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745,550.10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-807,163.97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2,160,992.60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2,774,765.47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20,347,385.95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2,469,256.19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600,497.82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-1,536,051.14</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42,268.87</w:t>
            </w: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1,458,900.40</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税法规定的额外可扣除费用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-873,879.54</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2,160,992.60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42</w:t>
      </w:r>
      <w:r>
        <w:rPr/>
        <w:t>、现金流量表项目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555,627.94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2,513,306.44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3,636,642.00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584,255.00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收到往来款及其他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328,329.93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1,038,575.41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4,520,599.87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4,136,136.85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付现管理费用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19,111,998.39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10,567,271.70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付现销售费用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9,345,289.44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7,753,189.72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捐赠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支付往来款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1,154,259.14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1,745,390.04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571,120.57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73,678.30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30,782,667.54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20,249,529.76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r>
        <w:rPr/>
        <w:pict>
          <v:shape style="position:absolute;margin-left:190.130005pt;margin-top:707.255981pt;width:185.55pt;height:19.6pt;mso-position-horizontal-relative:page;mso-position-vertical-relative:page;z-index:-68214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r>
        <w:rPr/>
        <w:pict>
          <v:shape style="position:absolute;margin-left:190.130005pt;margin-top:727.320007pt;width:185.55pt;height:19.7pt;mso-position-horizontal-relative:page;mso-position-vertical-relative:page;z-index:-68212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收回信用保证金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1,115,230.00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1,584,095.00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1,115,230.00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1,584,095.00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支付履约保证金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2,990.55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1,919,095.00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支付投资并购费用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2,375,217.98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2,990.55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4,294,312.98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43</w:t>
      </w:r>
      <w:r>
        <w:rPr/>
        <w:t>、现金流量表补充资料</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1140"/>
        <w:gridCol w:w="1918"/>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0" w:right="0"/>
              <w:jc w:val="left"/>
              <w:rPr>
                <w:rFonts w:ascii="Times New Roman" w:hAnsi="Times New Roman" w:cs="Times New Roman" w:eastAsia="Times New Roman" w:hint="default"/>
                <w:sz w:val="18"/>
                <w:szCs w:val="18"/>
              </w:rPr>
            </w:pPr>
            <w:r>
              <w:rPr>
                <w:rFonts w:ascii="Times New Roman"/>
                <w:sz w:val="18"/>
              </w:rPr>
              <w:t>18,186,393.35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14,865,866.87</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-481,272.82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1,100,931.41</w:t>
            </w:r>
          </w:p>
        </w:tc>
      </w:tr>
      <w:tr>
        <w:trPr>
          <w:trHeight w:val="716"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2" w:right="0"/>
              <w:jc w:val="left"/>
              <w:rPr>
                <w:rFonts w:ascii="Times New Roman" w:hAnsi="Times New Roman" w:cs="Times New Roman" w:eastAsia="Times New Roman" w:hint="default"/>
                <w:sz w:val="18"/>
                <w:szCs w:val="18"/>
              </w:rPr>
            </w:pPr>
            <w:r>
              <w:rPr>
                <w:rFonts w:ascii="Times New Roman"/>
                <w:sz w:val="18"/>
              </w:rPr>
              <w:t>21,623,329.94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18,957,510.54</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2,467,004.39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2,615,658.68</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169,110.48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35,897.92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9,301.97</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-728,166.40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2,098,234.34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2,680,123.54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0" w:right="0"/>
              <w:jc w:val="left"/>
              <w:rPr>
                <w:rFonts w:ascii="Times New Roman" w:hAnsi="Times New Roman" w:cs="Times New Roman" w:eastAsia="Times New Roman" w:hint="default"/>
                <w:sz w:val="18"/>
                <w:szCs w:val="18"/>
              </w:rPr>
            </w:pPr>
            <w:r>
              <w:rPr>
                <w:rFonts w:ascii="Times New Roman"/>
                <w:sz w:val="18"/>
              </w:rPr>
              <w:t>-10,240,340.93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-4,927,681.08</w:t>
            </w:r>
          </w:p>
        </w:tc>
      </w:tr>
      <w:tr>
        <w:trPr>
          <w:trHeight w:val="401"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140" w:type="dxa"/>
            <w:tcBorders>
              <w:top w:val="single" w:sz="4" w:space="0" w:color="000000"/>
              <w:left w:val="single" w:sz="13" w:space="0" w:color="FFFFFF"/>
              <w:bottom w:val="single" w:sz="4" w:space="0" w:color="000000"/>
              <w:right w:val="nil" w:sz="6" w:space="0" w:color="auto"/>
            </w:tcBorders>
          </w:tcPr>
          <w:p>
            <w:pPr/>
          </w:p>
        </w:tc>
        <w:tc>
          <w:tcPr>
            <w:tcW w:w="1918"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1"/>
              <w:ind w:left="1077" w:right="0"/>
              <w:jc w:val="left"/>
              <w:rPr>
                <w:rFonts w:ascii="Times New Roman" w:hAnsi="Times New Roman" w:cs="Times New Roman" w:eastAsia="Times New Roman" w:hint="default"/>
                <w:sz w:val="18"/>
                <w:szCs w:val="18"/>
              </w:rPr>
            </w:pPr>
            <w:r>
              <w:rPr>
                <w:rFonts w:ascii="Times New Roman"/>
                <w:sz w:val="18"/>
              </w:rPr>
              <w:t>745,550.10</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-790,333.97</w:t>
            </w:r>
          </w:p>
        </w:tc>
      </w:tr>
      <w:tr>
        <w:trPr>
          <w:trHeight w:val="403"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3058" w:type="dxa"/>
            <w:gridSpan w:val="2"/>
            <w:tcBorders>
              <w:top w:val="single" w:sz="4" w:space="0" w:color="000000"/>
              <w:left w:val="single" w:sz="13" w:space="0" w:color="FFFFFF"/>
              <w:bottom w:val="single" w:sz="4" w:space="0" w:color="000000"/>
              <w:right w:val="single" w:sz="12" w:space="0" w:color="FFFFFF"/>
            </w:tcBorders>
          </w:tcPr>
          <w:p>
            <w:pP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-16,830.00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0" w:right="0"/>
              <w:jc w:val="left"/>
              <w:rPr>
                <w:rFonts w:ascii="Times New Roman" w:hAnsi="Times New Roman" w:cs="Times New Roman" w:eastAsia="Times New Roman" w:hint="default"/>
                <w:sz w:val="18"/>
                <w:szCs w:val="18"/>
              </w:rPr>
            </w:pPr>
            <w:r>
              <w:rPr>
                <w:rFonts w:ascii="Times New Roman"/>
                <w:sz w:val="18"/>
              </w:rPr>
              <w:t>14,690,094.61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14,384,162.04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46,252,720.38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-53,838,911.10</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5,081,573.03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-1,000,892.25</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740,523.43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-136,602.48</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100,640,651.82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-6,097,695.83</w:t>
            </w:r>
          </w:p>
        </w:tc>
      </w:tr>
      <w:tr>
        <w:trPr>
          <w:trHeight w:val="161"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27" w:type="dxa"/>
            <w:vMerge/>
            <w:tcBorders>
              <w:left w:val="single" w:sz="4" w:space="0" w:color="000000"/>
              <w:right w:val="single" w:sz="4" w:space="0" w:color="000000"/>
            </w:tcBorders>
            <w:shd w:val="clear" w:color="auto" w:fill="D2D2D2"/>
          </w:tcPr>
          <w:p>
            <w:pPr/>
          </w:p>
        </w:tc>
        <w:tc>
          <w:tcPr>
            <w:tcW w:w="30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63"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463"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134,324,626.24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88,830,083.95</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88,830,083.95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241,554,901.65</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45,494,542.29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-152,724,817.70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134,324,626.24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88,830,083.95</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44,046.38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115,690.17</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134,280,579.86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88,714,393.78</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134,324,626.24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88,830,083.95</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58"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1,112,239.45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44</w:t>
      </w:r>
      <w:r>
        <w:rPr/>
        <w:t>、外币货币性项目</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7"/>
        <w:gridCol w:w="2293"/>
        <w:gridCol w:w="2390"/>
        <w:gridCol w:w="2391"/>
      </w:tblGrid>
      <w:tr>
        <w:trPr>
          <w:trHeight w:val="397"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6"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555,381.72</w:t>
            </w:r>
          </w:p>
        </w:tc>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6"/>
              <w:ind w:left="22" w:right="0"/>
              <w:jc w:val="left"/>
              <w:rPr>
                <w:rFonts w:ascii="Times New Roman" w:hAnsi="Times New Roman" w:cs="Times New Roman" w:eastAsia="Times New Roman" w:hint="default"/>
                <w:sz w:val="18"/>
                <w:szCs w:val="18"/>
              </w:rPr>
            </w:pPr>
            <w:r>
              <w:rPr>
                <w:rFonts w:ascii="Times New Roman"/>
                <w:sz w:val="18"/>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3,606,426.74</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19.77</w:t>
            </w:r>
          </w:p>
        </w:tc>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7.0952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140.27</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341.05</w:t>
            </w:r>
          </w:p>
        </w:tc>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285.72</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3,114,381.67</w:t>
            </w:r>
          </w:p>
        </w:tc>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20,223,548.81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14" w:lineRule="exact" w:before="30"/>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26"/>
        </w:rPr>
        <w:t> </w:t>
      </w:r>
      <w:r>
        <w:rPr>
          <w:spacing w:val="26"/>
        </w:rPr>
      </w:r>
      <w:r>
        <w:rPr/>
        <w:t>依据，记账本位币发生变化的还应披露原因。</w:t>
      </w:r>
      <w:r>
        <w:rPr>
          <w:b w:val="0"/>
          <w:bCs w:val="0"/>
        </w:rPr>
      </w:r>
    </w:p>
    <w:p>
      <w:pPr>
        <w:spacing w:line="240" w:lineRule="auto" w:before="11"/>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八、合并范围的变更</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）合并成本及商誉</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童乐乐玩具</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51,250,400.00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51,250,400.00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50,212,054.88</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2" w:right="197"/>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1,038,345.12</w:t>
            </w:r>
          </w:p>
        </w:tc>
      </w:tr>
    </w:tbl>
    <w:p>
      <w:pPr>
        <w:spacing w:line="357" w:lineRule="auto" w:before="49"/>
        <w:ind w:left="152" w:right="5094"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）被购买方于购买日可辨认资产、负债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3" w:type="dxa"/>
            <w:gridSpan w:val="2"/>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1,113,911.14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1,113,911.14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69,799,977.20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65,751,880.70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75,869,648.12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23,869,422.65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214,400.93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214,400.93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5,481.20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5,481.20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631,218.45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631,218.45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66,281,995.68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66,281,995.68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8,800.00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8,800.00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61,884.00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61,884.00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30,710,238.48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30,710,238.48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50,212,054.88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-5,836,267.09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50,212,054.88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-5,836,267.09</w:t>
            </w:r>
          </w:p>
        </w:tc>
      </w:tr>
    </w:tbl>
    <w:p>
      <w:pPr>
        <w:spacing w:line="331" w:lineRule="auto" w:before="49"/>
        <w:ind w:left="152" w:right="3294" w:firstLine="0"/>
        <w:jc w:val="left"/>
        <w:rPr>
          <w:rFonts w:ascii="宋体" w:hAnsi="宋体" w:cs="宋体" w:eastAsia="宋体" w:hint="default"/>
          <w:sz w:val="18"/>
          <w:szCs w:val="18"/>
        </w:rPr>
      </w:pPr>
      <w:r>
        <w:rPr>
          <w:rFonts w:ascii="宋体" w:hAnsi="宋体" w:cs="宋体" w:eastAsia="宋体" w:hint="default"/>
          <w:sz w:val="18"/>
          <w:szCs w:val="18"/>
        </w:rPr>
        <w:t>可辨认资产、负债公允价值的确定方法： </w:t>
      </w:r>
      <w:r>
        <w:rPr>
          <w:rFonts w:ascii="宋体" w:hAnsi="宋体" w:cs="宋体" w:eastAsia="宋体" w:hint="default"/>
          <w:spacing w:val="-2"/>
          <w:sz w:val="21"/>
          <w:szCs w:val="21"/>
        </w:rPr>
        <w:t>可辨认资产、负债公允价值依据评估价值进行确定。</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18"/>
          <w:szCs w:val="18"/>
        </w:rPr>
        <w:t>企业合并中承担的被购买方的或有负债：</w:t>
      </w:r>
    </w:p>
    <w:p>
      <w:pPr>
        <w:spacing w:before="46"/>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九、在其他主体中的权益</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童乐乐玩具</w:t>
            </w:r>
          </w:p>
        </w:tc>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汕头</w:t>
            </w: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汕头</w:t>
            </w:r>
          </w:p>
        </w:tc>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2" w:hRule="exact"/>
        </w:trPr>
        <w:tc>
          <w:tcPr>
            <w:tcW w:w="13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群兴香港</w:t>
            </w:r>
          </w:p>
        </w:tc>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一般贸易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357" w:lineRule="auto" w:before="49"/>
        <w:ind w:left="152" w:right="1854"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57" w:lineRule="auto" w:before="29"/>
        <w:ind w:left="152" w:right="6174"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5"/>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3"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粤科租赁</w:t>
            </w:r>
          </w:p>
        </w:tc>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佛山</w:t>
            </w:r>
          </w:p>
        </w:tc>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917,232,331.89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319,727,927.82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2,250,131,047.92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576,587,830.65</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3,167,363,379.81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896,315,758.47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1,181,989,697.38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51,256,736.30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1,292,110,736.40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202,916,666.67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2,474,100,433.78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254,173,402.97</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693,262,946.03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642,142,355.50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138,652,589.21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128,428,471.10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145,762,237.58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24,872,322.63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51,201,704.64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22,142,355.50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51,201,704.64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22,142,355.50</w:t>
            </w:r>
          </w:p>
        </w:tc>
      </w:tr>
    </w:tbl>
    <w:p>
      <w:pPr>
        <w:spacing w:before="49"/>
        <w:ind w:left="152" w:right="10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3"/>
        <w:spacing w:line="240" w:lineRule="auto"/>
        <w:ind w:right="102"/>
        <w:jc w:val="left"/>
        <w:rPr>
          <w:b w:val="0"/>
          <w:bCs w:val="0"/>
        </w:rPr>
      </w:pPr>
      <w:r>
        <w:rPr>
          <w:rFonts w:ascii="Times New Roman" w:hAnsi="Times New Roman" w:cs="Times New Roman" w:eastAsia="Times New Roman" w:hint="default"/>
        </w:rPr>
        <w:t>3</w:t>
      </w:r>
      <w:r>
        <w:rPr/>
        <w:t>、在未纳入合并财务报表范围的结构化主体中的权益</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102"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4"/>
        <w:rPr>
          <w:rFonts w:ascii="宋体" w:hAnsi="宋体" w:cs="宋体" w:eastAsia="宋体" w:hint="default"/>
          <w:sz w:val="8"/>
          <w:szCs w:val="8"/>
        </w:rPr>
      </w:pPr>
    </w:p>
    <w:tbl>
      <w:tblPr>
        <w:tblW w:w="0" w:type="auto"/>
        <w:jc w:val="left"/>
        <w:tblInd w:w="150" w:type="dxa"/>
        <w:tblLayout w:type="fixed"/>
        <w:tblCellMar>
          <w:top w:w="0" w:type="dxa"/>
          <w:left w:w="0" w:type="dxa"/>
          <w:bottom w:w="0" w:type="dxa"/>
          <w:right w:w="0" w:type="dxa"/>
        </w:tblCellMar>
        <w:tblLook w:val="01E0"/>
      </w:tblPr>
      <w:tblGrid>
        <w:gridCol w:w="2934"/>
        <w:gridCol w:w="1450"/>
        <w:gridCol w:w="1239"/>
        <w:gridCol w:w="1241"/>
        <w:gridCol w:w="1436"/>
      </w:tblGrid>
      <w:tr>
        <w:trPr>
          <w:trHeight w:val="346"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主要经营地</w:t>
            </w:r>
          </w:p>
        </w:tc>
        <w:tc>
          <w:tcPr>
            <w:tcW w:w="1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8"/>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8"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合肥讯飞淘云科技有限公司</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1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10.00</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10.00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367" w:lineRule="exact"/>
        <w:ind w:right="102"/>
        <w:jc w:val="left"/>
        <w:rPr>
          <w:b w:val="0"/>
          <w:bCs w:val="0"/>
        </w:rPr>
      </w:pPr>
      <w:r>
        <w:rPr/>
        <w:t>十、与金融工具相关的风险</w:t>
      </w:r>
      <w:r>
        <w:rPr>
          <w:b w:val="0"/>
          <w:bCs w:val="0"/>
        </w:rPr>
      </w:r>
    </w:p>
    <w:p>
      <w:pPr>
        <w:spacing w:line="240" w:lineRule="auto" w:before="0"/>
        <w:rPr>
          <w:rFonts w:ascii="Microsoft JhengHei" w:hAnsi="Microsoft JhengHei" w:cs="Microsoft JhengHei" w:eastAsia="Microsoft JhengHei" w:hint="default"/>
          <w:b/>
          <w:bCs/>
          <w:sz w:val="17"/>
          <w:szCs w:val="17"/>
        </w:rPr>
      </w:pPr>
    </w:p>
    <w:p>
      <w:pPr>
        <w:pStyle w:val="BodyText"/>
        <w:spacing w:line="273" w:lineRule="auto"/>
        <w:ind w:right="102"/>
        <w:jc w:val="left"/>
      </w:pPr>
      <w:r>
        <w:rPr>
          <w:spacing w:val="-5"/>
        </w:rPr>
        <w:t>本公司的经营活动会面临各种金融风险：信用风险、流动风险和市场风险（主要为外汇风险和利率风险）。</w:t>
      </w:r>
      <w:r>
        <w:rPr>
          <w:spacing w:val="-7"/>
        </w:rPr>
        <w:t> </w:t>
      </w:r>
      <w:r>
        <w:rPr>
          <w:spacing w:val="-7"/>
        </w:rPr>
      </w:r>
      <w:r>
        <w:rPr/>
        <w:t>本公司整体的风险管理计划针对金融市场的不可预见性，力求减少对本公司财务业绩的潜在不利影响。</w:t>
      </w:r>
    </w:p>
    <w:p>
      <w:pPr>
        <w:pStyle w:val="BodyText"/>
        <w:spacing w:line="312" w:lineRule="exact" w:before="3"/>
        <w:ind w:right="102"/>
        <w:jc w:val="left"/>
      </w:pPr>
      <w:r>
        <w:rPr>
          <w:rFonts w:ascii="Microsoft JhengHei" w:hAnsi="Microsoft JhengHei" w:cs="Microsoft JhengHei" w:eastAsia="Microsoft JhengHei" w:hint="default"/>
          <w:b/>
          <w:bCs/>
        </w:rPr>
        <w:t>（一）信用风险</w:t>
      </w:r>
      <w:r>
        <w:rPr>
          <w:rFonts w:ascii="Microsoft JhengHei" w:hAnsi="Microsoft JhengHei" w:cs="Microsoft JhengHei" w:eastAsia="Microsoft JhengHei" w:hint="default"/>
          <w:b/>
          <w:bCs/>
          <w:spacing w:val="-45"/>
        </w:rPr>
        <w:t> </w:t>
      </w:r>
      <w:r>
        <w:rPr>
          <w:spacing w:val="-2"/>
        </w:rPr>
        <w:t>本公司的信用风险主要来自货币资金、应收账款、其他应收款。管理层已制定适当的信用政策，并且不断</w:t>
      </w:r>
      <w:r>
        <w:rPr>
          <w:spacing w:val="-47"/>
        </w:rPr>
        <w:t> </w:t>
      </w:r>
      <w:r>
        <w:rPr>
          <w:spacing w:val="-47"/>
        </w:rPr>
      </w:r>
      <w:r>
        <w:rPr/>
        <w:t>监察这些信用风险的敞口。</w:t>
      </w:r>
    </w:p>
    <w:p>
      <w:pPr>
        <w:pStyle w:val="BodyText"/>
        <w:spacing w:line="268" w:lineRule="auto" w:before="5"/>
        <w:ind w:right="102"/>
        <w:jc w:val="left"/>
      </w:pPr>
      <w:r>
        <w:rPr>
          <w:spacing w:val="-2"/>
        </w:rPr>
        <w:t>本公司持有的货币资金，主要存放于商业银行等金融机构，管理层认为这些商业银行具备较高信誉和资产</w:t>
      </w:r>
      <w:r>
        <w:rPr>
          <w:spacing w:val="-43"/>
        </w:rPr>
        <w:t> </w:t>
      </w:r>
      <w:r>
        <w:rPr>
          <w:spacing w:val="-43"/>
        </w:rPr>
      </w:r>
      <w:r>
        <w:rPr/>
        <w:t>状况，存在较低的信用风险。本公司采取限额政策以规避对任何金融机构的信贷风险。</w:t>
      </w:r>
      <w:r>
        <w:rPr>
          <w:w w:val="100"/>
        </w:rPr>
        <w:t> </w:t>
      </w:r>
      <w:r>
        <w:rPr>
          <w:spacing w:val="-2"/>
        </w:rPr>
        <w:t>对于应收账款、其他应收款和应收票据，本公司设定相关政策以控制信用风险敞口。本公司基于对客户的</w:t>
      </w:r>
      <w:r>
        <w:rPr>
          <w:spacing w:val="-44"/>
        </w:rPr>
        <w:t> </w:t>
      </w:r>
      <w:r>
        <w:rPr>
          <w:spacing w:val="-44"/>
        </w:rPr>
      </w:r>
      <w:r>
        <w:rPr>
          <w:spacing w:val="-2"/>
        </w:rPr>
        <w:t>财务状况、从第三方获取担保的可能性、信用记录及其它因素诸如目前市场状况等评估客户的信用资质并</w:t>
      </w:r>
      <w:r>
        <w:rPr>
          <w:spacing w:val="-42"/>
        </w:rPr>
        <w:t> </w:t>
      </w:r>
      <w:r>
        <w:rPr>
          <w:spacing w:val="-42"/>
        </w:rPr>
      </w:r>
      <w:r>
        <w:rPr>
          <w:spacing w:val="-2"/>
        </w:rPr>
        <w:t>设置相应信用期。本公司会定期对客户信用记录进行监控，对于信用记录不良的客户，本公司会采用书面</w:t>
      </w:r>
      <w:r>
        <w:rPr>
          <w:spacing w:val="-44"/>
        </w:rPr>
        <w:t> </w:t>
      </w:r>
      <w:r>
        <w:rPr>
          <w:spacing w:val="-44"/>
        </w:rPr>
      </w:r>
      <w:r>
        <w:rPr/>
        <w:t>催款、缩短信用期或取消信用期等方式，以确保本公司的整体信用风险在可控的范围内。</w:t>
      </w:r>
      <w:r>
        <w:rPr>
          <w:w w:val="100"/>
        </w:rPr>
        <w:t> </w:t>
      </w:r>
      <w:r>
        <w:rPr/>
        <w:t>截止财务报告日，本公司的前五大客户的应收款占本公司应收款项总额</w:t>
      </w:r>
      <w:r>
        <w:rPr>
          <w:rFonts w:ascii="Times New Roman" w:hAnsi="Times New Roman" w:cs="Times New Roman" w:eastAsia="Times New Roman" w:hint="default"/>
        </w:rPr>
        <w:t>64.81%</w:t>
      </w:r>
      <w:r>
        <w:rPr/>
        <w:t>。</w:t>
      </w:r>
      <w:r>
        <w:rPr>
          <w:w w:val="100"/>
        </w:rPr>
        <w:t> </w:t>
      </w:r>
      <w:r>
        <w:rPr/>
        <w:t>本公司所承受的最大信用风险敞口为资产负债表中每项金融资产</w:t>
      </w:r>
      <w:r>
        <w:rPr>
          <w:rFonts w:ascii="Times New Roman" w:hAnsi="Times New Roman" w:cs="Times New Roman" w:eastAsia="Times New Roman" w:hint="default"/>
        </w:rPr>
        <w:t>(</w:t>
      </w:r>
      <w:r>
        <w:rPr/>
        <w:t>包括衍生金融工具</w:t>
      </w: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spacing w:val="-6"/>
        </w:rPr>
        <w:t>的账面金额。本公司</w:t>
      </w:r>
      <w:r>
        <w:rPr>
          <w:spacing w:val="-103"/>
        </w:rPr>
        <w:t> </w:t>
      </w:r>
      <w:r>
        <w:rPr>
          <w:spacing w:val="-103"/>
        </w:rPr>
      </w:r>
      <w:r>
        <w:rPr/>
        <w:t>没有提供任何可能令本公司承受信用风险的担保。</w:t>
      </w:r>
    </w:p>
    <w:p>
      <w:pPr>
        <w:pStyle w:val="Heading3"/>
        <w:spacing w:line="311" w:lineRule="exact"/>
        <w:ind w:right="102"/>
        <w:jc w:val="left"/>
        <w:rPr>
          <w:b w:val="0"/>
          <w:bCs w:val="0"/>
        </w:rPr>
      </w:pPr>
      <w:r>
        <w:rPr/>
        <w:t>（二）流动性风险</w:t>
      </w:r>
      <w:r>
        <w:rPr>
          <w:b w:val="0"/>
          <w:bCs w:val="0"/>
        </w:rPr>
      </w:r>
    </w:p>
    <w:p>
      <w:pPr>
        <w:pStyle w:val="BodyText"/>
        <w:spacing w:line="266" w:lineRule="auto" w:before="13"/>
        <w:ind w:right="102"/>
        <w:jc w:val="left"/>
      </w:pPr>
      <w:r>
        <w:rPr/>
        <w:t>流动性风险是指本公司无法及时获得充足资金</w:t>
      </w:r>
      <w:r>
        <w:rPr>
          <w:rFonts w:ascii="Times New Roman" w:hAnsi="Times New Roman" w:cs="Times New Roman" w:eastAsia="Times New Roman" w:hint="default"/>
        </w:rPr>
        <w:t>,</w:t>
      </w:r>
      <w:r>
        <w:rPr/>
        <w:t>满足业务发展需要或偿付到期债务以及其他支付义务的风</w:t>
      </w:r>
      <w:r>
        <w:rPr>
          <w:spacing w:val="22"/>
        </w:rPr>
        <w:t> </w:t>
      </w:r>
      <w:r>
        <w:rPr>
          <w:spacing w:val="22"/>
        </w:rPr>
      </w:r>
      <w:r>
        <w:rPr/>
        <w:t>险。</w:t>
      </w:r>
      <w:r>
        <w:rPr>
          <w:spacing w:val="-103"/>
        </w:rPr>
        <w:t> </w:t>
      </w:r>
      <w:r>
        <w:rPr>
          <w:spacing w:val="-2"/>
        </w:rPr>
        <w:t>本公司财务部门持续监控公司短期和长期的资金需求，以确保维持充裕的现金储备；同时持续监控是否符</w:t>
      </w:r>
      <w:r>
        <w:rPr>
          <w:spacing w:val="-44"/>
        </w:rPr>
        <w:t> </w:t>
      </w:r>
      <w:r>
        <w:rPr>
          <w:spacing w:val="-44"/>
        </w:rPr>
      </w:r>
      <w:r>
        <w:rPr/>
        <w:t>合借款协议的规定，从主要金融机构获得提供足够备用资金的承诺，以满足短期和长期的资金需求。</w:t>
      </w:r>
    </w:p>
    <w:p>
      <w:pPr>
        <w:spacing w:after="0" w:line="266"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Heading3"/>
        <w:spacing w:line="308" w:lineRule="exact"/>
        <w:ind w:right="0"/>
        <w:jc w:val="left"/>
        <w:rPr>
          <w:b w:val="0"/>
          <w:bCs w:val="0"/>
        </w:rPr>
      </w:pPr>
      <w:r>
        <w:rPr/>
        <w:t>（三）市场风险</w:t>
      </w:r>
      <w:r>
        <w:rPr>
          <w:b w:val="0"/>
          <w:bCs w:val="0"/>
        </w:rPr>
      </w:r>
    </w:p>
    <w:p>
      <w:pPr>
        <w:pStyle w:val="BodyText"/>
        <w:spacing w:line="312" w:lineRule="exact" w:before="35"/>
        <w:ind w:right="0"/>
        <w:jc w:val="left"/>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外汇风险</w:t>
      </w:r>
      <w:r>
        <w:rPr>
          <w:rFonts w:ascii="Microsoft JhengHei" w:hAnsi="Microsoft JhengHei" w:cs="Microsoft JhengHei" w:eastAsia="Microsoft JhengHei" w:hint="default"/>
          <w:b/>
          <w:bCs/>
          <w:spacing w:val="-49"/>
        </w:rPr>
        <w:t> </w:t>
      </w:r>
      <w:r>
        <w:rPr>
          <w:spacing w:val="-2"/>
        </w:rPr>
        <w:t>本公司的主要经营位于中国境内，主要业务以人民币结算。但本公司已确认的外币资产和负债及未来的外</w:t>
      </w:r>
      <w:r>
        <w:rPr>
          <w:spacing w:val="-44"/>
        </w:rPr>
        <w:t> </w:t>
      </w:r>
      <w:r>
        <w:rPr>
          <w:spacing w:val="-44"/>
        </w:rPr>
      </w:r>
      <w:r>
        <w:rPr>
          <w:spacing w:val="-2"/>
        </w:rPr>
        <w:t>币交易（外币资产和负债及外币交易的计价货币主要为美元）依然存在外汇风险。本公司财务部门负责监</w:t>
      </w:r>
      <w:r>
        <w:rPr>
          <w:spacing w:val="-43"/>
        </w:rPr>
        <w:t> </w:t>
      </w:r>
      <w:r>
        <w:rPr>
          <w:spacing w:val="-43"/>
        </w:rPr>
      </w:r>
      <w:r>
        <w:rPr>
          <w:spacing w:val="-2"/>
        </w:rPr>
        <w:t>控公司外币交易和外币资产及负债的规模，以最大程度降低面临的外汇风险；为此，本公司以签署远期外</w:t>
      </w:r>
      <w:r>
        <w:rPr>
          <w:spacing w:val="-44"/>
        </w:rPr>
        <w:t> </w:t>
      </w:r>
      <w:r>
        <w:rPr>
          <w:spacing w:val="-44"/>
        </w:rPr>
      </w:r>
      <w:r>
        <w:rPr/>
        <w:t>汇合约来达到规避外汇风险的目的。</w:t>
      </w:r>
    </w:p>
    <w:p>
      <w:pPr>
        <w:pStyle w:val="BodyText"/>
        <w:spacing w:line="268" w:lineRule="exact" w:before="4"/>
        <w:ind w:right="0"/>
        <w:jc w:val="left"/>
      </w:pP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日，本公司无未到期的远期外汇合同安排。</w:t>
      </w:r>
    </w:p>
    <w:p>
      <w:pPr>
        <w:pStyle w:val="BodyText"/>
        <w:spacing w:line="312" w:lineRule="exact" w:before="39"/>
        <w:ind w:right="0"/>
        <w:jc w:val="left"/>
      </w:pP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利率风险</w:t>
      </w:r>
      <w:r>
        <w:rPr>
          <w:rFonts w:ascii="Microsoft JhengHei" w:hAnsi="Microsoft JhengHei" w:cs="Microsoft JhengHei" w:eastAsia="Microsoft JhengHei" w:hint="default"/>
          <w:b/>
          <w:bCs/>
          <w:spacing w:val="-49"/>
        </w:rPr>
        <w:t> </w:t>
      </w:r>
      <w:r>
        <w:rPr>
          <w:spacing w:val="-2"/>
        </w:rPr>
        <w:t>本公司的利率风险主要产生于银行借款等。浮动利率的金融负债使本公司面临现金流量利率风险，固定利</w:t>
      </w:r>
      <w:r>
        <w:rPr>
          <w:spacing w:val="-44"/>
        </w:rPr>
        <w:t> </w:t>
      </w:r>
      <w:r>
        <w:rPr>
          <w:spacing w:val="-44"/>
        </w:rPr>
      </w:r>
      <w:r>
        <w:rPr>
          <w:spacing w:val="-2"/>
        </w:rPr>
        <w:t>率的金融负债使本公司面临公允价值利率风险。本公司根据当时的市场环境来决定固定利率及浮动利率合</w:t>
      </w:r>
    </w:p>
    <w:p>
      <w:pPr>
        <w:pStyle w:val="BodyText"/>
        <w:spacing w:line="273" w:lineRule="auto" w:before="5"/>
        <w:ind w:right="146"/>
        <w:jc w:val="left"/>
      </w:pPr>
      <w:r>
        <w:rPr/>
        <w:t>同的相对比例。</w:t>
      </w:r>
      <w:r>
        <w:rPr>
          <w:spacing w:val="-103"/>
        </w:rPr>
        <w:t> </w:t>
      </w:r>
      <w:r>
        <w:rPr>
          <w:spacing w:val="-103"/>
        </w:rPr>
      </w:r>
      <w:r>
        <w:rPr>
          <w:spacing w:val="-2"/>
        </w:rPr>
        <w:t>本公司财务部门持续监控公司利率水平。利率上升会增加新增带息债务的成本以及本公司尚未付清的以浮</w:t>
      </w:r>
      <w:r>
        <w:rPr>
          <w:spacing w:val="-43"/>
        </w:rPr>
        <w:t> </w:t>
      </w:r>
      <w:r>
        <w:rPr>
          <w:spacing w:val="-43"/>
        </w:rPr>
      </w:r>
      <w:r>
        <w:rPr>
          <w:spacing w:val="-2"/>
        </w:rPr>
        <w:t>动利率计息的带息债务的利息支出，并对本公司的财务业绩产生重大的不利影响，管理层会依据最新的市</w:t>
      </w:r>
      <w:r>
        <w:rPr>
          <w:spacing w:val="-42"/>
        </w:rPr>
        <w:t> </w:t>
      </w:r>
      <w:r>
        <w:rPr>
          <w:spacing w:val="-42"/>
        </w:rPr>
      </w:r>
      <w:r>
        <w:rPr/>
        <w:t>场状况及时做出调整，这些调整可能是进行利率互换安排来降低利率风险。</w:t>
      </w:r>
      <w:r>
        <w:rPr>
          <w:w w:val="100"/>
        </w:rPr>
        <w:t> </w:t>
      </w:r>
      <w:r>
        <w:rPr/>
        <w:t>本年度公司无利率互换安排。</w:t>
      </w:r>
    </w:p>
    <w:p>
      <w:pPr>
        <w:spacing w:line="240" w:lineRule="auto" w:before="10"/>
        <w:rPr>
          <w:rFonts w:ascii="宋体" w:hAnsi="宋体" w:cs="宋体" w:eastAsia="宋体" w:hint="default"/>
          <w:sz w:val="15"/>
          <w:szCs w:val="15"/>
        </w:rPr>
      </w:pPr>
    </w:p>
    <w:p>
      <w:pPr>
        <w:pStyle w:val="Heading2"/>
        <w:spacing w:line="240" w:lineRule="auto"/>
        <w:ind w:right="0"/>
        <w:jc w:val="left"/>
        <w:rPr>
          <w:b w:val="0"/>
          <w:bCs w:val="0"/>
        </w:rPr>
      </w:pPr>
      <w:r>
        <w:rPr/>
        <w:t>十一、公允价值的披露</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line="458" w:lineRule="auto"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、持续和非持续第一层次公允价值计量项目市价的确定依据</w:t>
      </w:r>
      <w:r>
        <w:rPr>
          <w:rFonts w:ascii="Microsoft JhengHei" w:hAnsi="Microsoft JhengHei" w:cs="Microsoft JhengHei" w:eastAsia="Microsoft JhengHei" w:hint="default"/>
          <w:b/>
          <w:bCs/>
          <w:spacing w:val="-33"/>
          <w:sz w:val="21"/>
          <w:szCs w:val="21"/>
        </w:rPr>
        <w:t> </w:t>
      </w:r>
      <w:r>
        <w:rPr>
          <w:rFonts w:ascii="Microsoft JhengHei" w:hAnsi="Microsoft JhengHei" w:cs="Microsoft JhengHei" w:eastAsia="Microsoft JhengHei" w:hint="default"/>
          <w:b/>
          <w:bCs/>
          <w:spacing w:val="-33"/>
          <w:sz w:val="21"/>
          <w:szCs w:val="21"/>
        </w:rPr>
      </w:r>
      <w:r>
        <w:rPr>
          <w:rFonts w:ascii="宋体" w:hAnsi="宋体" w:cs="宋体" w:eastAsia="宋体" w:hint="default"/>
          <w:sz w:val="21"/>
          <w:szCs w:val="21"/>
        </w:rPr>
        <w:t>是在计量日能够取得的相同资产或负债在活跃市场上未经调整的报价。</w:t>
      </w:r>
      <w:r>
        <w:rPr>
          <w:rFonts w:ascii="宋体" w:hAnsi="宋体" w:cs="宋体" w:eastAsia="宋体" w:hint="default"/>
          <w:w w:val="100"/>
          <w:sz w:val="21"/>
          <w:szCs w:val="21"/>
        </w:rPr>
        <w:t> </w:t>
      </w:r>
      <w:r>
        <w:rPr>
          <w:rFonts w:ascii="Times New Roman" w:hAnsi="Times New Roman" w:cs="Times New Roman" w:eastAsia="Times New Roman" w:hint="default"/>
          <w:b/>
          <w:bCs/>
          <w:spacing w:val="-1"/>
          <w:sz w:val="21"/>
          <w:szCs w:val="21"/>
        </w:rPr>
        <w:t>2</w:t>
      </w:r>
      <w:r>
        <w:rPr>
          <w:rFonts w:ascii="Microsoft JhengHei" w:hAnsi="Microsoft JhengHei" w:cs="Microsoft JhengHei" w:eastAsia="Microsoft JhengHei" w:hint="default"/>
          <w:b/>
          <w:bCs/>
          <w:spacing w:val="-1"/>
          <w:sz w:val="21"/>
          <w:szCs w:val="21"/>
        </w:rPr>
        <w:t>、持续和非持续第二层次公允价值计量项目，采用的估值技术和重要参数的定性及定量信息</w:t>
      </w:r>
      <w:r>
        <w:rPr>
          <w:rFonts w:ascii="Microsoft JhengHei" w:hAnsi="Microsoft JhengHei" w:cs="Microsoft JhengHei" w:eastAsia="Microsoft JhengHei" w:hint="default"/>
          <w:b/>
          <w:bCs/>
          <w:spacing w:val="19"/>
          <w:sz w:val="21"/>
          <w:szCs w:val="21"/>
        </w:rPr>
        <w:t> </w:t>
      </w:r>
      <w:r>
        <w:rPr>
          <w:rFonts w:ascii="Microsoft JhengHei" w:hAnsi="Microsoft JhengHei" w:cs="Microsoft JhengHei" w:eastAsia="Microsoft JhengHei" w:hint="default"/>
          <w:b/>
          <w:bCs/>
          <w:spacing w:val="19"/>
          <w:sz w:val="21"/>
          <w:szCs w:val="21"/>
        </w:rPr>
      </w:r>
      <w:r>
        <w:rPr>
          <w:rFonts w:ascii="宋体" w:hAnsi="宋体" w:cs="宋体" w:eastAsia="宋体" w:hint="default"/>
          <w:sz w:val="21"/>
          <w:szCs w:val="21"/>
        </w:rPr>
        <w:t>是除第一层次输入值外相关资产或负债直接或间接可观察的输入值。</w:t>
      </w:r>
      <w:r>
        <w:rPr>
          <w:rFonts w:ascii="宋体" w:hAnsi="宋体" w:cs="宋体" w:eastAsia="宋体" w:hint="default"/>
          <w:w w:val="100"/>
          <w:sz w:val="21"/>
          <w:szCs w:val="21"/>
        </w:rPr>
        <w:t> </w:t>
      </w:r>
      <w:r>
        <w:rPr>
          <w:rFonts w:ascii="Times New Roman" w:hAnsi="Times New Roman" w:cs="Times New Roman" w:eastAsia="Times New Roman" w:hint="default"/>
          <w:b/>
          <w:bCs/>
          <w:spacing w:val="-1"/>
          <w:sz w:val="21"/>
          <w:szCs w:val="21"/>
        </w:rPr>
        <w:t>3</w:t>
      </w:r>
      <w:r>
        <w:rPr>
          <w:rFonts w:ascii="Microsoft JhengHei" w:hAnsi="Microsoft JhengHei" w:cs="Microsoft JhengHei" w:eastAsia="Microsoft JhengHei" w:hint="default"/>
          <w:b/>
          <w:bCs/>
          <w:spacing w:val="-1"/>
          <w:sz w:val="21"/>
          <w:szCs w:val="21"/>
        </w:rPr>
        <w:t>、持续和非持续第三层次公允价值计量项目，采用的估值技术和重要参数的定性及定量信息</w:t>
      </w:r>
      <w:r>
        <w:rPr>
          <w:rFonts w:ascii="Microsoft JhengHei" w:hAnsi="Microsoft JhengHei" w:cs="Microsoft JhengHei" w:eastAsia="Microsoft JhengHei" w:hint="default"/>
          <w:b/>
          <w:bCs/>
          <w:spacing w:val="19"/>
          <w:sz w:val="21"/>
          <w:szCs w:val="21"/>
        </w:rPr>
        <w:t> </w:t>
      </w:r>
      <w:r>
        <w:rPr>
          <w:rFonts w:ascii="Microsoft JhengHei" w:hAnsi="Microsoft JhengHei" w:cs="Microsoft JhengHei" w:eastAsia="Microsoft JhengHei" w:hint="default"/>
          <w:b/>
          <w:bCs/>
          <w:spacing w:val="19"/>
          <w:sz w:val="21"/>
          <w:szCs w:val="21"/>
        </w:rPr>
      </w:r>
      <w:r>
        <w:rPr>
          <w:rFonts w:ascii="宋体" w:hAnsi="宋体" w:cs="宋体" w:eastAsia="宋体" w:hint="default"/>
          <w:sz w:val="21"/>
          <w:szCs w:val="21"/>
        </w:rPr>
        <w:t>是相关资产或负债的不可观察输入值。</w:t>
      </w:r>
    </w:p>
    <w:p>
      <w:pPr>
        <w:pStyle w:val="Heading2"/>
        <w:spacing w:line="240" w:lineRule="auto" w:before="44"/>
        <w:ind w:right="0"/>
        <w:jc w:val="left"/>
        <w:rPr>
          <w:b w:val="0"/>
          <w:bCs w:val="0"/>
        </w:rPr>
      </w:pPr>
      <w:r>
        <w:rPr/>
        <w:t>十二、关联方及关联交易</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广东群兴投资有限 公司</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汕头</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44.85%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44.85%</w:t>
            </w:r>
          </w:p>
        </w:tc>
      </w:tr>
    </w:tbl>
    <w:p>
      <w:pPr>
        <w:spacing w:line="357" w:lineRule="auto" w:before="49"/>
        <w:ind w:left="152" w:right="6714"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本企业最终控制方是林伟章、黄仕群。 其他说明：</w:t>
      </w:r>
    </w:p>
    <w:p>
      <w:pPr>
        <w:spacing w:after="0" w:line="357"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本企业子公司的情况详见附注九。</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60" w:lineRule="auto" w:before="0"/>
        <w:ind w:left="152" w:right="131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before="67"/>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林伟章</w:t>
            </w:r>
          </w:p>
        </w:tc>
        <w:tc>
          <w:tcPr>
            <w:tcW w:w="47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董事长兼董秘、实际控制人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黄仕群</w:t>
            </w:r>
          </w:p>
        </w:tc>
        <w:tc>
          <w:tcPr>
            <w:tcW w:w="47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董事、总经理、实际控制人</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）关键管理人员报酬</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1,080,000.00</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十三、股份支付</w:t>
      </w:r>
      <w:r>
        <w:rPr>
          <w:b w:val="0"/>
          <w:bCs w:val="0"/>
        </w:rPr>
      </w:r>
    </w:p>
    <w:p>
      <w:pPr>
        <w:spacing w:line="240" w:lineRule="auto" w:before="4"/>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482" w:lineRule="auto" w:before="0"/>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Microsoft JhengHei" w:hAnsi="Microsoft JhengHei" w:cs="Microsoft JhengHei" w:eastAsia="Microsoft JhengHei" w:hint="default"/>
          <w:b/>
          <w:bCs/>
          <w:spacing w:val="-1"/>
          <w:sz w:val="21"/>
          <w:szCs w:val="21"/>
        </w:rPr>
        <w:t>、股份支付的修改、终止情况</w:t>
      </w:r>
      <w:r>
        <w:rPr>
          <w:rFonts w:ascii="Microsoft JhengHei" w:hAnsi="Microsoft JhengHei" w:cs="Microsoft JhengHei" w:eastAsia="Microsoft JhengHei" w:hint="default"/>
          <w:b/>
          <w:bCs/>
          <w:spacing w:val="-29"/>
          <w:sz w:val="21"/>
          <w:szCs w:val="21"/>
        </w:rPr>
        <w:t> </w:t>
      </w:r>
      <w:r>
        <w:rPr>
          <w:rFonts w:ascii="Microsoft JhengHei" w:hAnsi="Microsoft JhengHei" w:cs="Microsoft JhengHei" w:eastAsia="Microsoft JhengHei" w:hint="default"/>
          <w:b/>
          <w:bCs/>
          <w:spacing w:val="-29"/>
          <w:sz w:val="21"/>
          <w:szCs w:val="21"/>
        </w:rPr>
      </w:r>
      <w:r>
        <w:rPr>
          <w:rFonts w:ascii="宋体" w:hAnsi="宋体" w:cs="宋体" w:eastAsia="宋体" w:hint="default"/>
          <w:sz w:val="18"/>
          <w:szCs w:val="18"/>
        </w:rPr>
        <w:t>无</w:t>
      </w:r>
    </w:p>
    <w:p>
      <w:pPr>
        <w:spacing w:after="0" w:line="482"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102"/>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102"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5"/>
        <w:rPr>
          <w:rFonts w:ascii="宋体" w:hAnsi="宋体" w:cs="宋体" w:eastAsia="宋体" w:hint="default"/>
          <w:sz w:val="19"/>
          <w:szCs w:val="19"/>
        </w:rPr>
      </w:pPr>
    </w:p>
    <w:p>
      <w:pPr>
        <w:pStyle w:val="Heading2"/>
        <w:spacing w:line="240" w:lineRule="auto"/>
        <w:ind w:right="102"/>
        <w:jc w:val="left"/>
        <w:rPr>
          <w:b w:val="0"/>
          <w:bCs w:val="0"/>
        </w:rPr>
      </w:pPr>
      <w:r>
        <w:rPr/>
        <w:t>十四、承诺及或有事项</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102"/>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102"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0" w:lineRule="auto" w:before="94"/>
        <w:ind w:right="102"/>
        <w:jc w:val="left"/>
      </w:pPr>
      <w:r>
        <w:rPr/>
        <w:t>本公司不存在需要披露的重大承诺事项。</w:t>
      </w:r>
    </w:p>
    <w:p>
      <w:pPr>
        <w:spacing w:line="240" w:lineRule="auto" w:before="9"/>
        <w:rPr>
          <w:rFonts w:ascii="宋体" w:hAnsi="宋体" w:cs="宋体" w:eastAsia="宋体" w:hint="default"/>
          <w:sz w:val="20"/>
          <w:szCs w:val="20"/>
        </w:rPr>
      </w:pPr>
    </w:p>
    <w:p>
      <w:pPr>
        <w:pStyle w:val="Heading3"/>
        <w:spacing w:line="240" w:lineRule="auto"/>
        <w:ind w:right="102"/>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02"/>
        <w:jc w:val="left"/>
        <w:rPr>
          <w:b w:val="0"/>
          <w:bCs w:val="0"/>
        </w:rPr>
      </w:pPr>
      <w:r>
        <w:rPr/>
        <w:t>（</w:t>
      </w:r>
      <w:r>
        <w:rPr>
          <w:rFonts w:ascii="Times New Roman" w:hAnsi="Times New Roman" w:cs="Times New Roman" w:eastAsia="Times New Roman" w:hint="default"/>
        </w:rPr>
        <w:t>1</w:t>
      </w:r>
      <w:r>
        <w:rPr/>
        <w:t>） </w:t>
      </w:r>
      <w:r>
        <w:rPr>
          <w:spacing w:val="15"/>
        </w:rPr>
        <w:t> </w:t>
      </w:r>
      <w:r>
        <w:rPr/>
        <w:t>未决诉讼或仲裁形成的或有事项及其财务影响</w:t>
      </w:r>
      <w:r>
        <w:rPr>
          <w:b w:val="0"/>
          <w:bCs w:val="0"/>
        </w:rPr>
      </w:r>
    </w:p>
    <w:p>
      <w:pPr>
        <w:spacing w:line="240" w:lineRule="auto" w:before="0"/>
        <w:rPr>
          <w:rFonts w:ascii="Microsoft JhengHei" w:hAnsi="Microsoft JhengHei" w:cs="Microsoft JhengHei" w:eastAsia="Microsoft JhengHei" w:hint="default"/>
          <w:b/>
          <w:bCs/>
          <w:sz w:val="18"/>
          <w:szCs w:val="18"/>
        </w:rPr>
      </w:pPr>
    </w:p>
    <w:p>
      <w:pPr>
        <w:pStyle w:val="BodyText"/>
        <w:spacing w:line="261" w:lineRule="auto"/>
        <w:ind w:right="102"/>
        <w:jc w:val="left"/>
      </w:pPr>
      <w:r>
        <w:rPr/>
        <w:t>（</w:t>
      </w:r>
      <w:r>
        <w:rPr>
          <w:rFonts w:ascii="Times New Roman" w:hAnsi="Times New Roman" w:cs="Times New Roman" w:eastAsia="Times New Roman" w:hint="default"/>
        </w:rPr>
        <w:t>A</w:t>
      </w:r>
      <w:r>
        <w:rPr/>
        <w:t>）诉北京万豪天际文化传播股份有限公司买卖合同纠纷案</w:t>
      </w:r>
      <w:r>
        <w:rPr>
          <w:w w:val="100"/>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日，公司与北京万豪天际文化传播股份有限公司（简称万豪公司）签订《万豪天际总代理商</w:t>
      </w:r>
      <w:r>
        <w:rPr>
          <w:w w:val="100"/>
        </w:rPr>
        <w:t> </w:t>
      </w:r>
      <w:r>
        <w:rPr>
          <w:spacing w:val="-2"/>
        </w:rPr>
        <w:t>协议》，约定公司以万豪公司下达的《订单》为准，按照双方约定的规格、供货价格、数量、供货时间和</w:t>
      </w:r>
      <w:r>
        <w:rPr>
          <w:spacing w:val="-49"/>
        </w:rPr>
        <w:t> </w:t>
      </w:r>
      <w:r>
        <w:rPr>
          <w:spacing w:val="-49"/>
        </w:rPr>
      </w:r>
      <w:r>
        <w:rPr/>
        <w:t>运输方式向万豪公司提供产品。</w:t>
      </w:r>
      <w:r>
        <w:rPr>
          <w:w w:val="100"/>
        </w:rPr>
        <w:t> </w:t>
      </w:r>
      <w:r>
        <w:rPr>
          <w:spacing w:val="-2"/>
        </w:rPr>
        <w:t>因万豪公司中途终止协议，针对万豪公司的违约责任等事项，双方于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4</w:t>
      </w:r>
      <w:r>
        <w:rPr>
          <w:spacing w:val="-2"/>
        </w:rPr>
        <w:t>日达成协议，确定由万豪</w:t>
      </w:r>
      <w:r>
        <w:rPr>
          <w:spacing w:val="-43"/>
        </w:rPr>
        <w:t> </w:t>
      </w:r>
      <w:r>
        <w:rPr>
          <w:spacing w:val="-43"/>
        </w:rPr>
      </w:r>
      <w:r>
        <w:rPr>
          <w:spacing w:val="-5"/>
          <w:w w:val="100"/>
        </w:rPr>
        <w:t>公司于</w:t>
      </w:r>
      <w:r>
        <w:rPr>
          <w:rFonts w:ascii="Times New Roman" w:hAnsi="Times New Roman" w:cs="Times New Roman" w:eastAsia="Times New Roman" w:hint="default"/>
          <w:spacing w:val="-5"/>
          <w:w w:val="100"/>
        </w:rPr>
        <w:t>2014</w:t>
      </w:r>
      <w:r>
        <w:rPr>
          <w:spacing w:val="-5"/>
          <w:w w:val="100"/>
        </w:rPr>
        <w:t>年</w:t>
      </w:r>
      <w:r>
        <w:rPr>
          <w:rFonts w:ascii="Times New Roman" w:hAnsi="Times New Roman" w:cs="Times New Roman" w:eastAsia="Times New Roman" w:hint="default"/>
          <w:spacing w:val="-5"/>
          <w:w w:val="100"/>
        </w:rPr>
        <w:t>3</w:t>
      </w:r>
      <w:r>
        <w:rPr>
          <w:spacing w:val="-5"/>
          <w:w w:val="100"/>
        </w:rPr>
        <w:t>月至</w:t>
      </w:r>
      <w:r>
        <w:rPr>
          <w:rFonts w:ascii="Times New Roman" w:hAnsi="Times New Roman" w:cs="Times New Roman" w:eastAsia="Times New Roman" w:hint="default"/>
          <w:spacing w:val="-5"/>
          <w:w w:val="100"/>
        </w:rPr>
        <w:t>12</w:t>
      </w:r>
      <w:r>
        <w:rPr>
          <w:spacing w:val="-5"/>
          <w:w w:val="100"/>
        </w:rPr>
        <w:t>月支付公司</w:t>
      </w:r>
      <w:r>
        <w:rPr>
          <w:rFonts w:ascii="Times New Roman" w:hAnsi="Times New Roman" w:cs="Times New Roman" w:eastAsia="Times New Roman" w:hint="default"/>
          <w:spacing w:val="-5"/>
          <w:w w:val="100"/>
        </w:rPr>
        <w:t>150</w:t>
      </w:r>
      <w:r>
        <w:rPr>
          <w:spacing w:val="-5"/>
          <w:w w:val="100"/>
        </w:rPr>
        <w:t>万元清结，如万豪公司在上述期限未能付清，则万豪公司承担</w:t>
      </w:r>
      <w:r>
        <w:rPr>
          <w:rFonts w:ascii="Times New Roman" w:hAnsi="Times New Roman" w:cs="Times New Roman" w:eastAsia="Times New Roman" w:hint="default"/>
          <w:spacing w:val="-5"/>
          <w:w w:val="100"/>
        </w:rPr>
        <w:t>396.0882</w:t>
      </w:r>
      <w:r>
        <w:rPr>
          <w:rFonts w:ascii="Times New Roman" w:hAnsi="Times New Roman" w:cs="Times New Roman" w:eastAsia="Times New Roman" w:hint="default"/>
          <w:spacing w:val="-18"/>
          <w:w w:val="100"/>
        </w:rPr>
        <w:t> </w:t>
      </w:r>
      <w:r>
        <w:rPr>
          <w:rFonts w:ascii="Times New Roman" w:hAnsi="Times New Roman" w:cs="Times New Roman" w:eastAsia="Times New Roman" w:hint="default"/>
          <w:spacing w:val="-18"/>
          <w:w w:val="100"/>
        </w:rPr>
      </w:r>
      <w:r>
        <w:rPr>
          <w:spacing w:val="-5"/>
        </w:rPr>
        <w:t>万元及</w:t>
      </w:r>
      <w:r>
        <w:rPr>
          <w:rFonts w:ascii="Times New Roman" w:hAnsi="Times New Roman" w:cs="Times New Roman" w:eastAsia="Times New Roman" w:hint="default"/>
          <w:spacing w:val="-5"/>
        </w:rPr>
        <w:t>50</w:t>
      </w:r>
      <w:r>
        <w:rPr>
          <w:spacing w:val="-5"/>
        </w:rPr>
        <w:t>万元赔偿款的严格违约责任。事后，万豪公司仅于</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6-7</w:t>
      </w:r>
      <w:r>
        <w:rPr>
          <w:spacing w:val="-5"/>
        </w:rPr>
        <w:t>月付还本公司</w:t>
      </w:r>
      <w:r>
        <w:rPr>
          <w:rFonts w:ascii="Times New Roman" w:hAnsi="Times New Roman" w:cs="Times New Roman" w:eastAsia="Times New Roman" w:hint="default"/>
          <w:spacing w:val="-5"/>
        </w:rPr>
        <w:t>20</w:t>
      </w:r>
      <w:r>
        <w:rPr>
          <w:spacing w:val="-5"/>
        </w:rPr>
        <w:t>万元，再次失信违约。</w:t>
      </w:r>
      <w:r>
        <w:rPr>
          <w:spacing w:val="-48"/>
        </w:rPr>
        <w:t> </w:t>
      </w:r>
      <w:r>
        <w:rPr>
          <w:spacing w:val="-48"/>
        </w:rPr>
      </w:r>
      <w:r>
        <w:rPr/>
        <w:t>为追究万豪公司的违约责任，公司向北京市朝阳区人民法院对万豪公司提起诉讼，索偿人民币</w:t>
      </w:r>
      <w:r>
        <w:rPr>
          <w:rFonts w:ascii="Times New Roman" w:hAnsi="Times New Roman" w:cs="Times New Roman" w:eastAsia="Times New Roman" w:hint="default"/>
        </w:rPr>
        <w:t>426.0882</w:t>
      </w:r>
      <w:r>
        <w:rPr/>
        <w:t>万</w:t>
      </w:r>
      <w:r>
        <w:rPr>
          <w:w w:val="100"/>
        </w:rPr>
        <w:t> </w:t>
      </w:r>
      <w:r>
        <w:rPr/>
        <w:t>元。朝阳区法院已于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日立案，目前正在审理中。</w:t>
      </w:r>
    </w:p>
    <w:p>
      <w:pPr>
        <w:pStyle w:val="BodyText"/>
        <w:spacing w:line="264" w:lineRule="auto"/>
        <w:ind w:right="102"/>
        <w:jc w:val="left"/>
      </w:pPr>
      <w:r>
        <w:rPr/>
        <w:t>（</w:t>
      </w:r>
      <w:r>
        <w:rPr>
          <w:rFonts w:ascii="Times New Roman" w:hAnsi="Times New Roman" w:cs="Times New Roman" w:eastAsia="Times New Roman" w:hint="default"/>
        </w:rPr>
        <w:t>B</w:t>
      </w:r>
      <w:r>
        <w:rPr/>
        <w:t>）诉张文学侵犯外观设计专利案</w:t>
      </w:r>
      <w:r>
        <w:rPr>
          <w:w w:val="100"/>
        </w:rPr>
        <w:t> </w:t>
      </w:r>
      <w:r>
        <w:rPr>
          <w:spacing w:val="-2"/>
        </w:rPr>
        <w:t>因被告张文学在淘宝网店</w:t>
      </w:r>
      <w:r>
        <w:rPr>
          <w:rFonts w:ascii="Times New Roman" w:hAnsi="Times New Roman" w:cs="Times New Roman" w:eastAsia="Times New Roman" w:hint="default"/>
          <w:spacing w:val="-2"/>
        </w:rPr>
        <w:t>“</w:t>
      </w:r>
      <w:r>
        <w:rPr>
          <w:spacing w:val="-2"/>
        </w:rPr>
        <w:t>康贝尔儿童商城</w:t>
      </w:r>
      <w:r>
        <w:rPr>
          <w:rFonts w:ascii="Times New Roman" w:hAnsi="Times New Roman" w:cs="Times New Roman" w:eastAsia="Times New Roman" w:hint="default"/>
          <w:spacing w:val="-2"/>
        </w:rPr>
        <w:t>”</w:t>
      </w:r>
      <w:r>
        <w:rPr>
          <w:spacing w:val="-2"/>
        </w:rPr>
        <w:t>销售一款被控童车产品，涉嫌侵犯公司</w:t>
      </w:r>
      <w:r>
        <w:rPr>
          <w:rFonts w:ascii="Times New Roman" w:hAnsi="Times New Roman" w:cs="Times New Roman" w:eastAsia="Times New Roman" w:hint="default"/>
          <w:spacing w:val="-2"/>
        </w:rPr>
        <w:t>“</w:t>
      </w:r>
      <w:r>
        <w:rPr>
          <w:spacing w:val="-2"/>
        </w:rPr>
        <w:t>儿童车（</w:t>
      </w:r>
      <w:r>
        <w:rPr>
          <w:rFonts w:ascii="Times New Roman" w:hAnsi="Times New Roman" w:cs="Times New Roman" w:eastAsia="Times New Roman" w:hint="default"/>
          <w:spacing w:val="-2"/>
        </w:rPr>
        <w:t>7777</w:t>
      </w:r>
      <w:r>
        <w:rPr>
          <w:spacing w:val="-2"/>
        </w:rPr>
        <w:t>）</w:t>
      </w:r>
      <w:r>
        <w:rPr>
          <w:rFonts w:ascii="Times New Roman" w:hAnsi="Times New Roman" w:cs="Times New Roman" w:eastAsia="Times New Roman" w:hint="default"/>
          <w:spacing w:val="-2"/>
        </w:rPr>
        <w:t>”</w:t>
      </w:r>
      <w:r>
        <w:rPr>
          <w:spacing w:val="-2"/>
        </w:rPr>
        <w:t>外观</w:t>
      </w:r>
      <w:r>
        <w:rPr>
          <w:spacing w:val="-21"/>
        </w:rPr>
        <w:t> </w:t>
      </w:r>
      <w:r>
        <w:rPr>
          <w:spacing w:val="-2"/>
        </w:rPr>
        <w:t>设计专利。公司先向淘宝网运营单位浙江淘宝网络有限公司投诉，淘宝公司已对被控产品销售网店链接作</w:t>
      </w:r>
      <w:r>
        <w:rPr>
          <w:spacing w:val="-42"/>
        </w:rPr>
        <w:t> </w:t>
      </w:r>
      <w:r>
        <w:rPr>
          <w:spacing w:val="-42"/>
        </w:rPr>
      </w:r>
      <w:r>
        <w:rPr>
          <w:spacing w:val="-2"/>
        </w:rPr>
        <w:t>出删除处理；随后根据淘宝网披露的被告身份信息及民事诉讼法律规定，依法向广州知识产权法院对张文</w:t>
      </w:r>
      <w:r>
        <w:rPr>
          <w:spacing w:val="-44"/>
        </w:rPr>
        <w:t> </w:t>
      </w:r>
      <w:r>
        <w:rPr>
          <w:spacing w:val="-44"/>
        </w:rPr>
      </w:r>
      <w:r>
        <w:rPr/>
        <w:t>学提起诉讼，要求承担侵权民事责任索赔人民币</w:t>
      </w:r>
      <w:r>
        <w:rPr>
          <w:rFonts w:ascii="Times New Roman" w:hAnsi="Times New Roman" w:cs="Times New Roman" w:eastAsia="Times New Roman" w:hint="default"/>
        </w:rPr>
        <w:t>60</w:t>
      </w:r>
      <w:r>
        <w:rPr/>
        <w:t>万元。知产法院已于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22</w:t>
      </w:r>
      <w:r>
        <w:rPr/>
        <w:t>日立案，目前正在审</w:t>
      </w:r>
      <w:r>
        <w:rPr>
          <w:w w:val="100"/>
        </w:rPr>
        <w:t> </w:t>
      </w:r>
      <w:r>
        <w:rPr/>
        <w:t>理中，侵权是否成立及如何承担民事责任有待法院裁判。</w:t>
      </w:r>
    </w:p>
    <w:p>
      <w:pPr>
        <w:spacing w:line="240" w:lineRule="auto" w:before="1"/>
        <w:rPr>
          <w:rFonts w:ascii="宋体" w:hAnsi="宋体" w:cs="宋体" w:eastAsia="宋体" w:hint="default"/>
          <w:sz w:val="19"/>
          <w:szCs w:val="19"/>
        </w:rPr>
      </w:pPr>
    </w:p>
    <w:p>
      <w:pPr>
        <w:pStyle w:val="Heading3"/>
        <w:spacing w:line="240" w:lineRule="auto"/>
        <w:ind w:right="102"/>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102"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5"/>
        <w:rPr>
          <w:rFonts w:ascii="宋体" w:hAnsi="宋体" w:cs="宋体" w:eastAsia="宋体" w:hint="default"/>
          <w:sz w:val="19"/>
          <w:szCs w:val="19"/>
        </w:rPr>
      </w:pPr>
    </w:p>
    <w:p>
      <w:pPr>
        <w:pStyle w:val="Heading2"/>
        <w:spacing w:line="240" w:lineRule="auto"/>
        <w:ind w:right="102"/>
        <w:jc w:val="left"/>
        <w:rPr>
          <w:b w:val="0"/>
          <w:bCs w:val="0"/>
        </w:rPr>
      </w:pPr>
      <w:r>
        <w:rPr/>
        <w:t>十五、其他重要事项</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102"/>
        <w:jc w:val="left"/>
        <w:rPr>
          <w:b w:val="0"/>
          <w:bCs w:val="0"/>
        </w:rPr>
      </w:pPr>
      <w:r>
        <w:rPr>
          <w:rFonts w:ascii="Times New Roman" w:hAnsi="Times New Roman" w:cs="Times New Roman" w:eastAsia="Times New Roman" w:hint="default"/>
        </w:rPr>
        <w:t>1</w:t>
      </w:r>
      <w:r>
        <w:rPr/>
        <w:t>、其他对投资者决策有影响的重要交易和事项</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61" w:lineRule="auto"/>
        <w:ind w:right="102"/>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21</w:t>
      </w:r>
      <w:r>
        <w:rPr>
          <w:spacing w:val="-2"/>
        </w:rPr>
        <w:t>日，公司召开第二届董事会第三十一次会计审议通过了《公司关于本次发行股份购买资产并</w:t>
      </w:r>
      <w:r>
        <w:rPr>
          <w:spacing w:val="-36"/>
        </w:rPr>
        <w:t> </w:t>
      </w:r>
      <w:r>
        <w:rPr>
          <w:spacing w:val="-36"/>
        </w:rPr>
      </w:r>
      <w:r>
        <w:rPr>
          <w:spacing w:val="-4"/>
        </w:rPr>
        <w:t>募集配套资金方案的议案》及其他相关议案，并就此方案内容与四川三洲特种钢管有限公司（以下简称</w:t>
      </w:r>
      <w:r>
        <w:rPr>
          <w:rFonts w:ascii="Times New Roman" w:hAnsi="Times New Roman" w:cs="Times New Roman" w:eastAsia="Times New Roman" w:hint="default"/>
          <w:spacing w:val="-4"/>
        </w:rPr>
        <w:t>“</w:t>
      </w:r>
      <w:r>
        <w:rPr>
          <w:spacing w:val="-4"/>
        </w:rPr>
        <w:t>三</w:t>
      </w:r>
      <w:r>
        <w:rPr>
          <w:spacing w:val="-42"/>
        </w:rPr>
        <w:t> </w:t>
      </w:r>
      <w:r>
        <w:rPr>
          <w:spacing w:val="-2"/>
        </w:rPr>
        <w:t>洲特管</w:t>
      </w:r>
      <w:r>
        <w:rPr>
          <w:rFonts w:ascii="Times New Roman" w:hAnsi="Times New Roman" w:cs="Times New Roman" w:eastAsia="Times New Roman" w:hint="default"/>
          <w:spacing w:val="-2"/>
        </w:rPr>
        <w:t>”</w:t>
      </w:r>
      <w:r>
        <w:rPr>
          <w:spacing w:val="-2"/>
        </w:rPr>
        <w:t>）、中国核动力研究设计院（以下简称</w:t>
      </w:r>
      <w:r>
        <w:rPr>
          <w:rFonts w:ascii="Times New Roman" w:hAnsi="Times New Roman" w:cs="Times New Roman" w:eastAsia="Times New Roman" w:hint="default"/>
          <w:spacing w:val="-2"/>
        </w:rPr>
        <w:t>“</w:t>
      </w:r>
      <w:r>
        <w:rPr>
          <w:spacing w:val="-2"/>
        </w:rPr>
        <w:t>核动力院</w:t>
      </w:r>
      <w:r>
        <w:rPr>
          <w:rFonts w:ascii="Times New Roman" w:hAnsi="Times New Roman" w:cs="Times New Roman" w:eastAsia="Times New Roman" w:hint="default"/>
          <w:spacing w:val="-2"/>
        </w:rPr>
        <w:t>”</w:t>
      </w:r>
      <w:r>
        <w:rPr>
          <w:spacing w:val="-2"/>
        </w:rPr>
        <w:t>）、华夏人寿保险股份有限公司（以下简称</w:t>
      </w:r>
      <w:r>
        <w:rPr>
          <w:rFonts w:ascii="Times New Roman" w:hAnsi="Times New Roman" w:cs="Times New Roman" w:eastAsia="Times New Roman" w:hint="default"/>
          <w:spacing w:val="-2"/>
        </w:rPr>
        <w:t>“</w:t>
      </w:r>
      <w:r>
        <w:rPr>
          <w:spacing w:val="-2"/>
        </w:rPr>
        <w:t>华</w:t>
      </w:r>
      <w:r>
        <w:rPr>
          <w:spacing w:val="-25"/>
        </w:rPr>
        <w:t> </w:t>
      </w:r>
      <w:r>
        <w:rPr/>
        <w:t>夏人寿</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交易对方</w:t>
      </w:r>
      <w:r>
        <w:rPr>
          <w:rFonts w:ascii="Times New Roman" w:hAnsi="Times New Roman" w:cs="Times New Roman" w:eastAsia="Times New Roman" w:hint="default"/>
        </w:rPr>
        <w:t>”</w:t>
      </w:r>
      <w:r>
        <w:rPr/>
        <w:t>）签订了《发行股份购买资产协议》。</w:t>
      </w:r>
      <w:r>
        <w:rPr>
          <w:w w:val="100"/>
        </w:rPr>
        <w:t> </w:t>
      </w:r>
      <w:r>
        <w:rPr>
          <w:spacing w:val="-2"/>
        </w:rPr>
        <w:t>公司拟以发行股份作为对价向交易对方购买其合计持有的四川三洲川化机核能设备制造有限公司（以下简</w:t>
      </w:r>
      <w:r>
        <w:rPr>
          <w:spacing w:val="-43"/>
        </w:rPr>
        <w:t> </w:t>
      </w:r>
      <w:r>
        <w:rPr>
          <w:spacing w:val="-43"/>
        </w:rPr>
      </w:r>
      <w:r>
        <w:rPr>
          <w:spacing w:val="-2"/>
        </w:rPr>
        <w:t>称</w:t>
      </w:r>
      <w:r>
        <w:rPr>
          <w:rFonts w:ascii="Times New Roman" w:hAnsi="Times New Roman" w:cs="Times New Roman" w:eastAsia="Times New Roman" w:hint="default"/>
          <w:spacing w:val="-2"/>
        </w:rPr>
        <w:t>“</w:t>
      </w:r>
      <w:r>
        <w:rPr>
          <w:spacing w:val="-2"/>
        </w:rPr>
        <w:t>三洲核能</w:t>
      </w:r>
      <w:r>
        <w:rPr>
          <w:rFonts w:ascii="Times New Roman" w:hAnsi="Times New Roman" w:cs="Times New Roman" w:eastAsia="Times New Roman" w:hint="default"/>
          <w:spacing w:val="-2"/>
        </w:rPr>
        <w:t>”</w:t>
      </w:r>
      <w:r>
        <w:rPr>
          <w:spacing w:val="-2"/>
        </w:rPr>
        <w:t>或</w:t>
      </w:r>
      <w:r>
        <w:rPr>
          <w:rFonts w:ascii="Times New Roman" w:hAnsi="Times New Roman" w:cs="Times New Roman" w:eastAsia="Times New Roman" w:hint="default"/>
          <w:spacing w:val="-2"/>
        </w:rPr>
        <w:t>“</w:t>
      </w:r>
      <w:r>
        <w:rPr>
          <w:spacing w:val="-2"/>
        </w:rPr>
        <w:t>标的公司</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100%</w:t>
      </w:r>
      <w:r>
        <w:rPr>
          <w:spacing w:val="-2"/>
        </w:rPr>
        <w:t>的股权（以下简称</w:t>
      </w:r>
      <w:r>
        <w:rPr>
          <w:rFonts w:ascii="Times New Roman" w:hAnsi="Times New Roman" w:cs="Times New Roman" w:eastAsia="Times New Roman" w:hint="default"/>
          <w:spacing w:val="-2"/>
        </w:rPr>
        <w:t>“</w:t>
      </w:r>
      <w:r>
        <w:rPr>
          <w:spacing w:val="-2"/>
        </w:rPr>
        <w:t>标的资产</w:t>
      </w:r>
      <w:r>
        <w:rPr>
          <w:rFonts w:ascii="Times New Roman" w:hAnsi="Times New Roman" w:cs="Times New Roman" w:eastAsia="Times New Roman" w:hint="default"/>
          <w:spacing w:val="-2"/>
        </w:rPr>
        <w:t>”</w:t>
      </w:r>
      <w:r>
        <w:rPr>
          <w:spacing w:val="-2"/>
        </w:rPr>
        <w:t>）；同时，公司拟进行配套融资，通过锁</w:t>
      </w:r>
    </w:p>
    <w:p>
      <w:pPr>
        <w:spacing w:after="0" w:line="261"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BodyText"/>
        <w:spacing w:line="261" w:lineRule="auto" w:before="36"/>
        <w:ind w:right="102"/>
        <w:jc w:val="left"/>
      </w:pPr>
      <w:r>
        <w:rPr>
          <w:spacing w:val="-2"/>
        </w:rPr>
        <w:t>价方式向三洲特管、中广核资本控股有限公司（以下简称</w:t>
      </w:r>
      <w:r>
        <w:rPr>
          <w:rFonts w:ascii="Times New Roman" w:hAnsi="Times New Roman" w:cs="Times New Roman" w:eastAsia="Times New Roman" w:hint="default"/>
          <w:spacing w:val="-2"/>
        </w:rPr>
        <w:t>“</w:t>
      </w:r>
      <w:r>
        <w:rPr>
          <w:spacing w:val="-2"/>
        </w:rPr>
        <w:t>中广核资本</w:t>
      </w:r>
      <w:r>
        <w:rPr>
          <w:rFonts w:ascii="Times New Roman" w:hAnsi="Times New Roman" w:cs="Times New Roman" w:eastAsia="Times New Roman" w:hint="default"/>
          <w:spacing w:val="-2"/>
        </w:rPr>
        <w:t>”</w:t>
      </w:r>
      <w:r>
        <w:rPr>
          <w:spacing w:val="-2"/>
        </w:rPr>
        <w:t>）、西藏国核富盈股权投资合伙企</w:t>
      </w:r>
      <w:r>
        <w:rPr>
          <w:spacing w:val="-17"/>
        </w:rPr>
        <w:t> </w:t>
      </w:r>
      <w:r>
        <w:rPr>
          <w:spacing w:val="-17"/>
        </w:rPr>
      </w:r>
      <w:r>
        <w:rPr>
          <w:spacing w:val="-13"/>
          <w:w w:val="100"/>
        </w:rPr>
        <w:t>业（有限合伙）（以下简称</w:t>
      </w:r>
      <w:r>
        <w:rPr>
          <w:rFonts w:ascii="Times New Roman" w:hAnsi="Times New Roman" w:cs="Times New Roman" w:eastAsia="Times New Roman" w:hint="default"/>
          <w:spacing w:val="-13"/>
          <w:w w:val="100"/>
        </w:rPr>
        <w:t>“</w:t>
      </w:r>
      <w:r>
        <w:rPr>
          <w:spacing w:val="-13"/>
          <w:w w:val="100"/>
        </w:rPr>
        <w:t>国核富盈</w:t>
      </w:r>
      <w:r>
        <w:rPr>
          <w:rFonts w:ascii="Times New Roman" w:hAnsi="Times New Roman" w:cs="Times New Roman" w:eastAsia="Times New Roman" w:hint="default"/>
          <w:spacing w:val="-13"/>
          <w:w w:val="100"/>
        </w:rPr>
        <w:t>”</w:t>
      </w:r>
      <w:r>
        <w:rPr>
          <w:spacing w:val="-13"/>
          <w:w w:val="100"/>
        </w:rPr>
        <w:t>）、西藏广合股权投资合伙企业（有限合伙）（以下简称</w:t>
      </w:r>
      <w:r>
        <w:rPr>
          <w:rFonts w:ascii="Times New Roman" w:hAnsi="Times New Roman" w:cs="Times New Roman" w:eastAsia="Times New Roman" w:hint="default"/>
          <w:spacing w:val="-13"/>
          <w:w w:val="100"/>
        </w:rPr>
        <w:t>“</w:t>
      </w:r>
      <w:r>
        <w:rPr>
          <w:spacing w:val="-13"/>
          <w:w w:val="100"/>
        </w:rPr>
        <w:t>西藏广合</w:t>
      </w:r>
      <w:r>
        <w:rPr>
          <w:rFonts w:ascii="Times New Roman" w:hAnsi="Times New Roman" w:cs="Times New Roman" w:eastAsia="Times New Roman" w:hint="default"/>
          <w:spacing w:val="-13"/>
          <w:w w:val="100"/>
        </w:rPr>
        <w:t>”</w:t>
      </w:r>
      <w:r>
        <w:rPr>
          <w:spacing w:val="-13"/>
          <w:w w:val="100"/>
        </w:rPr>
        <w:t>）、</w:t>
      </w:r>
      <w:r>
        <w:rPr>
          <w:spacing w:val="-75"/>
          <w:w w:val="100"/>
        </w:rPr>
        <w:t> </w:t>
      </w:r>
      <w:r>
        <w:rPr>
          <w:spacing w:val="-2"/>
        </w:rPr>
        <w:t>北京永图沃通投资管理中心（有限合伙）（以下简称</w:t>
      </w:r>
      <w:r>
        <w:rPr>
          <w:rFonts w:ascii="Times New Roman" w:hAnsi="Times New Roman" w:cs="Times New Roman" w:eastAsia="Times New Roman" w:hint="default"/>
          <w:spacing w:val="-2"/>
        </w:rPr>
        <w:t>“</w:t>
      </w:r>
      <w:r>
        <w:rPr>
          <w:spacing w:val="-2"/>
        </w:rPr>
        <w:t>永图沃通</w:t>
      </w:r>
      <w:r>
        <w:rPr>
          <w:rFonts w:ascii="Times New Roman" w:hAnsi="Times New Roman" w:cs="Times New Roman" w:eastAsia="Times New Roman" w:hint="default"/>
          <w:spacing w:val="-2"/>
        </w:rPr>
        <w:t>”</w:t>
      </w:r>
      <w:r>
        <w:rPr>
          <w:spacing w:val="-2"/>
        </w:rPr>
        <w:t>）、北京中合国能投资管理合伙企业（有</w:t>
      </w:r>
      <w:r>
        <w:rPr>
          <w:spacing w:val="-18"/>
        </w:rPr>
        <w:t> </w:t>
      </w:r>
      <w:r>
        <w:rPr>
          <w:spacing w:val="-18"/>
        </w:rPr>
      </w:r>
      <w:r>
        <w:rPr>
          <w:spacing w:val="-2"/>
        </w:rPr>
        <w:t>限合伙）（以下简称</w:t>
      </w:r>
      <w:r>
        <w:rPr>
          <w:rFonts w:ascii="Times New Roman" w:hAnsi="Times New Roman" w:cs="Times New Roman" w:eastAsia="Times New Roman" w:hint="default"/>
          <w:spacing w:val="-2"/>
        </w:rPr>
        <w:t>“</w:t>
      </w:r>
      <w:r>
        <w:rPr>
          <w:spacing w:val="-2"/>
        </w:rPr>
        <w:t>中合国能</w:t>
      </w:r>
      <w:r>
        <w:rPr>
          <w:rFonts w:ascii="Times New Roman" w:hAnsi="Times New Roman" w:cs="Times New Roman" w:eastAsia="Times New Roman" w:hint="default"/>
          <w:spacing w:val="-2"/>
        </w:rPr>
        <w:t>”</w:t>
      </w:r>
      <w:r>
        <w:rPr>
          <w:spacing w:val="-2"/>
        </w:rPr>
        <w:t>）、北京北加凯隆投资咨询有限公司（以下简称</w:t>
      </w:r>
      <w:r>
        <w:rPr>
          <w:rFonts w:ascii="Times New Roman" w:hAnsi="Times New Roman" w:cs="Times New Roman" w:eastAsia="Times New Roman" w:hint="default"/>
          <w:spacing w:val="-2"/>
        </w:rPr>
        <w:t>“</w:t>
      </w:r>
      <w:r>
        <w:rPr>
          <w:spacing w:val="-2"/>
        </w:rPr>
        <w:t>北加凯隆</w:t>
      </w:r>
      <w:r>
        <w:rPr>
          <w:rFonts w:ascii="Times New Roman" w:hAnsi="Times New Roman" w:cs="Times New Roman" w:eastAsia="Times New Roman" w:hint="default"/>
          <w:spacing w:val="-2"/>
        </w:rPr>
        <w:t>”</w:t>
      </w:r>
      <w:r>
        <w:rPr>
          <w:spacing w:val="-2"/>
        </w:rPr>
        <w:t>）、成都信合</w:t>
      </w:r>
      <w:r>
        <w:rPr>
          <w:spacing w:val="-24"/>
        </w:rPr>
        <w:t> </w:t>
      </w:r>
      <w:r>
        <w:rPr>
          <w:spacing w:val="-24"/>
        </w:rPr>
      </w:r>
      <w:r>
        <w:rPr>
          <w:spacing w:val="-4"/>
        </w:rPr>
        <w:t>精诚股权投资基金管理中心（普通合伙）（以下简称</w:t>
      </w:r>
      <w:r>
        <w:rPr>
          <w:rFonts w:ascii="Times New Roman" w:hAnsi="Times New Roman" w:cs="Times New Roman" w:eastAsia="Times New Roman" w:hint="default"/>
          <w:spacing w:val="-4"/>
        </w:rPr>
        <w:t>“</w:t>
      </w:r>
      <w:r>
        <w:rPr>
          <w:spacing w:val="-4"/>
        </w:rPr>
        <w:t>信合精诚</w:t>
      </w:r>
      <w:r>
        <w:rPr>
          <w:rFonts w:ascii="Times New Roman" w:hAnsi="Times New Roman" w:cs="Times New Roman" w:eastAsia="Times New Roman" w:hint="default"/>
          <w:spacing w:val="-4"/>
        </w:rPr>
        <w:t>”</w:t>
      </w:r>
      <w:r>
        <w:rPr>
          <w:spacing w:val="-4"/>
        </w:rPr>
        <w:t>）等</w:t>
      </w:r>
      <w:r>
        <w:rPr>
          <w:rFonts w:ascii="Times New Roman" w:hAnsi="Times New Roman" w:cs="Times New Roman" w:eastAsia="Times New Roman" w:hint="default"/>
          <w:spacing w:val="-4"/>
        </w:rPr>
        <w:t>8</w:t>
      </w:r>
      <w:r>
        <w:rPr>
          <w:spacing w:val="-4"/>
        </w:rPr>
        <w:t>名合格投资者非公开发行股票募集配</w:t>
      </w:r>
      <w:r>
        <w:rPr>
          <w:spacing w:val="-29"/>
        </w:rPr>
        <w:t> </w:t>
      </w:r>
      <w:r>
        <w:rPr>
          <w:spacing w:val="-29"/>
        </w:rPr>
      </w:r>
      <w:r>
        <w:rPr>
          <w:spacing w:val="-3"/>
        </w:rPr>
        <w:t>套资金不超过</w:t>
      </w:r>
      <w:r>
        <w:rPr>
          <w:rFonts w:ascii="Times New Roman" w:hAnsi="Times New Roman" w:cs="Times New Roman" w:eastAsia="Times New Roman" w:hint="default"/>
          <w:spacing w:val="-3"/>
        </w:rPr>
        <w:t>81,396.00</w:t>
      </w:r>
      <w:r>
        <w:rPr>
          <w:spacing w:val="-3"/>
        </w:rPr>
        <w:t>万元，募集配套资金总额不超过本次拟购买资产交易价格的</w:t>
      </w:r>
      <w:r>
        <w:rPr>
          <w:rFonts w:ascii="Times New Roman" w:hAnsi="Times New Roman" w:cs="Times New Roman" w:eastAsia="Times New Roman" w:hint="default"/>
          <w:spacing w:val="-3"/>
        </w:rPr>
        <w:t>100%</w:t>
      </w:r>
      <w:r>
        <w:rPr>
          <w:spacing w:val="-3"/>
        </w:rPr>
        <w:t>。本次发行股份购</w:t>
      </w:r>
      <w:r>
        <w:rPr>
          <w:spacing w:val="-46"/>
        </w:rPr>
        <w:t> </w:t>
      </w:r>
      <w:r>
        <w:rPr>
          <w:spacing w:val="-46"/>
        </w:rPr>
      </w:r>
      <w:r>
        <w:rPr>
          <w:spacing w:val="-2"/>
        </w:rPr>
        <w:t>买资产不以募集配套资金的成功实施为前提，最终募集配套资金成功与否不影响本次发行股份购买资产的</w:t>
      </w:r>
      <w:r>
        <w:rPr>
          <w:spacing w:val="-43"/>
        </w:rPr>
        <w:t> </w:t>
      </w:r>
      <w:r>
        <w:rPr>
          <w:spacing w:val="-43"/>
        </w:rPr>
      </w:r>
      <w:r>
        <w:rPr/>
        <w:t>实施。</w:t>
      </w:r>
      <w:r>
        <w:rPr>
          <w:spacing w:val="-102"/>
        </w:rPr>
        <w:t> </w:t>
      </w:r>
      <w:r>
        <w:rPr>
          <w:spacing w:val="-2"/>
        </w:rPr>
        <w:t>根据具有证券期货相关业务资格的评估机构出具的标的资产截至基准日的预估值，交易各方初步协商，暂</w:t>
      </w:r>
      <w:r>
        <w:rPr>
          <w:spacing w:val="-43"/>
        </w:rPr>
        <w:t> </w:t>
      </w:r>
      <w:r>
        <w:rPr>
          <w:spacing w:val="-43"/>
        </w:rPr>
      </w:r>
      <w:r>
        <w:rPr/>
        <w:t>定本次发行股份购买资产的交易价格为</w:t>
      </w:r>
      <w:r>
        <w:rPr>
          <w:rFonts w:ascii="Times New Roman" w:hAnsi="Times New Roman" w:cs="Times New Roman" w:eastAsia="Times New Roman" w:hint="default"/>
        </w:rPr>
        <w:t>160,000.00</w:t>
      </w:r>
      <w:r>
        <w:rPr/>
        <w:t>万元，最终交易价格由交易各方参照具有证券期货相关</w:t>
      </w:r>
      <w:r>
        <w:rPr>
          <w:w w:val="100"/>
        </w:rPr>
        <w:t> </w:t>
      </w:r>
      <w:r>
        <w:rPr/>
        <w:t>业务资格的评估机构出具且经有权单位核准</w:t>
      </w:r>
      <w:r>
        <w:rPr>
          <w:rFonts w:ascii="Times New Roman" w:hAnsi="Times New Roman" w:cs="Times New Roman" w:eastAsia="Times New Roman" w:hint="default"/>
        </w:rPr>
        <w:t>/</w:t>
      </w:r>
      <w:r>
        <w:rPr/>
        <w:t>备案的评估报告确定的标的资产评估值协商确定。</w:t>
      </w:r>
      <w:r>
        <w:rPr>
          <w:w w:val="100"/>
        </w:rPr>
        <w:t> </w:t>
      </w:r>
      <w:r>
        <w:rPr>
          <w:spacing w:val="-2"/>
        </w:rPr>
        <w:t>公司本次发行股份购买资产的股票发行价格，不低于公司审议本次发行股份购买资产相关事项的董事会决</w:t>
      </w:r>
      <w:r>
        <w:rPr>
          <w:spacing w:val="-43"/>
        </w:rPr>
        <w:t> </w:t>
      </w:r>
      <w:r>
        <w:rPr>
          <w:spacing w:val="-43"/>
        </w:rPr>
      </w:r>
      <w:r>
        <w:rPr>
          <w:spacing w:val="-2"/>
        </w:rPr>
        <w:t>议公告日（定价基准日）前</w:t>
      </w:r>
      <w:r>
        <w:rPr>
          <w:rFonts w:ascii="Times New Roman" w:hAnsi="Times New Roman" w:cs="Times New Roman" w:eastAsia="Times New Roman" w:hint="default"/>
          <w:spacing w:val="-2"/>
        </w:rPr>
        <w:t>120</w:t>
      </w:r>
      <w:r>
        <w:rPr>
          <w:spacing w:val="-2"/>
        </w:rPr>
        <w:t>个交易日甲方股票交易均价的</w:t>
      </w:r>
      <w:r>
        <w:rPr>
          <w:rFonts w:ascii="Times New Roman" w:hAnsi="Times New Roman" w:cs="Times New Roman" w:eastAsia="Times New Roman" w:hint="default"/>
          <w:spacing w:val="-2"/>
        </w:rPr>
        <w:t>90%</w:t>
      </w:r>
      <w:r>
        <w:rPr>
          <w:spacing w:val="-2"/>
        </w:rPr>
        <w:t>（董事会决议公告日前</w:t>
      </w:r>
      <w:r>
        <w:rPr>
          <w:rFonts w:ascii="Times New Roman" w:hAnsi="Times New Roman" w:cs="Times New Roman" w:eastAsia="Times New Roman" w:hint="default"/>
          <w:spacing w:val="-2"/>
        </w:rPr>
        <w:t>120</w:t>
      </w:r>
      <w:r>
        <w:rPr>
          <w:spacing w:val="-2"/>
        </w:rPr>
        <w:t>个交易日股票</w:t>
      </w:r>
      <w:r>
        <w:rPr>
          <w:spacing w:val="-18"/>
        </w:rPr>
        <w:t> </w:t>
      </w:r>
      <w:r>
        <w:rPr>
          <w:spacing w:val="-18"/>
        </w:rPr>
      </w:r>
      <w:r>
        <w:rPr/>
        <w:t>交易均价</w:t>
      </w:r>
      <w:r>
        <w:rPr>
          <w:rFonts w:ascii="Times New Roman" w:hAnsi="Times New Roman" w:cs="Times New Roman" w:eastAsia="Times New Roman" w:hint="default"/>
        </w:rPr>
        <w:t>=</w:t>
      </w:r>
      <w:r>
        <w:rPr/>
        <w:t>董事会决议公告日前</w:t>
      </w:r>
      <w:r>
        <w:rPr>
          <w:rFonts w:ascii="Times New Roman" w:hAnsi="Times New Roman" w:cs="Times New Roman" w:eastAsia="Times New Roman" w:hint="default"/>
        </w:rPr>
        <w:t>120</w:t>
      </w:r>
      <w:r>
        <w:rPr/>
        <w:t>个交易日股票交易总额</w:t>
      </w:r>
      <w:r>
        <w:rPr>
          <w:rFonts w:ascii="Times New Roman" w:hAnsi="Times New Roman" w:cs="Times New Roman" w:eastAsia="Times New Roman" w:hint="default"/>
        </w:rPr>
        <w:t>/</w:t>
      </w:r>
      <w:r>
        <w:rPr/>
        <w:t>董事会决议公告日前</w:t>
      </w:r>
      <w:r>
        <w:rPr>
          <w:rFonts w:ascii="Times New Roman" w:hAnsi="Times New Roman" w:cs="Times New Roman" w:eastAsia="Times New Roman" w:hint="default"/>
        </w:rPr>
        <w:t>120</w:t>
      </w:r>
      <w:r>
        <w:rPr/>
        <w:t>个交易日股票交易总</w:t>
      </w:r>
      <w:r>
        <w:rPr>
          <w:w w:val="100"/>
        </w:rPr>
        <w:t> </w:t>
      </w:r>
      <w:r>
        <w:rPr/>
        <w:t>量）。在此定价基础上，各方确定甲方本次发行股份购买资产的股票发行价格为</w:t>
      </w:r>
      <w:r>
        <w:rPr>
          <w:rFonts w:ascii="Times New Roman" w:hAnsi="Times New Roman" w:cs="Times New Roman" w:eastAsia="Times New Roman" w:hint="default"/>
        </w:rPr>
        <w:t>9.09</w:t>
      </w:r>
      <w:r>
        <w:rPr/>
        <w:t>元</w:t>
      </w:r>
      <w:r>
        <w:rPr>
          <w:rFonts w:ascii="Times New Roman" w:hAnsi="Times New Roman" w:cs="Times New Roman" w:eastAsia="Times New Roman" w:hint="default"/>
        </w:rPr>
        <w:t>/</w:t>
      </w:r>
      <w:r>
        <w:rPr/>
        <w:t>股。</w:t>
      </w:r>
      <w:r>
        <w:rPr>
          <w:w w:val="100"/>
        </w:rPr>
        <w:t> </w:t>
      </w:r>
      <w:r>
        <w:rPr>
          <w:spacing w:val="-2"/>
        </w:rPr>
        <w:t>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日收到了深圳证券交易所下发的《关于对广东群兴玩具股份有限公司的重组问询函》</w:t>
      </w:r>
    </w:p>
    <w:p>
      <w:pPr>
        <w:pStyle w:val="BodyText"/>
        <w:spacing w:line="264" w:lineRule="auto"/>
        <w:ind w:right="206"/>
        <w:jc w:val="both"/>
      </w:pPr>
      <w:r>
        <w:rPr>
          <w:spacing w:val="-2"/>
        </w:rPr>
        <w:t>（中小板重组问询函（需行政许可）</w:t>
      </w:r>
      <w:r>
        <w:rPr>
          <w:rFonts w:ascii="Times New Roman" w:hAnsi="Times New Roman" w:cs="Times New Roman" w:eastAsia="Times New Roman" w:hint="default"/>
          <w:spacing w:val="-2"/>
        </w:rPr>
        <w:t>[2015]</w:t>
      </w:r>
      <w:r>
        <w:rPr>
          <w:spacing w:val="-2"/>
        </w:rPr>
        <w:t>第</w:t>
      </w:r>
      <w:r>
        <w:rPr>
          <w:rFonts w:ascii="Times New Roman" w:hAnsi="Times New Roman" w:cs="Times New Roman" w:eastAsia="Times New Roman" w:hint="default"/>
          <w:spacing w:val="-2"/>
        </w:rPr>
        <w:t>68</w:t>
      </w:r>
      <w:r>
        <w:rPr>
          <w:spacing w:val="-2"/>
        </w:rPr>
        <w:t>号），公司与相关方及中介机构已就问询函所涉及问题进</w:t>
      </w:r>
      <w:r>
        <w:rPr>
          <w:spacing w:val="-12"/>
        </w:rPr>
        <w:t> </w:t>
      </w:r>
      <w:r>
        <w:rPr>
          <w:spacing w:val="-12"/>
        </w:rPr>
      </w:r>
      <w:r>
        <w:rPr>
          <w:spacing w:val="-2"/>
        </w:rPr>
        <w:t>行了反馈，并编制了《广东群兴玩具股份有限公司发行股份购买资产并募集配套资金暨关联交易预案（修</w:t>
      </w:r>
      <w:r>
        <w:rPr>
          <w:spacing w:val="-43"/>
        </w:rPr>
        <w:t> </w:t>
      </w:r>
      <w:r>
        <w:rPr>
          <w:spacing w:val="-43"/>
        </w:rPr>
      </w:r>
      <w:r>
        <w:rPr/>
        <w:t>订稿）》。</w:t>
      </w:r>
    </w:p>
    <w:p>
      <w:pPr>
        <w:pStyle w:val="BodyText"/>
        <w:tabs>
          <w:tab w:pos="2253" w:val="left" w:leader="none"/>
        </w:tabs>
        <w:spacing w:line="268" w:lineRule="auto" w:before="16"/>
        <w:ind w:right="102"/>
        <w:jc w:val="left"/>
      </w:pPr>
      <w:r>
        <w:rPr>
          <w:spacing w:val="-1"/>
        </w:rPr>
        <w:t>截至本报告出具日，</w:t>
        <w:tab/>
      </w:r>
      <w:r>
        <w:rPr>
          <w:spacing w:val="-2"/>
        </w:rPr>
        <w:t>三洲核能已于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5</w:t>
      </w:r>
      <w:r>
        <w:rPr>
          <w:spacing w:val="-2"/>
        </w:rPr>
        <w:t>日获得四川省国防科学技术工业办公室转发国家国防科</w:t>
      </w:r>
      <w:r>
        <w:rPr>
          <w:spacing w:val="-33"/>
        </w:rPr>
        <w:t> </w:t>
      </w:r>
      <w:r>
        <w:rPr>
          <w:spacing w:val="-33"/>
        </w:rPr>
      </w:r>
      <w:r>
        <w:rPr/>
        <w:t>技工业局关于三洲核能资产重组上市涉及军工事项审查意见的通知，国家国防科技工业主管部门原则同意</w:t>
      </w:r>
      <w:r>
        <w:rPr>
          <w:w w:val="100"/>
        </w:rPr>
        <w:t> </w:t>
      </w:r>
      <w:r>
        <w:rPr>
          <w:spacing w:val="-5"/>
        </w:rPr>
        <w:t>三洲核能重组上市；重组报告书及相关文件正在编制和审核中。公司及有关各方将继续积极推进后续工作， </w:t>
      </w:r>
      <w:r>
        <w:rPr>
          <w:spacing w:val="-5"/>
        </w:rPr>
      </w:r>
      <w:r>
        <w:rPr/>
        <w:t>待相关工作完成后，公司将再次召开董事会会议审议本次重大资产重组的相关事项，披露本次发行股份购</w:t>
      </w:r>
      <w:r>
        <w:rPr>
          <w:w w:val="100"/>
        </w:rPr>
        <w:t> </w:t>
      </w:r>
      <w:r>
        <w:rPr/>
        <w:t>买资产并募集配套资金暨关联交易报告书（草案）及其他相关文件，并按照相关法律法规的规定履行有关</w:t>
      </w:r>
      <w:r>
        <w:rPr>
          <w:w w:val="100"/>
        </w:rPr>
        <w:t> </w:t>
      </w:r>
      <w:r>
        <w:rPr/>
        <w:t>的后续审批及信息披露程序。</w:t>
      </w:r>
    </w:p>
    <w:p>
      <w:pPr>
        <w:spacing w:line="240" w:lineRule="auto" w:before="1"/>
        <w:rPr>
          <w:rFonts w:ascii="宋体" w:hAnsi="宋体" w:cs="宋体" w:eastAsia="宋体" w:hint="default"/>
          <w:sz w:val="16"/>
          <w:szCs w:val="16"/>
        </w:rPr>
      </w:pPr>
    </w:p>
    <w:p>
      <w:pPr>
        <w:pStyle w:val="Heading2"/>
        <w:spacing w:line="240" w:lineRule="auto"/>
        <w:ind w:right="102"/>
        <w:jc w:val="left"/>
        <w:rPr>
          <w:b w:val="0"/>
          <w:bCs w:val="0"/>
        </w:rPr>
      </w:pPr>
      <w:r>
        <w:rPr/>
        <w:t>十六、母公司财务报表主要项目注释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102"/>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102"/>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106,239,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622.27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2,124,79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2.45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104,114,8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29.82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133,210</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,566.27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2,664,211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130,546,35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4.94</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106,239,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622.27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2,124,79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2.45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104,114,8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29.82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133,210</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,566.27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2,664,211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130,546,35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4.94</w:t>
            </w:r>
          </w:p>
        </w:tc>
      </w:tr>
    </w:tbl>
    <w:p>
      <w:pPr>
        <w:spacing w:before="49"/>
        <w:ind w:left="152" w:right="102"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after="0"/>
        <w:jc w:val="left"/>
        <w:rPr>
          <w:rFonts w:ascii="宋体" w:hAnsi="宋体" w:cs="宋体" w:eastAsia="宋体" w:hint="default"/>
          <w:sz w:val="18"/>
          <w:szCs w:val="18"/>
        </w:rPr>
        <w:sectPr>
          <w:pgSz w:w="11910" w:h="16840"/>
          <w:pgMar w:header="745" w:footer="979" w:top="1060" w:bottom="1160" w:left="980" w:right="920"/>
        </w:sectPr>
      </w:pP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79" w:top="1060" w:bottom="1160" w:left="980" w:right="980"/>
        </w:sectPr>
      </w:pPr>
    </w:p>
    <w:p>
      <w:pPr>
        <w:spacing w:line="340" w:lineRule="auto" w:before="44"/>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3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113" w:space="471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5"/>
        <w:gridCol w:w="2294"/>
        <w:gridCol w:w="2391"/>
        <w:gridCol w:w="2391"/>
      </w:tblGrid>
      <w:tr>
        <w:trPr>
          <w:trHeight w:val="401" w:hRule="exact"/>
        </w:trPr>
        <w:tc>
          <w:tcPr>
            <w:tcW w:w="24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95" w:type="dxa"/>
            <w:vMerge/>
            <w:tcBorders>
              <w:left w:val="single" w:sz="4" w:space="0" w:color="000000"/>
              <w:bottom w:val="single" w:sz="4" w:space="0" w:color="000000"/>
              <w:right w:val="single" w:sz="4" w:space="0" w:color="000000"/>
            </w:tcBorders>
            <w:shd w:val="clear" w:color="auto" w:fill="D2D2D2"/>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106,239,622.27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2,124,792.45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106,239,622.27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2,124,792.45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106,239,622.27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2,124,792.45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r>
    </w:tbl>
    <w:p>
      <w:pPr>
        <w:spacing w:line="357" w:lineRule="auto" w:before="49"/>
        <w:ind w:left="152" w:right="54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9"/>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type w:val="continuous"/>
          <w:pgSz w:w="11910" w:h="16840"/>
          <w:pgMar w:top="1060" w:bottom="1160" w:left="980" w:right="980"/>
        </w:sectPr>
      </w:pPr>
    </w:p>
    <w:p>
      <w:pPr>
        <w:spacing w:line="340" w:lineRule="auto" w:before="44"/>
        <w:ind w:left="152" w:right="-11"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539,418.88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325" w:space="2504"/>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1"/>
      </w:tblGrid>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50" w:type="dxa"/>
        <w:tblLayout w:type="fixed"/>
        <w:tblCellMar>
          <w:top w:w="0" w:type="dxa"/>
          <w:left w:w="0" w:type="dxa"/>
          <w:bottom w:w="0" w:type="dxa"/>
          <w:right w:w="0" w:type="dxa"/>
        </w:tblCellMar>
        <w:tblLook w:val="01E0"/>
      </w:tblPr>
      <w:tblGrid>
        <w:gridCol w:w="3275"/>
        <w:gridCol w:w="1519"/>
        <w:gridCol w:w="1517"/>
        <w:gridCol w:w="1933"/>
      </w:tblGrid>
      <w:tr>
        <w:trPr>
          <w:trHeight w:val="660" w:hRule="exact"/>
        </w:trPr>
        <w:tc>
          <w:tcPr>
            <w:tcW w:w="3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57" w:right="29"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 额的比例</w:t>
            </w:r>
            <w:r>
              <w:rPr>
                <w:rFonts w:ascii="Times New Roman" w:hAnsi="Times New Roman" w:cs="Times New Roman" w:eastAsia="Times New Roman" w:hint="default"/>
                <w:sz w:val="18"/>
                <w:szCs w:val="18"/>
              </w:rPr>
              <w:t>(%)</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46" w:hRule="exact"/>
        </w:trPr>
        <w:tc>
          <w:tcPr>
            <w:tcW w:w="3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汕头市澄海区艳阳春贸易有限公司</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26,211,591.67</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24.67</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524,231.83</w:t>
            </w:r>
          </w:p>
        </w:tc>
      </w:tr>
      <w:tr>
        <w:trPr>
          <w:trHeight w:val="349" w:hRule="exact"/>
        </w:trPr>
        <w:tc>
          <w:tcPr>
            <w:tcW w:w="3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sz w:val="18"/>
              </w:rPr>
              <w:t>TIM</w:t>
            </w:r>
            <w:r>
              <w:rPr>
                <w:rFonts w:ascii="Times New Roman"/>
                <w:spacing w:val="-3"/>
                <w:sz w:val="18"/>
              </w:rPr>
              <w:t> </w:t>
            </w:r>
            <w:r>
              <w:rPr>
                <w:rFonts w:ascii="Times New Roman"/>
                <w:sz w:val="18"/>
              </w:rPr>
              <w:t>FONGHONG</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16,530,957.13</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15.56</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330,619.14</w:t>
            </w:r>
          </w:p>
        </w:tc>
      </w:tr>
      <w:tr>
        <w:trPr>
          <w:trHeight w:val="348" w:hRule="exact"/>
        </w:trPr>
        <w:tc>
          <w:tcPr>
            <w:tcW w:w="3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汕头市宇泰进出口贸易有限公司</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9,483,637.19</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8.93</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189,672.74</w:t>
            </w:r>
          </w:p>
        </w:tc>
      </w:tr>
      <w:tr>
        <w:trPr>
          <w:trHeight w:val="346" w:hRule="exact"/>
        </w:trPr>
        <w:tc>
          <w:tcPr>
            <w:tcW w:w="3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汕头市金明工艺玩具进出口有限公司</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8,721,065.83</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8.21</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174,421.32</w:t>
            </w:r>
          </w:p>
        </w:tc>
      </w:tr>
      <w:tr>
        <w:trPr>
          <w:trHeight w:val="348" w:hRule="exact"/>
        </w:trPr>
        <w:tc>
          <w:tcPr>
            <w:tcW w:w="3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汕头市德丰贸易有限公司</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7,903,194.04</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7.44</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158,063.88</w:t>
            </w:r>
          </w:p>
        </w:tc>
      </w:tr>
      <w:tr>
        <w:trPr>
          <w:trHeight w:val="348" w:hRule="exact"/>
        </w:trPr>
        <w:tc>
          <w:tcPr>
            <w:tcW w:w="327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68,850,445.86</w:t>
            </w:r>
            <w:r>
              <w:rPr>
                <w:rFonts w:ascii="Times New Roman"/>
                <w:spacing w:val="-1"/>
                <w:sz w:val="18"/>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b/>
                <w:sz w:val="18"/>
              </w:rPr>
              <w:t>64.81</w:t>
            </w:r>
            <w:r>
              <w:rPr>
                <w:rFonts w:ascii="Times New Roman"/>
                <w:sz w:val="18"/>
              </w:rPr>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1,377,008.91</w:t>
            </w:r>
            <w:r>
              <w:rPr>
                <w:rFonts w:ascii="Times New Roman"/>
                <w:spacing w:val="-1"/>
                <w:sz w:val="18"/>
              </w:rPr>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2"/>
          <w:szCs w:val="12"/>
        </w:rPr>
      </w:pPr>
    </w:p>
    <w:p>
      <w:pPr>
        <w:pStyle w:val="Heading3"/>
        <w:spacing w:line="335" w:lineRule="exact"/>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3839"/>
        <w:gridCol w:w="4095"/>
      </w:tblGrid>
      <w:tr>
        <w:trPr>
          <w:trHeight w:val="40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40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102,830,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722.38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64,552.9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102,766,1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69.48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105,146</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,088.25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6,406.84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105,139,68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1.41</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102,830,</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722.38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64,552.9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102,766,1</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69.48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105,146</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,088.25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6,406.84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105,139,68</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1.41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5"/>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41"/>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5"/>
        <w:gridCol w:w="2294"/>
        <w:gridCol w:w="2391"/>
        <w:gridCol w:w="2391"/>
      </w:tblGrid>
      <w:tr>
        <w:trPr>
          <w:trHeight w:val="403" w:hRule="exact"/>
        </w:trPr>
        <w:tc>
          <w:tcPr>
            <w:tcW w:w="24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95" w:type="dxa"/>
            <w:vMerge/>
            <w:tcBorders>
              <w:left w:val="single" w:sz="4" w:space="0" w:color="000000"/>
              <w:bottom w:val="single" w:sz="4" w:space="0" w:color="000000"/>
              <w:right w:val="single" w:sz="4" w:space="0" w:color="000000"/>
            </w:tcBorders>
            <w:shd w:val="clear" w:color="auto" w:fill="D2D2D2"/>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363,926.78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7,278.54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r>
      <w:tr>
        <w:trPr>
          <w:trHeight w:val="404"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363,926.78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7,278.54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286,371.80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57,274.36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650,298.58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64,552.90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9.93%</w:t>
            </w:r>
          </w:p>
        </w:tc>
      </w:tr>
    </w:tbl>
    <w:p>
      <w:pPr>
        <w:spacing w:line="357" w:lineRule="auto" w:before="49"/>
        <w:ind w:left="152" w:right="527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9"/>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50" w:type="dxa"/>
        <w:tblLayout w:type="fixed"/>
        <w:tblCellMar>
          <w:top w:w="0" w:type="dxa"/>
          <w:left w:w="0" w:type="dxa"/>
          <w:bottom w:w="0" w:type="dxa"/>
          <w:right w:w="0" w:type="dxa"/>
        </w:tblCellMar>
        <w:tblLook w:val="01E0"/>
      </w:tblPr>
      <w:tblGrid>
        <w:gridCol w:w="2487"/>
        <w:gridCol w:w="1937"/>
        <w:gridCol w:w="1937"/>
        <w:gridCol w:w="1937"/>
      </w:tblGrid>
      <w:tr>
        <w:trPr>
          <w:trHeight w:val="346" w:hRule="exact"/>
        </w:trPr>
        <w:tc>
          <w:tcPr>
            <w:tcW w:w="2487" w:type="dxa"/>
            <w:vMerge w:val="restart"/>
            <w:tcBorders>
              <w:top w:val="single" w:sz="6" w:space="0" w:color="000000"/>
              <w:left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581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8" w:hRule="exact"/>
        </w:trPr>
        <w:tc>
          <w:tcPr>
            <w:tcW w:w="2487" w:type="dxa"/>
            <w:vMerge/>
            <w:tcBorders>
              <w:left w:val="single" w:sz="6" w:space="0" w:color="000000"/>
              <w:bottom w:val="single" w:sz="6" w:space="0" w:color="000000"/>
              <w:right w:val="single" w:sz="6" w:space="0" w:color="000000"/>
            </w:tcBorders>
          </w:tcPr>
          <w:p>
            <w:pP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8" w:hRule="exact"/>
        </w:trPr>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童乐乐玩具</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100,900,000.00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r>
      <w:tr>
        <w:trPr>
          <w:trHeight w:val="346" w:hRule="exact"/>
        </w:trPr>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群兴香港</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1,149,804.35</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r>
      <w:tr>
        <w:trPr>
          <w:trHeight w:val="348" w:hRule="exact"/>
        </w:trPr>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130,619.45</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w:t>
            </w:r>
          </w:p>
        </w:tc>
      </w:tr>
      <w:tr>
        <w:trPr>
          <w:trHeight w:val="348" w:hRule="exact"/>
        </w:trPr>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102,180,423.80</w:t>
            </w:r>
            <w:r>
              <w:rPr>
                <w:rFonts w:ascii="Times New Roman"/>
                <w:spacing w:val="-1"/>
                <w:sz w:val="18"/>
              </w:rPr>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type w:val="continuous"/>
          <w:pgSz w:w="11910" w:h="16840"/>
          <w:pgMar w:top="1060" w:bottom="1160" w:left="980" w:right="980"/>
        </w:sectPr>
      </w:pPr>
    </w:p>
    <w:p>
      <w:pPr>
        <w:spacing w:line="340" w:lineRule="auto" w:before="44"/>
        <w:ind w:left="152"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58,146.06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234" w:space="2595"/>
            <w:col w:w="1121"/>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1"/>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102,049,804.35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99,578,263.81</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押金和保证金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341,155.48</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155,332.36</w:t>
            </w:r>
          </w:p>
        </w:tc>
      </w:tr>
      <w:tr>
        <w:trPr>
          <w:trHeight w:val="404" w:hRule="exact"/>
        </w:trPr>
        <w:tc>
          <w:tcPr>
            <w:tcW w:w="3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出口退税和待抵扣进项税额</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130,619.45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5,247,482.81</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309,143.10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165,009.27</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102,830,722.38</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105,146,088.25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10"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8" w:hRule="exact"/>
        </w:trPr>
        <w:tc>
          <w:tcPr>
            <w:tcW w:w="1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3"/>
              <w:ind w:left="22" w:right="29"/>
              <w:jc w:val="left"/>
              <w:rPr>
                <w:rFonts w:ascii="宋体" w:hAnsi="宋体" w:cs="宋体" w:eastAsia="宋体" w:hint="default"/>
                <w:sz w:val="18"/>
                <w:szCs w:val="18"/>
              </w:rPr>
            </w:pPr>
            <w:r>
              <w:rPr>
                <w:rFonts w:ascii="宋体" w:hAnsi="宋体" w:cs="宋体" w:eastAsia="宋体" w:hint="default"/>
                <w:sz w:val="18"/>
                <w:szCs w:val="18"/>
              </w:rPr>
              <w:t>汕头市童乐乐玩具有 限公司</w:t>
            </w:r>
          </w:p>
        </w:tc>
        <w:tc>
          <w:tcPr>
            <w:tcW w:w="15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100,900,000.00</w:t>
            </w:r>
          </w:p>
        </w:tc>
        <w:tc>
          <w:tcPr>
            <w:tcW w:w="15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98.12%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49"/>
              <w:ind w:left="22" w:right="89"/>
              <w:jc w:val="left"/>
              <w:rPr>
                <w:rFonts w:ascii="宋体" w:hAnsi="宋体" w:cs="宋体" w:eastAsia="宋体" w:hint="default"/>
                <w:sz w:val="18"/>
                <w:szCs w:val="18"/>
              </w:rPr>
            </w:pPr>
            <w:r>
              <w:rPr>
                <w:rFonts w:ascii="宋体" w:hAnsi="宋体" w:cs="宋体" w:eastAsia="宋体" w:hint="default"/>
                <w:sz w:val="18"/>
                <w:szCs w:val="18"/>
              </w:rPr>
              <w:t>群兴玩具</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公司</w:t>
            </w:r>
          </w:p>
        </w:tc>
        <w:tc>
          <w:tcPr>
            <w:tcW w:w="15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1,149,804.35</w:t>
            </w:r>
          </w:p>
        </w:tc>
        <w:tc>
          <w:tcPr>
            <w:tcW w:w="15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29"/>
              <w:jc w:val="left"/>
              <w:rPr>
                <w:rFonts w:ascii="宋体" w:hAnsi="宋体" w:cs="宋体" w:eastAsia="宋体" w:hint="default"/>
                <w:sz w:val="18"/>
                <w:szCs w:val="18"/>
              </w:rPr>
            </w:pPr>
            <w:r>
              <w:rPr>
                <w:rFonts w:ascii="宋体" w:hAnsi="宋体" w:cs="宋体" w:eastAsia="宋体" w:hint="default"/>
                <w:sz w:val="18"/>
                <w:szCs w:val="18"/>
              </w:rPr>
              <w:t>深圳科兴生物工程有 限公司科技园分公司</w:t>
            </w:r>
          </w:p>
        </w:tc>
        <w:tc>
          <w:tcPr>
            <w:tcW w:w="15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272,804.00</w:t>
            </w:r>
          </w:p>
        </w:tc>
        <w:tc>
          <w:tcPr>
            <w:tcW w:w="15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54,560.80</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130,619.45</w:t>
            </w:r>
          </w:p>
        </w:tc>
        <w:tc>
          <w:tcPr>
            <w:tcW w:w="15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29"/>
              <w:jc w:val="left"/>
              <w:rPr>
                <w:rFonts w:ascii="宋体" w:hAnsi="宋体" w:cs="宋体" w:eastAsia="宋体" w:hint="default"/>
                <w:sz w:val="18"/>
                <w:szCs w:val="18"/>
              </w:rPr>
            </w:pPr>
            <w:r>
              <w:rPr>
                <w:rFonts w:ascii="宋体" w:hAnsi="宋体" w:cs="宋体" w:eastAsia="宋体" w:hint="default"/>
                <w:sz w:val="18"/>
                <w:szCs w:val="18"/>
              </w:rPr>
              <w:t>广州力通法兰克福展 览有限公司</w:t>
            </w:r>
          </w:p>
        </w:tc>
        <w:tc>
          <w:tcPr>
            <w:tcW w:w="15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展会费用</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96,075.00</w:t>
            </w:r>
          </w:p>
        </w:tc>
        <w:tc>
          <w:tcPr>
            <w:tcW w:w="15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1,921.50</w:t>
            </w:r>
          </w:p>
        </w:tc>
      </w:tr>
      <w:tr>
        <w:trPr>
          <w:trHeight w:val="40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102,549,302.80</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99.73%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56,482.30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53,746,049.00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53,746,049.00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53,746,049.00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53,746,049.00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138,668,812.03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138,668,812.03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128,428,471.10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128,428,471.10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192,414,861.03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192,414,861.03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182,174,520.10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182,174,520.10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5"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0"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童乐乐玩具</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51,250,400.00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51,250,400.00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群兴香港</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2,495,649.00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2,495,649.00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53,746,049.00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53,746,049.00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1"/>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粤科租赁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128,428,4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71.10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10,240,34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0.93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138,668,8</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12.03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128,428,4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71.10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10,240,34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0.93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138,668,8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12.03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128,428,4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71.10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10,240,34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0.93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138,668,8</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12.03</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5"/>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5"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9" w:right="0"/>
              <w:jc w:val="left"/>
              <w:rPr>
                <w:rFonts w:ascii="Times New Roman" w:hAnsi="Times New Roman" w:cs="Times New Roman" w:eastAsia="Times New Roman" w:hint="default"/>
                <w:sz w:val="18"/>
                <w:szCs w:val="18"/>
              </w:rPr>
            </w:pPr>
            <w:r>
              <w:rPr>
                <w:rFonts w:ascii="Times New Roman"/>
                <w:sz w:val="18"/>
              </w:rPr>
              <w:t>319,383,875.01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249,452,332.05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404,163,124.81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8" w:right="0"/>
              <w:jc w:val="left"/>
              <w:rPr>
                <w:rFonts w:ascii="Times New Roman" w:hAnsi="Times New Roman" w:cs="Times New Roman" w:eastAsia="Times New Roman" w:hint="default"/>
                <w:sz w:val="18"/>
                <w:szCs w:val="18"/>
              </w:rPr>
            </w:pPr>
            <w:r>
              <w:rPr>
                <w:rFonts w:ascii="Times New Roman"/>
                <w:sz w:val="18"/>
              </w:rPr>
              <w:t>319,771,959.92</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319,383,875.01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249,452,332.05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404,163,124.81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319,771,959.92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联营或合营公司分配来的利润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2" w:right="0"/>
              <w:jc w:val="left"/>
              <w:rPr>
                <w:rFonts w:ascii="Times New Roman" w:hAnsi="Times New Roman" w:cs="Times New Roman" w:eastAsia="Times New Roman" w:hint="default"/>
                <w:sz w:val="18"/>
                <w:szCs w:val="18"/>
              </w:rPr>
            </w:pPr>
            <w:r>
              <w:rPr>
                <w:rFonts w:ascii="Times New Roman"/>
                <w:sz w:val="18"/>
              </w:rPr>
              <w:t>10,240,340.93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4,428,471.10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662,364.38</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远期外汇结汇</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-484,558.80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-163,154.40</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9,755,782.13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4,927,681.08</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十七、补充资料</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-35,897.92</w:t>
            </w:r>
          </w:p>
        </w:tc>
        <w:tc>
          <w:tcPr>
            <w:tcW w:w="3185"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027"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3,773,244.48</w:t>
            </w:r>
          </w:p>
        </w:tc>
        <w:tc>
          <w:tcPr>
            <w:tcW w:w="3185"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649"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243,607.60</w:t>
            </w:r>
          </w:p>
        </w:tc>
        <w:tc>
          <w:tcPr>
            <w:tcW w:w="3185"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-590,764.55</w:t>
            </w:r>
          </w:p>
        </w:tc>
        <w:tc>
          <w:tcPr>
            <w:tcW w:w="3185"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508,528.44</w:t>
            </w:r>
          </w:p>
        </w:tc>
        <w:tc>
          <w:tcPr>
            <w:tcW w:w="3185"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2,881,661.17</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0"/>
        <w:ind w:left="152" w:right="13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663"/>
        <w:gridCol w:w="3082"/>
        <w:gridCol w:w="1913"/>
        <w:gridCol w:w="1913"/>
      </w:tblGrid>
      <w:tr>
        <w:trPr>
          <w:trHeight w:val="206" w:hRule="exact"/>
        </w:trPr>
        <w:tc>
          <w:tcPr>
            <w:tcW w:w="2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4" w:hRule="exact"/>
        </w:trPr>
        <w:tc>
          <w:tcPr>
            <w:tcW w:w="2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663"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0.0309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0.0309</w:t>
            </w:r>
          </w:p>
        </w:tc>
      </w:tr>
      <w:tr>
        <w:trPr>
          <w:trHeight w:val="715"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0.0260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0.0260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25"/>
          <w:szCs w:val="25"/>
        </w:rPr>
      </w:pPr>
    </w:p>
    <w:p>
      <w:pPr>
        <w:pStyle w:val="Heading1"/>
        <w:spacing w:line="456" w:lineRule="exact"/>
        <w:ind w:left="3285" w:right="0"/>
        <w:jc w:val="left"/>
        <w:rPr>
          <w:b w:val="0"/>
          <w:bCs w:val="0"/>
        </w:rPr>
      </w:pPr>
      <w:bookmarkStart w:name="_bookmark10" w:id="11"/>
      <w:bookmarkEnd w:id="11"/>
      <w:r>
        <w:rPr>
          <w:b w:val="0"/>
          <w:bCs w:val="0"/>
        </w:rPr>
      </w:r>
      <w:r>
        <w:rPr/>
        <w:t>第十一节 </w:t>
      </w:r>
      <w:r>
        <w:rPr>
          <w:spacing w:val="8"/>
        </w:rPr>
        <w:t> </w:t>
      </w:r>
      <w:r>
        <w:rPr/>
        <w:t>备查文件目录</w:t>
      </w:r>
      <w:r>
        <w:rPr>
          <w:b w:val="0"/>
          <w:bCs w:val="0"/>
        </w:rPr>
      </w:r>
    </w:p>
    <w:p>
      <w:pPr>
        <w:spacing w:line="240" w:lineRule="auto" w:before="14"/>
        <w:rPr>
          <w:rFonts w:ascii="Microsoft JhengHei" w:hAnsi="Microsoft JhengHei" w:cs="Microsoft JhengHei" w:eastAsia="Microsoft JhengHei" w:hint="default"/>
          <w:b/>
          <w:bCs/>
          <w:sz w:val="28"/>
          <w:szCs w:val="28"/>
        </w:rPr>
      </w:pPr>
    </w:p>
    <w:p>
      <w:pPr>
        <w:pStyle w:val="BodyText"/>
        <w:spacing w:line="273" w:lineRule="auto"/>
        <w:ind w:right="0"/>
        <w:jc w:val="left"/>
      </w:pPr>
      <w:r>
        <w:rPr/>
        <w:t>一、载有法定代表人、主管会计负责人、会计机构负责人签名并盖章的会计报表。</w:t>
      </w:r>
      <w:r>
        <w:rPr>
          <w:w w:val="100"/>
        </w:rPr>
        <w:t> </w:t>
      </w:r>
      <w:r>
        <w:rPr/>
        <w:t>二、载有会计师事务所盖章、注册会计师签名并盖章的审计报告原件。</w:t>
      </w:r>
      <w:r>
        <w:rPr>
          <w:w w:val="100"/>
        </w:rPr>
        <w:t> </w:t>
      </w:r>
      <w:r>
        <w:rPr>
          <w:spacing w:val="-2"/>
        </w:rPr>
        <w:t>三、报告期内在中国证监会指定报纸上公开披露过的所有公司文件的正文及公告的原稿。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73" w:lineRule="auto" w:before="159"/>
        <w:ind w:left="7482" w:right="0" w:hanging="212"/>
        <w:jc w:val="left"/>
      </w:pPr>
      <w:r>
        <w:rPr>
          <w:spacing w:val="-2"/>
        </w:rPr>
        <w:t>广东群兴玩具股份有限公司</w:t>
      </w:r>
      <w:r>
        <w:rPr>
          <w:spacing w:val="-82"/>
        </w:rPr>
        <w:t> </w:t>
      </w:r>
      <w:r>
        <w:rPr>
          <w:spacing w:val="-82"/>
        </w:rPr>
      </w:r>
      <w:r>
        <w:rPr/>
        <w:t>法定代表人：林伟章</w:t>
      </w:r>
      <w:r>
        <w:rPr>
          <w:w w:val="100"/>
        </w:rPr>
        <w:t> </w:t>
      </w:r>
      <w:r>
        <w:rPr>
          <w:spacing w:val="-2"/>
        </w:rPr>
        <w:t>二○一六年二月二十六日</w:t>
      </w:r>
    </w:p>
    <w:sectPr>
      <w:pgSz w:w="11910" w:h="16840"/>
      <w:pgMar w:header="745"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6825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682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682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6824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682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57947pt;width:17.3pt;height:11pt;mso-position-horizontal-relative:page;mso-position-vertical-relative:page;z-index:-682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682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265610pt;width:195.75pt;height:11.5pt;mso-position-horizontal-relative:page;mso-position-vertical-relative:page;z-index:-6825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广东群兴玩具股份有限公司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7"/>
      <w:ind w:left="152"/>
    </w:pPr>
    <w:rPr>
      <w:rFonts w:ascii="Microsoft JhengHei" w:hAnsi="Microsoft JhengHei" w:eastAsia="Microsoft JhengHei"/>
      <w:b/>
      <w:bCs/>
      <w:sz w:val="28"/>
      <w:szCs w:val="28"/>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2793"/>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52"/>
      <w:outlineLvl w:val="2"/>
    </w:pPr>
    <w:rPr>
      <w:rFonts w:ascii="Microsoft JhengHei" w:hAnsi="Microsoft JhengHei" w:eastAsia="Microsoft JhengHei"/>
      <w:b/>
      <w:bCs/>
      <w:sz w:val="24"/>
      <w:szCs w:val="24"/>
    </w:rPr>
  </w:style>
  <w:style w:styleId="Heading3" w:type="paragraph">
    <w:name w:val="Heading 3"/>
    <w:basedOn w:val="Normal"/>
    <w:uiPriority w:val="1"/>
    <w:qFormat/>
    <w:pPr>
      <w:ind w:left="152"/>
      <w:outlineLvl w:val="3"/>
    </w:pPr>
    <w:rPr>
      <w:rFonts w:ascii="Microsoft JhengHei" w:hAnsi="Microsoft JhengHei" w:eastAsia="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qunxingtoys.com/" TargetMode="External"/><Relationship Id="rId10" Type="http://schemas.openxmlformats.org/officeDocument/2006/relationships/hyperlink" Target="mailto:info@qunxingtoys.com"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image" Target="media/image2.jpe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www.cninfo.com/" TargetMode="Externa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广东群兴玩具股份有限公司</dc:creator>
  <dc:title>广东群兴玩具股份有限公司2015年年度报告全文</dc:title>
  <dcterms:created xsi:type="dcterms:W3CDTF">2020-05-04T14:08:07Z</dcterms:created>
  <dcterms:modified xsi:type="dcterms:W3CDTF">2020-05-04T14:08:07Z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2016-02-26T00:00:00Z</vt:filetime>
  </property>
  <property fmtid="{D5CDD505-2E9C-101B-9397-08002B2CF9AE}" pid="3" name="Creator">
    <vt:lpwstr>Microsoft® Word 2013</vt:lpwstr>
  </property>
  <property fmtid="{D5CDD505-2E9C-101B-9397-08002B2CF9AE}" pid="4" name="LastSaved">
    <vt:filetime>2020-05-04T00:00:00Z</vt:filetime>
  </property>
</Properties>
</file>